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7AFE" w14:textId="71F5B96F" w:rsidR="00103626" w:rsidRPr="00267106" w:rsidRDefault="00103626" w:rsidP="2305F0C4">
      <w:pPr>
        <w:pStyle w:val="Default"/>
        <w:jc w:val="center"/>
        <w:rPr>
          <w:rFonts w:asciiTheme="minorHAnsi" w:hAnsiTheme="minorHAnsi"/>
        </w:rPr>
      </w:pPr>
    </w:p>
    <w:p w14:paraId="6811EA86" w14:textId="77777777" w:rsidR="0025262D" w:rsidRDefault="0025262D" w:rsidP="00D85081"/>
    <w:p w14:paraId="0A4415DF" w14:textId="2219BC92" w:rsidR="00D85081" w:rsidRDefault="00D85081" w:rsidP="00D85081">
      <w:pPr>
        <w:rPr>
          <w:sz w:val="56"/>
          <w:szCs w:val="56"/>
        </w:rPr>
      </w:pPr>
    </w:p>
    <w:p w14:paraId="282EA50A" w14:textId="711BA091" w:rsidR="00973B02" w:rsidRDefault="00973B02" w:rsidP="00D85081">
      <w:pPr>
        <w:rPr>
          <w:sz w:val="56"/>
          <w:szCs w:val="56"/>
        </w:rPr>
      </w:pPr>
    </w:p>
    <w:p w14:paraId="7D87CAF8" w14:textId="567A3758" w:rsidR="006237FC" w:rsidRPr="006237FC" w:rsidRDefault="006237FC" w:rsidP="1F77C5C2">
      <w:pPr>
        <w:spacing w:before="100" w:beforeAutospacing="1" w:after="100" w:afterAutospacing="1" w:line="240" w:lineRule="auto"/>
        <w:jc w:val="left"/>
      </w:pPr>
    </w:p>
    <w:p w14:paraId="434124A9" w14:textId="339D9A34" w:rsidR="0085753C" w:rsidRPr="0085753C" w:rsidRDefault="601D0A06" w:rsidP="601D0A06">
      <w:pPr>
        <w:spacing w:before="100" w:beforeAutospacing="1" w:after="100" w:afterAutospacing="1" w:line="240" w:lineRule="auto"/>
        <w:jc w:val="left"/>
        <w:rPr>
          <w:rFonts w:ascii="Times New Roman" w:eastAsia="Times New Roman" w:hAnsi="Times New Roman" w:cs="Times New Roman"/>
          <w:sz w:val="24"/>
          <w:szCs w:val="24"/>
          <w:lang w:eastAsia="en-GB"/>
        </w:rPr>
      </w:pPr>
      <w:r>
        <w:rPr>
          <w:noProof/>
        </w:rPr>
        <w:drawing>
          <wp:anchor distT="0" distB="0" distL="114300" distR="114300" simplePos="0" relativeHeight="251658240" behindDoc="0" locked="0" layoutInCell="1" allowOverlap="1" wp14:anchorId="6612E27D" wp14:editId="10FC79E9">
            <wp:simplePos x="0" y="0"/>
            <wp:positionH relativeFrom="column">
              <wp:posOffset>3305175</wp:posOffset>
            </wp:positionH>
            <wp:positionV relativeFrom="paragraph">
              <wp:posOffset>314325</wp:posOffset>
            </wp:positionV>
            <wp:extent cx="2571750" cy="2571750"/>
            <wp:effectExtent l="0" t="0" r="0" b="0"/>
            <wp:wrapNone/>
            <wp:docPr id="58005010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50107"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283BA" w14:textId="4DCACF66" w:rsidR="00973B02" w:rsidRDefault="601D0A06" w:rsidP="00D85081">
      <w:r>
        <w:rPr>
          <w:noProof/>
        </w:rPr>
        <w:drawing>
          <wp:anchor distT="0" distB="0" distL="114300" distR="114300" simplePos="0" relativeHeight="251658241" behindDoc="0" locked="0" layoutInCell="1" allowOverlap="1" wp14:anchorId="321B7DB5" wp14:editId="11E172C4">
            <wp:simplePos x="0" y="0"/>
            <wp:positionH relativeFrom="column">
              <wp:posOffset>447675</wp:posOffset>
            </wp:positionH>
            <wp:positionV relativeFrom="paragraph">
              <wp:posOffset>142875</wp:posOffset>
            </wp:positionV>
            <wp:extent cx="2297422" cy="2297422"/>
            <wp:effectExtent l="0" t="0" r="0" b="0"/>
            <wp:wrapNone/>
            <wp:docPr id="13710727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72763"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297422" cy="2297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AFFB7" w14:textId="78BAB595" w:rsidR="00973B02" w:rsidRDefault="00973B02" w:rsidP="3E2B624F">
      <w:pPr>
        <w:rPr>
          <w:sz w:val="56"/>
          <w:szCs w:val="56"/>
        </w:rPr>
      </w:pPr>
    </w:p>
    <w:p w14:paraId="567CF9AD" w14:textId="2E8A4930" w:rsidR="00D10E3A" w:rsidRPr="0003740D" w:rsidRDefault="00D10E3A" w:rsidP="00D85081"/>
    <w:p w14:paraId="130F5A84" w14:textId="569A79BE" w:rsidR="1F77C5C2" w:rsidRDefault="1F77C5C2" w:rsidP="1F77C5C2">
      <w:pPr>
        <w:ind w:left="426"/>
        <w:jc w:val="left"/>
        <w:rPr>
          <w:rFonts w:asciiTheme="majorHAnsi" w:hAnsiTheme="majorHAnsi" w:cstheme="majorBidi"/>
          <w:b/>
          <w:bCs/>
          <w:color w:val="C00000"/>
          <w:sz w:val="48"/>
          <w:szCs w:val="48"/>
          <w:lang w:val="en-AU"/>
        </w:rPr>
      </w:pPr>
    </w:p>
    <w:p w14:paraId="1B6DC49E" w14:textId="31C97B8E" w:rsidR="1F77C5C2" w:rsidRDefault="1F77C5C2" w:rsidP="1F77C5C2">
      <w:pPr>
        <w:ind w:left="426"/>
        <w:jc w:val="left"/>
        <w:rPr>
          <w:rFonts w:asciiTheme="majorHAnsi" w:hAnsiTheme="majorHAnsi" w:cstheme="majorBidi"/>
          <w:b/>
          <w:bCs/>
          <w:color w:val="C00000"/>
          <w:sz w:val="48"/>
          <w:szCs w:val="48"/>
          <w:lang w:val="en-AU"/>
        </w:rPr>
      </w:pPr>
    </w:p>
    <w:p w14:paraId="1F50B446" w14:textId="66847D53" w:rsidR="1F77C5C2" w:rsidRDefault="1F77C5C2" w:rsidP="1F77C5C2">
      <w:pPr>
        <w:ind w:left="426"/>
        <w:jc w:val="left"/>
        <w:rPr>
          <w:rFonts w:asciiTheme="majorHAnsi" w:hAnsiTheme="majorHAnsi" w:cstheme="majorBidi"/>
          <w:b/>
          <w:bCs/>
          <w:color w:val="C00000"/>
          <w:sz w:val="48"/>
          <w:szCs w:val="48"/>
          <w:lang w:val="en-AU"/>
        </w:rPr>
      </w:pPr>
    </w:p>
    <w:p w14:paraId="1AF7B8EA" w14:textId="1AF5D50A" w:rsidR="1F77C5C2" w:rsidRDefault="1F77C5C2" w:rsidP="1F77C5C2">
      <w:pPr>
        <w:ind w:left="426"/>
        <w:jc w:val="left"/>
        <w:rPr>
          <w:rFonts w:asciiTheme="majorHAnsi" w:hAnsiTheme="majorHAnsi" w:cstheme="majorBidi"/>
          <w:b/>
          <w:bCs/>
          <w:color w:val="C00000"/>
          <w:sz w:val="48"/>
          <w:szCs w:val="48"/>
          <w:lang w:val="en-AU"/>
        </w:rPr>
      </w:pPr>
    </w:p>
    <w:p w14:paraId="5010242A" w14:textId="19915450" w:rsidR="1F77C5C2" w:rsidRDefault="1F77C5C2" w:rsidP="1F77C5C2">
      <w:pPr>
        <w:ind w:left="426"/>
        <w:jc w:val="left"/>
        <w:rPr>
          <w:rFonts w:asciiTheme="majorHAnsi" w:hAnsiTheme="majorHAnsi" w:cstheme="majorBidi"/>
          <w:b/>
          <w:bCs/>
          <w:color w:val="C00000"/>
          <w:sz w:val="48"/>
          <w:szCs w:val="48"/>
          <w:lang w:val="en-AU"/>
        </w:rPr>
      </w:pPr>
    </w:p>
    <w:p w14:paraId="47E5B6E2" w14:textId="421C885C" w:rsidR="0003740D" w:rsidRDefault="2C57C09A" w:rsidP="3E2B624F">
      <w:pPr>
        <w:ind w:left="426"/>
        <w:jc w:val="left"/>
        <w:rPr>
          <w:rFonts w:asciiTheme="majorHAnsi" w:hAnsiTheme="majorHAnsi" w:cstheme="majorHAnsi"/>
          <w:b/>
          <w:bCs/>
          <w:color w:val="C00000"/>
          <w:sz w:val="48"/>
          <w:szCs w:val="48"/>
          <w:lang w:val="en-AU"/>
        </w:rPr>
      </w:pPr>
      <w:r w:rsidRPr="00240AD9">
        <w:rPr>
          <w:rFonts w:asciiTheme="majorHAnsi" w:hAnsiTheme="majorHAnsi" w:cstheme="majorHAnsi"/>
          <w:b/>
          <w:bCs/>
          <w:color w:val="C00000"/>
          <w:sz w:val="48"/>
          <w:szCs w:val="48"/>
          <w:lang w:val="en-AU"/>
        </w:rPr>
        <w:t>Northamptonshire Commissioner Fire and Rescue Authority</w:t>
      </w:r>
    </w:p>
    <w:p w14:paraId="0CC21FB0" w14:textId="77777777" w:rsidR="002F594E" w:rsidRPr="00240AD9" w:rsidRDefault="002F594E" w:rsidP="3E2B624F">
      <w:pPr>
        <w:ind w:left="426"/>
        <w:jc w:val="left"/>
        <w:rPr>
          <w:rFonts w:asciiTheme="majorHAnsi" w:hAnsiTheme="majorHAnsi" w:cstheme="majorHAnsi"/>
          <w:b/>
          <w:bCs/>
          <w:color w:val="C00000"/>
          <w:sz w:val="48"/>
          <w:szCs w:val="48"/>
          <w:lang w:val="en-AU"/>
        </w:rPr>
      </w:pPr>
    </w:p>
    <w:p w14:paraId="52A5CB00" w14:textId="6F980D55" w:rsidR="0003740D" w:rsidRPr="00186ED7" w:rsidRDefault="0003740D" w:rsidP="0003740D">
      <w:pPr>
        <w:ind w:left="426"/>
        <w:jc w:val="left"/>
        <w:rPr>
          <w:rFonts w:asciiTheme="majorHAnsi" w:hAnsiTheme="majorHAnsi" w:cstheme="majorHAnsi"/>
          <w:b/>
          <w:sz w:val="32"/>
          <w:szCs w:val="32"/>
          <w:lang w:val="en-AU"/>
        </w:rPr>
      </w:pPr>
      <w:r w:rsidRPr="00186ED7">
        <w:rPr>
          <w:rFonts w:asciiTheme="majorHAnsi" w:hAnsiTheme="majorHAnsi" w:cstheme="majorHAnsi"/>
          <w:b/>
          <w:sz w:val="32"/>
          <w:szCs w:val="32"/>
          <w:lang w:val="en-AU"/>
        </w:rPr>
        <w:t>Single Entity</w:t>
      </w:r>
    </w:p>
    <w:p w14:paraId="3D69A31B" w14:textId="21E0AC33" w:rsidR="0003740D" w:rsidRPr="00186ED7" w:rsidRDefault="0003740D" w:rsidP="0003740D">
      <w:pPr>
        <w:ind w:left="426"/>
        <w:jc w:val="left"/>
        <w:rPr>
          <w:rFonts w:asciiTheme="majorHAnsi" w:hAnsiTheme="majorHAnsi" w:cstheme="majorHAnsi"/>
          <w:b/>
          <w:bCs/>
          <w:sz w:val="32"/>
          <w:szCs w:val="32"/>
          <w:lang w:val="en-AU"/>
        </w:rPr>
      </w:pPr>
      <w:r w:rsidRPr="00186ED7">
        <w:rPr>
          <w:rFonts w:asciiTheme="majorHAnsi" w:hAnsiTheme="majorHAnsi" w:cstheme="majorHAnsi"/>
          <w:b/>
          <w:bCs/>
          <w:sz w:val="32"/>
          <w:szCs w:val="32"/>
          <w:lang w:val="en-AU"/>
        </w:rPr>
        <w:t>Statement of Accounts for the year 202</w:t>
      </w:r>
      <w:r w:rsidR="002534FE" w:rsidRPr="00186ED7">
        <w:rPr>
          <w:rFonts w:asciiTheme="majorHAnsi" w:hAnsiTheme="majorHAnsi" w:cstheme="majorHAnsi"/>
          <w:b/>
          <w:bCs/>
          <w:sz w:val="32"/>
          <w:szCs w:val="32"/>
          <w:lang w:val="en-AU"/>
        </w:rPr>
        <w:t>4</w:t>
      </w:r>
      <w:r w:rsidRPr="00186ED7">
        <w:rPr>
          <w:rFonts w:asciiTheme="majorHAnsi" w:hAnsiTheme="majorHAnsi" w:cstheme="majorHAnsi"/>
          <w:b/>
          <w:bCs/>
          <w:sz w:val="32"/>
          <w:szCs w:val="32"/>
          <w:lang w:val="en-AU"/>
        </w:rPr>
        <w:t>/2</w:t>
      </w:r>
      <w:r w:rsidR="002534FE" w:rsidRPr="00186ED7">
        <w:rPr>
          <w:rFonts w:asciiTheme="majorHAnsi" w:hAnsiTheme="majorHAnsi" w:cstheme="majorHAnsi"/>
          <w:b/>
          <w:bCs/>
          <w:sz w:val="32"/>
          <w:szCs w:val="32"/>
          <w:lang w:val="en-AU"/>
        </w:rPr>
        <w:t>5</w:t>
      </w:r>
    </w:p>
    <w:p w14:paraId="1547836B" w14:textId="2F7D5D44" w:rsidR="00EA06C9" w:rsidRPr="00186ED7" w:rsidRDefault="00EA06C9" w:rsidP="0003740D">
      <w:pPr>
        <w:pStyle w:val="NewSoAHeading"/>
        <w:ind w:left="426"/>
        <w:rPr>
          <w:rFonts w:asciiTheme="majorHAnsi" w:hAnsiTheme="majorHAnsi" w:cstheme="majorHAnsi"/>
          <w:noProof/>
        </w:rPr>
      </w:pPr>
    </w:p>
    <w:p w14:paraId="3526DEB8" w14:textId="48DC46C1" w:rsidR="00D10E3A" w:rsidRPr="007F07C2" w:rsidRDefault="00EA06C9" w:rsidP="0003740D">
      <w:pPr>
        <w:pStyle w:val="NewSoAHeading"/>
        <w:ind w:left="426"/>
        <w:rPr>
          <w:rFonts w:asciiTheme="minorHAnsi" w:hAnsiTheme="minorHAnsi"/>
          <w:bCs/>
          <w:sz w:val="22"/>
          <w:szCs w:val="22"/>
        </w:rPr>
      </w:pPr>
      <w:r>
        <w:rPr>
          <w:noProof/>
        </w:rPr>
        <w:t xml:space="preserve">                                       </w:t>
      </w:r>
    </w:p>
    <w:p w14:paraId="2F3B1A07" w14:textId="6B5AABDF" w:rsidR="00D10E3A" w:rsidRPr="007F07C2" w:rsidRDefault="00D10E3A" w:rsidP="0003740D">
      <w:pPr>
        <w:pStyle w:val="NewSoAHeading"/>
        <w:ind w:left="426"/>
        <w:rPr>
          <w:rFonts w:asciiTheme="minorHAnsi" w:hAnsiTheme="minorHAnsi"/>
          <w:bCs/>
          <w:sz w:val="22"/>
          <w:szCs w:val="22"/>
        </w:rPr>
      </w:pPr>
    </w:p>
    <w:p w14:paraId="09624893" w14:textId="62680705" w:rsidR="00D10E3A" w:rsidRDefault="00D10E3A" w:rsidP="0003740D">
      <w:pPr>
        <w:pStyle w:val="Default"/>
        <w:ind w:left="426"/>
        <w:jc w:val="center"/>
        <w:rPr>
          <w:rFonts w:asciiTheme="minorHAnsi" w:hAnsiTheme="minorHAnsi"/>
          <w:b/>
          <w:bCs/>
          <w:sz w:val="22"/>
          <w:szCs w:val="22"/>
        </w:rPr>
      </w:pPr>
    </w:p>
    <w:p w14:paraId="4D4FB227" w14:textId="33B62E80" w:rsidR="00EA06C9" w:rsidRPr="007F07C2" w:rsidRDefault="00EA06C9" w:rsidP="0003740D">
      <w:pPr>
        <w:pStyle w:val="Default"/>
        <w:ind w:left="426"/>
        <w:jc w:val="center"/>
        <w:rPr>
          <w:rFonts w:asciiTheme="minorHAnsi" w:hAnsiTheme="minorHAnsi"/>
          <w:b/>
          <w:bCs/>
          <w:sz w:val="22"/>
          <w:szCs w:val="22"/>
        </w:rPr>
      </w:pPr>
    </w:p>
    <w:p w14:paraId="1A86F490" w14:textId="77777777" w:rsidR="00D10E3A" w:rsidRPr="007F07C2" w:rsidRDefault="00D10E3A" w:rsidP="0003740D">
      <w:pPr>
        <w:pStyle w:val="Default"/>
        <w:ind w:left="426"/>
        <w:jc w:val="center"/>
        <w:rPr>
          <w:rFonts w:asciiTheme="minorHAnsi" w:hAnsiTheme="minorHAnsi"/>
          <w:b/>
          <w:bCs/>
          <w:sz w:val="22"/>
          <w:szCs w:val="22"/>
        </w:rPr>
      </w:pPr>
    </w:p>
    <w:p w14:paraId="52F7A2B7" w14:textId="77777777" w:rsidR="005C4182" w:rsidRPr="007F07C2" w:rsidRDefault="005C4182" w:rsidP="00186ED7">
      <w:pPr>
        <w:pStyle w:val="Default"/>
        <w:rPr>
          <w:rFonts w:asciiTheme="minorHAnsi" w:hAnsiTheme="minorHAnsi"/>
          <w:b/>
          <w:bCs/>
          <w:sz w:val="22"/>
          <w:szCs w:val="22"/>
        </w:rPr>
      </w:pPr>
    </w:p>
    <w:p w14:paraId="53C42B61" w14:textId="77777777" w:rsidR="0003740D" w:rsidRDefault="0003740D" w:rsidP="00186ED7">
      <w:pPr>
        <w:pStyle w:val="Default"/>
        <w:rPr>
          <w:rFonts w:asciiTheme="minorHAnsi" w:hAnsiTheme="minorHAnsi"/>
          <w:b/>
          <w:bCs/>
          <w:sz w:val="22"/>
          <w:szCs w:val="22"/>
          <w:highlight w:val="yellow"/>
        </w:rPr>
      </w:pPr>
    </w:p>
    <w:p w14:paraId="3351213D" w14:textId="77777777" w:rsidR="0003740D" w:rsidRDefault="0003740D" w:rsidP="0003740D">
      <w:pPr>
        <w:pStyle w:val="Default"/>
        <w:ind w:left="426"/>
        <w:rPr>
          <w:rFonts w:asciiTheme="minorHAnsi" w:hAnsiTheme="minorHAnsi"/>
          <w:b/>
          <w:bCs/>
          <w:sz w:val="22"/>
          <w:szCs w:val="22"/>
          <w:highlight w:val="yellow"/>
        </w:rPr>
      </w:pPr>
    </w:p>
    <w:p w14:paraId="04696534" w14:textId="77777777" w:rsidR="0003740D" w:rsidRPr="0003740D" w:rsidRDefault="0003740D" w:rsidP="0003740D">
      <w:pPr>
        <w:pStyle w:val="Default"/>
        <w:ind w:left="426"/>
        <w:rPr>
          <w:rFonts w:asciiTheme="minorHAnsi" w:hAnsiTheme="minorHAnsi"/>
          <w:sz w:val="22"/>
          <w:szCs w:val="22"/>
          <w:highlight w:val="yellow"/>
        </w:rPr>
      </w:pPr>
    </w:p>
    <w:p w14:paraId="445D3B1E" w14:textId="626BE2D7" w:rsidR="005064C1" w:rsidRPr="0003740D" w:rsidRDefault="28BDDD58" w:rsidP="6C31340A">
      <w:pPr>
        <w:pStyle w:val="Default"/>
        <w:ind w:left="426"/>
        <w:rPr>
          <w:rFonts w:asciiTheme="minorHAnsi" w:hAnsiTheme="minorHAnsi"/>
          <w:sz w:val="22"/>
          <w:szCs w:val="22"/>
        </w:rPr>
      </w:pPr>
      <w:r w:rsidRPr="6C31340A">
        <w:rPr>
          <w:rFonts w:asciiTheme="minorHAnsi" w:hAnsiTheme="minorHAnsi"/>
          <w:sz w:val="22"/>
          <w:szCs w:val="22"/>
        </w:rPr>
        <w:t xml:space="preserve">Date </w:t>
      </w:r>
      <w:r w:rsidR="77C757ED" w:rsidRPr="6C31340A">
        <w:rPr>
          <w:rFonts w:asciiTheme="minorHAnsi" w:hAnsiTheme="minorHAnsi"/>
          <w:sz w:val="22"/>
          <w:szCs w:val="22"/>
        </w:rPr>
        <w:t>Published</w:t>
      </w:r>
      <w:r w:rsidRPr="6C31340A">
        <w:rPr>
          <w:rFonts w:asciiTheme="minorHAnsi" w:hAnsiTheme="minorHAnsi"/>
          <w:sz w:val="22"/>
          <w:szCs w:val="22"/>
        </w:rPr>
        <w:t xml:space="preserve">:  </w:t>
      </w:r>
      <w:r w:rsidR="4E5A9CC0" w:rsidRPr="6C31340A">
        <w:rPr>
          <w:rFonts w:asciiTheme="minorHAnsi" w:hAnsiTheme="minorHAnsi"/>
          <w:sz w:val="22"/>
          <w:szCs w:val="22"/>
        </w:rPr>
        <w:t xml:space="preserve"> </w:t>
      </w:r>
      <w:r w:rsidR="71BF4869" w:rsidRPr="6C31340A">
        <w:rPr>
          <w:rFonts w:asciiTheme="minorHAnsi" w:hAnsiTheme="minorHAnsi"/>
          <w:sz w:val="22"/>
          <w:szCs w:val="22"/>
        </w:rPr>
        <w:t>27</w:t>
      </w:r>
      <w:r w:rsidR="13331801" w:rsidRPr="6C31340A">
        <w:rPr>
          <w:rFonts w:asciiTheme="minorHAnsi" w:hAnsiTheme="minorHAnsi"/>
          <w:sz w:val="22"/>
          <w:szCs w:val="22"/>
          <w:vertAlign w:val="superscript"/>
        </w:rPr>
        <w:t>th</w:t>
      </w:r>
      <w:r w:rsidR="13331801" w:rsidRPr="6C31340A">
        <w:rPr>
          <w:rFonts w:asciiTheme="minorHAnsi" w:hAnsiTheme="minorHAnsi"/>
          <w:sz w:val="22"/>
          <w:szCs w:val="22"/>
        </w:rPr>
        <w:t xml:space="preserve"> </w:t>
      </w:r>
      <w:r w:rsidR="3323AB9A" w:rsidRPr="6C31340A">
        <w:rPr>
          <w:rFonts w:asciiTheme="minorHAnsi" w:hAnsiTheme="minorHAnsi"/>
          <w:sz w:val="22"/>
          <w:szCs w:val="22"/>
        </w:rPr>
        <w:t>February 2026</w:t>
      </w:r>
    </w:p>
    <w:p w14:paraId="47B1D945" w14:textId="77777777" w:rsidR="006408FD" w:rsidRPr="007F07C2" w:rsidRDefault="006408FD" w:rsidP="0003740D">
      <w:pPr>
        <w:pStyle w:val="Default"/>
        <w:ind w:left="426"/>
        <w:jc w:val="center"/>
        <w:rPr>
          <w:rFonts w:asciiTheme="minorHAnsi" w:hAnsiTheme="minorHAnsi"/>
          <w:b/>
          <w:bCs/>
          <w:sz w:val="22"/>
          <w:szCs w:val="22"/>
        </w:rPr>
      </w:pPr>
    </w:p>
    <w:p w14:paraId="0CE91113" w14:textId="77777777" w:rsidR="006408FD" w:rsidRDefault="006408FD" w:rsidP="0079406E">
      <w:pPr>
        <w:pStyle w:val="Default"/>
        <w:jc w:val="center"/>
        <w:rPr>
          <w:rFonts w:asciiTheme="minorHAnsi" w:hAnsiTheme="minorHAnsi"/>
          <w:b/>
          <w:bCs/>
          <w:sz w:val="22"/>
          <w:szCs w:val="22"/>
        </w:rPr>
      </w:pPr>
    </w:p>
    <w:p w14:paraId="1B1656B5" w14:textId="77777777" w:rsidR="00243003" w:rsidRDefault="00243003" w:rsidP="0079406E">
      <w:pPr>
        <w:pStyle w:val="Default"/>
        <w:jc w:val="center"/>
        <w:rPr>
          <w:rFonts w:asciiTheme="minorHAnsi" w:hAnsiTheme="minorHAnsi"/>
          <w:b/>
          <w:bCs/>
          <w:sz w:val="22"/>
          <w:szCs w:val="22"/>
        </w:rPr>
      </w:pPr>
    </w:p>
    <w:p w14:paraId="01A4E9B4" w14:textId="1A458D12" w:rsidR="00CE6FC3" w:rsidRDefault="00CE6FC3" w:rsidP="6C31340A">
      <w:pPr>
        <w:pStyle w:val="ChapterHeading"/>
        <w:jc w:val="center"/>
        <w:rPr>
          <w:rFonts w:asciiTheme="minorHAnsi" w:hAnsiTheme="minorHAnsi"/>
          <w:sz w:val="22"/>
          <w:szCs w:val="22"/>
        </w:rPr>
      </w:pPr>
    </w:p>
    <w:p w14:paraId="0ACE61D8" w14:textId="03CB8312" w:rsidR="6C31340A" w:rsidRDefault="6C31340A">
      <w:r>
        <w:br w:type="page"/>
      </w:r>
    </w:p>
    <w:p w14:paraId="5D57F2F2" w14:textId="3B53548A" w:rsidR="6C31340A" w:rsidRDefault="6C31340A" w:rsidP="6C31340A">
      <w:pPr>
        <w:pStyle w:val="ChapterHeading"/>
        <w:jc w:val="center"/>
        <w:rPr>
          <w:rFonts w:asciiTheme="minorHAnsi" w:hAnsiTheme="minorHAnsi"/>
          <w:sz w:val="22"/>
          <w:szCs w:val="22"/>
        </w:rPr>
      </w:pPr>
    </w:p>
    <w:p w14:paraId="2568F67C" w14:textId="5455FBAC" w:rsidR="001F5EA1" w:rsidRPr="00554FA1" w:rsidRDefault="003B510B" w:rsidP="002A1ADD">
      <w:pPr>
        <w:pStyle w:val="ChapterHeading"/>
      </w:pPr>
      <w:r w:rsidRPr="00554FA1">
        <w:t xml:space="preserve">Table of Contents </w:t>
      </w:r>
    </w:p>
    <w:p w14:paraId="46C4C0BF" w14:textId="77777777" w:rsidR="001F5EA1" w:rsidRPr="007F07C2" w:rsidRDefault="001F5EA1" w:rsidP="0079406E">
      <w:pPr>
        <w:pStyle w:val="Default"/>
        <w:rPr>
          <w:rFonts w:asciiTheme="minorHAnsi" w:hAnsiTheme="minorHAnsi"/>
          <w:b/>
          <w:bCs/>
          <w:color w:val="auto"/>
          <w:sz w:val="28"/>
          <w:szCs w:val="28"/>
        </w:rPr>
      </w:pPr>
    </w:p>
    <w:tbl>
      <w:tblPr>
        <w:tblW w:w="5000" w:type="pct"/>
        <w:tblLook w:val="04A0" w:firstRow="1" w:lastRow="0" w:firstColumn="1" w:lastColumn="0" w:noHBand="0" w:noVBand="1"/>
      </w:tblPr>
      <w:tblGrid>
        <w:gridCol w:w="8176"/>
        <w:gridCol w:w="1463"/>
      </w:tblGrid>
      <w:tr w:rsidR="00554FA1" w:rsidRPr="00554FA1" w14:paraId="3FDD58F8" w14:textId="77777777" w:rsidTr="00B04852">
        <w:trPr>
          <w:trHeight w:val="529"/>
        </w:trPr>
        <w:tc>
          <w:tcPr>
            <w:tcW w:w="4241" w:type="pct"/>
            <w:tcBorders>
              <w:top w:val="nil"/>
              <w:left w:val="nil"/>
              <w:bottom w:val="nil"/>
              <w:right w:val="nil"/>
            </w:tcBorders>
            <w:shd w:val="clear" w:color="000000" w:fill="AB2328"/>
            <w:noWrap/>
            <w:vAlign w:val="center"/>
            <w:hideMark/>
          </w:tcPr>
          <w:p w14:paraId="0B13B15F" w14:textId="77777777" w:rsidR="00554FA1" w:rsidRPr="00554FA1" w:rsidRDefault="00554FA1" w:rsidP="00554FA1">
            <w:pPr>
              <w:spacing w:line="240" w:lineRule="auto"/>
              <w:jc w:val="left"/>
              <w:rPr>
                <w:rFonts w:ascii="Calibri Light" w:eastAsia="Times New Roman" w:hAnsi="Calibri Light" w:cs="Calibri Light"/>
                <w:b/>
                <w:bCs/>
                <w:color w:val="FFFFFF"/>
                <w:sz w:val="24"/>
                <w:szCs w:val="24"/>
                <w:lang w:eastAsia="en-GB"/>
              </w:rPr>
            </w:pPr>
            <w:r w:rsidRPr="00554FA1">
              <w:rPr>
                <w:rFonts w:ascii="Calibri Light" w:eastAsia="Times New Roman" w:hAnsi="Calibri Light" w:cs="Calibri Light"/>
                <w:b/>
                <w:bCs/>
                <w:color w:val="FFFFFF"/>
                <w:sz w:val="24"/>
                <w:szCs w:val="24"/>
                <w:lang w:eastAsia="en-GB"/>
              </w:rPr>
              <w:t>Section</w:t>
            </w:r>
          </w:p>
        </w:tc>
        <w:tc>
          <w:tcPr>
            <w:tcW w:w="759" w:type="pct"/>
            <w:tcBorders>
              <w:top w:val="nil"/>
              <w:left w:val="nil"/>
              <w:bottom w:val="nil"/>
              <w:right w:val="nil"/>
            </w:tcBorders>
            <w:shd w:val="clear" w:color="000000" w:fill="AB2328"/>
            <w:noWrap/>
            <w:vAlign w:val="center"/>
            <w:hideMark/>
          </w:tcPr>
          <w:p w14:paraId="0D884575" w14:textId="77777777" w:rsidR="00554FA1" w:rsidRPr="00554FA1" w:rsidRDefault="00554FA1" w:rsidP="00554FA1">
            <w:pPr>
              <w:spacing w:line="240" w:lineRule="auto"/>
              <w:jc w:val="right"/>
              <w:rPr>
                <w:rFonts w:ascii="Calibri Light" w:eastAsia="Times New Roman" w:hAnsi="Calibri Light" w:cs="Calibri Light"/>
                <w:b/>
                <w:bCs/>
                <w:color w:val="FFFFFF"/>
                <w:sz w:val="24"/>
                <w:szCs w:val="24"/>
                <w:lang w:eastAsia="en-GB"/>
              </w:rPr>
            </w:pPr>
            <w:r w:rsidRPr="00554FA1">
              <w:rPr>
                <w:rFonts w:ascii="Calibri Light" w:eastAsia="Times New Roman" w:hAnsi="Calibri Light" w:cs="Calibri Light"/>
                <w:b/>
                <w:bCs/>
                <w:color w:val="FFFFFF"/>
                <w:sz w:val="24"/>
                <w:szCs w:val="24"/>
                <w:lang w:eastAsia="en-GB"/>
              </w:rPr>
              <w:t>Page</w:t>
            </w:r>
          </w:p>
        </w:tc>
      </w:tr>
      <w:tr w:rsidR="00554FA1" w:rsidRPr="00554FA1" w14:paraId="4036F4F2" w14:textId="77777777" w:rsidTr="00554FA1">
        <w:trPr>
          <w:trHeight w:val="600"/>
        </w:trPr>
        <w:tc>
          <w:tcPr>
            <w:tcW w:w="4241" w:type="pct"/>
            <w:tcBorders>
              <w:top w:val="nil"/>
              <w:left w:val="nil"/>
              <w:bottom w:val="nil"/>
              <w:right w:val="nil"/>
            </w:tcBorders>
            <w:shd w:val="clear" w:color="000000" w:fill="FFFFFF"/>
            <w:vAlign w:val="center"/>
            <w:hideMark/>
          </w:tcPr>
          <w:p w14:paraId="29AAF62A"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Narrative Report</w:t>
            </w:r>
          </w:p>
        </w:tc>
        <w:tc>
          <w:tcPr>
            <w:tcW w:w="759" w:type="pct"/>
            <w:tcBorders>
              <w:top w:val="nil"/>
              <w:left w:val="nil"/>
              <w:bottom w:val="nil"/>
              <w:right w:val="nil"/>
            </w:tcBorders>
            <w:shd w:val="clear" w:color="000000" w:fill="FFFFFF"/>
            <w:noWrap/>
            <w:vAlign w:val="center"/>
            <w:hideMark/>
          </w:tcPr>
          <w:p w14:paraId="1EB27B75"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3 </w:t>
            </w:r>
          </w:p>
        </w:tc>
      </w:tr>
      <w:tr w:rsidR="00554FA1" w:rsidRPr="00554FA1" w14:paraId="265A9579" w14:textId="77777777" w:rsidTr="00554FA1">
        <w:trPr>
          <w:trHeight w:val="600"/>
        </w:trPr>
        <w:tc>
          <w:tcPr>
            <w:tcW w:w="4241" w:type="pct"/>
            <w:tcBorders>
              <w:top w:val="nil"/>
              <w:left w:val="nil"/>
              <w:bottom w:val="nil"/>
              <w:right w:val="nil"/>
            </w:tcBorders>
            <w:shd w:val="clear" w:color="000000" w:fill="FFE1E1"/>
            <w:vAlign w:val="center"/>
            <w:hideMark/>
          </w:tcPr>
          <w:p w14:paraId="175FBFA8"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Statement of responsibilities for the Statement of Accounts</w:t>
            </w:r>
          </w:p>
        </w:tc>
        <w:tc>
          <w:tcPr>
            <w:tcW w:w="759" w:type="pct"/>
            <w:tcBorders>
              <w:top w:val="nil"/>
              <w:left w:val="nil"/>
              <w:bottom w:val="nil"/>
              <w:right w:val="nil"/>
            </w:tcBorders>
            <w:shd w:val="clear" w:color="000000" w:fill="FFE1E1"/>
            <w:noWrap/>
            <w:vAlign w:val="center"/>
            <w:hideMark/>
          </w:tcPr>
          <w:p w14:paraId="4F485E68"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13</w:t>
            </w:r>
          </w:p>
        </w:tc>
      </w:tr>
      <w:tr w:rsidR="00554FA1" w:rsidRPr="00554FA1" w14:paraId="1A4ABF61" w14:textId="77777777" w:rsidTr="00554FA1">
        <w:trPr>
          <w:trHeight w:val="600"/>
        </w:trPr>
        <w:tc>
          <w:tcPr>
            <w:tcW w:w="4241" w:type="pct"/>
            <w:tcBorders>
              <w:top w:val="nil"/>
              <w:left w:val="nil"/>
              <w:bottom w:val="nil"/>
              <w:right w:val="nil"/>
            </w:tcBorders>
            <w:shd w:val="clear" w:color="000000" w:fill="FFFFFF"/>
            <w:vAlign w:val="center"/>
            <w:hideMark/>
          </w:tcPr>
          <w:p w14:paraId="7C2506B0"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Statement of Accounting Policies</w:t>
            </w:r>
          </w:p>
        </w:tc>
        <w:tc>
          <w:tcPr>
            <w:tcW w:w="759" w:type="pct"/>
            <w:tcBorders>
              <w:top w:val="nil"/>
              <w:left w:val="nil"/>
              <w:bottom w:val="nil"/>
              <w:right w:val="nil"/>
            </w:tcBorders>
            <w:shd w:val="clear" w:color="000000" w:fill="FFFFFF"/>
            <w:noWrap/>
            <w:vAlign w:val="center"/>
            <w:hideMark/>
          </w:tcPr>
          <w:p w14:paraId="337E95EF"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14</w:t>
            </w:r>
          </w:p>
        </w:tc>
      </w:tr>
      <w:tr w:rsidR="00554FA1" w:rsidRPr="00554FA1" w14:paraId="00FAA4AC" w14:textId="77777777" w:rsidTr="00554FA1">
        <w:trPr>
          <w:trHeight w:val="600"/>
        </w:trPr>
        <w:tc>
          <w:tcPr>
            <w:tcW w:w="4241" w:type="pct"/>
            <w:tcBorders>
              <w:top w:val="nil"/>
              <w:left w:val="nil"/>
              <w:bottom w:val="nil"/>
              <w:right w:val="nil"/>
            </w:tcBorders>
            <w:shd w:val="clear" w:color="000000" w:fill="FFE1E1"/>
            <w:vAlign w:val="center"/>
            <w:hideMark/>
          </w:tcPr>
          <w:p w14:paraId="409C9FA4"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Accounting Statements</w:t>
            </w:r>
          </w:p>
        </w:tc>
        <w:tc>
          <w:tcPr>
            <w:tcW w:w="759" w:type="pct"/>
            <w:tcBorders>
              <w:top w:val="nil"/>
              <w:left w:val="nil"/>
              <w:bottom w:val="nil"/>
              <w:right w:val="nil"/>
            </w:tcBorders>
            <w:shd w:val="clear" w:color="000000" w:fill="FFE1E1"/>
            <w:noWrap/>
            <w:vAlign w:val="center"/>
            <w:hideMark/>
          </w:tcPr>
          <w:p w14:paraId="53A52148"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22</w:t>
            </w:r>
          </w:p>
        </w:tc>
      </w:tr>
      <w:tr w:rsidR="00554FA1" w:rsidRPr="00554FA1" w14:paraId="70A1FE04" w14:textId="77777777" w:rsidTr="00554FA1">
        <w:trPr>
          <w:trHeight w:val="600"/>
        </w:trPr>
        <w:tc>
          <w:tcPr>
            <w:tcW w:w="4241" w:type="pct"/>
            <w:tcBorders>
              <w:top w:val="nil"/>
              <w:left w:val="nil"/>
              <w:bottom w:val="nil"/>
              <w:right w:val="nil"/>
            </w:tcBorders>
            <w:shd w:val="clear" w:color="000000" w:fill="FFFFFF"/>
            <w:vAlign w:val="center"/>
            <w:hideMark/>
          </w:tcPr>
          <w:p w14:paraId="2A8C01F9"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Comprehensive Income and Expenditure Statement</w:t>
            </w:r>
          </w:p>
        </w:tc>
        <w:tc>
          <w:tcPr>
            <w:tcW w:w="759" w:type="pct"/>
            <w:tcBorders>
              <w:top w:val="nil"/>
              <w:left w:val="nil"/>
              <w:bottom w:val="nil"/>
              <w:right w:val="nil"/>
            </w:tcBorders>
            <w:shd w:val="clear" w:color="000000" w:fill="FFFFFF"/>
            <w:noWrap/>
            <w:vAlign w:val="center"/>
            <w:hideMark/>
          </w:tcPr>
          <w:p w14:paraId="58347CBB"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22</w:t>
            </w:r>
          </w:p>
        </w:tc>
      </w:tr>
      <w:tr w:rsidR="00554FA1" w:rsidRPr="00554FA1" w14:paraId="3FF504C9" w14:textId="77777777" w:rsidTr="00554FA1">
        <w:trPr>
          <w:trHeight w:val="600"/>
        </w:trPr>
        <w:tc>
          <w:tcPr>
            <w:tcW w:w="4241" w:type="pct"/>
            <w:tcBorders>
              <w:top w:val="nil"/>
              <w:left w:val="nil"/>
              <w:bottom w:val="nil"/>
              <w:right w:val="nil"/>
            </w:tcBorders>
            <w:shd w:val="clear" w:color="000000" w:fill="FFE1E1"/>
            <w:vAlign w:val="center"/>
            <w:hideMark/>
          </w:tcPr>
          <w:p w14:paraId="119ACD27"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Movement in Reserves Statement</w:t>
            </w:r>
          </w:p>
        </w:tc>
        <w:tc>
          <w:tcPr>
            <w:tcW w:w="759" w:type="pct"/>
            <w:tcBorders>
              <w:top w:val="nil"/>
              <w:left w:val="nil"/>
              <w:bottom w:val="nil"/>
              <w:right w:val="nil"/>
            </w:tcBorders>
            <w:shd w:val="clear" w:color="000000" w:fill="FFE1E1"/>
            <w:noWrap/>
            <w:vAlign w:val="center"/>
            <w:hideMark/>
          </w:tcPr>
          <w:p w14:paraId="7ABD01A5"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23</w:t>
            </w:r>
          </w:p>
        </w:tc>
      </w:tr>
      <w:tr w:rsidR="00554FA1" w:rsidRPr="00554FA1" w14:paraId="140EA96E" w14:textId="77777777" w:rsidTr="00554FA1">
        <w:trPr>
          <w:trHeight w:val="600"/>
        </w:trPr>
        <w:tc>
          <w:tcPr>
            <w:tcW w:w="4241" w:type="pct"/>
            <w:tcBorders>
              <w:top w:val="nil"/>
              <w:left w:val="nil"/>
              <w:bottom w:val="nil"/>
              <w:right w:val="nil"/>
            </w:tcBorders>
            <w:shd w:val="clear" w:color="000000" w:fill="FFFFFF"/>
            <w:vAlign w:val="center"/>
            <w:hideMark/>
          </w:tcPr>
          <w:p w14:paraId="35C577F3"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Balance Sheet</w:t>
            </w:r>
          </w:p>
        </w:tc>
        <w:tc>
          <w:tcPr>
            <w:tcW w:w="759" w:type="pct"/>
            <w:tcBorders>
              <w:top w:val="nil"/>
              <w:left w:val="nil"/>
              <w:bottom w:val="nil"/>
              <w:right w:val="nil"/>
            </w:tcBorders>
            <w:shd w:val="clear" w:color="000000" w:fill="FFFFFF"/>
            <w:noWrap/>
            <w:vAlign w:val="center"/>
            <w:hideMark/>
          </w:tcPr>
          <w:p w14:paraId="73977273"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24</w:t>
            </w:r>
          </w:p>
        </w:tc>
      </w:tr>
      <w:tr w:rsidR="00554FA1" w:rsidRPr="00554FA1" w14:paraId="440064B8" w14:textId="77777777" w:rsidTr="00554FA1">
        <w:trPr>
          <w:trHeight w:val="600"/>
        </w:trPr>
        <w:tc>
          <w:tcPr>
            <w:tcW w:w="4241" w:type="pct"/>
            <w:tcBorders>
              <w:top w:val="nil"/>
              <w:left w:val="nil"/>
              <w:bottom w:val="nil"/>
              <w:right w:val="nil"/>
            </w:tcBorders>
            <w:shd w:val="clear" w:color="000000" w:fill="FFE1E1"/>
            <w:vAlign w:val="center"/>
            <w:hideMark/>
          </w:tcPr>
          <w:p w14:paraId="118699FC"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Cashflow Statement</w:t>
            </w:r>
          </w:p>
        </w:tc>
        <w:tc>
          <w:tcPr>
            <w:tcW w:w="759" w:type="pct"/>
            <w:tcBorders>
              <w:top w:val="nil"/>
              <w:left w:val="nil"/>
              <w:bottom w:val="nil"/>
              <w:right w:val="nil"/>
            </w:tcBorders>
            <w:shd w:val="clear" w:color="000000" w:fill="FFE1E1"/>
            <w:noWrap/>
            <w:vAlign w:val="center"/>
            <w:hideMark/>
          </w:tcPr>
          <w:p w14:paraId="73CE14C9"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25</w:t>
            </w:r>
          </w:p>
        </w:tc>
      </w:tr>
      <w:tr w:rsidR="00554FA1" w:rsidRPr="00554FA1" w14:paraId="1BEB61A9" w14:textId="77777777" w:rsidTr="00554FA1">
        <w:trPr>
          <w:trHeight w:val="600"/>
        </w:trPr>
        <w:tc>
          <w:tcPr>
            <w:tcW w:w="4241" w:type="pct"/>
            <w:tcBorders>
              <w:top w:val="nil"/>
              <w:left w:val="nil"/>
              <w:bottom w:val="nil"/>
              <w:right w:val="nil"/>
            </w:tcBorders>
            <w:shd w:val="clear" w:color="000000" w:fill="FFFFFF"/>
            <w:vAlign w:val="center"/>
            <w:hideMark/>
          </w:tcPr>
          <w:p w14:paraId="5E24D0DE"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Notes to the Accounts</w:t>
            </w:r>
          </w:p>
        </w:tc>
        <w:tc>
          <w:tcPr>
            <w:tcW w:w="759" w:type="pct"/>
            <w:tcBorders>
              <w:top w:val="nil"/>
              <w:left w:val="nil"/>
              <w:bottom w:val="nil"/>
              <w:right w:val="nil"/>
            </w:tcBorders>
            <w:shd w:val="clear" w:color="000000" w:fill="FFFFFF"/>
            <w:noWrap/>
            <w:vAlign w:val="center"/>
            <w:hideMark/>
          </w:tcPr>
          <w:p w14:paraId="456DAF50" w14:textId="7777777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26</w:t>
            </w:r>
          </w:p>
        </w:tc>
      </w:tr>
      <w:tr w:rsidR="00554FA1" w:rsidRPr="00554FA1" w14:paraId="7F1D4ECE" w14:textId="77777777" w:rsidTr="00554FA1">
        <w:trPr>
          <w:trHeight w:val="600"/>
        </w:trPr>
        <w:tc>
          <w:tcPr>
            <w:tcW w:w="4241" w:type="pct"/>
            <w:tcBorders>
              <w:top w:val="nil"/>
              <w:left w:val="nil"/>
              <w:bottom w:val="nil"/>
              <w:right w:val="nil"/>
            </w:tcBorders>
            <w:shd w:val="clear" w:color="000000" w:fill="FFE1E1"/>
            <w:vAlign w:val="center"/>
            <w:hideMark/>
          </w:tcPr>
          <w:p w14:paraId="300E62D1"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Firefighters Pension Fund Account</w:t>
            </w:r>
          </w:p>
        </w:tc>
        <w:tc>
          <w:tcPr>
            <w:tcW w:w="759" w:type="pct"/>
            <w:tcBorders>
              <w:top w:val="nil"/>
              <w:left w:val="nil"/>
              <w:bottom w:val="nil"/>
              <w:right w:val="nil"/>
            </w:tcBorders>
            <w:shd w:val="clear" w:color="000000" w:fill="FFE1E1"/>
            <w:noWrap/>
            <w:vAlign w:val="center"/>
            <w:hideMark/>
          </w:tcPr>
          <w:p w14:paraId="32F1BE46" w14:textId="37C0156C"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5</w:t>
            </w:r>
            <w:r w:rsidR="00256F25">
              <w:rPr>
                <w:rFonts w:ascii="Calibri Light" w:eastAsia="Times New Roman" w:hAnsi="Calibri Light" w:cs="Calibri Light"/>
                <w:lang w:eastAsia="en-GB"/>
              </w:rPr>
              <w:t>6</w:t>
            </w:r>
          </w:p>
        </w:tc>
      </w:tr>
      <w:tr w:rsidR="00554FA1" w:rsidRPr="00554FA1" w14:paraId="61F75EAF" w14:textId="77777777" w:rsidTr="00554FA1">
        <w:trPr>
          <w:trHeight w:val="600"/>
        </w:trPr>
        <w:tc>
          <w:tcPr>
            <w:tcW w:w="4241" w:type="pct"/>
            <w:tcBorders>
              <w:top w:val="nil"/>
              <w:left w:val="nil"/>
              <w:bottom w:val="nil"/>
              <w:right w:val="nil"/>
            </w:tcBorders>
            <w:shd w:val="clear" w:color="000000" w:fill="FFFFFF"/>
            <w:vAlign w:val="center"/>
            <w:hideMark/>
          </w:tcPr>
          <w:p w14:paraId="22652AB3"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Notes to Firefighters Pension Fund Account</w:t>
            </w:r>
          </w:p>
        </w:tc>
        <w:tc>
          <w:tcPr>
            <w:tcW w:w="759" w:type="pct"/>
            <w:tcBorders>
              <w:top w:val="nil"/>
              <w:left w:val="nil"/>
              <w:bottom w:val="nil"/>
              <w:right w:val="nil"/>
            </w:tcBorders>
            <w:shd w:val="clear" w:color="000000" w:fill="FFFFFF"/>
            <w:noWrap/>
            <w:vAlign w:val="center"/>
            <w:hideMark/>
          </w:tcPr>
          <w:p w14:paraId="1E23E43B" w14:textId="002D1BA7"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5</w:t>
            </w:r>
            <w:r w:rsidR="00256F25">
              <w:rPr>
                <w:rFonts w:ascii="Calibri Light" w:eastAsia="Times New Roman" w:hAnsi="Calibri Light" w:cs="Calibri Light"/>
                <w:lang w:eastAsia="en-GB"/>
              </w:rPr>
              <w:t>7</w:t>
            </w:r>
          </w:p>
        </w:tc>
      </w:tr>
      <w:tr w:rsidR="00554FA1" w:rsidRPr="00554FA1" w14:paraId="1E4E2D8C" w14:textId="77777777" w:rsidTr="00554FA1">
        <w:trPr>
          <w:trHeight w:val="600"/>
        </w:trPr>
        <w:tc>
          <w:tcPr>
            <w:tcW w:w="4241" w:type="pct"/>
            <w:tcBorders>
              <w:top w:val="nil"/>
              <w:left w:val="nil"/>
              <w:bottom w:val="nil"/>
              <w:right w:val="nil"/>
            </w:tcBorders>
            <w:shd w:val="clear" w:color="000000" w:fill="FFE1E1"/>
            <w:vAlign w:val="center"/>
            <w:hideMark/>
          </w:tcPr>
          <w:p w14:paraId="69F842B4"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Glossary</w:t>
            </w:r>
          </w:p>
        </w:tc>
        <w:tc>
          <w:tcPr>
            <w:tcW w:w="759" w:type="pct"/>
            <w:tcBorders>
              <w:top w:val="nil"/>
              <w:left w:val="nil"/>
              <w:bottom w:val="nil"/>
              <w:right w:val="nil"/>
            </w:tcBorders>
            <w:shd w:val="clear" w:color="000000" w:fill="FFE1E1"/>
            <w:noWrap/>
            <w:vAlign w:val="center"/>
            <w:hideMark/>
          </w:tcPr>
          <w:p w14:paraId="7423D924" w14:textId="27405C2B"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5</w:t>
            </w:r>
            <w:r w:rsidR="00256F25">
              <w:rPr>
                <w:rFonts w:ascii="Calibri Light" w:eastAsia="Times New Roman" w:hAnsi="Calibri Light" w:cs="Calibri Light"/>
                <w:lang w:eastAsia="en-GB"/>
              </w:rPr>
              <w:t>8</w:t>
            </w:r>
          </w:p>
        </w:tc>
      </w:tr>
      <w:tr w:rsidR="00554FA1" w:rsidRPr="00554FA1" w14:paraId="322DC66E" w14:textId="77777777" w:rsidTr="00554FA1">
        <w:trPr>
          <w:trHeight w:val="600"/>
        </w:trPr>
        <w:tc>
          <w:tcPr>
            <w:tcW w:w="4241" w:type="pct"/>
            <w:tcBorders>
              <w:top w:val="nil"/>
              <w:left w:val="nil"/>
              <w:bottom w:val="nil"/>
              <w:right w:val="nil"/>
            </w:tcBorders>
            <w:shd w:val="clear" w:color="000000" w:fill="FFFFFF"/>
            <w:vAlign w:val="center"/>
            <w:hideMark/>
          </w:tcPr>
          <w:p w14:paraId="383603E4"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Annual Governance Statement</w:t>
            </w:r>
          </w:p>
        </w:tc>
        <w:tc>
          <w:tcPr>
            <w:tcW w:w="759" w:type="pct"/>
            <w:tcBorders>
              <w:top w:val="nil"/>
              <w:left w:val="nil"/>
              <w:bottom w:val="nil"/>
              <w:right w:val="nil"/>
            </w:tcBorders>
            <w:shd w:val="clear" w:color="000000" w:fill="FFFFFF"/>
            <w:noWrap/>
            <w:vAlign w:val="center"/>
            <w:hideMark/>
          </w:tcPr>
          <w:p w14:paraId="0B4005DE" w14:textId="446421D2" w:rsidR="00554FA1" w:rsidRPr="00554FA1" w:rsidRDefault="00554FA1" w:rsidP="00554FA1">
            <w:pPr>
              <w:spacing w:line="240" w:lineRule="auto"/>
              <w:jc w:val="right"/>
              <w:rPr>
                <w:rFonts w:ascii="Calibri Light" w:eastAsia="Times New Roman" w:hAnsi="Calibri Light" w:cs="Calibri Light"/>
                <w:color w:val="000000"/>
                <w:lang w:eastAsia="en-GB"/>
              </w:rPr>
            </w:pPr>
            <w:r w:rsidRPr="00554FA1">
              <w:rPr>
                <w:rFonts w:ascii="Calibri Light" w:eastAsia="Times New Roman" w:hAnsi="Calibri Light" w:cs="Calibri Light"/>
                <w:lang w:eastAsia="en-GB"/>
              </w:rPr>
              <w:t>6</w:t>
            </w:r>
            <w:r w:rsidR="00256F25">
              <w:rPr>
                <w:rFonts w:ascii="Calibri Light" w:eastAsia="Times New Roman" w:hAnsi="Calibri Light" w:cs="Calibri Light"/>
                <w:lang w:eastAsia="en-GB"/>
              </w:rPr>
              <w:t>4</w:t>
            </w:r>
          </w:p>
        </w:tc>
      </w:tr>
      <w:tr w:rsidR="00554FA1" w:rsidRPr="00554FA1" w14:paraId="64D7E1EC" w14:textId="77777777" w:rsidTr="00554FA1">
        <w:trPr>
          <w:trHeight w:val="600"/>
        </w:trPr>
        <w:tc>
          <w:tcPr>
            <w:tcW w:w="4241" w:type="pct"/>
            <w:tcBorders>
              <w:top w:val="nil"/>
              <w:left w:val="nil"/>
              <w:bottom w:val="nil"/>
              <w:right w:val="nil"/>
            </w:tcBorders>
            <w:shd w:val="clear" w:color="000000" w:fill="FFE1E1"/>
            <w:vAlign w:val="center"/>
            <w:hideMark/>
          </w:tcPr>
          <w:p w14:paraId="212226F4" w14:textId="77777777" w:rsidR="00554FA1" w:rsidRPr="00554FA1" w:rsidRDefault="00554FA1" w:rsidP="00554FA1">
            <w:pPr>
              <w:spacing w:line="240" w:lineRule="auto"/>
              <w:jc w:val="left"/>
              <w:rPr>
                <w:rFonts w:ascii="Calibri Light" w:eastAsia="Times New Roman" w:hAnsi="Calibri Light" w:cs="Calibri Light"/>
                <w:lang w:eastAsia="en-GB"/>
              </w:rPr>
            </w:pPr>
            <w:r w:rsidRPr="00554FA1">
              <w:rPr>
                <w:rFonts w:ascii="Calibri Light" w:eastAsia="Times New Roman" w:hAnsi="Calibri Light" w:cs="Calibri Light"/>
                <w:lang w:eastAsia="en-GB"/>
              </w:rPr>
              <w:t xml:space="preserve">Independent Auditor's report to the members of Northamptonshire Commissioner Fire and Rescue Authority </w:t>
            </w:r>
          </w:p>
        </w:tc>
        <w:tc>
          <w:tcPr>
            <w:tcW w:w="759" w:type="pct"/>
            <w:tcBorders>
              <w:top w:val="nil"/>
              <w:left w:val="nil"/>
              <w:bottom w:val="nil"/>
              <w:right w:val="nil"/>
            </w:tcBorders>
            <w:shd w:val="clear" w:color="000000" w:fill="FFE1E1"/>
            <w:noWrap/>
            <w:vAlign w:val="center"/>
            <w:hideMark/>
          </w:tcPr>
          <w:p w14:paraId="32201A0F" w14:textId="4B1C04A1" w:rsidR="00554FA1" w:rsidRDefault="00554FA1" w:rsidP="00554FA1">
            <w:pPr>
              <w:spacing w:line="240" w:lineRule="auto"/>
              <w:jc w:val="right"/>
              <w:rPr>
                <w:rFonts w:ascii="Calibri Light" w:eastAsia="Times New Roman" w:hAnsi="Calibri Light" w:cs="Calibri Light"/>
                <w:lang w:eastAsia="en-GB"/>
              </w:rPr>
            </w:pPr>
            <w:r w:rsidRPr="00554FA1">
              <w:rPr>
                <w:rFonts w:ascii="Calibri Light" w:eastAsia="Times New Roman" w:hAnsi="Calibri Light" w:cs="Calibri Light"/>
                <w:lang w:eastAsia="en-GB"/>
              </w:rPr>
              <w:t>7</w:t>
            </w:r>
            <w:r w:rsidR="00256F25">
              <w:rPr>
                <w:rFonts w:ascii="Calibri Light" w:eastAsia="Times New Roman" w:hAnsi="Calibri Light" w:cs="Calibri Light"/>
                <w:lang w:eastAsia="en-GB"/>
              </w:rPr>
              <w:t>5</w:t>
            </w:r>
          </w:p>
          <w:p w14:paraId="363D32F0" w14:textId="03082997" w:rsidR="0081067B" w:rsidRPr="00554FA1" w:rsidRDefault="0081067B" w:rsidP="00554FA1">
            <w:pPr>
              <w:spacing w:line="240" w:lineRule="auto"/>
              <w:jc w:val="right"/>
              <w:rPr>
                <w:rFonts w:ascii="Calibri Light" w:eastAsia="Times New Roman" w:hAnsi="Calibri Light" w:cs="Calibri Light"/>
                <w:color w:val="000000"/>
                <w:lang w:eastAsia="en-GB"/>
              </w:rPr>
            </w:pPr>
          </w:p>
        </w:tc>
      </w:tr>
    </w:tbl>
    <w:p w14:paraId="05234717" w14:textId="77777777" w:rsidR="001F5EA1" w:rsidRPr="007F07C2" w:rsidRDefault="001F5EA1" w:rsidP="0079406E">
      <w:pPr>
        <w:pStyle w:val="Default"/>
        <w:rPr>
          <w:rFonts w:asciiTheme="minorHAnsi" w:hAnsiTheme="minorHAnsi"/>
          <w:b/>
          <w:bCs/>
          <w:color w:val="auto"/>
          <w:sz w:val="28"/>
          <w:szCs w:val="28"/>
        </w:rPr>
      </w:pPr>
    </w:p>
    <w:p w14:paraId="356AFFD1" w14:textId="77777777" w:rsidR="001F5EA1" w:rsidRPr="007F07C2" w:rsidRDefault="001F5EA1" w:rsidP="0079406E">
      <w:pPr>
        <w:pStyle w:val="Default"/>
        <w:rPr>
          <w:rFonts w:asciiTheme="minorHAnsi" w:hAnsiTheme="minorHAnsi"/>
          <w:b/>
          <w:bCs/>
          <w:color w:val="auto"/>
          <w:sz w:val="28"/>
          <w:szCs w:val="28"/>
        </w:rPr>
      </w:pPr>
    </w:p>
    <w:p w14:paraId="64E4D32F" w14:textId="77777777" w:rsidR="00124C7C" w:rsidRPr="007F07C2" w:rsidRDefault="00124C7C" w:rsidP="0079406E">
      <w:pPr>
        <w:pStyle w:val="Default"/>
        <w:rPr>
          <w:rFonts w:asciiTheme="minorHAnsi" w:hAnsiTheme="minorHAnsi"/>
          <w:b/>
          <w:bCs/>
          <w:color w:val="auto"/>
          <w:sz w:val="28"/>
          <w:szCs w:val="28"/>
        </w:rPr>
      </w:pPr>
    </w:p>
    <w:p w14:paraId="39869F3F" w14:textId="77777777" w:rsidR="005C4182" w:rsidRPr="007F07C2" w:rsidRDefault="005C4182" w:rsidP="0079406E">
      <w:pPr>
        <w:pStyle w:val="Default"/>
        <w:rPr>
          <w:rFonts w:asciiTheme="minorHAnsi" w:hAnsiTheme="minorHAnsi"/>
          <w:b/>
          <w:bCs/>
          <w:color w:val="auto"/>
          <w:sz w:val="28"/>
          <w:szCs w:val="28"/>
        </w:rPr>
      </w:pPr>
    </w:p>
    <w:p w14:paraId="7C98004F" w14:textId="77777777" w:rsidR="005C4182" w:rsidRPr="007F07C2" w:rsidRDefault="005C4182" w:rsidP="0079406E">
      <w:pPr>
        <w:pStyle w:val="Default"/>
        <w:rPr>
          <w:rFonts w:asciiTheme="minorHAnsi" w:hAnsiTheme="minorHAnsi"/>
          <w:b/>
          <w:bCs/>
          <w:color w:val="auto"/>
          <w:sz w:val="28"/>
          <w:szCs w:val="28"/>
        </w:rPr>
      </w:pPr>
    </w:p>
    <w:p w14:paraId="6E50E164" w14:textId="77777777" w:rsidR="006408FD" w:rsidRPr="007F07C2" w:rsidRDefault="006408FD" w:rsidP="0079406E">
      <w:pPr>
        <w:pStyle w:val="Default"/>
        <w:rPr>
          <w:rFonts w:asciiTheme="minorHAnsi" w:hAnsiTheme="minorHAnsi"/>
          <w:b/>
          <w:bCs/>
          <w:color w:val="auto"/>
          <w:sz w:val="28"/>
          <w:szCs w:val="28"/>
        </w:rPr>
      </w:pPr>
    </w:p>
    <w:p w14:paraId="40FC1481" w14:textId="77777777" w:rsidR="000D0564" w:rsidRDefault="000D0564" w:rsidP="002A1ADD">
      <w:pPr>
        <w:pStyle w:val="ChapterHeading"/>
        <w:sectPr w:rsidR="000D0564" w:rsidSect="00B34E78">
          <w:footerReference w:type="default" r:id="rId13"/>
          <w:footerReference w:type="first" r:id="rId14"/>
          <w:pgSz w:w="11906" w:h="16838"/>
          <w:pgMar w:top="567" w:right="1133" w:bottom="680" w:left="1134" w:header="680" w:footer="0" w:gutter="0"/>
          <w:pgNumType w:start="1"/>
          <w:cols w:space="708"/>
          <w:titlePg/>
          <w:docGrid w:linePitch="360"/>
        </w:sectPr>
      </w:pPr>
      <w:bookmarkStart w:id="0" w:name="_Hlk130896797"/>
    </w:p>
    <w:p w14:paraId="6974E870" w14:textId="77777777" w:rsidR="00A87359" w:rsidRDefault="00A87359" w:rsidP="00D85081">
      <w:bookmarkStart w:id="1" w:name="_Toc167350664"/>
    </w:p>
    <w:p w14:paraId="0F4013BF" w14:textId="4CB648AE" w:rsidR="003349A7" w:rsidRPr="002A1ADD" w:rsidRDefault="00693BB2" w:rsidP="002A1ADD">
      <w:pPr>
        <w:rPr>
          <w:rFonts w:asciiTheme="majorHAnsi" w:eastAsia="Calibri" w:hAnsiTheme="majorHAnsi" w:cs="Times New Roman"/>
          <w:color w:val="CC0000"/>
          <w:sz w:val="36"/>
          <w:szCs w:val="36"/>
        </w:rPr>
        <w:sectPr w:rsidR="003349A7" w:rsidRPr="002A1ADD" w:rsidSect="003349A7">
          <w:footerReference w:type="default" r:id="rId15"/>
          <w:type w:val="continuous"/>
          <w:pgSz w:w="11906" w:h="16838"/>
          <w:pgMar w:top="709" w:right="680" w:bottom="680" w:left="851" w:header="680" w:footer="0" w:gutter="0"/>
          <w:cols w:space="708"/>
          <w:titlePg/>
          <w:docGrid w:linePitch="360"/>
        </w:sectPr>
      </w:pPr>
      <w:r>
        <w:br w:type="page"/>
      </w:r>
      <w:bookmarkStart w:id="2" w:name="_Hlk155793950"/>
      <w:bookmarkEnd w:id="0"/>
      <w:bookmarkEnd w:id="1"/>
    </w:p>
    <w:p w14:paraId="639B8929" w14:textId="77777777" w:rsidR="00185B98" w:rsidRDefault="00185B98" w:rsidP="002A1ADD">
      <w:pPr>
        <w:pStyle w:val="ChapterHeading"/>
        <w:sectPr w:rsidR="00185B98" w:rsidSect="00923557">
          <w:footerReference w:type="default" r:id="rId16"/>
          <w:footerReference w:type="first" r:id="rId17"/>
          <w:type w:val="continuous"/>
          <w:pgSz w:w="11906" w:h="16838"/>
          <w:pgMar w:top="709" w:right="680" w:bottom="680" w:left="851" w:header="680" w:footer="0" w:gutter="0"/>
          <w:cols w:space="708"/>
          <w:docGrid w:linePitch="360"/>
        </w:sectPr>
      </w:pPr>
    </w:p>
    <w:p w14:paraId="60E9DB1C" w14:textId="77777777" w:rsidR="00185B98" w:rsidRPr="00441F8F" w:rsidRDefault="00185B98" w:rsidP="002A1ADD">
      <w:pPr>
        <w:pStyle w:val="ChapterHeading"/>
      </w:pPr>
      <w:r w:rsidRPr="00832A5A">
        <w:t>Narrative</w:t>
      </w:r>
      <w:r>
        <w:t xml:space="preserve"> Report</w:t>
      </w:r>
    </w:p>
    <w:p w14:paraId="0687AC9F" w14:textId="77777777" w:rsidR="00185B98" w:rsidRPr="00C00FEC" w:rsidRDefault="00185B98" w:rsidP="00185B98"/>
    <w:p w14:paraId="1DF6155F" w14:textId="77777777" w:rsidR="00185B98" w:rsidRPr="003349A7" w:rsidRDefault="00185B98" w:rsidP="00185B98">
      <w:pPr>
        <w:pStyle w:val="VAHeading"/>
        <w:rPr>
          <w:b/>
          <w:sz w:val="28"/>
          <w:szCs w:val="28"/>
        </w:rPr>
      </w:pPr>
      <w:r w:rsidRPr="00441F8F">
        <w:t>Foreword by Chief Finance Officer</w:t>
      </w:r>
      <w:r w:rsidRPr="00441F8F">
        <w:rPr>
          <w:b/>
          <w:sz w:val="28"/>
          <w:szCs w:val="28"/>
        </w:rPr>
        <w:t xml:space="preserve"> </w:t>
      </w:r>
    </w:p>
    <w:p w14:paraId="614DA99C" w14:textId="77777777" w:rsidR="00185B98" w:rsidRDefault="00185B98" w:rsidP="00185B98">
      <w:r w:rsidRPr="00441F8F">
        <w:t xml:space="preserve">These </w:t>
      </w:r>
      <w:r w:rsidRPr="00A6442F">
        <w:t>accounts</w:t>
      </w:r>
      <w:r w:rsidRPr="00441F8F">
        <w:t xml:space="preserve"> are produced annually to give local taxpayers, employees and other interested parties clear information about </w:t>
      </w:r>
      <w:r>
        <w:t>t</w:t>
      </w:r>
      <w:r w:rsidRPr="00C00FEC">
        <w:t>he Authority’s financial performance</w:t>
      </w:r>
      <w:r>
        <w:t>.</w:t>
      </w:r>
    </w:p>
    <w:p w14:paraId="7B70A234" w14:textId="77777777" w:rsidR="00185B98" w:rsidRDefault="00185B98" w:rsidP="00185B98"/>
    <w:p w14:paraId="2B0BB19C" w14:textId="77777777" w:rsidR="00185B98" w:rsidRDefault="00185B98" w:rsidP="00185B98">
      <w:r>
        <w:t xml:space="preserve">They are prepared on a going concern basis, assuming that the Northamptonshire Commissioner Fire and Rescue Authority (NCFRA) will continue in operation for the foreseeable future.  They have been prepared in accordance with the Accounts and Audit Regulations 2015, the CIPFA Code of Practice on Local Authority </w:t>
      </w:r>
      <w:r w:rsidRPr="00832A5A">
        <w:t>Accounting and the Service Reporting Code of Practice 202</w:t>
      </w:r>
      <w:r>
        <w:t>4</w:t>
      </w:r>
      <w:r w:rsidRPr="00832A5A">
        <w:t>/2</w:t>
      </w:r>
      <w:r>
        <w:t>5</w:t>
      </w:r>
      <w:r w:rsidRPr="00832A5A">
        <w:t>.</w:t>
      </w:r>
    </w:p>
    <w:p w14:paraId="7AA965F1" w14:textId="77777777" w:rsidR="00185B98" w:rsidRDefault="00185B98" w:rsidP="00185B98"/>
    <w:p w14:paraId="4FB8B833" w14:textId="77777777" w:rsidR="00185B98" w:rsidRDefault="00185B98" w:rsidP="00185B98">
      <w:r>
        <w:t xml:space="preserve">The information provided also allows for an assessment of the Commissioner’s performance in terms of stewardship and the management of the resources entrusted to them.  The accounts </w:t>
      </w:r>
      <w:proofErr w:type="gramStart"/>
      <w:r>
        <w:t>are,</w:t>
      </w:r>
      <w:proofErr w:type="gramEnd"/>
      <w:r>
        <w:t xml:space="preserve"> therefore, necessarily detailed and technical, and explanatory notes are included.</w:t>
      </w:r>
    </w:p>
    <w:p w14:paraId="7C7F5ADC" w14:textId="77777777" w:rsidR="00185B98" w:rsidRDefault="00185B98" w:rsidP="00185B98"/>
    <w:p w14:paraId="3CCD9E10" w14:textId="77777777" w:rsidR="00185B98" w:rsidRDefault="00185B98" w:rsidP="00185B98">
      <w:r>
        <w:t>The purpose of this narrative report is to offer a guide on the most important matters reported in the accounts as well as providing information about the strategic direction of the Authority.  It provides an explanation of the financial position and assists in the interpretation of the financial statements.  It contains information about the activities of the NCFRA and the main influences on the financial statements to provide a link between the Fire activities</w:t>
      </w:r>
      <w:r w:rsidRPr="00832A5A">
        <w:t>; Police, Fire and Crime Plan; future</w:t>
      </w:r>
      <w:r>
        <w:t xml:space="preserve"> challenges and how these impact on its financial resources. </w:t>
      </w:r>
    </w:p>
    <w:p w14:paraId="37359445" w14:textId="77777777" w:rsidR="00185B98" w:rsidRDefault="00185B98" w:rsidP="00185B98"/>
    <w:p w14:paraId="415FA958" w14:textId="1D85E759" w:rsidR="00185B98" w:rsidRDefault="00185B98" w:rsidP="00185B98">
      <w:r>
        <w:t>It includes information on the budget preparation process, final accounts, performance information, medium term financial plans and other contextual information such as workforce numbers and strategic risks.</w:t>
      </w:r>
    </w:p>
    <w:p w14:paraId="0DF06106" w14:textId="77777777" w:rsidR="00185B98" w:rsidRDefault="00185B98" w:rsidP="00185B98"/>
    <w:p w14:paraId="59C6E4AA" w14:textId="77777777" w:rsidR="00185B98" w:rsidRDefault="00185B98" w:rsidP="00185B98"/>
    <w:p w14:paraId="30892C5F" w14:textId="77777777" w:rsidR="00927E96" w:rsidRDefault="00927E96" w:rsidP="00185B98"/>
    <w:p w14:paraId="3E3F4485" w14:textId="77777777" w:rsidR="00185B98" w:rsidRDefault="00185B98" w:rsidP="00185B98"/>
    <w:p w14:paraId="1C347856" w14:textId="77777777" w:rsidR="00185B98" w:rsidRDefault="00185B98" w:rsidP="00185B98"/>
    <w:p w14:paraId="23F942CD" w14:textId="77777777" w:rsidR="00185B98" w:rsidRDefault="00185B98" w:rsidP="00185B98"/>
    <w:p w14:paraId="2C8477DC" w14:textId="77777777" w:rsidR="00185B98" w:rsidRDefault="00185B98" w:rsidP="00185B98"/>
    <w:p w14:paraId="70F6EE0A" w14:textId="77777777" w:rsidR="00185B98" w:rsidRDefault="00185B98" w:rsidP="00185B98"/>
    <w:p w14:paraId="4C16DB89" w14:textId="77777777" w:rsidR="00185B98" w:rsidRDefault="00185B98" w:rsidP="00185B98"/>
    <w:p w14:paraId="23F0F1CF" w14:textId="77777777" w:rsidR="00185B98" w:rsidRDefault="00185B98" w:rsidP="00185B98"/>
    <w:p w14:paraId="76902696" w14:textId="77777777" w:rsidR="00F75975" w:rsidRDefault="00F75975" w:rsidP="00185B98"/>
    <w:p w14:paraId="777D9A27" w14:textId="77777777" w:rsidR="00185B98" w:rsidRDefault="00185B98" w:rsidP="00185B98">
      <w:pPr>
        <w:pStyle w:val="VAHeading"/>
      </w:pPr>
      <w:r w:rsidRPr="00C00FEC">
        <w:t>Northamptonshire</w:t>
      </w:r>
    </w:p>
    <w:p w14:paraId="288FB458" w14:textId="77777777" w:rsidR="00185B98" w:rsidRDefault="00185B98" w:rsidP="00185B98">
      <w:r w:rsidRPr="00C00FEC">
        <w:t xml:space="preserve">The county of Northamptonshire covers an area of 913 square miles and has an estimated population </w:t>
      </w:r>
      <w:r w:rsidRPr="00247C89">
        <w:t>of over 790,000 people.</w:t>
      </w:r>
      <w:r w:rsidRPr="00C00FEC">
        <w:t xml:space="preserve">  It is the southern-most county in the East Midlands region and its most populated towns are Northampton, Kettering, Corby and Wellingborough.  There has been a notable increase in population in recent years with some major new housing development projects and more to come.</w:t>
      </w:r>
    </w:p>
    <w:p w14:paraId="2C065648" w14:textId="77777777" w:rsidR="00185B98" w:rsidRPr="00C00FEC" w:rsidRDefault="00185B98" w:rsidP="00185B98"/>
    <w:p w14:paraId="0A28D87C" w14:textId="77777777" w:rsidR="00185B98" w:rsidRPr="00C00FEC" w:rsidRDefault="00185B98" w:rsidP="00185B98">
      <w:bookmarkStart w:id="3" w:name="_Hlk134010948"/>
      <w:r w:rsidRPr="00C00FEC">
        <w:t>Prior to 2021/22, the county was serviced by seven borough/district councils. On 1 April 2021, these were consolidated into two unitary authorities (North and West Northamptonshire) through the reorganisation of local government in Northamptonshire as directed by Central Government.</w:t>
      </w:r>
      <w:bookmarkEnd w:id="3"/>
      <w:r w:rsidRPr="00C00FEC">
        <w:t xml:space="preserve">  Fire and Rescue Services provided by Northamptonshire Commissioner Fire and Rescue Authority (NCFRA) continue to service the whole of Northamptonshire.</w:t>
      </w:r>
    </w:p>
    <w:p w14:paraId="5C05B5BB" w14:textId="77777777" w:rsidR="00185B98" w:rsidRPr="00C00FEC" w:rsidRDefault="00185B98" w:rsidP="00185B98"/>
    <w:p w14:paraId="6219B8F9" w14:textId="77777777" w:rsidR="00185B98" w:rsidRPr="00C00FEC" w:rsidRDefault="00185B98" w:rsidP="00185B98">
      <w:pPr>
        <w:rPr>
          <w:highlight w:val="yellow"/>
          <w:lang w:eastAsia="en-GB"/>
        </w:rPr>
      </w:pPr>
      <w:r>
        <w:rPr>
          <w:noProof/>
        </w:rPr>
        <w:drawing>
          <wp:inline distT="0" distB="0" distL="0" distR="0" wp14:anchorId="321C4D21" wp14:editId="1FE22721">
            <wp:extent cx="3416928" cy="2784437"/>
            <wp:effectExtent l="0" t="0" r="0" b="0"/>
            <wp:docPr id="1" name="Picture 1" descr="Map of Northamptonshire showing previous district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Northamptonshire showing previous district boundari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8953" cy="2794236"/>
                    </a:xfrm>
                    <a:prstGeom prst="rect">
                      <a:avLst/>
                    </a:prstGeom>
                    <a:noFill/>
                    <a:ln>
                      <a:noFill/>
                    </a:ln>
                  </pic:spPr>
                </pic:pic>
              </a:graphicData>
            </a:graphic>
          </wp:inline>
        </w:drawing>
      </w:r>
    </w:p>
    <w:p w14:paraId="0FDA13D5" w14:textId="77777777" w:rsidR="00185B98" w:rsidRPr="00A6442F" w:rsidRDefault="00185B98" w:rsidP="00185B98"/>
    <w:p w14:paraId="3C379105" w14:textId="77777777" w:rsidR="00185B98" w:rsidRDefault="00185B98" w:rsidP="00185B98">
      <w:pPr>
        <w:rPr>
          <w:rFonts w:eastAsia="Calibri"/>
          <w:color w:val="CC0000"/>
          <w:sz w:val="32"/>
          <w:szCs w:val="24"/>
        </w:rPr>
      </w:pPr>
      <w:r>
        <w:br w:type="page"/>
      </w:r>
    </w:p>
    <w:p w14:paraId="3AC340F6" w14:textId="77777777" w:rsidR="00185B98" w:rsidRDefault="00185B98" w:rsidP="00185B98">
      <w:pPr>
        <w:pStyle w:val="VAHeading"/>
      </w:pPr>
      <w:r w:rsidRPr="00DE75D2">
        <w:lastRenderedPageBreak/>
        <w:t>Safe and Sound</w:t>
      </w:r>
    </w:p>
    <w:p w14:paraId="6F9FF687" w14:textId="77777777" w:rsidR="00185B98" w:rsidRPr="00030CEA" w:rsidRDefault="00185B98" w:rsidP="002A1ADD">
      <w:pPr>
        <w:pStyle w:val="VAHeadingLevel2"/>
        <w:rPr>
          <w:highlight w:val="yellow"/>
        </w:rPr>
      </w:pPr>
      <w:r w:rsidRPr="00DE75D2">
        <w:t>The Public Safety Plan for Northamptonshire 2025-2030</w:t>
      </w:r>
    </w:p>
    <w:p w14:paraId="66C19F16" w14:textId="77777777" w:rsidR="00185B98" w:rsidRDefault="00185B98" w:rsidP="00185B98">
      <w:pPr>
        <w:rPr>
          <w:highlight w:val="yellow"/>
        </w:rPr>
      </w:pPr>
    </w:p>
    <w:p w14:paraId="4A224B89" w14:textId="1BD15D4E" w:rsidR="00185B98" w:rsidRDefault="00185B98" w:rsidP="00185B98">
      <w:r>
        <w:t>Safe and Sound is the Commissioner’s public safety plan, which sets out the strategic direction for police and fire services in Northamptonshire for the next five years.</w:t>
      </w:r>
      <w:r w:rsidR="00F75975">
        <w:t xml:space="preserve">  </w:t>
      </w:r>
      <w:r>
        <w:t xml:space="preserve">The plan has one goal – to make Northamptonshire safe and sound.  </w:t>
      </w:r>
    </w:p>
    <w:p w14:paraId="20B8B31E" w14:textId="77777777" w:rsidR="00185B98" w:rsidRDefault="00185B98" w:rsidP="00185B98"/>
    <w:p w14:paraId="68BC5266" w14:textId="77777777" w:rsidR="00185B98" w:rsidRDefault="00185B98" w:rsidP="00185B98">
      <w:r>
        <w:t>The Plan is framed around three missions that span the Commissioner’s responsibilities across policing, fire and rescue, community safety and criminal justice.  It is a strategy and reporting framework that will help us work in partnership to best serve victims and communities across Northamptonshire.  The three missions are:</w:t>
      </w:r>
    </w:p>
    <w:p w14:paraId="1BB1FE5B" w14:textId="77777777" w:rsidR="00185B98" w:rsidRDefault="00185B98" w:rsidP="00185B98"/>
    <w:p w14:paraId="1677A0BC" w14:textId="77777777" w:rsidR="00185B98" w:rsidRDefault="00185B98" w:rsidP="00185B98">
      <w:pPr>
        <w:pStyle w:val="VAHeadingLevel3"/>
      </w:pPr>
      <w:r>
        <w:t>Visible and accessible community services</w:t>
      </w:r>
    </w:p>
    <w:p w14:paraId="065DFE34" w14:textId="77777777" w:rsidR="00185B98" w:rsidRDefault="00185B98" w:rsidP="00185B98">
      <w:pPr>
        <w:pStyle w:val="Firebullet"/>
        <w:numPr>
          <w:ilvl w:val="0"/>
          <w:numId w:val="4"/>
        </w:numPr>
        <w:ind w:left="284" w:hanging="284"/>
      </w:pPr>
      <w:r>
        <w:t>Rebuilding public trust and confidence</w:t>
      </w:r>
    </w:p>
    <w:p w14:paraId="5EEDC351" w14:textId="77777777" w:rsidR="00185B98" w:rsidRDefault="00185B98" w:rsidP="00185B98">
      <w:pPr>
        <w:pStyle w:val="Firebullet"/>
        <w:numPr>
          <w:ilvl w:val="0"/>
          <w:numId w:val="4"/>
        </w:numPr>
        <w:ind w:left="284" w:hanging="284"/>
      </w:pPr>
      <w:r>
        <w:t>Increasing accessibility</w:t>
      </w:r>
    </w:p>
    <w:p w14:paraId="626ADDA1" w14:textId="77777777" w:rsidR="00185B98" w:rsidRDefault="00185B98" w:rsidP="00185B98">
      <w:pPr>
        <w:pStyle w:val="Firebullet"/>
        <w:numPr>
          <w:ilvl w:val="0"/>
          <w:numId w:val="4"/>
        </w:numPr>
        <w:ind w:left="284" w:hanging="284"/>
      </w:pPr>
      <w:r>
        <w:t>Bringing police and fire staff out into the community</w:t>
      </w:r>
    </w:p>
    <w:p w14:paraId="38C55636" w14:textId="77777777" w:rsidR="00185B98" w:rsidRDefault="00185B98" w:rsidP="00185B98">
      <w:pPr>
        <w:pStyle w:val="Firebullet"/>
        <w:numPr>
          <w:ilvl w:val="0"/>
          <w:numId w:val="4"/>
        </w:numPr>
        <w:ind w:left="284" w:hanging="284"/>
      </w:pPr>
      <w:r>
        <w:t>Putting prevention first</w:t>
      </w:r>
    </w:p>
    <w:p w14:paraId="05891E9A" w14:textId="77777777" w:rsidR="00185B98" w:rsidRDefault="00185B98" w:rsidP="00CB70CD">
      <w:pPr>
        <w:pStyle w:val="Bulletscolouredtext"/>
        <w:numPr>
          <w:ilvl w:val="0"/>
          <w:numId w:val="0"/>
        </w:numPr>
        <w:ind w:left="426"/>
      </w:pPr>
    </w:p>
    <w:p w14:paraId="7867AA45" w14:textId="77777777" w:rsidR="00185B98" w:rsidRDefault="00185B98" w:rsidP="00185B98">
      <w:pPr>
        <w:pStyle w:val="VAHeadingLevel3"/>
      </w:pPr>
      <w:r>
        <w:t>Professionalism and standards</w:t>
      </w:r>
    </w:p>
    <w:p w14:paraId="3BFC1F57" w14:textId="77777777" w:rsidR="00185B98" w:rsidRDefault="00185B98" w:rsidP="00185B98">
      <w:pPr>
        <w:pStyle w:val="Firebullet"/>
        <w:numPr>
          <w:ilvl w:val="0"/>
          <w:numId w:val="4"/>
        </w:numPr>
        <w:ind w:left="284" w:hanging="284"/>
      </w:pPr>
      <w:r>
        <w:t>Setting the tone from the top</w:t>
      </w:r>
    </w:p>
    <w:p w14:paraId="524B1343" w14:textId="77777777" w:rsidR="00185B98" w:rsidRDefault="00185B98" w:rsidP="00185B98">
      <w:pPr>
        <w:pStyle w:val="Firebullet"/>
        <w:numPr>
          <w:ilvl w:val="0"/>
          <w:numId w:val="4"/>
        </w:numPr>
        <w:ind w:left="284" w:hanging="284"/>
      </w:pPr>
      <w:r>
        <w:t>Making sure the workforce understands and reflects the community they serve</w:t>
      </w:r>
    </w:p>
    <w:p w14:paraId="252ED632" w14:textId="77777777" w:rsidR="00185B98" w:rsidRDefault="00185B98" w:rsidP="00185B98">
      <w:pPr>
        <w:pStyle w:val="Firebullet"/>
        <w:numPr>
          <w:ilvl w:val="0"/>
          <w:numId w:val="4"/>
        </w:numPr>
        <w:ind w:left="284" w:hanging="284"/>
      </w:pPr>
      <w:r>
        <w:t>Putting values at the heart of everything we do</w:t>
      </w:r>
    </w:p>
    <w:p w14:paraId="10DC0260" w14:textId="77777777" w:rsidR="00185B98" w:rsidRDefault="00185B98" w:rsidP="00185B98">
      <w:pPr>
        <w:pStyle w:val="Firebullet"/>
        <w:numPr>
          <w:ilvl w:val="0"/>
          <w:numId w:val="4"/>
        </w:numPr>
        <w:ind w:left="284" w:hanging="284"/>
      </w:pPr>
      <w:r>
        <w:t>Providing a high-quality service and support</w:t>
      </w:r>
    </w:p>
    <w:p w14:paraId="6353D7EB" w14:textId="77777777" w:rsidR="00185B98" w:rsidRDefault="00185B98" w:rsidP="00185B98"/>
    <w:p w14:paraId="228F314F" w14:textId="77777777" w:rsidR="00185B98" w:rsidRDefault="00185B98" w:rsidP="00185B98">
      <w:pPr>
        <w:pStyle w:val="VAHeadingLevel3"/>
      </w:pPr>
      <w:r>
        <w:t>Strong partnerships</w:t>
      </w:r>
    </w:p>
    <w:p w14:paraId="6A635C7E" w14:textId="77777777" w:rsidR="00185B98" w:rsidRDefault="00185B98" w:rsidP="00185B98">
      <w:pPr>
        <w:pStyle w:val="Firebullet"/>
        <w:numPr>
          <w:ilvl w:val="0"/>
          <w:numId w:val="4"/>
        </w:numPr>
        <w:ind w:left="284" w:hanging="284"/>
      </w:pPr>
      <w:r>
        <w:t>Tackle problems with a multi-agency approach</w:t>
      </w:r>
    </w:p>
    <w:p w14:paraId="00E041D7" w14:textId="77777777" w:rsidR="00185B98" w:rsidRDefault="00185B98" w:rsidP="00185B98">
      <w:pPr>
        <w:pStyle w:val="Firebullet"/>
        <w:numPr>
          <w:ilvl w:val="0"/>
          <w:numId w:val="4"/>
        </w:numPr>
        <w:ind w:left="284" w:hanging="284"/>
      </w:pPr>
      <w:r>
        <w:t>Reduce reoffending</w:t>
      </w:r>
    </w:p>
    <w:p w14:paraId="364A9672" w14:textId="77777777" w:rsidR="00185B98" w:rsidRDefault="00185B98" w:rsidP="00185B98">
      <w:pPr>
        <w:pStyle w:val="Firebullet"/>
        <w:numPr>
          <w:ilvl w:val="0"/>
          <w:numId w:val="4"/>
        </w:numPr>
        <w:ind w:left="284" w:hanging="284"/>
      </w:pPr>
      <w:r>
        <w:t>Invest in partnerships to reduce harm</w:t>
      </w:r>
    </w:p>
    <w:p w14:paraId="667A55E0" w14:textId="77777777" w:rsidR="00185B98" w:rsidRDefault="00185B98" w:rsidP="00185B98">
      <w:pPr>
        <w:pStyle w:val="Firebullet"/>
        <w:numPr>
          <w:ilvl w:val="0"/>
          <w:numId w:val="4"/>
        </w:numPr>
        <w:ind w:left="284" w:hanging="284"/>
      </w:pPr>
      <w:r>
        <w:t>Work collaboratively to support vulnerable people</w:t>
      </w:r>
    </w:p>
    <w:p w14:paraId="7E3D5C18" w14:textId="77777777" w:rsidR="00185B98" w:rsidRDefault="00185B98" w:rsidP="00185B98"/>
    <w:p w14:paraId="1303103D" w14:textId="77777777" w:rsidR="00185B98" w:rsidRDefault="00185B98" w:rsidP="00185B98">
      <w:r>
        <w:t>The plan is based on a “big conversation” – focus groups and surveys that took place in communities across Northamptonshire to understand what people want and expect from their emergency services.  This told us that people just want to feel safe where they live, work and visit.</w:t>
      </w:r>
    </w:p>
    <w:p w14:paraId="7792B006" w14:textId="77777777" w:rsidR="00185B98" w:rsidRDefault="00185B98" w:rsidP="00185B98"/>
    <w:p w14:paraId="5177DB67" w14:textId="77777777" w:rsidR="00185B98" w:rsidRDefault="00185B98" w:rsidP="00185B98">
      <w:bookmarkStart w:id="4" w:name="_Hlk194316978"/>
      <w:r>
        <w:t>The Big Conversation report and full Public Safety Plan can be found on the OPFCC website:</w:t>
      </w:r>
    </w:p>
    <w:p w14:paraId="7E28D6C1" w14:textId="77777777" w:rsidR="00185B98" w:rsidRPr="002B1205" w:rsidRDefault="00185B98" w:rsidP="00185B98">
      <w:pPr>
        <w:pStyle w:val="VAHeadingLevel3"/>
      </w:pPr>
      <w:r w:rsidRPr="002B1205">
        <w:t>www.northantspfcc.org.uk</w:t>
      </w:r>
    </w:p>
    <w:bookmarkEnd w:id="4"/>
    <w:p w14:paraId="12BEC28C" w14:textId="77777777" w:rsidR="00185B98" w:rsidRPr="002A56B6" w:rsidRDefault="00185B98" w:rsidP="00185B98">
      <w:pPr>
        <w:pStyle w:val="VAHeading"/>
      </w:pPr>
      <w:r w:rsidRPr="002A56B6">
        <w:t>Community Risk Management Plan</w:t>
      </w:r>
    </w:p>
    <w:p w14:paraId="3B3A238A" w14:textId="77777777" w:rsidR="00185B98" w:rsidRPr="002A56B6" w:rsidRDefault="00185B98" w:rsidP="00185B98">
      <w:r w:rsidRPr="002A56B6">
        <w:t>The Police, Fire and Crime Commissioner (PFCC) is the Fire Authority for Northamptonshire and is required through the Fire and Rescue National Framework for England to produce a Community Risk Management Plan (CRMP) to identify risks within the county and outline its plan for mitigating these risks and keeping residents safe.  The CRMP has been refreshed and underwent full public consultation in May 2025.</w:t>
      </w:r>
    </w:p>
    <w:p w14:paraId="40724531" w14:textId="77777777" w:rsidR="00185B98" w:rsidRPr="002A56B6" w:rsidRDefault="00185B98" w:rsidP="00185B98"/>
    <w:p w14:paraId="7AD53D64" w14:textId="77777777" w:rsidR="00185B98" w:rsidRDefault="00185B98" w:rsidP="00185B98">
      <w:r w:rsidRPr="002A56B6">
        <w:t>The strategy takes a detailed look at what risks are currently present and may emerge between 2025 and 2030.</w:t>
      </w:r>
    </w:p>
    <w:p w14:paraId="61A1284D" w14:textId="77777777" w:rsidR="00185B98" w:rsidRPr="00965DFE" w:rsidRDefault="00185B98" w:rsidP="00185B98"/>
    <w:p w14:paraId="7E93FF4A" w14:textId="77777777" w:rsidR="00185B98" w:rsidRDefault="00185B98" w:rsidP="00185B98">
      <w:r w:rsidRPr="00965DFE">
        <w:t>Based on the evidence that is available, the Service has put forward proposals within the CRMP that outlines how it will align its resources with the risks that have been identified.</w:t>
      </w:r>
    </w:p>
    <w:p w14:paraId="0EB5BA9D" w14:textId="77777777" w:rsidR="00185B98" w:rsidRPr="00965DFE" w:rsidRDefault="00185B98" w:rsidP="00185B98"/>
    <w:p w14:paraId="6CC4CEE8" w14:textId="77777777" w:rsidR="00185B98" w:rsidRDefault="00185B98" w:rsidP="00185B98">
      <w:r w:rsidRPr="00965DFE">
        <w:t>Fires now make up only a third of the 999 calls that go to our Control Room. This means the role of a firefighter is becoming more diverse – varying from rescuing casualties in road traffic collisions to disposing hazardous materials safely.</w:t>
      </w:r>
    </w:p>
    <w:p w14:paraId="55428B1F" w14:textId="77777777" w:rsidR="00185B98" w:rsidRPr="00965DFE" w:rsidRDefault="00185B98" w:rsidP="00185B98"/>
    <w:p w14:paraId="74E01361" w14:textId="77777777" w:rsidR="00185B98" w:rsidRDefault="00185B98" w:rsidP="00185B98">
      <w:r w:rsidRPr="00965DFE">
        <w:t>The CRMP outlines the key strategic priorities for the Service over the next five years, and details how prevention, protection and response will be at the core of everything we do.</w:t>
      </w:r>
    </w:p>
    <w:p w14:paraId="53545863" w14:textId="77777777" w:rsidR="00185B98" w:rsidRPr="00965DFE" w:rsidRDefault="00185B98" w:rsidP="00185B98"/>
    <w:p w14:paraId="65CFBA62" w14:textId="77777777" w:rsidR="00185B98" w:rsidRDefault="00185B98" w:rsidP="00185B98">
      <w:r w:rsidRPr="00965DFE">
        <w:t>It also shows how the Service intends to meet emerging climate emergencies such as the increase of localised flooding and wildfires.</w:t>
      </w:r>
    </w:p>
    <w:p w14:paraId="6D2E3B6F" w14:textId="77777777" w:rsidR="00185B98" w:rsidRPr="00965DFE" w:rsidRDefault="00185B98" w:rsidP="00185B98"/>
    <w:p w14:paraId="21AAF881" w14:textId="77777777" w:rsidR="00185B98" w:rsidRPr="00965DFE" w:rsidRDefault="00185B98" w:rsidP="00185B98">
      <w:r w:rsidRPr="00965DFE">
        <w:t>The five strategic priorities that the Service has proposed for the next five years are:</w:t>
      </w:r>
    </w:p>
    <w:p w14:paraId="370C24FC" w14:textId="77777777" w:rsidR="00185B98" w:rsidRPr="00965DFE" w:rsidRDefault="00185B98" w:rsidP="00185B98">
      <w:pPr>
        <w:pStyle w:val="Firebullet"/>
        <w:numPr>
          <w:ilvl w:val="0"/>
          <w:numId w:val="4"/>
        </w:numPr>
        <w:ind w:left="284" w:hanging="284"/>
      </w:pPr>
      <w:r w:rsidRPr="00965DFE">
        <w:t>Help people to stay safe from fire and other emergencies</w:t>
      </w:r>
    </w:p>
    <w:p w14:paraId="67F3B342" w14:textId="77777777" w:rsidR="00185B98" w:rsidRPr="00965DFE" w:rsidRDefault="00185B98" w:rsidP="00185B98">
      <w:pPr>
        <w:pStyle w:val="Firebullet"/>
        <w:numPr>
          <w:ilvl w:val="0"/>
          <w:numId w:val="4"/>
        </w:numPr>
        <w:ind w:left="284" w:hanging="284"/>
      </w:pPr>
      <w:r w:rsidRPr="00965DFE">
        <w:t>Improve fire safety in buildings that people live and work in</w:t>
      </w:r>
    </w:p>
    <w:p w14:paraId="0B30D168" w14:textId="77777777" w:rsidR="00185B98" w:rsidRPr="00965DFE" w:rsidRDefault="00185B98" w:rsidP="00185B98">
      <w:pPr>
        <w:pStyle w:val="Firebullet"/>
        <w:numPr>
          <w:ilvl w:val="0"/>
          <w:numId w:val="4"/>
        </w:numPr>
        <w:ind w:left="284" w:hanging="284"/>
      </w:pPr>
      <w:r w:rsidRPr="00965DFE">
        <w:t>Respond immediately and effectively to emergency incidents</w:t>
      </w:r>
    </w:p>
    <w:p w14:paraId="6ADE41DE" w14:textId="77777777" w:rsidR="00185B98" w:rsidRPr="00965DFE" w:rsidRDefault="00185B98" w:rsidP="00185B98">
      <w:pPr>
        <w:pStyle w:val="Firebullet"/>
        <w:numPr>
          <w:ilvl w:val="0"/>
          <w:numId w:val="4"/>
        </w:numPr>
        <w:ind w:left="284" w:hanging="284"/>
      </w:pPr>
      <w:r w:rsidRPr="00965DFE">
        <w:t>Continue to develop and support our workforce</w:t>
      </w:r>
    </w:p>
    <w:p w14:paraId="6B91DF9A" w14:textId="77777777" w:rsidR="00185B98" w:rsidRPr="00965DFE" w:rsidRDefault="00185B98" w:rsidP="00185B98">
      <w:pPr>
        <w:pStyle w:val="Firebullet"/>
        <w:numPr>
          <w:ilvl w:val="0"/>
          <w:numId w:val="4"/>
        </w:numPr>
        <w:ind w:left="284" w:hanging="284"/>
      </w:pPr>
      <w:r w:rsidRPr="00965DFE">
        <w:t>Manage and invest in our Service to be agile and fit for the future</w:t>
      </w:r>
    </w:p>
    <w:p w14:paraId="563BFDD2" w14:textId="77777777" w:rsidR="00185B98" w:rsidRPr="00965DFE" w:rsidRDefault="00185B98" w:rsidP="00185B98"/>
    <w:p w14:paraId="56854A43" w14:textId="77777777" w:rsidR="00185B98" w:rsidRDefault="00185B98" w:rsidP="00185B98">
      <w:r w:rsidRPr="002A56B6">
        <w:t>The CRMP is designed to work in synergy with the Commissioner’s Police, Fire and Crime Plan.</w:t>
      </w:r>
    </w:p>
    <w:p w14:paraId="527ED889" w14:textId="77777777" w:rsidR="00185B98" w:rsidRDefault="00185B98" w:rsidP="00185B98"/>
    <w:p w14:paraId="0BCB7DEB" w14:textId="77777777" w:rsidR="00185B98" w:rsidRDefault="00185B98" w:rsidP="00185B98">
      <w:pPr>
        <w:pStyle w:val="VAHeading"/>
      </w:pPr>
      <w:r>
        <w:lastRenderedPageBreak/>
        <w:t>Statutory Framework</w:t>
      </w:r>
    </w:p>
    <w:p w14:paraId="18AA63E2" w14:textId="77777777" w:rsidR="00185B98" w:rsidRPr="00C138BD" w:rsidRDefault="00185B98" w:rsidP="00185B98">
      <w:r w:rsidRPr="00C138BD">
        <w:t xml:space="preserve">The Police and Crime Act 2017 enabled Police and Crime Commissioners to have a say in the oversight of fire and rescue services within their area, subject to the approval of a business case by </w:t>
      </w:r>
      <w:r w:rsidRPr="000344CF">
        <w:t>the</w:t>
      </w:r>
      <w:r w:rsidRPr="00C138BD">
        <w:t xml:space="preserve"> Home Secretary.  The aim of this legislation was to “enable fire and rescue services to work more closely together and develop the role of elected and accountable Police and Crime Commissioners.”</w:t>
      </w:r>
    </w:p>
    <w:p w14:paraId="5BC6A1D4" w14:textId="77777777" w:rsidR="00185B98" w:rsidRPr="00C00FEC" w:rsidRDefault="00185B98" w:rsidP="00185B98"/>
    <w:p w14:paraId="6CA8723A" w14:textId="78B40411" w:rsidR="00185B98" w:rsidRDefault="00185B98" w:rsidP="00185B98">
      <w:r w:rsidRPr="00C00FEC">
        <w:t>On 1</w:t>
      </w:r>
      <w:r w:rsidRPr="00C00FEC">
        <w:rPr>
          <w:vertAlign w:val="superscript"/>
        </w:rPr>
        <w:t>st</w:t>
      </w:r>
      <w:r w:rsidRPr="00C00FEC">
        <w:t xml:space="preserve"> January 2019, the Police and Crime Commissioner for Northamptonshire (PCC) became the Police, Fire and Crime Commissioner for Northamptonshire (PFCC).</w:t>
      </w:r>
      <w:r w:rsidR="009C3D6D">
        <w:t xml:space="preserve"> </w:t>
      </w:r>
      <w:r w:rsidR="001559B0">
        <w:t xml:space="preserve"> </w:t>
      </w:r>
      <w:r w:rsidR="009C3D6D">
        <w:t>Northamptonshire was the only</w:t>
      </w:r>
      <w:r w:rsidRPr="00C00FEC">
        <w:t xml:space="preserve"> county Fire and Rescue Service to transfer Governance arrangements in this way</w:t>
      </w:r>
      <w:r w:rsidR="00931738">
        <w:t xml:space="preserve"> </w:t>
      </w:r>
      <w:r w:rsidR="00931738" w:rsidRPr="00C00FEC">
        <w:t>until 1</w:t>
      </w:r>
      <w:r w:rsidR="00931738" w:rsidRPr="00C00FEC">
        <w:rPr>
          <w:vertAlign w:val="superscript"/>
        </w:rPr>
        <w:t>st</w:t>
      </w:r>
      <w:r w:rsidR="00931738" w:rsidRPr="00C00FEC">
        <w:t xml:space="preserve"> April 2023</w:t>
      </w:r>
      <w:r w:rsidR="00931738">
        <w:t>.</w:t>
      </w:r>
    </w:p>
    <w:p w14:paraId="029019C5" w14:textId="77777777" w:rsidR="00931738" w:rsidRPr="00C00FEC" w:rsidRDefault="00931738" w:rsidP="00185B98"/>
    <w:p w14:paraId="15331AFA" w14:textId="77777777" w:rsidR="00185B98" w:rsidRDefault="00185B98" w:rsidP="00185B98">
      <w:r w:rsidRPr="00C00FEC">
        <w:t xml:space="preserve">Whilst the governance of Northamptonshire Commissioner Fire and Rescue Authority is undertaken by the PFCC and </w:t>
      </w:r>
      <w:r>
        <w:t>their</w:t>
      </w:r>
      <w:r w:rsidRPr="00C00FEC">
        <w:t xml:space="preserve"> statutory officers, it is a separate corporation sole</w:t>
      </w:r>
      <w:r>
        <w:t>.</w:t>
      </w:r>
      <w:r w:rsidRPr="00C00FEC">
        <w:t xml:space="preserve"> </w:t>
      </w:r>
      <w:r>
        <w:t xml:space="preserve"> T</w:t>
      </w:r>
      <w:r w:rsidRPr="00C00FEC">
        <w:t>herefore</w:t>
      </w:r>
      <w:r>
        <w:t>,</w:t>
      </w:r>
      <w:r w:rsidRPr="00C00FEC">
        <w:t xml:space="preserve"> separate budgets are allocated, separate precepts are set and the funding and accounts for NCFRA are produced separately to the PFCC accounts for policing.</w:t>
      </w:r>
    </w:p>
    <w:p w14:paraId="649E9EB1" w14:textId="77777777" w:rsidR="00185B98" w:rsidRPr="00C00FEC" w:rsidRDefault="00185B98" w:rsidP="00185B98"/>
    <w:p w14:paraId="343ADD25" w14:textId="77777777" w:rsidR="00185B98" w:rsidRDefault="00185B98" w:rsidP="00185B98">
      <w:r w:rsidRPr="00C00FEC">
        <w:t>The Policing and Crime Act 2017 stipulates that a Fire and Rescue Plan must be prepared and published by a relevant Fire and Rescue Authority in accordance with the Fire and Rescue National Framework and that it should set out the Authority’s priorities and objectives, for the period covered by the document, in connection with the discharge of the Authority’s functions.</w:t>
      </w:r>
    </w:p>
    <w:p w14:paraId="51429D0C" w14:textId="77777777" w:rsidR="00185B98" w:rsidRPr="00C00FEC" w:rsidRDefault="00185B98" w:rsidP="00185B98"/>
    <w:p w14:paraId="038FAF94" w14:textId="77777777" w:rsidR="00185B98" w:rsidRDefault="00185B98" w:rsidP="00185B98">
      <w:pPr>
        <w:pStyle w:val="VAHeading"/>
      </w:pPr>
      <w:r w:rsidRPr="00C00FEC">
        <w:t>Group Boundary</w:t>
      </w:r>
    </w:p>
    <w:p w14:paraId="3A4F688E" w14:textId="5733DEDA" w:rsidR="00185B98" w:rsidRDefault="00185B98" w:rsidP="00185B98">
      <w:r w:rsidRPr="00C00FEC">
        <w:t>The Police, Fire and Crime Commissioner for Northamptonshire (Fire and Rescue Authority) Order 2018 utilised existing legislation (</w:t>
      </w:r>
      <w:r w:rsidR="00B05A13">
        <w:t>s</w:t>
      </w:r>
      <w:r w:rsidRPr="00C00FEC">
        <w:t xml:space="preserve">pecifically </w:t>
      </w:r>
      <w:r w:rsidR="00D71266">
        <w:t>s</w:t>
      </w:r>
      <w:r w:rsidRPr="00C00FEC">
        <w:t xml:space="preserve">ection 4A of the Fire and Rescue </w:t>
      </w:r>
      <w:r w:rsidRPr="00D751B0">
        <w:t>Services</w:t>
      </w:r>
      <w:r w:rsidRPr="00C00FEC">
        <w:t xml:space="preserve"> Act 2004) to create a new corporation sole NCFRA, a role which is held by the Police, Fire and Commissioner, but acting as NCFRA. </w:t>
      </w:r>
      <w:r>
        <w:t xml:space="preserve"> </w:t>
      </w:r>
      <w:r w:rsidRPr="00C00FEC">
        <w:t>This legislation outlines the key responsibilities for oversight and ensuring good governance within the NCFRA.</w:t>
      </w:r>
    </w:p>
    <w:p w14:paraId="136AD460" w14:textId="77777777" w:rsidR="00185B98" w:rsidRPr="00C00FEC" w:rsidRDefault="00185B98" w:rsidP="00185B98"/>
    <w:p w14:paraId="328EDB4C" w14:textId="77777777" w:rsidR="00BC34A8" w:rsidRDefault="00185B98" w:rsidP="00185B98">
      <w:r w:rsidRPr="00C00FEC">
        <w:t xml:space="preserve">This reflects that the government provides funding to NCFRA and is ultimately responsible for the NCFRA.  As such, the NCFRA Accounts are included within the </w:t>
      </w:r>
    </w:p>
    <w:p w14:paraId="6E8345E6" w14:textId="77777777" w:rsidR="00BC34A8" w:rsidRDefault="00BC34A8" w:rsidP="00185B98"/>
    <w:p w14:paraId="30E92E17" w14:textId="77777777" w:rsidR="00BC34A8" w:rsidRDefault="00BC34A8" w:rsidP="00185B98"/>
    <w:p w14:paraId="0462109D" w14:textId="3D1D87A2" w:rsidR="00185B98" w:rsidRPr="002A56B6" w:rsidRDefault="00185B98" w:rsidP="00185B98">
      <w:r w:rsidRPr="00C00FEC">
        <w:t xml:space="preserve">Whole of Government Accounts, which is the consolidation of over 9,000 public sector bodies, including central and local government and public corporations such as the Bank of England, to provide </w:t>
      </w:r>
      <w:r w:rsidRPr="002A56B6">
        <w:t>the most complete and accurate picture of the UK's public finances.</w:t>
      </w:r>
    </w:p>
    <w:p w14:paraId="4124112E" w14:textId="77777777" w:rsidR="00185B98" w:rsidRPr="002A56B6" w:rsidRDefault="00185B98" w:rsidP="00185B98"/>
    <w:p w14:paraId="1FB3E9C1" w14:textId="77777777" w:rsidR="00185B98" w:rsidRPr="002A56B6" w:rsidRDefault="00185B98" w:rsidP="00185B98">
      <w:r w:rsidRPr="002A56B6">
        <w:t xml:space="preserve">Whilst there is some commonality within the Office of the Police, Fire and Crime Commissioner for Northamptonshire (OPFCC), Chief Constable and NCFRA, they are three separate corporations sole, with Fire and Police created under separate legislation and with the responsibility to set up and maintain separate “Funds” for each </w:t>
      </w:r>
      <w:proofErr w:type="gramStart"/>
      <w:r w:rsidRPr="002A56B6">
        <w:t>organisation;</w:t>
      </w:r>
      <w:proofErr w:type="gramEnd"/>
      <w:r w:rsidRPr="002A56B6">
        <w:t xml:space="preserve"> with separate legal responsibilities and no ability to vire funds between them.  As set out by CIPFA, there is not a requirement for the NCFRA accounts to be included within the OPFCC group accounts.</w:t>
      </w:r>
    </w:p>
    <w:p w14:paraId="541B54FF" w14:textId="77777777" w:rsidR="00185B98" w:rsidRPr="002A56B6" w:rsidRDefault="00185B98" w:rsidP="00185B98"/>
    <w:p w14:paraId="3798AA35" w14:textId="77777777" w:rsidR="00185B98" w:rsidRPr="002A56B6" w:rsidRDefault="00185B98" w:rsidP="00185B98">
      <w:r w:rsidRPr="002A56B6">
        <w:t>The business case for the governance transfer included maintaining separate management arrangements and operational functions for each service but working towards sharing of some support services and buildings where it makes sense to provide better value for money for the public of Northamptonshire.  This direction of travel towards shared support teams continues.  The accounts of Fire and Policing are operated separately in line with the legislation.</w:t>
      </w:r>
    </w:p>
    <w:p w14:paraId="76C6787C" w14:textId="77777777" w:rsidR="00185B98" w:rsidRPr="002A56B6" w:rsidRDefault="00185B98" w:rsidP="00185B98"/>
    <w:p w14:paraId="370926F5" w14:textId="77777777" w:rsidR="00185B98" w:rsidRPr="002A56B6" w:rsidRDefault="00185B98" w:rsidP="00185B98">
      <w:r w:rsidRPr="002A56B6">
        <w:t>In line with the Home Office Financial Management Code of Practice, a collaboration agreement is in place between the three separate organisations of: NCFRA, the Northamptonshire Chief Constable and the Northamptonshire Police, Fire and Crime Commissioner which sets out the arrangements for working together where it would be advantageous to the parties to do so, mirroring such collaboration arrangements that Northamptonshire Police have with other police forces.</w:t>
      </w:r>
    </w:p>
    <w:p w14:paraId="75284CDB" w14:textId="77777777" w:rsidR="00185B98" w:rsidRPr="002A56B6" w:rsidRDefault="00185B98" w:rsidP="00185B98"/>
    <w:p w14:paraId="404F59BD" w14:textId="6DD62A32" w:rsidR="00185B98" w:rsidRDefault="292A69D9" w:rsidP="00185B98">
      <w:r>
        <w:t>The arrangements outlined in the legislation result in the PFCC having some influence over some policing relationships with NCFRA, and therefore there is a requirement to disclose the nature of the transactions between OPFCC and the NCFRA and this is provided within the related parties note within the statement of accounts.  Most of this note relates to governance services provided by the Office of the PFCC to Fire, and charges for services and shared staff providing services to Fire and Policing.</w:t>
      </w:r>
    </w:p>
    <w:p w14:paraId="5E9264E5" w14:textId="77777777" w:rsidR="00185B98" w:rsidRPr="003349A7" w:rsidRDefault="00185B98" w:rsidP="00185B98">
      <w:pPr>
        <w:pStyle w:val="VAHeading"/>
      </w:pPr>
      <w:r w:rsidRPr="00C00FEC">
        <w:lastRenderedPageBreak/>
        <w:t>Our People</w:t>
      </w:r>
    </w:p>
    <w:p w14:paraId="31359044" w14:textId="77777777" w:rsidR="00185B98" w:rsidRPr="00FA55A6" w:rsidRDefault="00185B98" w:rsidP="00185B98">
      <w:proofErr w:type="gramStart"/>
      <w:r w:rsidRPr="00FA55A6">
        <w:t>At</w:t>
      </w:r>
      <w:proofErr w:type="gramEnd"/>
      <w:r w:rsidRPr="00FA55A6">
        <w:t xml:space="preserve"> 31</w:t>
      </w:r>
      <w:r w:rsidRPr="00FA55A6">
        <w:rPr>
          <w:vertAlign w:val="superscript"/>
        </w:rPr>
        <w:t>st</w:t>
      </w:r>
      <w:r w:rsidRPr="00FA55A6">
        <w:t xml:space="preserve"> March 202</w:t>
      </w:r>
      <w:r>
        <w:t>5</w:t>
      </w:r>
      <w:r w:rsidRPr="00FA55A6">
        <w:t xml:space="preserve"> the NCFRA budgeted establishment was 50</w:t>
      </w:r>
      <w:r>
        <w:t>3</w:t>
      </w:r>
      <w:r w:rsidRPr="00FA55A6">
        <w:t xml:space="preserve"> and comprised as follows: </w:t>
      </w:r>
    </w:p>
    <w:p w14:paraId="6EEC49D5" w14:textId="77777777" w:rsidR="00185B98" w:rsidRPr="00FA55A6" w:rsidRDefault="00185B98" w:rsidP="00185B98"/>
    <w:tbl>
      <w:tblPr>
        <w:tblW w:w="0" w:type="auto"/>
        <w:tblInd w:w="93" w:type="dxa"/>
        <w:tblLayout w:type="fixed"/>
        <w:tblLook w:val="04A0" w:firstRow="1" w:lastRow="0" w:firstColumn="1" w:lastColumn="0" w:noHBand="0" w:noVBand="1"/>
      </w:tblPr>
      <w:tblGrid>
        <w:gridCol w:w="2512"/>
        <w:gridCol w:w="963"/>
        <w:gridCol w:w="963"/>
      </w:tblGrid>
      <w:tr w:rsidR="00185B98" w:rsidRPr="00D36D57" w14:paraId="0EC5D5A8" w14:textId="77777777" w:rsidTr="00FD3A5D">
        <w:trPr>
          <w:trHeight w:val="300"/>
        </w:trPr>
        <w:tc>
          <w:tcPr>
            <w:tcW w:w="2512" w:type="dxa"/>
            <w:shd w:val="clear" w:color="auto" w:fill="CC0000"/>
            <w:hideMark/>
          </w:tcPr>
          <w:p w14:paraId="79D95501" w14:textId="77777777" w:rsidR="00185B98" w:rsidRPr="00D36D57" w:rsidRDefault="00185B98">
            <w:pPr>
              <w:jc w:val="left"/>
              <w:rPr>
                <w:b/>
                <w:bCs/>
                <w:color w:val="FFFFFF" w:themeColor="background1"/>
              </w:rPr>
            </w:pPr>
            <w:r w:rsidRPr="00D36D57">
              <w:rPr>
                <w:b/>
                <w:bCs/>
                <w:color w:val="FFFFFF" w:themeColor="background1"/>
              </w:rPr>
              <w:t>Category of employee</w:t>
            </w:r>
          </w:p>
        </w:tc>
        <w:tc>
          <w:tcPr>
            <w:tcW w:w="963" w:type="dxa"/>
            <w:shd w:val="clear" w:color="auto" w:fill="CC0000"/>
            <w:hideMark/>
          </w:tcPr>
          <w:p w14:paraId="219F0578" w14:textId="77777777" w:rsidR="00185B98" w:rsidRPr="00D36D57" w:rsidRDefault="00185B98">
            <w:pPr>
              <w:jc w:val="right"/>
              <w:rPr>
                <w:b/>
                <w:bCs/>
                <w:color w:val="FFFFFF" w:themeColor="background1"/>
              </w:rPr>
            </w:pPr>
            <w:r w:rsidRPr="00D36D57">
              <w:rPr>
                <w:b/>
                <w:bCs/>
                <w:color w:val="FFFFFF" w:themeColor="background1"/>
              </w:rPr>
              <w:t>As at 31/3/24</w:t>
            </w:r>
          </w:p>
        </w:tc>
        <w:tc>
          <w:tcPr>
            <w:tcW w:w="963" w:type="dxa"/>
            <w:shd w:val="clear" w:color="auto" w:fill="CC0000"/>
            <w:hideMark/>
          </w:tcPr>
          <w:p w14:paraId="6CA19B0B" w14:textId="77777777" w:rsidR="00185B98" w:rsidRPr="00D36D57" w:rsidRDefault="00185B98">
            <w:pPr>
              <w:jc w:val="right"/>
              <w:rPr>
                <w:b/>
                <w:bCs/>
                <w:color w:val="FFFFFF" w:themeColor="background1"/>
              </w:rPr>
            </w:pPr>
            <w:r w:rsidRPr="00D36D57">
              <w:rPr>
                <w:b/>
                <w:bCs/>
                <w:color w:val="FFFFFF" w:themeColor="background1"/>
              </w:rPr>
              <w:t>As at 31/3/25</w:t>
            </w:r>
          </w:p>
        </w:tc>
      </w:tr>
      <w:tr w:rsidR="00185B98" w:rsidRPr="00FA55A6" w14:paraId="7D8F7464" w14:textId="77777777" w:rsidTr="00FD3A5D">
        <w:trPr>
          <w:trHeight w:val="300"/>
        </w:trPr>
        <w:tc>
          <w:tcPr>
            <w:tcW w:w="2512" w:type="dxa"/>
            <w:vAlign w:val="center"/>
            <w:hideMark/>
          </w:tcPr>
          <w:p w14:paraId="56A24DCB" w14:textId="77777777" w:rsidR="00185B98" w:rsidRPr="00FA55A6" w:rsidRDefault="00185B98">
            <w:pPr>
              <w:rPr>
                <w:rFonts w:cs="Times New Roman"/>
                <w:lang w:eastAsia="en-GB"/>
              </w:rPr>
            </w:pPr>
            <w:r w:rsidRPr="00FA55A6">
              <w:rPr>
                <w:lang w:eastAsia="en-GB"/>
              </w:rPr>
              <w:t>Wholetime Firefighters</w:t>
            </w:r>
          </w:p>
        </w:tc>
        <w:tc>
          <w:tcPr>
            <w:tcW w:w="963" w:type="dxa"/>
            <w:vAlign w:val="center"/>
            <w:hideMark/>
          </w:tcPr>
          <w:p w14:paraId="2B8F54B1" w14:textId="77777777" w:rsidR="00185B98" w:rsidRPr="00FA55A6" w:rsidRDefault="00185B98">
            <w:pPr>
              <w:jc w:val="right"/>
              <w:rPr>
                <w:rFonts w:eastAsia="Times New Roman" w:cs="Times New Roman"/>
                <w:color w:val="000000"/>
                <w:lang w:eastAsia="en-GB"/>
              </w:rPr>
            </w:pPr>
            <w:r w:rsidRPr="00FA55A6">
              <w:t>254</w:t>
            </w:r>
          </w:p>
        </w:tc>
        <w:tc>
          <w:tcPr>
            <w:tcW w:w="963" w:type="dxa"/>
            <w:shd w:val="clear" w:color="auto" w:fill="FFE1E1"/>
            <w:vAlign w:val="center"/>
          </w:tcPr>
          <w:p w14:paraId="34B0CC04" w14:textId="77777777" w:rsidR="00185B98" w:rsidRPr="00FA55A6" w:rsidRDefault="00185B98">
            <w:pPr>
              <w:jc w:val="right"/>
            </w:pPr>
            <w:r w:rsidRPr="00FA55A6">
              <w:t>25</w:t>
            </w:r>
            <w:r>
              <w:t>5</w:t>
            </w:r>
          </w:p>
        </w:tc>
      </w:tr>
      <w:tr w:rsidR="00185B98" w:rsidRPr="00FA55A6" w14:paraId="1EC7DC5A" w14:textId="77777777" w:rsidTr="00FD3A5D">
        <w:trPr>
          <w:trHeight w:val="300"/>
        </w:trPr>
        <w:tc>
          <w:tcPr>
            <w:tcW w:w="2512" w:type="dxa"/>
            <w:vAlign w:val="center"/>
            <w:hideMark/>
          </w:tcPr>
          <w:p w14:paraId="0371105A" w14:textId="77777777" w:rsidR="00185B98" w:rsidRPr="00FA55A6" w:rsidRDefault="00185B98">
            <w:pPr>
              <w:rPr>
                <w:rFonts w:cs="Times New Roman"/>
                <w:lang w:eastAsia="en-GB"/>
              </w:rPr>
            </w:pPr>
            <w:r w:rsidRPr="00FA55A6">
              <w:rPr>
                <w:lang w:eastAsia="en-GB"/>
              </w:rPr>
              <w:t>Retained Firefighters</w:t>
            </w:r>
          </w:p>
        </w:tc>
        <w:tc>
          <w:tcPr>
            <w:tcW w:w="963" w:type="dxa"/>
            <w:hideMark/>
          </w:tcPr>
          <w:p w14:paraId="238CEF17" w14:textId="77777777" w:rsidR="00185B98" w:rsidRPr="00FA55A6" w:rsidRDefault="00185B98">
            <w:pPr>
              <w:jc w:val="right"/>
              <w:rPr>
                <w:rFonts w:eastAsia="Times New Roman" w:cs="Times New Roman"/>
                <w:lang w:eastAsia="en-GB"/>
              </w:rPr>
            </w:pPr>
            <w:r w:rsidRPr="00FA55A6">
              <w:rPr>
                <w:lang w:eastAsia="en-GB"/>
              </w:rPr>
              <w:t>180</w:t>
            </w:r>
          </w:p>
        </w:tc>
        <w:tc>
          <w:tcPr>
            <w:tcW w:w="963" w:type="dxa"/>
            <w:shd w:val="clear" w:color="auto" w:fill="FFE1E1"/>
          </w:tcPr>
          <w:p w14:paraId="70BD0724" w14:textId="77777777" w:rsidR="00185B98" w:rsidRPr="00FA55A6" w:rsidRDefault="00185B98">
            <w:pPr>
              <w:jc w:val="right"/>
            </w:pPr>
            <w:r w:rsidRPr="00FA55A6">
              <w:t>180</w:t>
            </w:r>
          </w:p>
        </w:tc>
      </w:tr>
      <w:tr w:rsidR="00185B98" w:rsidRPr="00FA55A6" w14:paraId="4068F987" w14:textId="77777777" w:rsidTr="00FD3A5D">
        <w:trPr>
          <w:trHeight w:val="300"/>
        </w:trPr>
        <w:tc>
          <w:tcPr>
            <w:tcW w:w="2512" w:type="dxa"/>
            <w:vAlign w:val="center"/>
            <w:hideMark/>
          </w:tcPr>
          <w:p w14:paraId="745D2E4D" w14:textId="77777777" w:rsidR="00185B98" w:rsidRPr="00FA55A6" w:rsidRDefault="00185B98">
            <w:pPr>
              <w:rPr>
                <w:lang w:eastAsia="en-GB"/>
              </w:rPr>
            </w:pPr>
            <w:r w:rsidRPr="00FA55A6">
              <w:rPr>
                <w:lang w:eastAsia="en-GB"/>
              </w:rPr>
              <w:t>Control Room</w:t>
            </w:r>
          </w:p>
        </w:tc>
        <w:tc>
          <w:tcPr>
            <w:tcW w:w="963" w:type="dxa"/>
            <w:vAlign w:val="center"/>
            <w:hideMark/>
          </w:tcPr>
          <w:p w14:paraId="35C6365C" w14:textId="77777777" w:rsidR="00185B98" w:rsidRPr="00FA55A6" w:rsidRDefault="00185B98">
            <w:pPr>
              <w:jc w:val="right"/>
              <w:rPr>
                <w:rFonts w:eastAsia="Times New Roman" w:cs="Times New Roman"/>
                <w:color w:val="000000"/>
                <w:lang w:eastAsia="en-GB"/>
              </w:rPr>
            </w:pPr>
            <w:r w:rsidRPr="00FA55A6">
              <w:t>18</w:t>
            </w:r>
          </w:p>
        </w:tc>
        <w:tc>
          <w:tcPr>
            <w:tcW w:w="963" w:type="dxa"/>
            <w:shd w:val="clear" w:color="auto" w:fill="FFE1E1"/>
            <w:vAlign w:val="center"/>
          </w:tcPr>
          <w:p w14:paraId="102040F7" w14:textId="77777777" w:rsidR="00185B98" w:rsidRPr="00FA55A6" w:rsidRDefault="00185B98">
            <w:pPr>
              <w:jc w:val="right"/>
            </w:pPr>
            <w:r w:rsidRPr="00FA55A6">
              <w:t>18</w:t>
            </w:r>
          </w:p>
        </w:tc>
      </w:tr>
      <w:tr w:rsidR="00185B98" w:rsidRPr="00FA55A6" w14:paraId="38168868" w14:textId="77777777" w:rsidTr="00FD3A5D">
        <w:trPr>
          <w:trHeight w:val="300"/>
        </w:trPr>
        <w:tc>
          <w:tcPr>
            <w:tcW w:w="2512" w:type="dxa"/>
            <w:tcBorders>
              <w:bottom w:val="single" w:sz="4" w:space="0" w:color="auto"/>
            </w:tcBorders>
            <w:shd w:val="clear" w:color="auto" w:fill="FFFFFF" w:themeFill="background1"/>
            <w:vAlign w:val="center"/>
            <w:hideMark/>
          </w:tcPr>
          <w:p w14:paraId="163999EB" w14:textId="77777777" w:rsidR="00185B98" w:rsidRPr="00FA55A6" w:rsidRDefault="00185B98">
            <w:pPr>
              <w:rPr>
                <w:lang w:eastAsia="en-GB"/>
              </w:rPr>
            </w:pPr>
            <w:r w:rsidRPr="00FA55A6">
              <w:rPr>
                <w:lang w:eastAsia="en-GB"/>
              </w:rPr>
              <w:t>Support Services</w:t>
            </w:r>
          </w:p>
        </w:tc>
        <w:tc>
          <w:tcPr>
            <w:tcW w:w="963" w:type="dxa"/>
            <w:tcBorders>
              <w:bottom w:val="single" w:sz="4" w:space="0" w:color="auto"/>
            </w:tcBorders>
            <w:shd w:val="clear" w:color="auto" w:fill="FFFFFF" w:themeFill="background1"/>
            <w:vAlign w:val="center"/>
            <w:hideMark/>
          </w:tcPr>
          <w:p w14:paraId="3AD29919" w14:textId="77777777" w:rsidR="00185B98" w:rsidRPr="00FA55A6" w:rsidRDefault="00185B98">
            <w:pPr>
              <w:jc w:val="right"/>
              <w:rPr>
                <w:rFonts w:eastAsia="Times New Roman" w:cs="Times New Roman"/>
                <w:lang w:eastAsia="en-GB"/>
              </w:rPr>
            </w:pPr>
            <w:r w:rsidRPr="00FA55A6">
              <w:rPr>
                <w:lang w:eastAsia="en-GB"/>
              </w:rPr>
              <w:t>5</w:t>
            </w:r>
            <w:r>
              <w:rPr>
                <w:lang w:eastAsia="en-GB"/>
              </w:rPr>
              <w:t>3</w:t>
            </w:r>
          </w:p>
        </w:tc>
        <w:tc>
          <w:tcPr>
            <w:tcW w:w="963" w:type="dxa"/>
            <w:tcBorders>
              <w:bottom w:val="single" w:sz="4" w:space="0" w:color="auto"/>
            </w:tcBorders>
            <w:shd w:val="clear" w:color="auto" w:fill="FFE1E1"/>
            <w:vAlign w:val="center"/>
          </w:tcPr>
          <w:p w14:paraId="3C482DEC" w14:textId="77777777" w:rsidR="00185B98" w:rsidRPr="00FA55A6" w:rsidRDefault="00185B98">
            <w:pPr>
              <w:jc w:val="right"/>
            </w:pPr>
            <w:r w:rsidRPr="00FA55A6">
              <w:t>5</w:t>
            </w:r>
            <w:r>
              <w:t>0</w:t>
            </w:r>
          </w:p>
        </w:tc>
      </w:tr>
      <w:tr w:rsidR="00185B98" w:rsidRPr="00D36D57" w14:paraId="504FC87D" w14:textId="77777777" w:rsidTr="00FD3A5D">
        <w:trPr>
          <w:trHeight w:val="300"/>
        </w:trPr>
        <w:tc>
          <w:tcPr>
            <w:tcW w:w="2512" w:type="dxa"/>
            <w:tcBorders>
              <w:top w:val="single" w:sz="4" w:space="0" w:color="auto"/>
              <w:bottom w:val="single" w:sz="4" w:space="0" w:color="auto"/>
            </w:tcBorders>
            <w:shd w:val="clear" w:color="auto" w:fill="FFFFFF" w:themeFill="background1"/>
            <w:vAlign w:val="center"/>
            <w:hideMark/>
          </w:tcPr>
          <w:p w14:paraId="537BD72B" w14:textId="77777777" w:rsidR="00185B98" w:rsidRPr="00D36D57" w:rsidRDefault="00185B98">
            <w:pPr>
              <w:rPr>
                <w:rFonts w:cs="Times New Roman"/>
                <w:b/>
                <w:bCs/>
                <w:lang w:eastAsia="en-GB"/>
              </w:rPr>
            </w:pPr>
            <w:r w:rsidRPr="00D36D57">
              <w:rPr>
                <w:b/>
                <w:bCs/>
                <w:lang w:eastAsia="en-GB"/>
              </w:rPr>
              <w:t>Total</w:t>
            </w:r>
          </w:p>
        </w:tc>
        <w:tc>
          <w:tcPr>
            <w:tcW w:w="963" w:type="dxa"/>
            <w:tcBorders>
              <w:top w:val="single" w:sz="4" w:space="0" w:color="auto"/>
              <w:bottom w:val="single" w:sz="4" w:space="0" w:color="auto"/>
            </w:tcBorders>
            <w:shd w:val="clear" w:color="auto" w:fill="FFFFFF" w:themeFill="background1"/>
            <w:vAlign w:val="center"/>
            <w:hideMark/>
          </w:tcPr>
          <w:p w14:paraId="50FA8135" w14:textId="77777777" w:rsidR="00185B98" w:rsidRPr="00D36D57" w:rsidRDefault="00185B98">
            <w:pPr>
              <w:jc w:val="right"/>
              <w:rPr>
                <w:rFonts w:eastAsia="Times New Roman" w:cs="Times New Roman"/>
                <w:b/>
                <w:bCs/>
                <w:color w:val="000000"/>
                <w:lang w:eastAsia="en-GB"/>
              </w:rPr>
            </w:pPr>
            <w:r w:rsidRPr="00D36D57">
              <w:rPr>
                <w:b/>
                <w:bCs/>
              </w:rPr>
              <w:t>505</w:t>
            </w:r>
          </w:p>
        </w:tc>
        <w:tc>
          <w:tcPr>
            <w:tcW w:w="963" w:type="dxa"/>
            <w:tcBorders>
              <w:top w:val="single" w:sz="4" w:space="0" w:color="auto"/>
              <w:bottom w:val="single" w:sz="4" w:space="0" w:color="auto"/>
            </w:tcBorders>
            <w:shd w:val="clear" w:color="auto" w:fill="FFE1E1"/>
            <w:vAlign w:val="center"/>
          </w:tcPr>
          <w:p w14:paraId="353BC05F" w14:textId="77777777" w:rsidR="00185B98" w:rsidRPr="00D36D57" w:rsidRDefault="00185B98">
            <w:pPr>
              <w:jc w:val="right"/>
              <w:rPr>
                <w:b/>
                <w:bCs/>
              </w:rPr>
            </w:pPr>
            <w:r w:rsidRPr="00D36D57">
              <w:rPr>
                <w:b/>
                <w:bCs/>
              </w:rPr>
              <w:t>503</w:t>
            </w:r>
          </w:p>
        </w:tc>
      </w:tr>
    </w:tbl>
    <w:p w14:paraId="1FCB444B" w14:textId="77777777" w:rsidR="00185B98" w:rsidRPr="00C00FEC" w:rsidRDefault="00185B98" w:rsidP="00185B98">
      <w:pPr>
        <w:rPr>
          <w:noProof/>
          <w:lang w:eastAsia="en-GB"/>
        </w:rPr>
      </w:pPr>
    </w:p>
    <w:p w14:paraId="5407C5C4" w14:textId="77777777" w:rsidR="00185B98" w:rsidRPr="00251A1A" w:rsidRDefault="00185B98" w:rsidP="00185B98">
      <w:pPr>
        <w:pStyle w:val="VAHeadingLevel3"/>
      </w:pPr>
      <w:r w:rsidRPr="00C00FEC">
        <w:t>Gender Pay Gap</w:t>
      </w:r>
    </w:p>
    <w:p w14:paraId="493AC5D9" w14:textId="77777777" w:rsidR="00185B98" w:rsidRPr="00EA56FC" w:rsidRDefault="00185B98" w:rsidP="00185B98">
      <w:r w:rsidRPr="0045394E">
        <w:t xml:space="preserve">It is statutory for organisations with 250 or more </w:t>
      </w:r>
      <w:r w:rsidRPr="00EA56FC">
        <w:t xml:space="preserve">employees to report annually on their gender pay gap.  The latest report shows that </w:t>
      </w:r>
      <w:r>
        <w:t>19.03</w:t>
      </w:r>
      <w:r w:rsidRPr="00EA56FC">
        <w:t>% of the workforce is female</w:t>
      </w:r>
      <w:r>
        <w:t>, compared to 16.33% the previous year.</w:t>
      </w:r>
    </w:p>
    <w:p w14:paraId="6EC4E0E8" w14:textId="77777777" w:rsidR="00185B98" w:rsidRPr="00EA56FC" w:rsidRDefault="00185B98" w:rsidP="00185B98"/>
    <w:p w14:paraId="11F524A3" w14:textId="57F94315" w:rsidR="00185B98" w:rsidRPr="00EA56FC" w:rsidRDefault="00185B98" w:rsidP="00185B98">
      <w:r w:rsidRPr="00EA56FC">
        <w:t>The report</w:t>
      </w:r>
      <w:r w:rsidR="008A6BB5">
        <w:t xml:space="preserve">, which uses data </w:t>
      </w:r>
      <w:r w:rsidR="00FD241F">
        <w:t>as of 31</w:t>
      </w:r>
      <w:r w:rsidR="00FD241F" w:rsidRPr="0064214B">
        <w:rPr>
          <w:vertAlign w:val="superscript"/>
        </w:rPr>
        <w:t>st</w:t>
      </w:r>
      <w:r w:rsidR="00FD241F">
        <w:t xml:space="preserve"> March 2025,</w:t>
      </w:r>
      <w:r w:rsidRPr="00EA56FC">
        <w:t xml:space="preserve"> also shows the difference in the average pay between all men and women in a workforce.  Our mean average gender pay gap is </w:t>
      </w:r>
      <w:r>
        <w:t>4.37</w:t>
      </w:r>
      <w:r w:rsidRPr="00EA56FC">
        <w:t xml:space="preserve">% </w:t>
      </w:r>
      <w:r w:rsidR="009A4CE6">
        <w:t xml:space="preserve">(8.43% last year) </w:t>
      </w:r>
      <w:r w:rsidR="00060741">
        <w:t>and median</w:t>
      </w:r>
      <w:r w:rsidR="00E23E1E">
        <w:t xml:space="preserve"> average gender pay gap is 0%</w:t>
      </w:r>
      <w:r w:rsidR="003308A6">
        <w:t xml:space="preserve"> (no change)</w:t>
      </w:r>
      <w:r w:rsidR="00A9765B">
        <w:t xml:space="preserve">, both of </w:t>
      </w:r>
      <w:r w:rsidRPr="00EA56FC">
        <w:t xml:space="preserve">which </w:t>
      </w:r>
      <w:r w:rsidR="00A9765B">
        <w:t>are</w:t>
      </w:r>
      <w:r w:rsidR="0053224A">
        <w:t xml:space="preserve"> </w:t>
      </w:r>
      <w:r w:rsidRPr="00EA56FC">
        <w:t xml:space="preserve">lower than the national </w:t>
      </w:r>
      <w:r>
        <w:t xml:space="preserve">fire service </w:t>
      </w:r>
      <w:r w:rsidRPr="00EA56FC">
        <w:t>average</w:t>
      </w:r>
      <w:r w:rsidR="00A9765B">
        <w:t>s</w:t>
      </w:r>
      <w:r w:rsidRPr="00EA56FC">
        <w:t xml:space="preserve"> of 1</w:t>
      </w:r>
      <w:r>
        <w:t>3</w:t>
      </w:r>
      <w:r w:rsidRPr="00EA56FC">
        <w:t>.</w:t>
      </w:r>
      <w:r>
        <w:t>75</w:t>
      </w:r>
      <w:r w:rsidRPr="00EA56FC">
        <w:t xml:space="preserve">% and </w:t>
      </w:r>
      <w:r w:rsidR="008B103D">
        <w:t>11.30% respectively</w:t>
      </w:r>
      <w:r w:rsidR="00747372">
        <w:t>.</w:t>
      </w:r>
      <w:r w:rsidR="0084240C">
        <w:t xml:space="preserve"> </w:t>
      </w:r>
    </w:p>
    <w:p w14:paraId="048B3A8A" w14:textId="77777777" w:rsidR="00185B98" w:rsidRPr="00EA56FC" w:rsidRDefault="00185B98" w:rsidP="00185B98"/>
    <w:p w14:paraId="6C5171E2" w14:textId="2DF1E42C" w:rsidR="00185B98" w:rsidRPr="000E7F99" w:rsidRDefault="00185B98" w:rsidP="00185B98">
      <w:r>
        <w:t>NCFRA</w:t>
      </w:r>
      <w:r w:rsidRPr="000E7F99">
        <w:t xml:space="preserve"> support</w:t>
      </w:r>
      <w:r>
        <w:t>s</w:t>
      </w:r>
      <w:r w:rsidRPr="000E7F99">
        <w:t xml:space="preserve"> the fair treatment and reward of all staff, irrespective of gender</w:t>
      </w:r>
      <w:r w:rsidR="00D822D7">
        <w:t>, which is reflected in the progress made above</w:t>
      </w:r>
      <w:r w:rsidRPr="000E7F99">
        <w:t>. Our pay approach is based on the principles of consistency, fairness and transparency</w:t>
      </w:r>
      <w:r w:rsidR="00CF463C">
        <w:t>.</w:t>
      </w:r>
    </w:p>
    <w:p w14:paraId="0B8ADC52" w14:textId="77777777" w:rsidR="00185B98" w:rsidRPr="00C00FEC" w:rsidRDefault="00185B98" w:rsidP="00185B98"/>
    <w:p w14:paraId="23C568F9" w14:textId="77777777" w:rsidR="006A79D6" w:rsidRDefault="006A79D6" w:rsidP="00185B98">
      <w:pPr>
        <w:pStyle w:val="VAHeadingLevel3"/>
      </w:pPr>
    </w:p>
    <w:p w14:paraId="73AE9ED4" w14:textId="77777777" w:rsidR="006A79D6" w:rsidRDefault="006A79D6" w:rsidP="00185B98">
      <w:pPr>
        <w:pStyle w:val="VAHeadingLevel3"/>
      </w:pPr>
    </w:p>
    <w:p w14:paraId="155E4F84" w14:textId="77777777" w:rsidR="006A79D6" w:rsidRDefault="006A79D6" w:rsidP="00185B98">
      <w:pPr>
        <w:pStyle w:val="VAHeadingLevel3"/>
      </w:pPr>
    </w:p>
    <w:p w14:paraId="67695B73" w14:textId="77777777" w:rsidR="006A79D6" w:rsidRDefault="006A79D6" w:rsidP="00185B98">
      <w:pPr>
        <w:pStyle w:val="VAHeadingLevel3"/>
      </w:pPr>
    </w:p>
    <w:p w14:paraId="0730B5CD" w14:textId="77777777" w:rsidR="006A79D6" w:rsidRDefault="006A79D6" w:rsidP="00185B98">
      <w:pPr>
        <w:pStyle w:val="VAHeadingLevel3"/>
      </w:pPr>
    </w:p>
    <w:p w14:paraId="7B95FD25" w14:textId="77777777" w:rsidR="006A79D6" w:rsidRDefault="006A79D6" w:rsidP="00185B98">
      <w:pPr>
        <w:pStyle w:val="VAHeadingLevel3"/>
      </w:pPr>
    </w:p>
    <w:p w14:paraId="384794ED" w14:textId="77777777" w:rsidR="006A79D6" w:rsidRDefault="006A79D6" w:rsidP="00185B98">
      <w:pPr>
        <w:pStyle w:val="VAHeadingLevel3"/>
      </w:pPr>
    </w:p>
    <w:p w14:paraId="556875DE" w14:textId="77777777" w:rsidR="00F94C70" w:rsidRDefault="00F94C70" w:rsidP="00185B98">
      <w:pPr>
        <w:pStyle w:val="VAHeadingLevel3"/>
      </w:pPr>
    </w:p>
    <w:p w14:paraId="5C3C72F7" w14:textId="77777777" w:rsidR="006A79D6" w:rsidRDefault="006A79D6" w:rsidP="00185B98">
      <w:pPr>
        <w:pStyle w:val="VAHeadingLevel3"/>
      </w:pPr>
    </w:p>
    <w:p w14:paraId="5325FB7B" w14:textId="77777777" w:rsidR="006A79D6" w:rsidRDefault="006A79D6" w:rsidP="00185B98">
      <w:pPr>
        <w:pStyle w:val="VAHeadingLevel3"/>
      </w:pPr>
    </w:p>
    <w:p w14:paraId="7E1D9314" w14:textId="77777777" w:rsidR="006A79D6" w:rsidRDefault="006A79D6" w:rsidP="00185B98">
      <w:pPr>
        <w:pStyle w:val="VAHeadingLevel3"/>
      </w:pPr>
    </w:p>
    <w:p w14:paraId="09BA70C4" w14:textId="77777777" w:rsidR="006A79D6" w:rsidRDefault="006A79D6" w:rsidP="00185B98">
      <w:pPr>
        <w:pStyle w:val="VAHeadingLevel3"/>
      </w:pPr>
    </w:p>
    <w:p w14:paraId="3827384B" w14:textId="77777777" w:rsidR="006A79D6" w:rsidRDefault="006A79D6" w:rsidP="00185B98">
      <w:pPr>
        <w:pStyle w:val="VAHeadingLevel3"/>
      </w:pPr>
    </w:p>
    <w:p w14:paraId="699A8AD9" w14:textId="77777777" w:rsidR="006A79D6" w:rsidRDefault="006A79D6" w:rsidP="00185B98">
      <w:pPr>
        <w:pStyle w:val="VAHeadingLevel3"/>
      </w:pPr>
    </w:p>
    <w:p w14:paraId="62E043F6" w14:textId="7F22AF0E" w:rsidR="6C31340A" w:rsidRDefault="6C31340A" w:rsidP="6C31340A">
      <w:pPr>
        <w:pStyle w:val="VAHeadingLevel3"/>
      </w:pPr>
    </w:p>
    <w:p w14:paraId="26E67F8C" w14:textId="77777777" w:rsidR="001F05B8" w:rsidRDefault="001F05B8" w:rsidP="6C31340A">
      <w:pPr>
        <w:pStyle w:val="VAHeadingLevel3"/>
      </w:pPr>
    </w:p>
    <w:p w14:paraId="71A6B6B7" w14:textId="77777777" w:rsidR="001F05B8" w:rsidRDefault="001F05B8" w:rsidP="6C31340A">
      <w:pPr>
        <w:pStyle w:val="VAHeadingLevel3"/>
      </w:pPr>
    </w:p>
    <w:p w14:paraId="13C22615" w14:textId="77777777" w:rsidR="001F05B8" w:rsidRDefault="001F05B8" w:rsidP="6C31340A">
      <w:pPr>
        <w:pStyle w:val="VAHeadingLevel3"/>
      </w:pPr>
    </w:p>
    <w:p w14:paraId="6932FAF2" w14:textId="14246A3E" w:rsidR="00185B98" w:rsidRPr="00C00FEC" w:rsidRDefault="00185B98" w:rsidP="00185B98">
      <w:pPr>
        <w:pStyle w:val="VAHeadingLevel3"/>
      </w:pPr>
      <w:r w:rsidRPr="00C00FEC">
        <w:t>Appointments</w:t>
      </w:r>
    </w:p>
    <w:p w14:paraId="3DFE5E89" w14:textId="77777777" w:rsidR="00FA5DD7" w:rsidRDefault="00FA5DD7" w:rsidP="00FA5DD7">
      <w:r>
        <w:t>In May 2024, Danielle Stone was elected as the Police, Fire and Crime Commissioner for a 4 year term.</w:t>
      </w:r>
    </w:p>
    <w:p w14:paraId="4C4B49ED" w14:textId="77777777" w:rsidR="00F94C70" w:rsidRDefault="00F94C70" w:rsidP="00185B98"/>
    <w:p w14:paraId="63D208DA" w14:textId="03E6E77D" w:rsidR="00185B98" w:rsidRDefault="00185B98" w:rsidP="00185B98">
      <w:r w:rsidRPr="00C00FEC">
        <w:t xml:space="preserve">The following </w:t>
      </w:r>
      <w:r>
        <w:t>senior</w:t>
      </w:r>
      <w:r w:rsidRPr="00C00FEC">
        <w:t xml:space="preserve"> officers were in role during 202</w:t>
      </w:r>
      <w:r>
        <w:t>4</w:t>
      </w:r>
      <w:r w:rsidRPr="00C00FEC">
        <w:t>/2</w:t>
      </w:r>
      <w:r>
        <w:t>5</w:t>
      </w:r>
      <w:r w:rsidRPr="00C00FEC">
        <w:t>:</w:t>
      </w:r>
    </w:p>
    <w:p w14:paraId="0BAA8577" w14:textId="77777777" w:rsidR="00185B98" w:rsidRPr="00C00FEC" w:rsidRDefault="00185B98" w:rsidP="00185B98"/>
    <w:p w14:paraId="27CED9C8" w14:textId="77777777" w:rsidR="00185B98" w:rsidRPr="0025262D" w:rsidRDefault="00185B98" w:rsidP="001A5448">
      <w:pPr>
        <w:pStyle w:val="VAHeadingLevel3"/>
      </w:pPr>
      <w:r w:rsidRPr="0025262D">
        <w:t>Chief Fire Officer</w:t>
      </w:r>
    </w:p>
    <w:p w14:paraId="4585A64C" w14:textId="60206106" w:rsidR="00185B98" w:rsidRPr="0038553A" w:rsidRDefault="00185B98" w:rsidP="00185B98">
      <w:r w:rsidRPr="0038553A">
        <w:t xml:space="preserve">Simon Tuhill </w:t>
      </w:r>
      <w:r>
        <w:t>was</w:t>
      </w:r>
      <w:r w:rsidRPr="0038553A">
        <w:t xml:space="preserve"> Interim Chief Fire Officer </w:t>
      </w:r>
      <w:r>
        <w:t>from</w:t>
      </w:r>
      <w:r w:rsidRPr="0038553A">
        <w:t xml:space="preserve"> 18</w:t>
      </w:r>
      <w:r w:rsidRPr="009B0D62">
        <w:rPr>
          <w:vertAlign w:val="superscript"/>
        </w:rPr>
        <w:t>th</w:t>
      </w:r>
      <w:r w:rsidRPr="0038553A">
        <w:t xml:space="preserve"> July 2023</w:t>
      </w:r>
      <w:r>
        <w:t xml:space="preserve"> to 15</w:t>
      </w:r>
      <w:r w:rsidRPr="006E6824">
        <w:rPr>
          <w:vertAlign w:val="superscript"/>
        </w:rPr>
        <w:t>th</w:t>
      </w:r>
      <w:r>
        <w:t xml:space="preserve"> May 2024</w:t>
      </w:r>
      <w:r w:rsidRPr="0038553A">
        <w:t xml:space="preserve">.  </w:t>
      </w:r>
      <w:bookmarkStart w:id="5" w:name="_Hlk167188942"/>
      <w:r>
        <w:t>Nikki Watson commenced as Chief Fire Officer on a permanent basis from 16</w:t>
      </w:r>
      <w:r w:rsidRPr="006E6824">
        <w:rPr>
          <w:vertAlign w:val="superscript"/>
        </w:rPr>
        <w:t>th</w:t>
      </w:r>
      <w:r>
        <w:t xml:space="preserve"> May 2024 and</w:t>
      </w:r>
      <w:r w:rsidRPr="00862FBB">
        <w:t xml:space="preserve"> </w:t>
      </w:r>
      <w:r w:rsidRPr="0038553A">
        <w:t>Simon</w:t>
      </w:r>
      <w:r>
        <w:t xml:space="preserve"> Tuhill reverted to his</w:t>
      </w:r>
      <w:r w:rsidRPr="0038553A">
        <w:t xml:space="preserve"> substantive role is as Deputy Chief Fire Officer.</w:t>
      </w:r>
    </w:p>
    <w:bookmarkEnd w:id="5"/>
    <w:p w14:paraId="334986E1" w14:textId="77777777" w:rsidR="00185B98" w:rsidRPr="0038553A" w:rsidRDefault="00185B98" w:rsidP="00185B98"/>
    <w:p w14:paraId="26C83457" w14:textId="77777777" w:rsidR="00185B98" w:rsidRPr="0025262D" w:rsidRDefault="00185B98" w:rsidP="001A5448">
      <w:pPr>
        <w:pStyle w:val="VAHeadingLevel3"/>
      </w:pPr>
      <w:r w:rsidRPr="0025262D">
        <w:t xml:space="preserve">Chief </w:t>
      </w:r>
      <w:bookmarkStart w:id="6" w:name="_Hlk155701019"/>
      <w:r w:rsidRPr="0025262D">
        <w:t xml:space="preserve">Finance and </w:t>
      </w:r>
      <w:r>
        <w:t>s</w:t>
      </w:r>
      <w:r w:rsidRPr="0025262D">
        <w:t>151 Officer for the PFCC and NCFRA</w:t>
      </w:r>
      <w:bookmarkEnd w:id="6"/>
    </w:p>
    <w:p w14:paraId="698CB5D6" w14:textId="0E1525BB" w:rsidR="00185B98" w:rsidRPr="0038553A" w:rsidRDefault="00185B98" w:rsidP="00185B98">
      <w:r w:rsidRPr="0038553A">
        <w:t xml:space="preserve">Vaughan Ashcroft </w:t>
      </w:r>
      <w:r>
        <w:t xml:space="preserve">had been in post on an interim basis from </w:t>
      </w:r>
      <w:r w:rsidRPr="0038553A">
        <w:t>22</w:t>
      </w:r>
      <w:r w:rsidRPr="00937512">
        <w:rPr>
          <w:vertAlign w:val="superscript"/>
        </w:rPr>
        <w:t>nd</w:t>
      </w:r>
      <w:r>
        <w:t xml:space="preserve"> </w:t>
      </w:r>
      <w:r w:rsidRPr="0038553A">
        <w:t>December 2023</w:t>
      </w:r>
      <w:r w:rsidR="00052BE8">
        <w:t>; he</w:t>
      </w:r>
      <w:r w:rsidRPr="0038553A">
        <w:t xml:space="preserve"> </w:t>
      </w:r>
      <w:r>
        <w:t>was then permanently appointed into the role on 28</w:t>
      </w:r>
      <w:r w:rsidRPr="003C79BF">
        <w:rPr>
          <w:vertAlign w:val="superscript"/>
        </w:rPr>
        <w:t>th</w:t>
      </w:r>
      <w:r>
        <w:t xml:space="preserve"> October 2024.</w:t>
      </w:r>
    </w:p>
    <w:p w14:paraId="5628B07A" w14:textId="77777777" w:rsidR="00185B98" w:rsidRPr="0038553A" w:rsidRDefault="00185B98" w:rsidP="00185B98"/>
    <w:p w14:paraId="72071B13" w14:textId="77777777" w:rsidR="00185B98" w:rsidRPr="0025262D" w:rsidRDefault="00185B98" w:rsidP="001A5448">
      <w:pPr>
        <w:pStyle w:val="VAHeadingLevel3"/>
      </w:pPr>
      <w:r w:rsidRPr="0025262D">
        <w:t>Monitoring Officer for the PFCC and NCFRA</w:t>
      </w:r>
    </w:p>
    <w:p w14:paraId="15A6912E" w14:textId="77777777" w:rsidR="00185B98" w:rsidRDefault="00185B98" w:rsidP="00185B98">
      <w:r w:rsidRPr="0038553A">
        <w:t xml:space="preserve">Jonny Bugg </w:t>
      </w:r>
      <w:r>
        <w:t>undertook</w:t>
      </w:r>
      <w:r w:rsidRPr="0038553A">
        <w:t xml:space="preserve"> the role </w:t>
      </w:r>
      <w:r>
        <w:t>throughout the year</w:t>
      </w:r>
      <w:r w:rsidRPr="0038553A">
        <w:t>.</w:t>
      </w:r>
    </w:p>
    <w:p w14:paraId="67DABC24" w14:textId="77777777" w:rsidR="00A6442F" w:rsidRDefault="00A6442F" w:rsidP="00A6442F"/>
    <w:p w14:paraId="77482915" w14:textId="77777777" w:rsidR="00A6442F" w:rsidRDefault="00A6442F" w:rsidP="00A6442F"/>
    <w:p w14:paraId="038FE93C" w14:textId="77777777" w:rsidR="00CB3B6D" w:rsidRDefault="00CB3B6D" w:rsidP="00A6442F">
      <w:pPr>
        <w:pStyle w:val="VAHeading"/>
      </w:pPr>
      <w:r>
        <w:br w:type="page"/>
      </w:r>
    </w:p>
    <w:bookmarkEnd w:id="2"/>
    <w:p w14:paraId="32685EF7" w14:textId="79E93CBA" w:rsidR="007E7383" w:rsidRPr="00E26D26" w:rsidRDefault="007E7383" w:rsidP="00E26D26">
      <w:pPr>
        <w:keepNext/>
        <w:tabs>
          <w:tab w:val="left" w:pos="360"/>
          <w:tab w:val="left" w:pos="7740"/>
        </w:tabs>
        <w:spacing w:after="60" w:line="276" w:lineRule="auto"/>
        <w:contextualSpacing/>
        <w:outlineLvl w:val="1"/>
        <w:rPr>
          <w:rFonts w:eastAsia="Calibri" w:cs="Calibri"/>
          <w:smallCaps/>
          <w:color w:val="CC0000"/>
          <w:sz w:val="32"/>
          <w:szCs w:val="24"/>
        </w:rPr>
      </w:pPr>
      <w:r w:rsidRPr="00E26D26">
        <w:rPr>
          <w:rFonts w:eastAsia="Calibri"/>
          <w:smallCaps/>
          <w:color w:val="CC0000"/>
          <w:sz w:val="32"/>
          <w:szCs w:val="24"/>
        </w:rPr>
        <w:lastRenderedPageBreak/>
        <w:t>Operational Performance</w:t>
      </w:r>
    </w:p>
    <w:p w14:paraId="69100032" w14:textId="77777777" w:rsidR="00E26D26" w:rsidRPr="00E26D26" w:rsidRDefault="00E26D26" w:rsidP="00E26D26">
      <w:pPr>
        <w:rPr>
          <w:lang w:eastAsia="en-GB"/>
        </w:rPr>
      </w:pPr>
      <w:r w:rsidRPr="00E26D26">
        <w:rPr>
          <w:lang w:eastAsia="en-GB"/>
        </w:rPr>
        <w:t>The Police Fire and Crime Commissioner produces an Annual Report for consideration by the Police, Fire and Crime Panel at their meeting each Summer.  This report, when published sets out the final performance for the year and sets out delivery against priorities and a full copy will be available on the Police, Fire and Crime Panel website.</w:t>
      </w:r>
    </w:p>
    <w:p w14:paraId="25E46F88" w14:textId="77777777" w:rsidR="00E26D26" w:rsidRPr="00E26D26" w:rsidRDefault="00E26D26" w:rsidP="00E26D26">
      <w:pPr>
        <w:rPr>
          <w:lang w:eastAsia="en-GB"/>
        </w:rPr>
      </w:pPr>
    </w:p>
    <w:p w14:paraId="79EA590C" w14:textId="417F1830" w:rsidR="005428E8" w:rsidRDefault="007E7383" w:rsidP="007E7383">
      <w:pPr>
        <w:rPr>
          <w:lang w:eastAsia="en-GB"/>
        </w:rPr>
      </w:pPr>
      <w:r>
        <w:rPr>
          <w:noProof/>
        </w:rPr>
        <w:softHyphen/>
      </w:r>
      <w:r w:rsidRPr="00C00FEC">
        <w:rPr>
          <w:lang w:eastAsia="en-GB"/>
        </w:rPr>
        <w:t>Accountability for Fire and Rescue performance and service delivery is undertaken through the Accountability Board</w:t>
      </w:r>
      <w:r>
        <w:rPr>
          <w:lang w:eastAsia="en-GB"/>
        </w:rPr>
        <w:t xml:space="preserve"> following scrutiny by operational leaders at the Fire </w:t>
      </w:r>
      <w:r w:rsidR="0008393C">
        <w:rPr>
          <w:lang w:eastAsia="en-GB"/>
        </w:rPr>
        <w:t>SLT</w:t>
      </w:r>
      <w:r w:rsidR="00E26D26" w:rsidRPr="00E26D26">
        <w:rPr>
          <w:sz w:val="20"/>
          <w:szCs w:val="20"/>
          <w:lang w:eastAsia="en-GB"/>
        </w:rPr>
        <w:t xml:space="preserve"> </w:t>
      </w:r>
      <w:r w:rsidR="00E26D26" w:rsidRPr="00E26D26">
        <w:rPr>
          <w:lang w:eastAsia="en-GB"/>
        </w:rPr>
        <w:t>meeting.</w:t>
      </w:r>
      <w:r w:rsidRPr="00C00FEC">
        <w:rPr>
          <w:lang w:eastAsia="en-GB"/>
        </w:rPr>
        <w:t xml:space="preserve"> </w:t>
      </w:r>
      <w:r>
        <w:rPr>
          <w:lang w:eastAsia="en-GB"/>
        </w:rPr>
        <w:t xml:space="preserve"> </w:t>
      </w:r>
      <w:r w:rsidRPr="00C00FEC">
        <w:rPr>
          <w:lang w:eastAsia="en-GB"/>
        </w:rPr>
        <w:t xml:space="preserve">Members of the Board </w:t>
      </w:r>
    </w:p>
    <w:p w14:paraId="4797876D" w14:textId="27256AD0" w:rsidR="007E7383" w:rsidRDefault="007E7383" w:rsidP="007E7383">
      <w:pPr>
        <w:rPr>
          <w:lang w:eastAsia="en-GB"/>
        </w:rPr>
      </w:pPr>
      <w:r>
        <w:rPr>
          <w:lang w:eastAsia="en-GB"/>
        </w:rPr>
        <w:t>include</w:t>
      </w:r>
      <w:r w:rsidRPr="00C00FEC">
        <w:rPr>
          <w:lang w:eastAsia="en-GB"/>
        </w:rPr>
        <w:t xml:space="preserve"> the Commissioner (the Chair), the Chief Fire Officer and both the PFCC and statutory and non-statutory Chief Officers from the OPFCC and Fire.  There is a formal agenda </w:t>
      </w:r>
      <w:r>
        <w:rPr>
          <w:lang w:eastAsia="en-GB"/>
        </w:rPr>
        <w:t>driven by key priorities and risk areas.</w:t>
      </w:r>
    </w:p>
    <w:p w14:paraId="1B334454" w14:textId="77777777" w:rsidR="007E7383" w:rsidRDefault="007E7383" w:rsidP="007E7383">
      <w:pPr>
        <w:rPr>
          <w:lang w:eastAsia="en-GB"/>
        </w:rPr>
      </w:pPr>
    </w:p>
    <w:p w14:paraId="18D11B4B" w14:textId="77777777" w:rsidR="007E7383" w:rsidRPr="00C00FEC" w:rsidRDefault="007E7383" w:rsidP="007E7383">
      <w:pPr>
        <w:rPr>
          <w:noProof/>
        </w:rPr>
      </w:pPr>
      <w:r w:rsidRPr="00C00FEC">
        <w:rPr>
          <w:noProof/>
        </w:rPr>
        <w:t xml:space="preserve">NCFRA have continued to prioritise prevention and protection activities and </w:t>
      </w:r>
      <w:r>
        <w:rPr>
          <w:noProof/>
        </w:rPr>
        <w:t xml:space="preserve">increasing </w:t>
      </w:r>
      <w:r w:rsidRPr="00C00FEC">
        <w:rPr>
          <w:noProof/>
        </w:rPr>
        <w:t>the number of Home Safety Visits.</w:t>
      </w:r>
      <w:r>
        <w:rPr>
          <w:noProof/>
        </w:rPr>
        <w:t xml:space="preserve">  Further investment in staff to perform these visits has been allocated to continue into 2025/26.</w:t>
      </w:r>
    </w:p>
    <w:p w14:paraId="2910B861" w14:textId="77777777" w:rsidR="00E26D26" w:rsidRPr="00E26D26" w:rsidRDefault="00E26D26" w:rsidP="00E26D26">
      <w:pPr>
        <w:rPr>
          <w:lang w:eastAsia="en-GB"/>
        </w:rPr>
      </w:pPr>
    </w:p>
    <w:p w14:paraId="017E3A8F" w14:textId="3D23E095" w:rsidR="00E26D26" w:rsidRPr="00E26D26" w:rsidRDefault="00E26D26" w:rsidP="00CE01AE">
      <w:pPr>
        <w:rPr>
          <w:lang w:eastAsia="en-GB"/>
        </w:rPr>
        <w:sectPr w:rsidR="00E26D26" w:rsidRPr="00E26D26" w:rsidSect="00E26D26">
          <w:type w:val="continuous"/>
          <w:pgSz w:w="11906" w:h="16838"/>
          <w:pgMar w:top="851" w:right="680" w:bottom="851" w:left="851" w:header="680" w:footer="0" w:gutter="0"/>
          <w:cols w:num="2" w:space="708"/>
          <w:titlePg/>
          <w:docGrid w:linePitch="360"/>
        </w:sectPr>
      </w:pPr>
      <w:r w:rsidRPr="00E26D26">
        <w:rPr>
          <w:lang w:eastAsia="en-GB"/>
        </w:rPr>
        <w:t>Key Performance Indicators</w:t>
      </w:r>
      <w:r w:rsidR="00841EA5">
        <w:rPr>
          <w:lang w:eastAsia="en-GB"/>
        </w:rPr>
        <w:t xml:space="preserve"> </w:t>
      </w:r>
      <w:r w:rsidRPr="00E26D26">
        <w:rPr>
          <w:lang w:eastAsia="en-GB"/>
        </w:rPr>
        <w:t>are as follows:</w:t>
      </w:r>
    </w:p>
    <w:p w14:paraId="629920D7" w14:textId="77777777" w:rsidR="00E26D26" w:rsidRPr="00E26D26" w:rsidRDefault="00E26D26" w:rsidP="00E26D26">
      <w:pPr>
        <w:rPr>
          <w:sz w:val="20"/>
          <w:szCs w:val="24"/>
          <w:lang w:eastAsia="en-GB"/>
        </w:rPr>
      </w:pPr>
    </w:p>
    <w:tbl>
      <w:tblPr>
        <w:tblW w:w="5000" w:type="pct"/>
        <w:tblLook w:val="04A0" w:firstRow="1" w:lastRow="0" w:firstColumn="1" w:lastColumn="0" w:noHBand="0" w:noVBand="1"/>
      </w:tblPr>
      <w:tblGrid>
        <w:gridCol w:w="782"/>
        <w:gridCol w:w="4708"/>
        <w:gridCol w:w="911"/>
        <w:gridCol w:w="911"/>
        <w:gridCol w:w="920"/>
        <w:gridCol w:w="925"/>
        <w:gridCol w:w="1198"/>
      </w:tblGrid>
      <w:tr w:rsidR="00E26D26" w:rsidRPr="00E26D26" w14:paraId="70CE801A" w14:textId="77777777">
        <w:trPr>
          <w:trHeight w:val="582"/>
        </w:trPr>
        <w:tc>
          <w:tcPr>
            <w:tcW w:w="2633" w:type="pct"/>
            <w:gridSpan w:val="2"/>
            <w:tcBorders>
              <w:top w:val="single" w:sz="8" w:space="0" w:color="auto"/>
              <w:left w:val="single" w:sz="8" w:space="0" w:color="auto"/>
              <w:bottom w:val="single" w:sz="8" w:space="0" w:color="auto"/>
              <w:right w:val="single" w:sz="8" w:space="0" w:color="000000"/>
            </w:tcBorders>
            <w:noWrap/>
            <w:vAlign w:val="center"/>
            <w:hideMark/>
          </w:tcPr>
          <w:p w14:paraId="278DCE58" w14:textId="77777777" w:rsidR="00E26D26" w:rsidRPr="00E26D26" w:rsidRDefault="00E26D26" w:rsidP="00E26D26">
            <w:pPr>
              <w:spacing w:line="240" w:lineRule="auto"/>
              <w:jc w:val="left"/>
              <w:rPr>
                <w:rFonts w:eastAsia="Times New Roman"/>
                <w:b/>
                <w:bCs/>
                <w:color w:val="000000"/>
                <w:sz w:val="20"/>
                <w:szCs w:val="20"/>
                <w:lang w:eastAsia="en-GB"/>
              </w:rPr>
            </w:pPr>
            <w:bookmarkStart w:id="7" w:name="_Hlk158803091"/>
            <w:r w:rsidRPr="00E26D26">
              <w:rPr>
                <w:rFonts w:eastAsia="Times New Roman"/>
                <w:b/>
                <w:bCs/>
                <w:color w:val="000000"/>
                <w:sz w:val="20"/>
                <w:szCs w:val="20"/>
                <w:lang w:eastAsia="en-GB"/>
              </w:rPr>
              <w:t>The outcome measures we will prioritise:</w:t>
            </w:r>
          </w:p>
        </w:tc>
        <w:tc>
          <w:tcPr>
            <w:tcW w:w="445" w:type="pct"/>
            <w:tcBorders>
              <w:top w:val="single" w:sz="8" w:space="0" w:color="auto"/>
              <w:left w:val="nil"/>
              <w:bottom w:val="single" w:sz="8" w:space="0" w:color="auto"/>
              <w:right w:val="nil"/>
            </w:tcBorders>
            <w:vAlign w:val="center"/>
            <w:hideMark/>
          </w:tcPr>
          <w:p w14:paraId="0631DD0A"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2021/22</w:t>
            </w:r>
          </w:p>
        </w:tc>
        <w:tc>
          <w:tcPr>
            <w:tcW w:w="461" w:type="pct"/>
            <w:tcBorders>
              <w:top w:val="single" w:sz="8" w:space="0" w:color="auto"/>
              <w:left w:val="nil"/>
              <w:bottom w:val="single" w:sz="8" w:space="0" w:color="auto"/>
              <w:right w:val="nil"/>
            </w:tcBorders>
            <w:vAlign w:val="center"/>
            <w:hideMark/>
          </w:tcPr>
          <w:p w14:paraId="41F97EA8"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2022/23</w:t>
            </w:r>
          </w:p>
        </w:tc>
        <w:tc>
          <w:tcPr>
            <w:tcW w:w="461" w:type="pct"/>
            <w:tcBorders>
              <w:top w:val="single" w:sz="8" w:space="0" w:color="auto"/>
              <w:left w:val="nil"/>
              <w:bottom w:val="single" w:sz="8" w:space="0" w:color="auto"/>
              <w:right w:val="nil"/>
            </w:tcBorders>
            <w:vAlign w:val="center"/>
            <w:hideMark/>
          </w:tcPr>
          <w:p w14:paraId="1B7CCB73"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2023/24</w:t>
            </w:r>
          </w:p>
        </w:tc>
        <w:tc>
          <w:tcPr>
            <w:tcW w:w="461" w:type="pct"/>
            <w:tcBorders>
              <w:top w:val="single" w:sz="8" w:space="0" w:color="auto"/>
              <w:left w:val="nil"/>
              <w:bottom w:val="single" w:sz="8" w:space="0" w:color="auto"/>
              <w:right w:val="nil"/>
            </w:tcBorders>
            <w:vAlign w:val="center"/>
            <w:hideMark/>
          </w:tcPr>
          <w:p w14:paraId="1D95BB25"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2024/25</w:t>
            </w:r>
          </w:p>
        </w:tc>
        <w:tc>
          <w:tcPr>
            <w:tcW w:w="540" w:type="pct"/>
            <w:tcBorders>
              <w:top w:val="single" w:sz="8" w:space="0" w:color="auto"/>
              <w:left w:val="single" w:sz="8" w:space="0" w:color="auto"/>
              <w:bottom w:val="single" w:sz="8" w:space="0" w:color="auto"/>
              <w:right w:val="single" w:sz="8" w:space="0" w:color="auto"/>
            </w:tcBorders>
            <w:vAlign w:val="center"/>
            <w:hideMark/>
          </w:tcPr>
          <w:p w14:paraId="14392F0B"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3 year Assessment</w:t>
            </w:r>
          </w:p>
        </w:tc>
      </w:tr>
      <w:tr w:rsidR="00E26D26" w:rsidRPr="00E26D26" w14:paraId="64CBD22A" w14:textId="77777777">
        <w:trPr>
          <w:trHeight w:val="630"/>
        </w:trPr>
        <w:tc>
          <w:tcPr>
            <w:tcW w:w="345" w:type="pct"/>
            <w:tcBorders>
              <w:top w:val="nil"/>
              <w:left w:val="single" w:sz="8" w:space="0" w:color="auto"/>
              <w:bottom w:val="nil"/>
              <w:right w:val="nil"/>
            </w:tcBorders>
            <w:vAlign w:val="center"/>
            <w:hideMark/>
          </w:tcPr>
          <w:p w14:paraId="3D154DBF"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KPI1</w:t>
            </w:r>
          </w:p>
        </w:tc>
        <w:tc>
          <w:tcPr>
            <w:tcW w:w="2288" w:type="pct"/>
            <w:tcBorders>
              <w:top w:val="nil"/>
              <w:left w:val="nil"/>
              <w:bottom w:val="nil"/>
              <w:right w:val="single" w:sz="8" w:space="0" w:color="auto"/>
            </w:tcBorders>
            <w:vAlign w:val="center"/>
            <w:hideMark/>
          </w:tcPr>
          <w:p w14:paraId="75546C3B"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Number of deliberate primary fires per 10,000 population </w:t>
            </w:r>
          </w:p>
        </w:tc>
        <w:tc>
          <w:tcPr>
            <w:tcW w:w="445" w:type="pct"/>
            <w:tcBorders>
              <w:top w:val="nil"/>
              <w:left w:val="nil"/>
              <w:bottom w:val="nil"/>
              <w:right w:val="nil"/>
            </w:tcBorders>
            <w:vAlign w:val="center"/>
            <w:hideMark/>
          </w:tcPr>
          <w:p w14:paraId="42C8F717"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2.80</w:t>
            </w:r>
          </w:p>
        </w:tc>
        <w:tc>
          <w:tcPr>
            <w:tcW w:w="461" w:type="pct"/>
            <w:tcBorders>
              <w:top w:val="nil"/>
              <w:left w:val="nil"/>
              <w:bottom w:val="nil"/>
              <w:right w:val="nil"/>
            </w:tcBorders>
            <w:vAlign w:val="center"/>
            <w:hideMark/>
          </w:tcPr>
          <w:p w14:paraId="32BBF750"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3.15</w:t>
            </w:r>
          </w:p>
        </w:tc>
        <w:tc>
          <w:tcPr>
            <w:tcW w:w="461" w:type="pct"/>
            <w:tcBorders>
              <w:top w:val="nil"/>
              <w:left w:val="nil"/>
              <w:bottom w:val="nil"/>
              <w:right w:val="nil"/>
            </w:tcBorders>
            <w:vAlign w:val="center"/>
            <w:hideMark/>
          </w:tcPr>
          <w:p w14:paraId="700B7640"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3.00</w:t>
            </w:r>
          </w:p>
        </w:tc>
        <w:tc>
          <w:tcPr>
            <w:tcW w:w="461" w:type="pct"/>
            <w:tcBorders>
              <w:top w:val="nil"/>
              <w:left w:val="nil"/>
              <w:bottom w:val="nil"/>
              <w:right w:val="nil"/>
            </w:tcBorders>
            <w:vAlign w:val="center"/>
            <w:hideMark/>
          </w:tcPr>
          <w:p w14:paraId="02C46C51"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2.93</w:t>
            </w:r>
          </w:p>
        </w:tc>
        <w:tc>
          <w:tcPr>
            <w:tcW w:w="540" w:type="pct"/>
            <w:tcBorders>
              <w:top w:val="nil"/>
              <w:left w:val="single" w:sz="8" w:space="0" w:color="auto"/>
              <w:bottom w:val="nil"/>
              <w:right w:val="single" w:sz="8" w:space="0" w:color="auto"/>
            </w:tcBorders>
            <w:shd w:val="clear" w:color="000000" w:fill="C6E0B4"/>
            <w:vAlign w:val="center"/>
            <w:hideMark/>
          </w:tcPr>
          <w:p w14:paraId="447C04AA"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Reducing</w:t>
            </w:r>
          </w:p>
        </w:tc>
      </w:tr>
      <w:tr w:rsidR="00E26D26" w:rsidRPr="00E26D26" w14:paraId="652A9770" w14:textId="77777777">
        <w:trPr>
          <w:trHeight w:val="630"/>
        </w:trPr>
        <w:tc>
          <w:tcPr>
            <w:tcW w:w="345" w:type="pct"/>
            <w:tcBorders>
              <w:top w:val="dotted" w:sz="4" w:space="0" w:color="auto"/>
              <w:left w:val="single" w:sz="8" w:space="0" w:color="auto"/>
              <w:bottom w:val="dotted" w:sz="4" w:space="0" w:color="auto"/>
              <w:right w:val="nil"/>
            </w:tcBorders>
            <w:vAlign w:val="center"/>
            <w:hideMark/>
          </w:tcPr>
          <w:p w14:paraId="7A4A6F05"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KPI2</w:t>
            </w:r>
          </w:p>
        </w:tc>
        <w:tc>
          <w:tcPr>
            <w:tcW w:w="2288" w:type="pct"/>
            <w:tcBorders>
              <w:top w:val="dotted" w:sz="4" w:space="0" w:color="auto"/>
              <w:left w:val="nil"/>
              <w:bottom w:val="dotted" w:sz="4" w:space="0" w:color="auto"/>
              <w:right w:val="single" w:sz="8" w:space="0" w:color="auto"/>
            </w:tcBorders>
            <w:vAlign w:val="center"/>
            <w:hideMark/>
          </w:tcPr>
          <w:p w14:paraId="149203E3"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Number of deliberate secondary fires per 10,000 population </w:t>
            </w:r>
          </w:p>
        </w:tc>
        <w:tc>
          <w:tcPr>
            <w:tcW w:w="445" w:type="pct"/>
            <w:tcBorders>
              <w:top w:val="dotted" w:sz="4" w:space="0" w:color="auto"/>
              <w:left w:val="nil"/>
              <w:bottom w:val="dotted" w:sz="4" w:space="0" w:color="auto"/>
              <w:right w:val="nil"/>
            </w:tcBorders>
            <w:vAlign w:val="center"/>
            <w:hideMark/>
          </w:tcPr>
          <w:p w14:paraId="40ABD2B0"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6.30</w:t>
            </w:r>
          </w:p>
        </w:tc>
        <w:tc>
          <w:tcPr>
            <w:tcW w:w="461" w:type="pct"/>
            <w:tcBorders>
              <w:top w:val="dotted" w:sz="4" w:space="0" w:color="auto"/>
              <w:left w:val="nil"/>
              <w:bottom w:val="dotted" w:sz="4" w:space="0" w:color="auto"/>
              <w:right w:val="nil"/>
            </w:tcBorders>
            <w:vAlign w:val="center"/>
            <w:hideMark/>
          </w:tcPr>
          <w:p w14:paraId="1ABE7EC2"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7.90</w:t>
            </w:r>
          </w:p>
        </w:tc>
        <w:tc>
          <w:tcPr>
            <w:tcW w:w="461" w:type="pct"/>
            <w:tcBorders>
              <w:top w:val="dotted" w:sz="4" w:space="0" w:color="auto"/>
              <w:left w:val="nil"/>
              <w:bottom w:val="dotted" w:sz="4" w:space="0" w:color="auto"/>
              <w:right w:val="nil"/>
            </w:tcBorders>
            <w:vAlign w:val="center"/>
            <w:hideMark/>
          </w:tcPr>
          <w:p w14:paraId="1911A3A2"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6.11</w:t>
            </w:r>
          </w:p>
        </w:tc>
        <w:tc>
          <w:tcPr>
            <w:tcW w:w="461" w:type="pct"/>
            <w:tcBorders>
              <w:top w:val="dotted" w:sz="4" w:space="0" w:color="auto"/>
              <w:left w:val="nil"/>
              <w:bottom w:val="dotted" w:sz="4" w:space="0" w:color="auto"/>
              <w:right w:val="nil"/>
            </w:tcBorders>
            <w:vAlign w:val="center"/>
            <w:hideMark/>
          </w:tcPr>
          <w:p w14:paraId="54BF3872"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5.70</w:t>
            </w:r>
          </w:p>
        </w:tc>
        <w:tc>
          <w:tcPr>
            <w:tcW w:w="540" w:type="pct"/>
            <w:tcBorders>
              <w:top w:val="dotted" w:sz="4" w:space="0" w:color="auto"/>
              <w:left w:val="single" w:sz="8" w:space="0" w:color="auto"/>
              <w:bottom w:val="dotted" w:sz="4" w:space="0" w:color="auto"/>
              <w:right w:val="single" w:sz="8" w:space="0" w:color="auto"/>
            </w:tcBorders>
            <w:shd w:val="clear" w:color="000000" w:fill="C6E0B4"/>
            <w:vAlign w:val="center"/>
            <w:hideMark/>
          </w:tcPr>
          <w:p w14:paraId="46E548E7"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Reducing</w:t>
            </w:r>
          </w:p>
        </w:tc>
      </w:tr>
      <w:tr w:rsidR="00E26D26" w:rsidRPr="00E26D26" w14:paraId="7CCF49DF" w14:textId="77777777">
        <w:trPr>
          <w:trHeight w:val="630"/>
        </w:trPr>
        <w:tc>
          <w:tcPr>
            <w:tcW w:w="345" w:type="pct"/>
            <w:tcBorders>
              <w:top w:val="nil"/>
              <w:left w:val="single" w:sz="8" w:space="0" w:color="auto"/>
              <w:bottom w:val="nil"/>
              <w:right w:val="nil"/>
            </w:tcBorders>
            <w:vAlign w:val="center"/>
            <w:hideMark/>
          </w:tcPr>
          <w:p w14:paraId="2E009581"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KPI3</w:t>
            </w:r>
          </w:p>
        </w:tc>
        <w:tc>
          <w:tcPr>
            <w:tcW w:w="2288" w:type="pct"/>
            <w:tcBorders>
              <w:top w:val="nil"/>
              <w:left w:val="nil"/>
              <w:bottom w:val="nil"/>
              <w:right w:val="single" w:sz="8" w:space="0" w:color="auto"/>
            </w:tcBorders>
            <w:vAlign w:val="center"/>
            <w:hideMark/>
          </w:tcPr>
          <w:p w14:paraId="67744C54"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Number of primary fires per 100,000 population </w:t>
            </w:r>
          </w:p>
        </w:tc>
        <w:tc>
          <w:tcPr>
            <w:tcW w:w="445" w:type="pct"/>
            <w:tcBorders>
              <w:top w:val="nil"/>
              <w:left w:val="nil"/>
              <w:bottom w:val="nil"/>
              <w:right w:val="nil"/>
            </w:tcBorders>
            <w:vAlign w:val="center"/>
            <w:hideMark/>
          </w:tcPr>
          <w:p w14:paraId="73A123E1"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118.08</w:t>
            </w:r>
          </w:p>
        </w:tc>
        <w:tc>
          <w:tcPr>
            <w:tcW w:w="461" w:type="pct"/>
            <w:tcBorders>
              <w:top w:val="nil"/>
              <w:left w:val="nil"/>
              <w:bottom w:val="nil"/>
              <w:right w:val="nil"/>
            </w:tcBorders>
            <w:vAlign w:val="center"/>
            <w:hideMark/>
          </w:tcPr>
          <w:p w14:paraId="07EA6820"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119.65</w:t>
            </w:r>
          </w:p>
        </w:tc>
        <w:tc>
          <w:tcPr>
            <w:tcW w:w="461" w:type="pct"/>
            <w:tcBorders>
              <w:top w:val="nil"/>
              <w:left w:val="nil"/>
              <w:bottom w:val="nil"/>
              <w:right w:val="nil"/>
            </w:tcBorders>
            <w:vAlign w:val="center"/>
            <w:hideMark/>
          </w:tcPr>
          <w:p w14:paraId="46A950FE"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114.41</w:t>
            </w:r>
          </w:p>
        </w:tc>
        <w:tc>
          <w:tcPr>
            <w:tcW w:w="461" w:type="pct"/>
            <w:tcBorders>
              <w:top w:val="nil"/>
              <w:left w:val="nil"/>
              <w:bottom w:val="nil"/>
              <w:right w:val="nil"/>
            </w:tcBorders>
            <w:vAlign w:val="center"/>
            <w:hideMark/>
          </w:tcPr>
          <w:p w14:paraId="6894F10B"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115.35</w:t>
            </w:r>
          </w:p>
        </w:tc>
        <w:tc>
          <w:tcPr>
            <w:tcW w:w="540" w:type="pct"/>
            <w:tcBorders>
              <w:top w:val="nil"/>
              <w:left w:val="single" w:sz="8" w:space="0" w:color="auto"/>
              <w:bottom w:val="nil"/>
              <w:right w:val="single" w:sz="8" w:space="0" w:color="auto"/>
            </w:tcBorders>
            <w:shd w:val="clear" w:color="000000" w:fill="C6E0B4"/>
            <w:vAlign w:val="center"/>
            <w:hideMark/>
          </w:tcPr>
          <w:p w14:paraId="34F02BDB"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Reducing</w:t>
            </w:r>
          </w:p>
        </w:tc>
      </w:tr>
      <w:tr w:rsidR="00E26D26" w:rsidRPr="00E26D26" w14:paraId="5B2F1624" w14:textId="77777777">
        <w:trPr>
          <w:trHeight w:val="630"/>
        </w:trPr>
        <w:tc>
          <w:tcPr>
            <w:tcW w:w="345" w:type="pct"/>
            <w:tcBorders>
              <w:top w:val="dotted" w:sz="4" w:space="0" w:color="auto"/>
              <w:left w:val="single" w:sz="8" w:space="0" w:color="auto"/>
              <w:bottom w:val="dotted" w:sz="4" w:space="0" w:color="auto"/>
              <w:right w:val="nil"/>
            </w:tcBorders>
            <w:vAlign w:val="center"/>
            <w:hideMark/>
          </w:tcPr>
          <w:p w14:paraId="3751DDA2"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KPI4</w:t>
            </w:r>
          </w:p>
        </w:tc>
        <w:tc>
          <w:tcPr>
            <w:tcW w:w="2288" w:type="pct"/>
            <w:tcBorders>
              <w:top w:val="dotted" w:sz="4" w:space="0" w:color="auto"/>
              <w:left w:val="nil"/>
              <w:bottom w:val="dotted" w:sz="4" w:space="0" w:color="auto"/>
              <w:right w:val="single" w:sz="8" w:space="0" w:color="auto"/>
            </w:tcBorders>
            <w:vAlign w:val="center"/>
            <w:hideMark/>
          </w:tcPr>
          <w:p w14:paraId="5AB05FCC"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Total number of fatalities due to primary fires per 100,000 population </w:t>
            </w:r>
          </w:p>
        </w:tc>
        <w:tc>
          <w:tcPr>
            <w:tcW w:w="445" w:type="pct"/>
            <w:tcBorders>
              <w:top w:val="dotted" w:sz="4" w:space="0" w:color="auto"/>
              <w:left w:val="nil"/>
              <w:bottom w:val="dotted" w:sz="4" w:space="0" w:color="auto"/>
              <w:right w:val="nil"/>
            </w:tcBorders>
            <w:vAlign w:val="center"/>
            <w:hideMark/>
          </w:tcPr>
          <w:p w14:paraId="3B580E0B"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0.66</w:t>
            </w:r>
          </w:p>
        </w:tc>
        <w:tc>
          <w:tcPr>
            <w:tcW w:w="461" w:type="pct"/>
            <w:tcBorders>
              <w:top w:val="dotted" w:sz="4" w:space="0" w:color="auto"/>
              <w:left w:val="nil"/>
              <w:bottom w:val="dotted" w:sz="4" w:space="0" w:color="auto"/>
              <w:right w:val="nil"/>
            </w:tcBorders>
            <w:vAlign w:val="center"/>
            <w:hideMark/>
          </w:tcPr>
          <w:p w14:paraId="3C1F9C48"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0.13</w:t>
            </w:r>
          </w:p>
        </w:tc>
        <w:tc>
          <w:tcPr>
            <w:tcW w:w="461" w:type="pct"/>
            <w:tcBorders>
              <w:top w:val="dotted" w:sz="4" w:space="0" w:color="auto"/>
              <w:left w:val="nil"/>
              <w:bottom w:val="dotted" w:sz="4" w:space="0" w:color="auto"/>
              <w:right w:val="nil"/>
            </w:tcBorders>
            <w:vAlign w:val="center"/>
            <w:hideMark/>
          </w:tcPr>
          <w:p w14:paraId="23BB394B"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0.38</w:t>
            </w:r>
          </w:p>
        </w:tc>
        <w:tc>
          <w:tcPr>
            <w:tcW w:w="461" w:type="pct"/>
            <w:tcBorders>
              <w:top w:val="dotted" w:sz="4" w:space="0" w:color="auto"/>
              <w:left w:val="nil"/>
              <w:bottom w:val="dotted" w:sz="4" w:space="0" w:color="auto"/>
              <w:right w:val="nil"/>
            </w:tcBorders>
            <w:vAlign w:val="center"/>
            <w:hideMark/>
          </w:tcPr>
          <w:p w14:paraId="6091C27E"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1.01</w:t>
            </w:r>
          </w:p>
        </w:tc>
        <w:tc>
          <w:tcPr>
            <w:tcW w:w="540" w:type="pct"/>
            <w:tcBorders>
              <w:top w:val="dotted" w:sz="4" w:space="0" w:color="auto"/>
              <w:left w:val="single" w:sz="8" w:space="0" w:color="auto"/>
              <w:bottom w:val="dotted" w:sz="4" w:space="0" w:color="auto"/>
              <w:right w:val="single" w:sz="8" w:space="0" w:color="auto"/>
            </w:tcBorders>
            <w:shd w:val="clear" w:color="000000" w:fill="F8CBAD"/>
            <w:vAlign w:val="center"/>
            <w:hideMark/>
          </w:tcPr>
          <w:p w14:paraId="52DF4A38"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Increasing</w:t>
            </w:r>
          </w:p>
        </w:tc>
      </w:tr>
      <w:tr w:rsidR="00E26D26" w:rsidRPr="00E26D26" w14:paraId="3B1A6017" w14:textId="77777777">
        <w:trPr>
          <w:trHeight w:val="840"/>
        </w:trPr>
        <w:tc>
          <w:tcPr>
            <w:tcW w:w="345" w:type="pct"/>
            <w:tcBorders>
              <w:top w:val="nil"/>
              <w:left w:val="single" w:sz="8" w:space="0" w:color="auto"/>
              <w:bottom w:val="nil"/>
              <w:right w:val="nil"/>
            </w:tcBorders>
            <w:vAlign w:val="center"/>
            <w:hideMark/>
          </w:tcPr>
          <w:p w14:paraId="38714E14"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KPI5</w:t>
            </w:r>
          </w:p>
        </w:tc>
        <w:tc>
          <w:tcPr>
            <w:tcW w:w="2288" w:type="pct"/>
            <w:tcBorders>
              <w:top w:val="nil"/>
              <w:left w:val="nil"/>
              <w:bottom w:val="nil"/>
              <w:right w:val="single" w:sz="8" w:space="0" w:color="auto"/>
            </w:tcBorders>
            <w:vAlign w:val="center"/>
            <w:hideMark/>
          </w:tcPr>
          <w:p w14:paraId="6DCD176D"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Total number of non-fatal casualties in fires (excluding precautionary checks and first aid) per 100,000 population </w:t>
            </w:r>
          </w:p>
        </w:tc>
        <w:tc>
          <w:tcPr>
            <w:tcW w:w="445" w:type="pct"/>
            <w:tcBorders>
              <w:top w:val="nil"/>
              <w:left w:val="nil"/>
              <w:bottom w:val="nil"/>
              <w:right w:val="nil"/>
            </w:tcBorders>
            <w:vAlign w:val="center"/>
            <w:hideMark/>
          </w:tcPr>
          <w:p w14:paraId="70089958"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3.17</w:t>
            </w:r>
          </w:p>
        </w:tc>
        <w:tc>
          <w:tcPr>
            <w:tcW w:w="461" w:type="pct"/>
            <w:tcBorders>
              <w:top w:val="nil"/>
              <w:left w:val="nil"/>
              <w:bottom w:val="nil"/>
              <w:right w:val="nil"/>
            </w:tcBorders>
            <w:vAlign w:val="center"/>
            <w:hideMark/>
          </w:tcPr>
          <w:p w14:paraId="14EFC2C7"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3.43</w:t>
            </w:r>
          </w:p>
        </w:tc>
        <w:tc>
          <w:tcPr>
            <w:tcW w:w="461" w:type="pct"/>
            <w:tcBorders>
              <w:top w:val="nil"/>
              <w:left w:val="nil"/>
              <w:bottom w:val="nil"/>
              <w:right w:val="nil"/>
            </w:tcBorders>
            <w:vAlign w:val="center"/>
            <w:hideMark/>
          </w:tcPr>
          <w:p w14:paraId="4D0FFEDE"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3.18</w:t>
            </w:r>
          </w:p>
        </w:tc>
        <w:tc>
          <w:tcPr>
            <w:tcW w:w="461" w:type="pct"/>
            <w:tcBorders>
              <w:top w:val="nil"/>
              <w:left w:val="nil"/>
              <w:bottom w:val="nil"/>
              <w:right w:val="nil"/>
            </w:tcBorders>
            <w:vAlign w:val="center"/>
            <w:hideMark/>
          </w:tcPr>
          <w:p w14:paraId="79B17BC9"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3.79</w:t>
            </w:r>
          </w:p>
        </w:tc>
        <w:tc>
          <w:tcPr>
            <w:tcW w:w="540" w:type="pct"/>
            <w:tcBorders>
              <w:top w:val="nil"/>
              <w:left w:val="single" w:sz="8" w:space="0" w:color="auto"/>
              <w:bottom w:val="nil"/>
              <w:right w:val="single" w:sz="8" w:space="0" w:color="auto"/>
            </w:tcBorders>
            <w:shd w:val="clear" w:color="000000" w:fill="F8CBAD"/>
            <w:vAlign w:val="center"/>
            <w:hideMark/>
          </w:tcPr>
          <w:p w14:paraId="28E6D8DD"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Increasing</w:t>
            </w:r>
          </w:p>
        </w:tc>
      </w:tr>
      <w:tr w:rsidR="00E26D26" w:rsidRPr="00E26D26" w14:paraId="2E2472B9" w14:textId="77777777">
        <w:trPr>
          <w:trHeight w:val="630"/>
        </w:trPr>
        <w:tc>
          <w:tcPr>
            <w:tcW w:w="345" w:type="pct"/>
            <w:tcBorders>
              <w:top w:val="dotted" w:sz="4" w:space="0" w:color="auto"/>
              <w:left w:val="single" w:sz="8" w:space="0" w:color="auto"/>
              <w:bottom w:val="dotted" w:sz="4" w:space="0" w:color="auto"/>
              <w:right w:val="nil"/>
            </w:tcBorders>
            <w:vAlign w:val="center"/>
            <w:hideMark/>
          </w:tcPr>
          <w:p w14:paraId="7DE528F8"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KPI6</w:t>
            </w:r>
          </w:p>
        </w:tc>
        <w:tc>
          <w:tcPr>
            <w:tcW w:w="2288" w:type="pct"/>
            <w:tcBorders>
              <w:top w:val="dotted" w:sz="4" w:space="0" w:color="auto"/>
              <w:left w:val="nil"/>
              <w:bottom w:val="dotted" w:sz="4" w:space="0" w:color="auto"/>
              <w:right w:val="single" w:sz="8" w:space="0" w:color="auto"/>
            </w:tcBorders>
            <w:vAlign w:val="center"/>
            <w:hideMark/>
          </w:tcPr>
          <w:p w14:paraId="5B61B165"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Number of accidental dwelling fires per 10,000 dwellings </w:t>
            </w:r>
          </w:p>
        </w:tc>
        <w:tc>
          <w:tcPr>
            <w:tcW w:w="445" w:type="pct"/>
            <w:tcBorders>
              <w:top w:val="dotted" w:sz="4" w:space="0" w:color="auto"/>
              <w:left w:val="nil"/>
              <w:bottom w:val="dotted" w:sz="4" w:space="0" w:color="auto"/>
              <w:right w:val="nil"/>
            </w:tcBorders>
            <w:vAlign w:val="center"/>
            <w:hideMark/>
          </w:tcPr>
          <w:p w14:paraId="4DDF60E8"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13.95</w:t>
            </w:r>
          </w:p>
        </w:tc>
        <w:tc>
          <w:tcPr>
            <w:tcW w:w="461" w:type="pct"/>
            <w:tcBorders>
              <w:top w:val="dotted" w:sz="4" w:space="0" w:color="auto"/>
              <w:left w:val="nil"/>
              <w:bottom w:val="dotted" w:sz="4" w:space="0" w:color="auto"/>
              <w:right w:val="nil"/>
            </w:tcBorders>
            <w:vAlign w:val="center"/>
            <w:hideMark/>
          </w:tcPr>
          <w:p w14:paraId="0D958FBB"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10.69</w:t>
            </w:r>
          </w:p>
        </w:tc>
        <w:tc>
          <w:tcPr>
            <w:tcW w:w="461" w:type="pct"/>
            <w:tcBorders>
              <w:top w:val="dotted" w:sz="4" w:space="0" w:color="auto"/>
              <w:left w:val="nil"/>
              <w:bottom w:val="dotted" w:sz="4" w:space="0" w:color="auto"/>
              <w:right w:val="nil"/>
            </w:tcBorders>
            <w:vAlign w:val="center"/>
            <w:hideMark/>
          </w:tcPr>
          <w:p w14:paraId="3DB7BE8B"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9.36</w:t>
            </w:r>
          </w:p>
        </w:tc>
        <w:tc>
          <w:tcPr>
            <w:tcW w:w="461" w:type="pct"/>
            <w:tcBorders>
              <w:top w:val="dotted" w:sz="4" w:space="0" w:color="auto"/>
              <w:left w:val="nil"/>
              <w:bottom w:val="dotted" w:sz="4" w:space="0" w:color="auto"/>
              <w:right w:val="nil"/>
            </w:tcBorders>
            <w:vAlign w:val="center"/>
            <w:hideMark/>
          </w:tcPr>
          <w:p w14:paraId="4D15AA85"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10.01</w:t>
            </w:r>
          </w:p>
        </w:tc>
        <w:tc>
          <w:tcPr>
            <w:tcW w:w="540" w:type="pct"/>
            <w:tcBorders>
              <w:top w:val="dotted" w:sz="4" w:space="0" w:color="auto"/>
              <w:left w:val="single" w:sz="8" w:space="0" w:color="auto"/>
              <w:bottom w:val="dotted" w:sz="4" w:space="0" w:color="auto"/>
              <w:right w:val="single" w:sz="8" w:space="0" w:color="auto"/>
            </w:tcBorders>
            <w:shd w:val="clear" w:color="000000" w:fill="C6E0B4"/>
            <w:vAlign w:val="center"/>
            <w:hideMark/>
          </w:tcPr>
          <w:p w14:paraId="533B89DB"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Reducing</w:t>
            </w:r>
          </w:p>
        </w:tc>
      </w:tr>
      <w:tr w:rsidR="00E26D26" w:rsidRPr="00E26D26" w14:paraId="1281584F" w14:textId="77777777">
        <w:trPr>
          <w:trHeight w:val="630"/>
        </w:trPr>
        <w:tc>
          <w:tcPr>
            <w:tcW w:w="345" w:type="pct"/>
            <w:tcBorders>
              <w:top w:val="nil"/>
              <w:left w:val="single" w:sz="8" w:space="0" w:color="auto"/>
              <w:bottom w:val="nil"/>
              <w:right w:val="nil"/>
            </w:tcBorders>
            <w:vAlign w:val="center"/>
            <w:hideMark/>
          </w:tcPr>
          <w:p w14:paraId="4751E6B8"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KPI7</w:t>
            </w:r>
          </w:p>
        </w:tc>
        <w:tc>
          <w:tcPr>
            <w:tcW w:w="2288" w:type="pct"/>
            <w:tcBorders>
              <w:top w:val="nil"/>
              <w:left w:val="nil"/>
              <w:bottom w:val="nil"/>
              <w:right w:val="single" w:sz="8" w:space="0" w:color="auto"/>
            </w:tcBorders>
            <w:vAlign w:val="center"/>
            <w:hideMark/>
          </w:tcPr>
          <w:p w14:paraId="2C0CED92"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The number of deaths arising from accidental fires in dwellings per 100,000 population </w:t>
            </w:r>
          </w:p>
        </w:tc>
        <w:tc>
          <w:tcPr>
            <w:tcW w:w="445" w:type="pct"/>
            <w:tcBorders>
              <w:top w:val="nil"/>
              <w:left w:val="nil"/>
              <w:bottom w:val="nil"/>
              <w:right w:val="nil"/>
            </w:tcBorders>
            <w:vAlign w:val="center"/>
            <w:hideMark/>
          </w:tcPr>
          <w:p w14:paraId="0702D3E2"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0.00</w:t>
            </w:r>
          </w:p>
        </w:tc>
        <w:tc>
          <w:tcPr>
            <w:tcW w:w="461" w:type="pct"/>
            <w:tcBorders>
              <w:top w:val="nil"/>
              <w:left w:val="nil"/>
              <w:bottom w:val="nil"/>
              <w:right w:val="nil"/>
            </w:tcBorders>
            <w:vAlign w:val="center"/>
            <w:hideMark/>
          </w:tcPr>
          <w:p w14:paraId="1287306A"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0.13</w:t>
            </w:r>
          </w:p>
        </w:tc>
        <w:tc>
          <w:tcPr>
            <w:tcW w:w="461" w:type="pct"/>
            <w:tcBorders>
              <w:top w:val="nil"/>
              <w:left w:val="nil"/>
              <w:bottom w:val="nil"/>
              <w:right w:val="nil"/>
            </w:tcBorders>
            <w:vAlign w:val="center"/>
            <w:hideMark/>
          </w:tcPr>
          <w:p w14:paraId="67590588"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0.38</w:t>
            </w:r>
          </w:p>
        </w:tc>
        <w:tc>
          <w:tcPr>
            <w:tcW w:w="461" w:type="pct"/>
            <w:tcBorders>
              <w:top w:val="nil"/>
              <w:left w:val="nil"/>
              <w:bottom w:val="nil"/>
              <w:right w:val="nil"/>
            </w:tcBorders>
            <w:vAlign w:val="center"/>
            <w:hideMark/>
          </w:tcPr>
          <w:p w14:paraId="5D3626FE"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0.63</w:t>
            </w:r>
          </w:p>
        </w:tc>
        <w:tc>
          <w:tcPr>
            <w:tcW w:w="540" w:type="pct"/>
            <w:tcBorders>
              <w:top w:val="nil"/>
              <w:left w:val="single" w:sz="8" w:space="0" w:color="auto"/>
              <w:bottom w:val="nil"/>
              <w:right w:val="single" w:sz="8" w:space="0" w:color="auto"/>
            </w:tcBorders>
            <w:shd w:val="clear" w:color="000000" w:fill="F8CBAD"/>
            <w:vAlign w:val="center"/>
            <w:hideMark/>
          </w:tcPr>
          <w:p w14:paraId="0182D065"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Increasing</w:t>
            </w:r>
          </w:p>
        </w:tc>
      </w:tr>
      <w:tr w:rsidR="00E26D26" w:rsidRPr="00E26D26" w14:paraId="2EB2E044" w14:textId="77777777">
        <w:trPr>
          <w:trHeight w:val="934"/>
        </w:trPr>
        <w:tc>
          <w:tcPr>
            <w:tcW w:w="345" w:type="pct"/>
            <w:tcBorders>
              <w:top w:val="dotted" w:sz="4" w:space="0" w:color="auto"/>
              <w:left w:val="single" w:sz="8" w:space="0" w:color="auto"/>
              <w:bottom w:val="dotted" w:sz="4" w:space="0" w:color="auto"/>
              <w:right w:val="nil"/>
            </w:tcBorders>
            <w:vAlign w:val="center"/>
            <w:hideMark/>
          </w:tcPr>
          <w:p w14:paraId="07258939" w14:textId="77777777" w:rsidR="00E26D26" w:rsidRPr="00E26D26" w:rsidRDefault="00E26D26" w:rsidP="00E26D26">
            <w:pPr>
              <w:spacing w:line="240" w:lineRule="auto"/>
              <w:jc w:val="left"/>
              <w:rPr>
                <w:rFonts w:eastAsia="Times New Roman"/>
                <w:sz w:val="20"/>
                <w:szCs w:val="20"/>
                <w:lang w:eastAsia="en-GB"/>
              </w:rPr>
            </w:pPr>
            <w:r w:rsidRPr="00E26D26">
              <w:rPr>
                <w:rFonts w:eastAsia="Times New Roman"/>
                <w:sz w:val="20"/>
                <w:szCs w:val="20"/>
                <w:lang w:eastAsia="en-GB"/>
              </w:rPr>
              <w:t>KPI8</w:t>
            </w:r>
          </w:p>
        </w:tc>
        <w:tc>
          <w:tcPr>
            <w:tcW w:w="2288" w:type="pct"/>
            <w:tcBorders>
              <w:top w:val="dotted" w:sz="4" w:space="0" w:color="auto"/>
              <w:left w:val="nil"/>
              <w:bottom w:val="dotted" w:sz="4" w:space="0" w:color="auto"/>
              <w:right w:val="single" w:sz="8" w:space="0" w:color="auto"/>
            </w:tcBorders>
            <w:vAlign w:val="center"/>
            <w:hideMark/>
          </w:tcPr>
          <w:p w14:paraId="460E095D" w14:textId="77777777" w:rsidR="00E26D26" w:rsidRPr="00E26D26" w:rsidRDefault="00E26D26" w:rsidP="00E26D26">
            <w:pPr>
              <w:spacing w:line="240" w:lineRule="auto"/>
              <w:jc w:val="left"/>
              <w:rPr>
                <w:rFonts w:eastAsia="Times New Roman"/>
                <w:color w:val="000000"/>
                <w:sz w:val="20"/>
                <w:szCs w:val="20"/>
                <w:lang w:eastAsia="en-GB"/>
              </w:rPr>
            </w:pPr>
            <w:r w:rsidRPr="00E26D26">
              <w:rPr>
                <w:rFonts w:eastAsia="Times New Roman"/>
                <w:color w:val="000000"/>
                <w:sz w:val="20"/>
                <w:szCs w:val="20"/>
                <w:lang w:eastAsia="en-GB"/>
              </w:rPr>
              <w:t xml:space="preserve">The number of injuries (excluding precautionary checks), arising from accidental fires in dwellings per 100,000 population. </w:t>
            </w:r>
          </w:p>
        </w:tc>
        <w:tc>
          <w:tcPr>
            <w:tcW w:w="445" w:type="pct"/>
            <w:tcBorders>
              <w:top w:val="dotted" w:sz="4" w:space="0" w:color="auto"/>
              <w:left w:val="nil"/>
              <w:bottom w:val="dotted" w:sz="4" w:space="0" w:color="auto"/>
              <w:right w:val="nil"/>
            </w:tcBorders>
            <w:vAlign w:val="center"/>
            <w:hideMark/>
          </w:tcPr>
          <w:p w14:paraId="238A1914"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1.72</w:t>
            </w:r>
          </w:p>
        </w:tc>
        <w:tc>
          <w:tcPr>
            <w:tcW w:w="461" w:type="pct"/>
            <w:tcBorders>
              <w:top w:val="dotted" w:sz="4" w:space="0" w:color="auto"/>
              <w:left w:val="nil"/>
              <w:bottom w:val="dotted" w:sz="4" w:space="0" w:color="auto"/>
              <w:right w:val="nil"/>
            </w:tcBorders>
            <w:vAlign w:val="center"/>
            <w:hideMark/>
          </w:tcPr>
          <w:p w14:paraId="03F0DFCC"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1.91</w:t>
            </w:r>
          </w:p>
        </w:tc>
        <w:tc>
          <w:tcPr>
            <w:tcW w:w="461" w:type="pct"/>
            <w:tcBorders>
              <w:top w:val="dotted" w:sz="4" w:space="0" w:color="auto"/>
              <w:left w:val="nil"/>
              <w:bottom w:val="dotted" w:sz="4" w:space="0" w:color="auto"/>
              <w:right w:val="nil"/>
            </w:tcBorders>
            <w:vAlign w:val="center"/>
            <w:hideMark/>
          </w:tcPr>
          <w:p w14:paraId="4AC64C2E" w14:textId="77777777" w:rsidR="00E26D26" w:rsidRPr="00E26D26" w:rsidRDefault="00E26D26" w:rsidP="00E26D26">
            <w:pPr>
              <w:spacing w:line="240" w:lineRule="auto"/>
              <w:jc w:val="center"/>
              <w:rPr>
                <w:rFonts w:eastAsia="Times New Roman"/>
                <w:color w:val="000000"/>
                <w:sz w:val="20"/>
                <w:szCs w:val="20"/>
                <w:lang w:eastAsia="en-GB"/>
              </w:rPr>
            </w:pPr>
            <w:r w:rsidRPr="00E26D26">
              <w:rPr>
                <w:rFonts w:eastAsia="Times New Roman"/>
                <w:color w:val="000000"/>
                <w:sz w:val="20"/>
                <w:szCs w:val="20"/>
                <w:lang w:eastAsia="en-GB"/>
              </w:rPr>
              <w:t>1.53</w:t>
            </w:r>
          </w:p>
        </w:tc>
        <w:tc>
          <w:tcPr>
            <w:tcW w:w="461" w:type="pct"/>
            <w:tcBorders>
              <w:top w:val="dotted" w:sz="4" w:space="0" w:color="auto"/>
              <w:left w:val="nil"/>
              <w:bottom w:val="dotted" w:sz="4" w:space="0" w:color="auto"/>
              <w:right w:val="nil"/>
            </w:tcBorders>
            <w:vAlign w:val="center"/>
            <w:hideMark/>
          </w:tcPr>
          <w:p w14:paraId="34656DF5" w14:textId="77777777" w:rsidR="00E26D26" w:rsidRPr="00E26D26" w:rsidRDefault="00E26D26" w:rsidP="00E26D26">
            <w:pPr>
              <w:spacing w:line="240" w:lineRule="auto"/>
              <w:jc w:val="center"/>
              <w:rPr>
                <w:rFonts w:eastAsia="Times New Roman"/>
                <w:b/>
                <w:bCs/>
                <w:color w:val="000000"/>
                <w:sz w:val="20"/>
                <w:szCs w:val="20"/>
                <w:lang w:eastAsia="en-GB"/>
              </w:rPr>
            </w:pPr>
            <w:r w:rsidRPr="00E26D26">
              <w:rPr>
                <w:rFonts w:eastAsia="Times New Roman"/>
                <w:b/>
                <w:bCs/>
                <w:color w:val="000000"/>
                <w:sz w:val="20"/>
                <w:szCs w:val="20"/>
                <w:lang w:eastAsia="en-GB"/>
              </w:rPr>
              <w:t>1.89</w:t>
            </w:r>
          </w:p>
        </w:tc>
        <w:tc>
          <w:tcPr>
            <w:tcW w:w="540" w:type="pct"/>
            <w:tcBorders>
              <w:top w:val="dotted" w:sz="4" w:space="0" w:color="auto"/>
              <w:left w:val="single" w:sz="8" w:space="0" w:color="auto"/>
              <w:bottom w:val="dotted" w:sz="4" w:space="0" w:color="auto"/>
              <w:right w:val="single" w:sz="8" w:space="0" w:color="auto"/>
            </w:tcBorders>
            <w:vAlign w:val="center"/>
            <w:hideMark/>
          </w:tcPr>
          <w:p w14:paraId="32382366" w14:textId="77777777" w:rsidR="00E26D26" w:rsidRPr="00E26D26" w:rsidRDefault="00E26D26" w:rsidP="00E26D26">
            <w:pPr>
              <w:spacing w:line="240" w:lineRule="auto"/>
              <w:jc w:val="center"/>
              <w:rPr>
                <w:rFonts w:eastAsia="Times New Roman"/>
                <w:b/>
                <w:bCs/>
                <w:sz w:val="20"/>
                <w:szCs w:val="20"/>
                <w:lang w:eastAsia="en-GB"/>
              </w:rPr>
            </w:pPr>
            <w:r w:rsidRPr="00E26D26">
              <w:rPr>
                <w:rFonts w:eastAsia="Times New Roman"/>
                <w:b/>
                <w:bCs/>
                <w:sz w:val="20"/>
                <w:szCs w:val="20"/>
                <w:lang w:eastAsia="en-GB"/>
              </w:rPr>
              <w:t>Stable</w:t>
            </w:r>
          </w:p>
        </w:tc>
      </w:tr>
      <w:tr w:rsidR="00E26D26" w:rsidRPr="00E26D26" w14:paraId="46D45242" w14:textId="77777777">
        <w:trPr>
          <w:trHeight w:val="630"/>
        </w:trPr>
        <w:tc>
          <w:tcPr>
            <w:tcW w:w="345" w:type="pct"/>
            <w:tcBorders>
              <w:top w:val="nil"/>
              <w:left w:val="single" w:sz="8" w:space="0" w:color="auto"/>
              <w:bottom w:val="nil"/>
              <w:right w:val="nil"/>
            </w:tcBorders>
            <w:vAlign w:val="center"/>
            <w:hideMark/>
          </w:tcPr>
          <w:p w14:paraId="1F524CDF"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KPI9</w:t>
            </w:r>
          </w:p>
        </w:tc>
        <w:tc>
          <w:tcPr>
            <w:tcW w:w="2288" w:type="pct"/>
            <w:tcBorders>
              <w:top w:val="nil"/>
              <w:left w:val="nil"/>
              <w:bottom w:val="nil"/>
              <w:right w:val="single" w:sz="8" w:space="0" w:color="auto"/>
            </w:tcBorders>
            <w:vAlign w:val="center"/>
            <w:hideMark/>
          </w:tcPr>
          <w:p w14:paraId="335BDB62"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 xml:space="preserve">Number of fires in non-domestic premises per 1,000 non-domestic premises </w:t>
            </w:r>
          </w:p>
        </w:tc>
        <w:tc>
          <w:tcPr>
            <w:tcW w:w="445" w:type="pct"/>
            <w:tcBorders>
              <w:top w:val="nil"/>
              <w:left w:val="nil"/>
              <w:bottom w:val="nil"/>
              <w:right w:val="nil"/>
            </w:tcBorders>
            <w:vAlign w:val="center"/>
            <w:hideMark/>
          </w:tcPr>
          <w:p w14:paraId="65FC064E"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6.05</w:t>
            </w:r>
          </w:p>
        </w:tc>
        <w:tc>
          <w:tcPr>
            <w:tcW w:w="461" w:type="pct"/>
            <w:tcBorders>
              <w:top w:val="nil"/>
              <w:left w:val="nil"/>
              <w:bottom w:val="nil"/>
              <w:right w:val="nil"/>
            </w:tcBorders>
            <w:vAlign w:val="center"/>
            <w:hideMark/>
          </w:tcPr>
          <w:p w14:paraId="108AD806"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5.49</w:t>
            </w:r>
          </w:p>
        </w:tc>
        <w:tc>
          <w:tcPr>
            <w:tcW w:w="461" w:type="pct"/>
            <w:tcBorders>
              <w:top w:val="nil"/>
              <w:left w:val="nil"/>
              <w:bottom w:val="nil"/>
              <w:right w:val="nil"/>
            </w:tcBorders>
            <w:vAlign w:val="center"/>
            <w:hideMark/>
          </w:tcPr>
          <w:p w14:paraId="398E110F"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6.93</w:t>
            </w:r>
          </w:p>
        </w:tc>
        <w:tc>
          <w:tcPr>
            <w:tcW w:w="461" w:type="pct"/>
            <w:tcBorders>
              <w:top w:val="nil"/>
              <w:left w:val="nil"/>
              <w:bottom w:val="nil"/>
              <w:right w:val="nil"/>
            </w:tcBorders>
            <w:vAlign w:val="center"/>
            <w:hideMark/>
          </w:tcPr>
          <w:p w14:paraId="1A312CBE"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6.90</w:t>
            </w:r>
          </w:p>
        </w:tc>
        <w:tc>
          <w:tcPr>
            <w:tcW w:w="540" w:type="pct"/>
            <w:tcBorders>
              <w:top w:val="nil"/>
              <w:left w:val="single" w:sz="8" w:space="0" w:color="auto"/>
              <w:bottom w:val="nil"/>
              <w:right w:val="single" w:sz="8" w:space="0" w:color="auto"/>
            </w:tcBorders>
            <w:shd w:val="clear" w:color="000000" w:fill="F8CBAD"/>
            <w:vAlign w:val="center"/>
            <w:hideMark/>
          </w:tcPr>
          <w:p w14:paraId="6B8E22A7"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Increasing</w:t>
            </w:r>
          </w:p>
        </w:tc>
      </w:tr>
      <w:tr w:rsidR="00E26D26" w:rsidRPr="00E26D26" w14:paraId="4B1BCE2B" w14:textId="77777777">
        <w:trPr>
          <w:trHeight w:val="630"/>
        </w:trPr>
        <w:tc>
          <w:tcPr>
            <w:tcW w:w="345" w:type="pct"/>
            <w:tcBorders>
              <w:top w:val="dotted" w:sz="4" w:space="0" w:color="auto"/>
              <w:left w:val="single" w:sz="8" w:space="0" w:color="auto"/>
              <w:bottom w:val="dotted" w:sz="4" w:space="0" w:color="auto"/>
              <w:right w:val="nil"/>
            </w:tcBorders>
            <w:vAlign w:val="center"/>
            <w:hideMark/>
          </w:tcPr>
          <w:p w14:paraId="5A6495E7"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KPI10a</w:t>
            </w:r>
          </w:p>
        </w:tc>
        <w:tc>
          <w:tcPr>
            <w:tcW w:w="2288" w:type="pct"/>
            <w:tcBorders>
              <w:top w:val="dotted" w:sz="4" w:space="0" w:color="auto"/>
              <w:left w:val="nil"/>
              <w:bottom w:val="dotted" w:sz="4" w:space="0" w:color="auto"/>
              <w:right w:val="single" w:sz="8" w:space="0" w:color="auto"/>
            </w:tcBorders>
            <w:vAlign w:val="center"/>
            <w:hideMark/>
          </w:tcPr>
          <w:p w14:paraId="5FD79648"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Killed or Serious Injury (KSI) Road Traffic Accidents attended by NFRS</w:t>
            </w:r>
          </w:p>
        </w:tc>
        <w:tc>
          <w:tcPr>
            <w:tcW w:w="445" w:type="pct"/>
            <w:tcBorders>
              <w:top w:val="dotted" w:sz="4" w:space="0" w:color="auto"/>
              <w:left w:val="nil"/>
              <w:bottom w:val="dotted" w:sz="4" w:space="0" w:color="auto"/>
              <w:right w:val="nil"/>
            </w:tcBorders>
            <w:vAlign w:val="center"/>
            <w:hideMark/>
          </w:tcPr>
          <w:p w14:paraId="6CAD406A"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233</w:t>
            </w:r>
          </w:p>
        </w:tc>
        <w:tc>
          <w:tcPr>
            <w:tcW w:w="461" w:type="pct"/>
            <w:tcBorders>
              <w:top w:val="dotted" w:sz="4" w:space="0" w:color="auto"/>
              <w:left w:val="nil"/>
              <w:bottom w:val="dotted" w:sz="4" w:space="0" w:color="auto"/>
              <w:right w:val="nil"/>
            </w:tcBorders>
            <w:vAlign w:val="center"/>
            <w:hideMark/>
          </w:tcPr>
          <w:p w14:paraId="4D8D10CD"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261</w:t>
            </w:r>
          </w:p>
        </w:tc>
        <w:tc>
          <w:tcPr>
            <w:tcW w:w="461" w:type="pct"/>
            <w:tcBorders>
              <w:top w:val="dotted" w:sz="4" w:space="0" w:color="auto"/>
              <w:left w:val="nil"/>
              <w:bottom w:val="dotted" w:sz="4" w:space="0" w:color="auto"/>
              <w:right w:val="nil"/>
            </w:tcBorders>
            <w:vAlign w:val="center"/>
            <w:hideMark/>
          </w:tcPr>
          <w:p w14:paraId="37CA70B3"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213</w:t>
            </w:r>
          </w:p>
        </w:tc>
        <w:tc>
          <w:tcPr>
            <w:tcW w:w="461" w:type="pct"/>
            <w:tcBorders>
              <w:top w:val="dotted" w:sz="4" w:space="0" w:color="auto"/>
              <w:left w:val="nil"/>
              <w:bottom w:val="dotted" w:sz="4" w:space="0" w:color="auto"/>
              <w:right w:val="nil"/>
            </w:tcBorders>
            <w:vAlign w:val="center"/>
            <w:hideMark/>
          </w:tcPr>
          <w:p w14:paraId="6C524FE7"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266</w:t>
            </w:r>
          </w:p>
        </w:tc>
        <w:tc>
          <w:tcPr>
            <w:tcW w:w="540" w:type="pct"/>
            <w:tcBorders>
              <w:top w:val="dotted" w:sz="4" w:space="0" w:color="auto"/>
              <w:left w:val="single" w:sz="8" w:space="0" w:color="auto"/>
              <w:bottom w:val="dotted" w:sz="4" w:space="0" w:color="auto"/>
              <w:right w:val="single" w:sz="8" w:space="0" w:color="auto"/>
            </w:tcBorders>
            <w:shd w:val="clear" w:color="000000" w:fill="F8CBAD"/>
            <w:vAlign w:val="center"/>
            <w:hideMark/>
          </w:tcPr>
          <w:p w14:paraId="2CD038B2"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Increasing</w:t>
            </w:r>
          </w:p>
        </w:tc>
      </w:tr>
      <w:tr w:rsidR="00E26D26" w:rsidRPr="00E26D26" w14:paraId="234DF2B7" w14:textId="77777777">
        <w:trPr>
          <w:trHeight w:val="630"/>
        </w:trPr>
        <w:tc>
          <w:tcPr>
            <w:tcW w:w="345" w:type="pct"/>
            <w:tcBorders>
              <w:top w:val="nil"/>
              <w:left w:val="single" w:sz="8" w:space="0" w:color="auto"/>
              <w:bottom w:val="single" w:sz="8" w:space="0" w:color="auto"/>
              <w:right w:val="nil"/>
            </w:tcBorders>
            <w:vAlign w:val="center"/>
            <w:hideMark/>
          </w:tcPr>
          <w:p w14:paraId="04C128BB"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KPI10b</w:t>
            </w:r>
          </w:p>
        </w:tc>
        <w:tc>
          <w:tcPr>
            <w:tcW w:w="2288" w:type="pct"/>
            <w:tcBorders>
              <w:top w:val="nil"/>
              <w:left w:val="nil"/>
              <w:bottom w:val="single" w:sz="8" w:space="0" w:color="auto"/>
              <w:right w:val="single" w:sz="8" w:space="0" w:color="auto"/>
            </w:tcBorders>
            <w:vAlign w:val="center"/>
            <w:hideMark/>
          </w:tcPr>
          <w:p w14:paraId="01445100"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People killed in road traffic accidents (STATS 19 fatal data)</w:t>
            </w:r>
          </w:p>
        </w:tc>
        <w:tc>
          <w:tcPr>
            <w:tcW w:w="445" w:type="pct"/>
            <w:tcBorders>
              <w:top w:val="nil"/>
              <w:left w:val="nil"/>
              <w:bottom w:val="single" w:sz="8" w:space="0" w:color="auto"/>
              <w:right w:val="nil"/>
            </w:tcBorders>
            <w:vAlign w:val="center"/>
            <w:hideMark/>
          </w:tcPr>
          <w:p w14:paraId="34E40FEB"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39</w:t>
            </w:r>
          </w:p>
        </w:tc>
        <w:tc>
          <w:tcPr>
            <w:tcW w:w="461" w:type="pct"/>
            <w:tcBorders>
              <w:top w:val="nil"/>
              <w:left w:val="nil"/>
              <w:bottom w:val="single" w:sz="8" w:space="0" w:color="auto"/>
              <w:right w:val="nil"/>
            </w:tcBorders>
            <w:vAlign w:val="center"/>
            <w:hideMark/>
          </w:tcPr>
          <w:p w14:paraId="2C437693"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42</w:t>
            </w:r>
          </w:p>
        </w:tc>
        <w:tc>
          <w:tcPr>
            <w:tcW w:w="461" w:type="pct"/>
            <w:tcBorders>
              <w:top w:val="nil"/>
              <w:left w:val="nil"/>
              <w:bottom w:val="single" w:sz="8" w:space="0" w:color="auto"/>
              <w:right w:val="nil"/>
            </w:tcBorders>
            <w:vAlign w:val="center"/>
            <w:hideMark/>
          </w:tcPr>
          <w:p w14:paraId="3328C054"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34</w:t>
            </w:r>
          </w:p>
        </w:tc>
        <w:tc>
          <w:tcPr>
            <w:tcW w:w="461" w:type="pct"/>
            <w:tcBorders>
              <w:top w:val="nil"/>
              <w:left w:val="nil"/>
              <w:bottom w:val="single" w:sz="8" w:space="0" w:color="auto"/>
              <w:right w:val="nil"/>
            </w:tcBorders>
            <w:vAlign w:val="center"/>
            <w:hideMark/>
          </w:tcPr>
          <w:p w14:paraId="3D672D52" w14:textId="5FEA4532"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35</w:t>
            </w:r>
          </w:p>
        </w:tc>
        <w:tc>
          <w:tcPr>
            <w:tcW w:w="540" w:type="pct"/>
            <w:tcBorders>
              <w:top w:val="nil"/>
              <w:left w:val="single" w:sz="8" w:space="0" w:color="auto"/>
              <w:bottom w:val="single" w:sz="8" w:space="0" w:color="auto"/>
              <w:right w:val="single" w:sz="8" w:space="0" w:color="auto"/>
            </w:tcBorders>
            <w:shd w:val="clear" w:color="000000" w:fill="C6E0B4"/>
            <w:vAlign w:val="center"/>
            <w:hideMark/>
          </w:tcPr>
          <w:p w14:paraId="3A4279F8"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Reducing</w:t>
            </w:r>
          </w:p>
        </w:tc>
      </w:tr>
      <w:tr w:rsidR="00E26D26" w:rsidRPr="00E26D26" w14:paraId="0DF2A5C7" w14:textId="77777777" w:rsidTr="0064214B">
        <w:trPr>
          <w:trHeight w:val="300"/>
        </w:trPr>
        <w:tc>
          <w:tcPr>
            <w:tcW w:w="345" w:type="pct"/>
            <w:tcBorders>
              <w:top w:val="nil"/>
              <w:left w:val="nil"/>
              <w:bottom w:val="nil"/>
              <w:right w:val="nil"/>
            </w:tcBorders>
            <w:vAlign w:val="bottom"/>
            <w:hideMark/>
          </w:tcPr>
          <w:p w14:paraId="0065253C"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p>
        </w:tc>
        <w:tc>
          <w:tcPr>
            <w:tcW w:w="2288" w:type="pct"/>
            <w:tcBorders>
              <w:top w:val="nil"/>
              <w:left w:val="nil"/>
              <w:bottom w:val="nil"/>
              <w:right w:val="nil"/>
            </w:tcBorders>
            <w:vAlign w:val="center"/>
          </w:tcPr>
          <w:p w14:paraId="43521E9A" w14:textId="35621D09" w:rsidR="00E26D26" w:rsidRPr="00E26D26" w:rsidRDefault="00E26D26" w:rsidP="00E26D26">
            <w:pPr>
              <w:spacing w:line="240" w:lineRule="auto"/>
              <w:jc w:val="left"/>
              <w:rPr>
                <w:rFonts w:ascii="Calibri" w:eastAsia="Times New Roman" w:hAnsi="Calibri" w:cs="Calibri"/>
                <w:i/>
                <w:iCs/>
                <w:color w:val="000000"/>
                <w:sz w:val="20"/>
                <w:szCs w:val="20"/>
                <w:lang w:eastAsia="en-GB"/>
              </w:rPr>
            </w:pPr>
          </w:p>
        </w:tc>
        <w:tc>
          <w:tcPr>
            <w:tcW w:w="445" w:type="pct"/>
            <w:tcBorders>
              <w:top w:val="nil"/>
              <w:left w:val="nil"/>
              <w:bottom w:val="nil"/>
              <w:right w:val="nil"/>
            </w:tcBorders>
            <w:vAlign w:val="bottom"/>
          </w:tcPr>
          <w:p w14:paraId="406CCF71" w14:textId="77777777" w:rsidR="00E26D26" w:rsidRPr="00E26D26" w:rsidRDefault="00E26D26" w:rsidP="00E26D26">
            <w:pPr>
              <w:spacing w:line="240" w:lineRule="auto"/>
              <w:jc w:val="left"/>
              <w:rPr>
                <w:rFonts w:ascii="Calibri" w:eastAsia="Times New Roman" w:hAnsi="Calibri" w:cs="Calibri"/>
                <w:b/>
                <w:bCs/>
                <w:i/>
                <w:iCs/>
                <w:color w:val="000000"/>
                <w:sz w:val="20"/>
                <w:szCs w:val="20"/>
                <w:lang w:eastAsia="en-GB"/>
              </w:rPr>
            </w:pPr>
          </w:p>
        </w:tc>
        <w:tc>
          <w:tcPr>
            <w:tcW w:w="1382" w:type="pct"/>
            <w:gridSpan w:val="3"/>
            <w:tcBorders>
              <w:top w:val="nil"/>
              <w:left w:val="nil"/>
              <w:bottom w:val="nil"/>
              <w:right w:val="nil"/>
            </w:tcBorders>
            <w:noWrap/>
            <w:vAlign w:val="bottom"/>
          </w:tcPr>
          <w:p w14:paraId="295EED95" w14:textId="396D6901" w:rsidR="00E26D26" w:rsidRPr="00E26D26" w:rsidRDefault="00E26D26" w:rsidP="00E26D26">
            <w:pPr>
              <w:spacing w:line="240" w:lineRule="auto"/>
              <w:jc w:val="left"/>
              <w:rPr>
                <w:rFonts w:ascii="Calibri" w:eastAsia="Times New Roman" w:hAnsi="Calibri" w:cs="Calibri"/>
                <w:b/>
                <w:bCs/>
                <w:i/>
                <w:iCs/>
                <w:color w:val="000000"/>
                <w:sz w:val="20"/>
                <w:szCs w:val="20"/>
                <w:lang w:eastAsia="en-GB"/>
              </w:rPr>
            </w:pPr>
          </w:p>
        </w:tc>
        <w:tc>
          <w:tcPr>
            <w:tcW w:w="540" w:type="pct"/>
            <w:tcBorders>
              <w:top w:val="nil"/>
              <w:left w:val="nil"/>
              <w:bottom w:val="nil"/>
              <w:right w:val="nil"/>
            </w:tcBorders>
            <w:vAlign w:val="bottom"/>
            <w:hideMark/>
          </w:tcPr>
          <w:p w14:paraId="39CD2434" w14:textId="77777777" w:rsidR="00E26D26" w:rsidRPr="00E26D26" w:rsidRDefault="00E26D26" w:rsidP="00E26D26">
            <w:pPr>
              <w:spacing w:line="240" w:lineRule="auto"/>
              <w:jc w:val="left"/>
              <w:rPr>
                <w:rFonts w:ascii="Calibri" w:eastAsia="Times New Roman" w:hAnsi="Calibri" w:cs="Calibri"/>
                <w:b/>
                <w:bCs/>
                <w:i/>
                <w:iCs/>
                <w:color w:val="000000"/>
                <w:sz w:val="20"/>
                <w:szCs w:val="20"/>
                <w:lang w:eastAsia="en-GB"/>
              </w:rPr>
            </w:pPr>
          </w:p>
        </w:tc>
      </w:tr>
    </w:tbl>
    <w:p w14:paraId="7AB8005B" w14:textId="77777777" w:rsidR="00E26D26" w:rsidRPr="00E26D26" w:rsidRDefault="00E26D26" w:rsidP="00E26D26">
      <w:pPr>
        <w:spacing w:after="160"/>
        <w:jc w:val="left"/>
        <w:rPr>
          <w:rFonts w:eastAsia="Times New Roman" w:cs="Times New Roman"/>
          <w:bCs/>
          <w:color w:val="C00000"/>
          <w:sz w:val="20"/>
          <w:szCs w:val="20"/>
        </w:rPr>
      </w:pPr>
      <w:r w:rsidRPr="00E26D26">
        <w:rPr>
          <w:sz w:val="20"/>
          <w:szCs w:val="20"/>
        </w:rPr>
        <w:br w:type="page"/>
      </w:r>
    </w:p>
    <w:p w14:paraId="7FF2ABF3" w14:textId="77777777" w:rsidR="00E26D26" w:rsidRPr="00E26D26" w:rsidRDefault="00E26D26" w:rsidP="00E26D26">
      <w:pPr>
        <w:numPr>
          <w:ilvl w:val="2"/>
          <w:numId w:val="0"/>
        </w:numPr>
        <w:tabs>
          <w:tab w:val="left" w:pos="1985"/>
        </w:tabs>
        <w:spacing w:line="276" w:lineRule="auto"/>
        <w:rPr>
          <w:rFonts w:eastAsia="Times New Roman" w:cs="Times New Roman"/>
          <w:bCs/>
          <w:color w:val="C00000"/>
          <w:sz w:val="20"/>
          <w:szCs w:val="20"/>
        </w:rPr>
        <w:sectPr w:rsidR="00E26D26" w:rsidRPr="00E26D26" w:rsidSect="00E26D26">
          <w:type w:val="continuous"/>
          <w:pgSz w:w="11906" w:h="16838"/>
          <w:pgMar w:top="851" w:right="680" w:bottom="851" w:left="851" w:header="680" w:footer="0" w:gutter="0"/>
          <w:cols w:space="708"/>
          <w:titlePg/>
          <w:docGrid w:linePitch="360"/>
        </w:sectPr>
      </w:pPr>
    </w:p>
    <w:tbl>
      <w:tblPr>
        <w:tblW w:w="5000" w:type="pct"/>
        <w:tblLook w:val="04A0" w:firstRow="1" w:lastRow="0" w:firstColumn="1" w:lastColumn="0" w:noHBand="0" w:noVBand="1"/>
      </w:tblPr>
      <w:tblGrid>
        <w:gridCol w:w="677"/>
        <w:gridCol w:w="4732"/>
        <w:gridCol w:w="937"/>
        <w:gridCol w:w="937"/>
        <w:gridCol w:w="937"/>
        <w:gridCol w:w="937"/>
        <w:gridCol w:w="1198"/>
      </w:tblGrid>
      <w:tr w:rsidR="00E26D26" w:rsidRPr="00E26D26" w14:paraId="5C4E9D0B" w14:textId="77777777">
        <w:trPr>
          <w:trHeight w:val="615"/>
        </w:trPr>
        <w:tc>
          <w:tcPr>
            <w:tcW w:w="2615" w:type="pct"/>
            <w:gridSpan w:val="2"/>
            <w:tcBorders>
              <w:top w:val="single" w:sz="8" w:space="0" w:color="auto"/>
              <w:left w:val="single" w:sz="8" w:space="0" w:color="auto"/>
              <w:bottom w:val="single" w:sz="8" w:space="0" w:color="auto"/>
              <w:right w:val="single" w:sz="8" w:space="0" w:color="000000"/>
            </w:tcBorders>
            <w:noWrap/>
            <w:vAlign w:val="center"/>
            <w:hideMark/>
          </w:tcPr>
          <w:p w14:paraId="1BBB8416" w14:textId="77777777" w:rsidR="00E26D26" w:rsidRPr="00E26D26" w:rsidRDefault="00E26D26" w:rsidP="00E26D26">
            <w:pPr>
              <w:spacing w:line="240" w:lineRule="auto"/>
              <w:jc w:val="left"/>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lastRenderedPageBreak/>
              <w:t>The Input measures we will track and understand:</w:t>
            </w:r>
          </w:p>
        </w:tc>
        <w:tc>
          <w:tcPr>
            <w:tcW w:w="461" w:type="pct"/>
            <w:tcBorders>
              <w:top w:val="single" w:sz="8" w:space="0" w:color="auto"/>
              <w:left w:val="nil"/>
              <w:bottom w:val="single" w:sz="8" w:space="0" w:color="auto"/>
              <w:right w:val="nil"/>
            </w:tcBorders>
            <w:vAlign w:val="center"/>
            <w:hideMark/>
          </w:tcPr>
          <w:p w14:paraId="03C70EBF"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2021/22</w:t>
            </w:r>
          </w:p>
        </w:tc>
        <w:tc>
          <w:tcPr>
            <w:tcW w:w="461" w:type="pct"/>
            <w:tcBorders>
              <w:top w:val="single" w:sz="8" w:space="0" w:color="auto"/>
              <w:left w:val="nil"/>
              <w:bottom w:val="nil"/>
              <w:right w:val="nil"/>
            </w:tcBorders>
            <w:vAlign w:val="center"/>
            <w:hideMark/>
          </w:tcPr>
          <w:p w14:paraId="068D6532"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2022/23</w:t>
            </w:r>
          </w:p>
        </w:tc>
        <w:tc>
          <w:tcPr>
            <w:tcW w:w="461" w:type="pct"/>
            <w:tcBorders>
              <w:top w:val="single" w:sz="8" w:space="0" w:color="auto"/>
              <w:left w:val="nil"/>
              <w:bottom w:val="single" w:sz="8" w:space="0" w:color="auto"/>
              <w:right w:val="nil"/>
            </w:tcBorders>
            <w:vAlign w:val="center"/>
            <w:hideMark/>
          </w:tcPr>
          <w:p w14:paraId="796FDE4A"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2023/24</w:t>
            </w:r>
          </w:p>
        </w:tc>
        <w:tc>
          <w:tcPr>
            <w:tcW w:w="461" w:type="pct"/>
            <w:tcBorders>
              <w:top w:val="single" w:sz="8" w:space="0" w:color="auto"/>
              <w:left w:val="nil"/>
              <w:bottom w:val="single" w:sz="8" w:space="0" w:color="auto"/>
              <w:right w:val="nil"/>
            </w:tcBorders>
            <w:vAlign w:val="center"/>
            <w:hideMark/>
          </w:tcPr>
          <w:p w14:paraId="53AFC6C0"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2024/25</w:t>
            </w:r>
          </w:p>
        </w:tc>
        <w:tc>
          <w:tcPr>
            <w:tcW w:w="543" w:type="pct"/>
            <w:tcBorders>
              <w:top w:val="single" w:sz="8" w:space="0" w:color="auto"/>
              <w:left w:val="single" w:sz="8" w:space="0" w:color="auto"/>
              <w:bottom w:val="single" w:sz="8" w:space="0" w:color="auto"/>
              <w:right w:val="single" w:sz="8" w:space="0" w:color="auto"/>
            </w:tcBorders>
            <w:vAlign w:val="center"/>
            <w:hideMark/>
          </w:tcPr>
          <w:p w14:paraId="196895FC"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3 year Assessment</w:t>
            </w:r>
          </w:p>
        </w:tc>
      </w:tr>
      <w:tr w:rsidR="00E26D26" w:rsidRPr="00E26D26" w14:paraId="35029EF3" w14:textId="77777777">
        <w:trPr>
          <w:trHeight w:val="649"/>
        </w:trPr>
        <w:tc>
          <w:tcPr>
            <w:tcW w:w="321" w:type="pct"/>
            <w:tcBorders>
              <w:top w:val="nil"/>
              <w:left w:val="single" w:sz="8" w:space="0" w:color="auto"/>
              <w:bottom w:val="nil"/>
              <w:right w:val="nil"/>
            </w:tcBorders>
            <w:vAlign w:val="center"/>
            <w:hideMark/>
          </w:tcPr>
          <w:p w14:paraId="4EEB8730"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KPI11</w:t>
            </w:r>
          </w:p>
        </w:tc>
        <w:tc>
          <w:tcPr>
            <w:tcW w:w="2294" w:type="pct"/>
            <w:tcBorders>
              <w:top w:val="nil"/>
              <w:left w:val="nil"/>
              <w:bottom w:val="nil"/>
              <w:right w:val="single" w:sz="8" w:space="0" w:color="auto"/>
            </w:tcBorders>
            <w:vAlign w:val="center"/>
            <w:hideMark/>
          </w:tcPr>
          <w:p w14:paraId="3CAE0E42"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Standards of Operational Response – Average (mean) Full Response Time (attended incidents)</w:t>
            </w:r>
          </w:p>
        </w:tc>
        <w:tc>
          <w:tcPr>
            <w:tcW w:w="461" w:type="pct"/>
            <w:tcBorders>
              <w:top w:val="nil"/>
              <w:left w:val="nil"/>
              <w:bottom w:val="nil"/>
              <w:right w:val="nil"/>
            </w:tcBorders>
            <w:vAlign w:val="center"/>
            <w:hideMark/>
          </w:tcPr>
          <w:p w14:paraId="7C65E14D"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00:10:27</w:t>
            </w:r>
          </w:p>
        </w:tc>
        <w:tc>
          <w:tcPr>
            <w:tcW w:w="461" w:type="pct"/>
            <w:tcBorders>
              <w:top w:val="single" w:sz="8" w:space="0" w:color="auto"/>
              <w:left w:val="nil"/>
              <w:bottom w:val="nil"/>
              <w:right w:val="nil"/>
            </w:tcBorders>
            <w:vAlign w:val="center"/>
            <w:hideMark/>
          </w:tcPr>
          <w:p w14:paraId="6B813351"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00:10:30</w:t>
            </w:r>
          </w:p>
        </w:tc>
        <w:tc>
          <w:tcPr>
            <w:tcW w:w="461" w:type="pct"/>
            <w:tcBorders>
              <w:top w:val="nil"/>
              <w:left w:val="nil"/>
              <w:bottom w:val="nil"/>
              <w:right w:val="nil"/>
            </w:tcBorders>
            <w:vAlign w:val="center"/>
            <w:hideMark/>
          </w:tcPr>
          <w:p w14:paraId="569A9D71"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00:10:23</w:t>
            </w:r>
          </w:p>
        </w:tc>
        <w:tc>
          <w:tcPr>
            <w:tcW w:w="461" w:type="pct"/>
            <w:tcBorders>
              <w:top w:val="nil"/>
              <w:left w:val="nil"/>
              <w:bottom w:val="nil"/>
              <w:right w:val="nil"/>
            </w:tcBorders>
            <w:vAlign w:val="center"/>
            <w:hideMark/>
          </w:tcPr>
          <w:p w14:paraId="0496CB00"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00:10:26</w:t>
            </w:r>
          </w:p>
        </w:tc>
        <w:tc>
          <w:tcPr>
            <w:tcW w:w="543" w:type="pct"/>
            <w:tcBorders>
              <w:top w:val="nil"/>
              <w:left w:val="single" w:sz="8" w:space="0" w:color="auto"/>
              <w:bottom w:val="nil"/>
              <w:right w:val="single" w:sz="8" w:space="0" w:color="auto"/>
            </w:tcBorders>
            <w:vAlign w:val="center"/>
            <w:hideMark/>
          </w:tcPr>
          <w:p w14:paraId="27F67566"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Stable</w:t>
            </w:r>
          </w:p>
        </w:tc>
      </w:tr>
      <w:tr w:rsidR="00E26D26" w:rsidRPr="00E26D26" w14:paraId="6CA6D0C9" w14:textId="77777777">
        <w:trPr>
          <w:trHeight w:val="649"/>
        </w:trPr>
        <w:tc>
          <w:tcPr>
            <w:tcW w:w="321" w:type="pct"/>
            <w:tcBorders>
              <w:top w:val="dotted" w:sz="4" w:space="0" w:color="auto"/>
              <w:left w:val="single" w:sz="8" w:space="0" w:color="auto"/>
              <w:bottom w:val="dotted" w:sz="4" w:space="0" w:color="auto"/>
              <w:right w:val="nil"/>
            </w:tcBorders>
            <w:vAlign w:val="center"/>
            <w:hideMark/>
          </w:tcPr>
          <w:p w14:paraId="4098A266"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KPI12</w:t>
            </w:r>
          </w:p>
        </w:tc>
        <w:tc>
          <w:tcPr>
            <w:tcW w:w="2294" w:type="pct"/>
            <w:tcBorders>
              <w:top w:val="dotted" w:sz="4" w:space="0" w:color="auto"/>
              <w:left w:val="nil"/>
              <w:bottom w:val="dotted" w:sz="4" w:space="0" w:color="auto"/>
              <w:right w:val="single" w:sz="8" w:space="0" w:color="auto"/>
            </w:tcBorders>
            <w:vAlign w:val="center"/>
            <w:hideMark/>
          </w:tcPr>
          <w:p w14:paraId="3A9AFFE4"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Standards of Operational Response – Average (mean) Call to Mobilise Time</w:t>
            </w:r>
          </w:p>
        </w:tc>
        <w:tc>
          <w:tcPr>
            <w:tcW w:w="461" w:type="pct"/>
            <w:tcBorders>
              <w:top w:val="dotted" w:sz="4" w:space="0" w:color="auto"/>
              <w:left w:val="nil"/>
              <w:bottom w:val="dotted" w:sz="4" w:space="0" w:color="auto"/>
              <w:right w:val="nil"/>
            </w:tcBorders>
            <w:vAlign w:val="center"/>
            <w:hideMark/>
          </w:tcPr>
          <w:p w14:paraId="6757A9B0"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00:01:45</w:t>
            </w:r>
          </w:p>
        </w:tc>
        <w:tc>
          <w:tcPr>
            <w:tcW w:w="461" w:type="pct"/>
            <w:tcBorders>
              <w:top w:val="dotted" w:sz="4" w:space="0" w:color="auto"/>
              <w:left w:val="nil"/>
              <w:bottom w:val="dotted" w:sz="4" w:space="0" w:color="auto"/>
              <w:right w:val="nil"/>
            </w:tcBorders>
            <w:vAlign w:val="center"/>
            <w:hideMark/>
          </w:tcPr>
          <w:p w14:paraId="2915B94E"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00:01:45</w:t>
            </w:r>
          </w:p>
        </w:tc>
        <w:tc>
          <w:tcPr>
            <w:tcW w:w="461" w:type="pct"/>
            <w:tcBorders>
              <w:top w:val="dotted" w:sz="4" w:space="0" w:color="auto"/>
              <w:left w:val="nil"/>
              <w:bottom w:val="dotted" w:sz="4" w:space="0" w:color="auto"/>
              <w:right w:val="nil"/>
            </w:tcBorders>
            <w:vAlign w:val="center"/>
            <w:hideMark/>
          </w:tcPr>
          <w:p w14:paraId="41729C2F"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00:01:51</w:t>
            </w:r>
          </w:p>
        </w:tc>
        <w:tc>
          <w:tcPr>
            <w:tcW w:w="461" w:type="pct"/>
            <w:tcBorders>
              <w:top w:val="dotted" w:sz="4" w:space="0" w:color="auto"/>
              <w:left w:val="nil"/>
              <w:bottom w:val="dotted" w:sz="4" w:space="0" w:color="auto"/>
              <w:right w:val="nil"/>
            </w:tcBorders>
            <w:vAlign w:val="center"/>
            <w:hideMark/>
          </w:tcPr>
          <w:p w14:paraId="64DE8F6A"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00:01:48</w:t>
            </w:r>
          </w:p>
        </w:tc>
        <w:tc>
          <w:tcPr>
            <w:tcW w:w="543" w:type="pct"/>
            <w:tcBorders>
              <w:top w:val="dotted" w:sz="4" w:space="0" w:color="auto"/>
              <w:left w:val="single" w:sz="8" w:space="0" w:color="auto"/>
              <w:bottom w:val="dotted" w:sz="4" w:space="0" w:color="auto"/>
              <w:right w:val="single" w:sz="8" w:space="0" w:color="auto"/>
            </w:tcBorders>
            <w:vAlign w:val="center"/>
            <w:hideMark/>
          </w:tcPr>
          <w:p w14:paraId="4930B544"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Stable</w:t>
            </w:r>
          </w:p>
        </w:tc>
      </w:tr>
      <w:tr w:rsidR="00E26D26" w:rsidRPr="00E26D26" w14:paraId="31FA9EC9" w14:textId="77777777">
        <w:trPr>
          <w:trHeight w:val="649"/>
        </w:trPr>
        <w:tc>
          <w:tcPr>
            <w:tcW w:w="321" w:type="pct"/>
            <w:tcBorders>
              <w:top w:val="nil"/>
              <w:left w:val="single" w:sz="8" w:space="0" w:color="auto"/>
              <w:bottom w:val="nil"/>
              <w:right w:val="nil"/>
            </w:tcBorders>
            <w:vAlign w:val="center"/>
            <w:hideMark/>
          </w:tcPr>
          <w:p w14:paraId="56A49C1D"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KPI13</w:t>
            </w:r>
          </w:p>
        </w:tc>
        <w:tc>
          <w:tcPr>
            <w:tcW w:w="2294" w:type="pct"/>
            <w:tcBorders>
              <w:top w:val="nil"/>
              <w:left w:val="nil"/>
              <w:bottom w:val="nil"/>
              <w:right w:val="single" w:sz="8" w:space="0" w:color="auto"/>
            </w:tcBorders>
            <w:vAlign w:val="center"/>
            <w:hideMark/>
          </w:tcPr>
          <w:p w14:paraId="0405F05C"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Average Appliance Availability (including flexi)</w:t>
            </w:r>
            <w:r w:rsidRPr="00E26D26">
              <w:rPr>
                <w:rFonts w:ascii="Calibri" w:eastAsia="Times New Roman" w:hAnsi="Calibri" w:cs="Calibri"/>
                <w:color w:val="000000"/>
                <w:sz w:val="20"/>
                <w:szCs w:val="20"/>
                <w:lang w:eastAsia="en-GB"/>
              </w:rPr>
              <w:br/>
            </w:r>
            <w:r w:rsidRPr="00E26D26">
              <w:rPr>
                <w:rFonts w:ascii="Calibri" w:eastAsia="Times New Roman" w:hAnsi="Calibri" w:cs="Calibri"/>
                <w:i/>
                <w:iCs/>
                <w:color w:val="000000"/>
                <w:sz w:val="20"/>
                <w:szCs w:val="20"/>
                <w:lang w:eastAsia="en-GB"/>
              </w:rPr>
              <w:t>(Minimum expected of 14)</w:t>
            </w:r>
          </w:p>
        </w:tc>
        <w:tc>
          <w:tcPr>
            <w:tcW w:w="461" w:type="pct"/>
            <w:tcBorders>
              <w:top w:val="nil"/>
              <w:left w:val="nil"/>
              <w:bottom w:val="nil"/>
              <w:right w:val="nil"/>
            </w:tcBorders>
            <w:vAlign w:val="center"/>
            <w:hideMark/>
          </w:tcPr>
          <w:p w14:paraId="72E2BB81"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18.9</w:t>
            </w:r>
          </w:p>
        </w:tc>
        <w:tc>
          <w:tcPr>
            <w:tcW w:w="461" w:type="pct"/>
            <w:tcBorders>
              <w:top w:val="nil"/>
              <w:left w:val="nil"/>
              <w:bottom w:val="nil"/>
              <w:right w:val="nil"/>
            </w:tcBorders>
            <w:vAlign w:val="center"/>
            <w:hideMark/>
          </w:tcPr>
          <w:p w14:paraId="7F404C01"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18.4</w:t>
            </w:r>
          </w:p>
        </w:tc>
        <w:tc>
          <w:tcPr>
            <w:tcW w:w="461" w:type="pct"/>
            <w:tcBorders>
              <w:top w:val="nil"/>
              <w:left w:val="nil"/>
              <w:bottom w:val="nil"/>
              <w:right w:val="nil"/>
            </w:tcBorders>
            <w:vAlign w:val="center"/>
            <w:hideMark/>
          </w:tcPr>
          <w:p w14:paraId="60B0C436"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18.5</w:t>
            </w:r>
          </w:p>
        </w:tc>
        <w:tc>
          <w:tcPr>
            <w:tcW w:w="461" w:type="pct"/>
            <w:tcBorders>
              <w:top w:val="nil"/>
              <w:left w:val="nil"/>
              <w:bottom w:val="nil"/>
              <w:right w:val="nil"/>
            </w:tcBorders>
            <w:vAlign w:val="center"/>
            <w:hideMark/>
          </w:tcPr>
          <w:p w14:paraId="78644393"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18.2</w:t>
            </w:r>
          </w:p>
        </w:tc>
        <w:tc>
          <w:tcPr>
            <w:tcW w:w="543" w:type="pct"/>
            <w:tcBorders>
              <w:top w:val="nil"/>
              <w:left w:val="single" w:sz="8" w:space="0" w:color="auto"/>
              <w:bottom w:val="nil"/>
              <w:right w:val="single" w:sz="8" w:space="0" w:color="auto"/>
            </w:tcBorders>
            <w:shd w:val="clear" w:color="000000" w:fill="F8CBAD"/>
            <w:vAlign w:val="center"/>
            <w:hideMark/>
          </w:tcPr>
          <w:p w14:paraId="39815730"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Reducing</w:t>
            </w:r>
          </w:p>
        </w:tc>
      </w:tr>
      <w:tr w:rsidR="00E26D26" w:rsidRPr="00E26D26" w14:paraId="0B659593" w14:textId="77777777">
        <w:trPr>
          <w:trHeight w:val="649"/>
        </w:trPr>
        <w:tc>
          <w:tcPr>
            <w:tcW w:w="321" w:type="pct"/>
            <w:tcBorders>
              <w:top w:val="dotted" w:sz="4" w:space="0" w:color="auto"/>
              <w:left w:val="single" w:sz="8" w:space="0" w:color="auto"/>
              <w:bottom w:val="dotted" w:sz="4" w:space="0" w:color="auto"/>
              <w:right w:val="nil"/>
            </w:tcBorders>
            <w:vAlign w:val="center"/>
            <w:hideMark/>
          </w:tcPr>
          <w:p w14:paraId="76AA5065"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KPI14</w:t>
            </w:r>
          </w:p>
        </w:tc>
        <w:tc>
          <w:tcPr>
            <w:tcW w:w="2294" w:type="pct"/>
            <w:tcBorders>
              <w:top w:val="dotted" w:sz="4" w:space="0" w:color="auto"/>
              <w:left w:val="nil"/>
              <w:bottom w:val="dotted" w:sz="4" w:space="0" w:color="auto"/>
              <w:right w:val="single" w:sz="8" w:space="0" w:color="auto"/>
            </w:tcBorders>
            <w:vAlign w:val="center"/>
            <w:hideMark/>
          </w:tcPr>
          <w:p w14:paraId="7EDB288D"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 xml:space="preserve">Home Fire Safety Visits and refits completed. </w:t>
            </w:r>
          </w:p>
        </w:tc>
        <w:tc>
          <w:tcPr>
            <w:tcW w:w="461" w:type="pct"/>
            <w:tcBorders>
              <w:top w:val="dotted" w:sz="4" w:space="0" w:color="auto"/>
              <w:left w:val="nil"/>
              <w:bottom w:val="dotted" w:sz="4" w:space="0" w:color="auto"/>
              <w:right w:val="nil"/>
            </w:tcBorders>
            <w:vAlign w:val="center"/>
            <w:hideMark/>
          </w:tcPr>
          <w:p w14:paraId="38AF9EC9"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4,259</w:t>
            </w:r>
          </w:p>
        </w:tc>
        <w:tc>
          <w:tcPr>
            <w:tcW w:w="461" w:type="pct"/>
            <w:tcBorders>
              <w:top w:val="dotted" w:sz="4" w:space="0" w:color="auto"/>
              <w:left w:val="nil"/>
              <w:bottom w:val="dotted" w:sz="4" w:space="0" w:color="auto"/>
              <w:right w:val="nil"/>
            </w:tcBorders>
            <w:vAlign w:val="center"/>
            <w:hideMark/>
          </w:tcPr>
          <w:p w14:paraId="446B5EB5"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5,675</w:t>
            </w:r>
          </w:p>
        </w:tc>
        <w:tc>
          <w:tcPr>
            <w:tcW w:w="461" w:type="pct"/>
            <w:tcBorders>
              <w:top w:val="dotted" w:sz="4" w:space="0" w:color="auto"/>
              <w:left w:val="nil"/>
              <w:bottom w:val="dotted" w:sz="4" w:space="0" w:color="auto"/>
              <w:right w:val="nil"/>
            </w:tcBorders>
            <w:vAlign w:val="center"/>
            <w:hideMark/>
          </w:tcPr>
          <w:p w14:paraId="661D2FDA"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5,659</w:t>
            </w:r>
          </w:p>
        </w:tc>
        <w:tc>
          <w:tcPr>
            <w:tcW w:w="461" w:type="pct"/>
            <w:tcBorders>
              <w:top w:val="dotted" w:sz="4" w:space="0" w:color="auto"/>
              <w:left w:val="nil"/>
              <w:bottom w:val="dotted" w:sz="4" w:space="0" w:color="auto"/>
              <w:right w:val="nil"/>
            </w:tcBorders>
            <w:vAlign w:val="center"/>
            <w:hideMark/>
          </w:tcPr>
          <w:p w14:paraId="08C19FD5"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5,478</w:t>
            </w:r>
          </w:p>
        </w:tc>
        <w:tc>
          <w:tcPr>
            <w:tcW w:w="543" w:type="pct"/>
            <w:tcBorders>
              <w:top w:val="dotted" w:sz="4" w:space="0" w:color="auto"/>
              <w:left w:val="single" w:sz="8" w:space="0" w:color="auto"/>
              <w:bottom w:val="dotted" w:sz="4" w:space="0" w:color="auto"/>
              <w:right w:val="single" w:sz="8" w:space="0" w:color="auto"/>
            </w:tcBorders>
            <w:shd w:val="clear" w:color="000000" w:fill="F8CBAD"/>
            <w:vAlign w:val="center"/>
            <w:hideMark/>
          </w:tcPr>
          <w:p w14:paraId="071D557F"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Reducing</w:t>
            </w:r>
          </w:p>
        </w:tc>
      </w:tr>
      <w:tr w:rsidR="00E26D26" w:rsidRPr="00E26D26" w14:paraId="588F5A2A" w14:textId="77777777">
        <w:trPr>
          <w:trHeight w:val="649"/>
        </w:trPr>
        <w:tc>
          <w:tcPr>
            <w:tcW w:w="321" w:type="pct"/>
            <w:tcBorders>
              <w:top w:val="nil"/>
              <w:left w:val="single" w:sz="8" w:space="0" w:color="auto"/>
              <w:bottom w:val="nil"/>
              <w:right w:val="nil"/>
            </w:tcBorders>
            <w:vAlign w:val="center"/>
            <w:hideMark/>
          </w:tcPr>
          <w:p w14:paraId="5327D0DD"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KPI15</w:t>
            </w:r>
          </w:p>
        </w:tc>
        <w:tc>
          <w:tcPr>
            <w:tcW w:w="2294" w:type="pct"/>
            <w:tcBorders>
              <w:top w:val="nil"/>
              <w:left w:val="nil"/>
              <w:bottom w:val="nil"/>
              <w:right w:val="single" w:sz="8" w:space="0" w:color="auto"/>
            </w:tcBorders>
            <w:vAlign w:val="center"/>
            <w:hideMark/>
          </w:tcPr>
          <w:p w14:paraId="39848B6C"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 xml:space="preserve">% of Home Fire Safety Visits completed in target groups </w:t>
            </w:r>
          </w:p>
        </w:tc>
        <w:tc>
          <w:tcPr>
            <w:tcW w:w="461" w:type="pct"/>
            <w:tcBorders>
              <w:top w:val="nil"/>
              <w:left w:val="nil"/>
              <w:bottom w:val="nil"/>
              <w:right w:val="nil"/>
            </w:tcBorders>
            <w:vAlign w:val="center"/>
            <w:hideMark/>
          </w:tcPr>
          <w:p w14:paraId="2CE57F9C"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77.4%</w:t>
            </w:r>
          </w:p>
        </w:tc>
        <w:tc>
          <w:tcPr>
            <w:tcW w:w="461" w:type="pct"/>
            <w:tcBorders>
              <w:top w:val="nil"/>
              <w:left w:val="nil"/>
              <w:bottom w:val="nil"/>
              <w:right w:val="nil"/>
            </w:tcBorders>
            <w:vAlign w:val="center"/>
            <w:hideMark/>
          </w:tcPr>
          <w:p w14:paraId="7B5D412F"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71.8%</w:t>
            </w:r>
          </w:p>
        </w:tc>
        <w:tc>
          <w:tcPr>
            <w:tcW w:w="461" w:type="pct"/>
            <w:tcBorders>
              <w:top w:val="nil"/>
              <w:left w:val="nil"/>
              <w:bottom w:val="nil"/>
              <w:right w:val="nil"/>
            </w:tcBorders>
            <w:vAlign w:val="center"/>
            <w:hideMark/>
          </w:tcPr>
          <w:p w14:paraId="439AAD26"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78.9%</w:t>
            </w:r>
          </w:p>
        </w:tc>
        <w:tc>
          <w:tcPr>
            <w:tcW w:w="461" w:type="pct"/>
            <w:tcBorders>
              <w:top w:val="nil"/>
              <w:left w:val="nil"/>
              <w:bottom w:val="nil"/>
              <w:right w:val="nil"/>
            </w:tcBorders>
            <w:vAlign w:val="center"/>
            <w:hideMark/>
          </w:tcPr>
          <w:p w14:paraId="1FF15510"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74.4%</w:t>
            </w:r>
          </w:p>
        </w:tc>
        <w:tc>
          <w:tcPr>
            <w:tcW w:w="543" w:type="pct"/>
            <w:tcBorders>
              <w:top w:val="nil"/>
              <w:left w:val="single" w:sz="8" w:space="0" w:color="auto"/>
              <w:bottom w:val="nil"/>
              <w:right w:val="single" w:sz="8" w:space="0" w:color="auto"/>
            </w:tcBorders>
            <w:shd w:val="clear" w:color="000000" w:fill="F8CBAD"/>
            <w:vAlign w:val="center"/>
            <w:hideMark/>
          </w:tcPr>
          <w:p w14:paraId="0858FA84"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Reducing</w:t>
            </w:r>
          </w:p>
        </w:tc>
      </w:tr>
      <w:tr w:rsidR="00E26D26" w:rsidRPr="00E26D26" w14:paraId="746DE03B" w14:textId="77777777">
        <w:trPr>
          <w:trHeight w:val="649"/>
        </w:trPr>
        <w:tc>
          <w:tcPr>
            <w:tcW w:w="321" w:type="pct"/>
            <w:tcBorders>
              <w:top w:val="dotted" w:sz="4" w:space="0" w:color="auto"/>
              <w:left w:val="single" w:sz="8" w:space="0" w:color="auto"/>
              <w:bottom w:val="dotted" w:sz="4" w:space="0" w:color="auto"/>
              <w:right w:val="nil"/>
            </w:tcBorders>
            <w:vAlign w:val="center"/>
            <w:hideMark/>
          </w:tcPr>
          <w:p w14:paraId="0E82F0A7"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KPI16</w:t>
            </w:r>
          </w:p>
        </w:tc>
        <w:tc>
          <w:tcPr>
            <w:tcW w:w="2294" w:type="pct"/>
            <w:tcBorders>
              <w:top w:val="dotted" w:sz="4" w:space="0" w:color="auto"/>
              <w:left w:val="nil"/>
              <w:bottom w:val="dotted" w:sz="4" w:space="0" w:color="auto"/>
              <w:right w:val="single" w:sz="8" w:space="0" w:color="auto"/>
            </w:tcBorders>
            <w:vAlign w:val="center"/>
            <w:hideMark/>
          </w:tcPr>
          <w:p w14:paraId="5056DFA7"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 xml:space="preserve">Total number of Protective Full Risk Inspections (FI) and Re-Inspections (RI) completed. </w:t>
            </w:r>
          </w:p>
        </w:tc>
        <w:tc>
          <w:tcPr>
            <w:tcW w:w="461" w:type="pct"/>
            <w:tcBorders>
              <w:top w:val="dotted" w:sz="4" w:space="0" w:color="auto"/>
              <w:left w:val="nil"/>
              <w:bottom w:val="dotted" w:sz="4" w:space="0" w:color="auto"/>
              <w:right w:val="nil"/>
            </w:tcBorders>
            <w:vAlign w:val="center"/>
            <w:hideMark/>
          </w:tcPr>
          <w:p w14:paraId="2FCEF138"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1,221</w:t>
            </w:r>
          </w:p>
        </w:tc>
        <w:tc>
          <w:tcPr>
            <w:tcW w:w="461" w:type="pct"/>
            <w:tcBorders>
              <w:top w:val="dotted" w:sz="4" w:space="0" w:color="auto"/>
              <w:left w:val="nil"/>
              <w:bottom w:val="dotted" w:sz="4" w:space="0" w:color="auto"/>
              <w:right w:val="nil"/>
            </w:tcBorders>
            <w:vAlign w:val="center"/>
            <w:hideMark/>
          </w:tcPr>
          <w:p w14:paraId="3108CC3C"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1,228</w:t>
            </w:r>
          </w:p>
        </w:tc>
        <w:tc>
          <w:tcPr>
            <w:tcW w:w="461" w:type="pct"/>
            <w:tcBorders>
              <w:top w:val="dotted" w:sz="4" w:space="0" w:color="auto"/>
              <w:left w:val="nil"/>
              <w:bottom w:val="dotted" w:sz="4" w:space="0" w:color="auto"/>
              <w:right w:val="nil"/>
            </w:tcBorders>
            <w:vAlign w:val="center"/>
            <w:hideMark/>
          </w:tcPr>
          <w:p w14:paraId="398FD9F0"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1,158</w:t>
            </w:r>
          </w:p>
        </w:tc>
        <w:tc>
          <w:tcPr>
            <w:tcW w:w="461" w:type="pct"/>
            <w:tcBorders>
              <w:top w:val="dotted" w:sz="4" w:space="0" w:color="auto"/>
              <w:left w:val="nil"/>
              <w:bottom w:val="dotted" w:sz="4" w:space="0" w:color="auto"/>
              <w:right w:val="nil"/>
            </w:tcBorders>
            <w:vAlign w:val="center"/>
            <w:hideMark/>
          </w:tcPr>
          <w:p w14:paraId="5EA8923E"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1,397</w:t>
            </w:r>
          </w:p>
        </w:tc>
        <w:tc>
          <w:tcPr>
            <w:tcW w:w="543" w:type="pct"/>
            <w:tcBorders>
              <w:top w:val="dotted" w:sz="4" w:space="0" w:color="auto"/>
              <w:left w:val="single" w:sz="8" w:space="0" w:color="auto"/>
              <w:bottom w:val="dotted" w:sz="4" w:space="0" w:color="auto"/>
              <w:right w:val="single" w:sz="8" w:space="0" w:color="auto"/>
            </w:tcBorders>
            <w:shd w:val="clear" w:color="000000" w:fill="C6E0B4"/>
            <w:vAlign w:val="center"/>
            <w:hideMark/>
          </w:tcPr>
          <w:p w14:paraId="03FF4E5C"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Increasing</w:t>
            </w:r>
          </w:p>
        </w:tc>
      </w:tr>
      <w:tr w:rsidR="00E26D26" w:rsidRPr="00E26D26" w14:paraId="6D9C3F15" w14:textId="77777777">
        <w:trPr>
          <w:trHeight w:val="649"/>
        </w:trPr>
        <w:tc>
          <w:tcPr>
            <w:tcW w:w="321" w:type="pct"/>
            <w:tcBorders>
              <w:top w:val="nil"/>
              <w:left w:val="single" w:sz="8" w:space="0" w:color="auto"/>
              <w:bottom w:val="single" w:sz="8" w:space="0" w:color="auto"/>
              <w:right w:val="nil"/>
            </w:tcBorders>
            <w:vAlign w:val="center"/>
            <w:hideMark/>
          </w:tcPr>
          <w:p w14:paraId="36403C35" w14:textId="77777777" w:rsidR="00E26D26" w:rsidRPr="00E26D26" w:rsidRDefault="00E26D26" w:rsidP="00E26D26">
            <w:pPr>
              <w:spacing w:line="240" w:lineRule="auto"/>
              <w:jc w:val="left"/>
              <w:rPr>
                <w:rFonts w:ascii="Calibri" w:eastAsia="Times New Roman" w:hAnsi="Calibri" w:cs="Calibri"/>
                <w:sz w:val="20"/>
                <w:szCs w:val="20"/>
                <w:lang w:eastAsia="en-GB"/>
              </w:rPr>
            </w:pPr>
            <w:r w:rsidRPr="00E26D26">
              <w:rPr>
                <w:rFonts w:ascii="Calibri" w:eastAsia="Times New Roman" w:hAnsi="Calibri" w:cs="Calibri"/>
                <w:sz w:val="20"/>
                <w:szCs w:val="20"/>
                <w:lang w:eastAsia="en-GB"/>
              </w:rPr>
              <w:t>KPI17</w:t>
            </w:r>
          </w:p>
        </w:tc>
        <w:tc>
          <w:tcPr>
            <w:tcW w:w="2294" w:type="pct"/>
            <w:tcBorders>
              <w:top w:val="nil"/>
              <w:left w:val="nil"/>
              <w:bottom w:val="single" w:sz="8" w:space="0" w:color="auto"/>
              <w:right w:val="single" w:sz="8" w:space="0" w:color="auto"/>
            </w:tcBorders>
            <w:vAlign w:val="center"/>
            <w:hideMark/>
          </w:tcPr>
          <w:p w14:paraId="595291FF" w14:textId="77777777" w:rsidR="00E26D26" w:rsidRPr="00E26D26" w:rsidRDefault="00E26D26" w:rsidP="00E26D26">
            <w:pPr>
              <w:spacing w:line="240" w:lineRule="auto"/>
              <w:jc w:val="left"/>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 xml:space="preserve">Full Fire Safety Audits (RBIP) </w:t>
            </w:r>
            <w:r w:rsidRPr="00E26D26">
              <w:rPr>
                <w:rFonts w:ascii="Calibri" w:eastAsia="Times New Roman" w:hAnsi="Calibri" w:cs="Calibri"/>
                <w:color w:val="000000"/>
                <w:sz w:val="20"/>
                <w:szCs w:val="20"/>
                <w:lang w:eastAsia="en-GB"/>
              </w:rPr>
              <w:br/>
            </w:r>
            <w:r w:rsidRPr="00E26D26">
              <w:rPr>
                <w:rFonts w:ascii="Calibri" w:eastAsia="Times New Roman" w:hAnsi="Calibri" w:cs="Calibri"/>
                <w:i/>
                <w:iCs/>
                <w:color w:val="000000"/>
                <w:sz w:val="20"/>
                <w:szCs w:val="20"/>
                <w:lang w:eastAsia="en-GB"/>
              </w:rPr>
              <w:t>(Not all required to be repeated annually)</w:t>
            </w:r>
          </w:p>
        </w:tc>
        <w:tc>
          <w:tcPr>
            <w:tcW w:w="461" w:type="pct"/>
            <w:tcBorders>
              <w:top w:val="nil"/>
              <w:left w:val="nil"/>
              <w:bottom w:val="single" w:sz="8" w:space="0" w:color="auto"/>
              <w:right w:val="nil"/>
            </w:tcBorders>
            <w:vAlign w:val="center"/>
            <w:hideMark/>
          </w:tcPr>
          <w:p w14:paraId="4FB7CE2F"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591</w:t>
            </w:r>
          </w:p>
        </w:tc>
        <w:tc>
          <w:tcPr>
            <w:tcW w:w="461" w:type="pct"/>
            <w:tcBorders>
              <w:top w:val="nil"/>
              <w:left w:val="nil"/>
              <w:bottom w:val="single" w:sz="8" w:space="0" w:color="auto"/>
              <w:right w:val="nil"/>
            </w:tcBorders>
            <w:vAlign w:val="center"/>
            <w:hideMark/>
          </w:tcPr>
          <w:p w14:paraId="596DC627"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860</w:t>
            </w:r>
          </w:p>
        </w:tc>
        <w:tc>
          <w:tcPr>
            <w:tcW w:w="461" w:type="pct"/>
            <w:tcBorders>
              <w:top w:val="nil"/>
              <w:left w:val="nil"/>
              <w:bottom w:val="single" w:sz="8" w:space="0" w:color="auto"/>
              <w:right w:val="nil"/>
            </w:tcBorders>
            <w:vAlign w:val="center"/>
            <w:hideMark/>
          </w:tcPr>
          <w:p w14:paraId="6357A147" w14:textId="77777777" w:rsidR="00E26D26" w:rsidRPr="00E26D26" w:rsidRDefault="00E26D26" w:rsidP="00E26D26">
            <w:pPr>
              <w:spacing w:line="240" w:lineRule="auto"/>
              <w:jc w:val="center"/>
              <w:rPr>
                <w:rFonts w:ascii="Calibri" w:eastAsia="Times New Roman" w:hAnsi="Calibri" w:cs="Calibri"/>
                <w:color w:val="000000"/>
                <w:sz w:val="20"/>
                <w:szCs w:val="20"/>
                <w:lang w:eastAsia="en-GB"/>
              </w:rPr>
            </w:pPr>
            <w:r w:rsidRPr="00E26D26">
              <w:rPr>
                <w:rFonts w:ascii="Calibri" w:eastAsia="Times New Roman" w:hAnsi="Calibri" w:cs="Calibri"/>
                <w:color w:val="000000"/>
                <w:sz w:val="20"/>
                <w:szCs w:val="20"/>
                <w:lang w:eastAsia="en-GB"/>
              </w:rPr>
              <w:t>653</w:t>
            </w:r>
          </w:p>
        </w:tc>
        <w:tc>
          <w:tcPr>
            <w:tcW w:w="461" w:type="pct"/>
            <w:tcBorders>
              <w:top w:val="nil"/>
              <w:left w:val="nil"/>
              <w:bottom w:val="single" w:sz="8" w:space="0" w:color="auto"/>
              <w:right w:val="nil"/>
            </w:tcBorders>
            <w:vAlign w:val="center"/>
            <w:hideMark/>
          </w:tcPr>
          <w:p w14:paraId="33D31C33" w14:textId="77777777" w:rsidR="00E26D26" w:rsidRPr="00E26D26" w:rsidRDefault="00E26D26" w:rsidP="00E26D26">
            <w:pPr>
              <w:spacing w:line="240" w:lineRule="auto"/>
              <w:jc w:val="center"/>
              <w:rPr>
                <w:rFonts w:ascii="Calibri" w:eastAsia="Times New Roman" w:hAnsi="Calibri" w:cs="Calibri"/>
                <w:b/>
                <w:bCs/>
                <w:color w:val="000000"/>
                <w:sz w:val="20"/>
                <w:szCs w:val="20"/>
                <w:lang w:eastAsia="en-GB"/>
              </w:rPr>
            </w:pPr>
            <w:r w:rsidRPr="00E26D26">
              <w:rPr>
                <w:rFonts w:ascii="Calibri" w:eastAsia="Times New Roman" w:hAnsi="Calibri" w:cs="Calibri"/>
                <w:b/>
                <w:bCs/>
                <w:color w:val="000000"/>
                <w:sz w:val="20"/>
                <w:szCs w:val="20"/>
                <w:lang w:eastAsia="en-GB"/>
              </w:rPr>
              <w:t>406</w:t>
            </w:r>
          </w:p>
        </w:tc>
        <w:tc>
          <w:tcPr>
            <w:tcW w:w="543" w:type="pct"/>
            <w:tcBorders>
              <w:top w:val="nil"/>
              <w:left w:val="single" w:sz="8" w:space="0" w:color="auto"/>
              <w:bottom w:val="single" w:sz="8" w:space="0" w:color="auto"/>
              <w:right w:val="single" w:sz="8" w:space="0" w:color="auto"/>
            </w:tcBorders>
            <w:shd w:val="clear" w:color="000000" w:fill="F8CBAD"/>
            <w:vAlign w:val="center"/>
            <w:hideMark/>
          </w:tcPr>
          <w:p w14:paraId="44EDB096"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r w:rsidRPr="00E26D26">
              <w:rPr>
                <w:rFonts w:ascii="Calibri" w:eastAsia="Times New Roman" w:hAnsi="Calibri" w:cs="Calibri"/>
                <w:b/>
                <w:bCs/>
                <w:sz w:val="20"/>
                <w:szCs w:val="20"/>
                <w:lang w:eastAsia="en-GB"/>
              </w:rPr>
              <w:t>Reducing</w:t>
            </w:r>
          </w:p>
        </w:tc>
      </w:tr>
      <w:tr w:rsidR="00E26D26" w:rsidRPr="00E26D26" w14:paraId="1D6BF050" w14:textId="77777777" w:rsidTr="0064214B">
        <w:trPr>
          <w:trHeight w:val="300"/>
        </w:trPr>
        <w:tc>
          <w:tcPr>
            <w:tcW w:w="321" w:type="pct"/>
            <w:tcBorders>
              <w:top w:val="nil"/>
              <w:left w:val="nil"/>
              <w:bottom w:val="nil"/>
              <w:right w:val="nil"/>
            </w:tcBorders>
            <w:vAlign w:val="bottom"/>
          </w:tcPr>
          <w:p w14:paraId="1E2D0B9B" w14:textId="77777777" w:rsidR="00E26D26" w:rsidRPr="00E26D26" w:rsidRDefault="00E26D26" w:rsidP="00E26D26">
            <w:pPr>
              <w:spacing w:line="240" w:lineRule="auto"/>
              <w:jc w:val="center"/>
              <w:rPr>
                <w:rFonts w:ascii="Calibri" w:eastAsia="Times New Roman" w:hAnsi="Calibri" w:cs="Calibri"/>
                <w:b/>
                <w:bCs/>
                <w:sz w:val="20"/>
                <w:szCs w:val="20"/>
                <w:lang w:eastAsia="en-GB"/>
              </w:rPr>
            </w:pPr>
          </w:p>
        </w:tc>
        <w:tc>
          <w:tcPr>
            <w:tcW w:w="2294" w:type="pct"/>
            <w:tcBorders>
              <w:top w:val="nil"/>
              <w:left w:val="nil"/>
              <w:bottom w:val="nil"/>
              <w:right w:val="nil"/>
            </w:tcBorders>
            <w:vAlign w:val="center"/>
          </w:tcPr>
          <w:p w14:paraId="41230044" w14:textId="3F6880A5" w:rsidR="00E26D26" w:rsidRPr="00E26D26" w:rsidRDefault="00E26D26" w:rsidP="00E26D26">
            <w:pPr>
              <w:spacing w:line="240" w:lineRule="auto"/>
              <w:jc w:val="left"/>
              <w:rPr>
                <w:rFonts w:ascii="Calibri" w:eastAsia="Times New Roman" w:hAnsi="Calibri" w:cs="Calibri"/>
                <w:i/>
                <w:iCs/>
                <w:color w:val="000000"/>
                <w:sz w:val="20"/>
                <w:szCs w:val="20"/>
                <w:lang w:eastAsia="en-GB"/>
              </w:rPr>
            </w:pPr>
          </w:p>
        </w:tc>
        <w:tc>
          <w:tcPr>
            <w:tcW w:w="461" w:type="pct"/>
            <w:tcBorders>
              <w:top w:val="nil"/>
              <w:left w:val="nil"/>
              <w:bottom w:val="nil"/>
              <w:right w:val="nil"/>
            </w:tcBorders>
            <w:vAlign w:val="bottom"/>
            <w:hideMark/>
          </w:tcPr>
          <w:p w14:paraId="76CE0B10" w14:textId="77777777" w:rsidR="00E26D26" w:rsidRPr="00E26D26" w:rsidRDefault="00E26D26" w:rsidP="00E26D26">
            <w:pPr>
              <w:spacing w:line="240" w:lineRule="auto"/>
              <w:jc w:val="left"/>
              <w:rPr>
                <w:rFonts w:ascii="Calibri" w:eastAsia="Times New Roman" w:hAnsi="Calibri" w:cs="Calibri"/>
                <w:b/>
                <w:bCs/>
                <w:i/>
                <w:iCs/>
                <w:color w:val="000000"/>
                <w:sz w:val="20"/>
                <w:szCs w:val="20"/>
                <w:lang w:eastAsia="en-GB"/>
              </w:rPr>
            </w:pPr>
          </w:p>
        </w:tc>
        <w:tc>
          <w:tcPr>
            <w:tcW w:w="461" w:type="pct"/>
            <w:tcBorders>
              <w:top w:val="nil"/>
              <w:left w:val="nil"/>
              <w:bottom w:val="nil"/>
              <w:right w:val="nil"/>
            </w:tcBorders>
            <w:vAlign w:val="bottom"/>
            <w:hideMark/>
          </w:tcPr>
          <w:p w14:paraId="598B6743" w14:textId="77777777" w:rsidR="00E26D26" w:rsidRPr="00E26D26" w:rsidRDefault="00E26D26" w:rsidP="00E26D26">
            <w:pPr>
              <w:spacing w:line="240" w:lineRule="auto"/>
              <w:jc w:val="left"/>
              <w:rPr>
                <w:rFonts w:ascii="Times New Roman" w:eastAsia="Times New Roman" w:hAnsi="Times New Roman" w:cs="Times New Roman"/>
                <w:sz w:val="20"/>
                <w:szCs w:val="20"/>
                <w:lang w:eastAsia="en-GB"/>
              </w:rPr>
            </w:pPr>
          </w:p>
        </w:tc>
        <w:tc>
          <w:tcPr>
            <w:tcW w:w="461" w:type="pct"/>
            <w:tcBorders>
              <w:top w:val="nil"/>
              <w:left w:val="nil"/>
              <w:bottom w:val="nil"/>
              <w:right w:val="nil"/>
            </w:tcBorders>
            <w:vAlign w:val="bottom"/>
            <w:hideMark/>
          </w:tcPr>
          <w:p w14:paraId="54055852" w14:textId="77777777" w:rsidR="00E26D26" w:rsidRPr="00E26D26" w:rsidRDefault="00E26D26" w:rsidP="00E26D26">
            <w:pPr>
              <w:spacing w:line="240" w:lineRule="auto"/>
              <w:jc w:val="left"/>
              <w:rPr>
                <w:rFonts w:ascii="Times New Roman" w:eastAsia="Times New Roman" w:hAnsi="Times New Roman" w:cs="Times New Roman"/>
                <w:sz w:val="20"/>
                <w:szCs w:val="20"/>
                <w:lang w:eastAsia="en-GB"/>
              </w:rPr>
            </w:pPr>
          </w:p>
        </w:tc>
        <w:tc>
          <w:tcPr>
            <w:tcW w:w="461" w:type="pct"/>
            <w:tcBorders>
              <w:top w:val="nil"/>
              <w:left w:val="nil"/>
              <w:bottom w:val="nil"/>
              <w:right w:val="nil"/>
            </w:tcBorders>
            <w:vAlign w:val="bottom"/>
            <w:hideMark/>
          </w:tcPr>
          <w:p w14:paraId="6C1A199A" w14:textId="77777777" w:rsidR="00E26D26" w:rsidRPr="00E26D26" w:rsidRDefault="00E26D26" w:rsidP="00E26D26">
            <w:pPr>
              <w:spacing w:line="240" w:lineRule="auto"/>
              <w:jc w:val="left"/>
              <w:rPr>
                <w:rFonts w:ascii="Times New Roman" w:eastAsia="Times New Roman" w:hAnsi="Times New Roman" w:cs="Times New Roman"/>
                <w:sz w:val="20"/>
                <w:szCs w:val="20"/>
                <w:lang w:eastAsia="en-GB"/>
              </w:rPr>
            </w:pPr>
          </w:p>
        </w:tc>
        <w:tc>
          <w:tcPr>
            <w:tcW w:w="543" w:type="pct"/>
            <w:tcBorders>
              <w:top w:val="nil"/>
              <w:left w:val="nil"/>
              <w:bottom w:val="nil"/>
              <w:right w:val="nil"/>
            </w:tcBorders>
            <w:vAlign w:val="bottom"/>
            <w:hideMark/>
          </w:tcPr>
          <w:p w14:paraId="405524A7" w14:textId="77777777" w:rsidR="00E26D26" w:rsidRPr="00E26D26" w:rsidRDefault="00E26D26" w:rsidP="00E26D26">
            <w:pPr>
              <w:spacing w:line="240" w:lineRule="auto"/>
              <w:jc w:val="left"/>
              <w:rPr>
                <w:rFonts w:ascii="Times New Roman" w:eastAsia="Times New Roman" w:hAnsi="Times New Roman" w:cs="Times New Roman"/>
                <w:sz w:val="20"/>
                <w:szCs w:val="20"/>
                <w:lang w:eastAsia="en-GB"/>
              </w:rPr>
            </w:pPr>
          </w:p>
        </w:tc>
      </w:tr>
    </w:tbl>
    <w:p w14:paraId="50EEF824" w14:textId="77777777" w:rsidR="00E26D26" w:rsidRPr="00E26D26" w:rsidRDefault="00E26D26" w:rsidP="00E26D26">
      <w:pPr>
        <w:numPr>
          <w:ilvl w:val="2"/>
          <w:numId w:val="0"/>
        </w:numPr>
        <w:tabs>
          <w:tab w:val="left" w:pos="1985"/>
        </w:tabs>
        <w:spacing w:line="276" w:lineRule="auto"/>
        <w:rPr>
          <w:rFonts w:eastAsia="Times New Roman" w:cs="Times New Roman"/>
          <w:bCs/>
          <w:color w:val="C00000"/>
          <w:sz w:val="20"/>
          <w:szCs w:val="20"/>
        </w:rPr>
        <w:sectPr w:rsidR="00E26D26" w:rsidRPr="00E26D26" w:rsidSect="00183516">
          <w:type w:val="continuous"/>
          <w:pgSz w:w="11906" w:h="16838"/>
          <w:pgMar w:top="851" w:right="680" w:bottom="851" w:left="851" w:header="680" w:footer="0" w:gutter="0"/>
          <w:cols w:space="708"/>
          <w:docGrid w:linePitch="360"/>
        </w:sectPr>
      </w:pPr>
    </w:p>
    <w:p w14:paraId="7AB25710" w14:textId="77777777" w:rsidR="007E7383" w:rsidRPr="00E26D26" w:rsidRDefault="007E7383" w:rsidP="00E26D26">
      <w:pPr>
        <w:keepNext/>
        <w:tabs>
          <w:tab w:val="left" w:pos="360"/>
          <w:tab w:val="left" w:pos="7740"/>
        </w:tabs>
        <w:spacing w:after="60" w:line="276" w:lineRule="auto"/>
        <w:contextualSpacing/>
        <w:outlineLvl w:val="1"/>
        <w:rPr>
          <w:rFonts w:eastAsia="Calibri"/>
          <w:smallCaps/>
          <w:color w:val="CC0000"/>
          <w:sz w:val="32"/>
          <w:szCs w:val="24"/>
        </w:rPr>
      </w:pPr>
      <w:r w:rsidRPr="00E26D26">
        <w:rPr>
          <w:rFonts w:eastAsia="Calibri"/>
          <w:smallCaps/>
          <w:color w:val="CC0000"/>
          <w:sz w:val="32"/>
          <w:szCs w:val="24"/>
        </w:rPr>
        <w:t>HMICFRS</w:t>
      </w:r>
    </w:p>
    <w:bookmarkEnd w:id="7"/>
    <w:p w14:paraId="26C306C9" w14:textId="77777777" w:rsidR="007E7383" w:rsidRDefault="007E7383" w:rsidP="007E7383">
      <w:r w:rsidRPr="00C00FEC">
        <w:t xml:space="preserve">The </w:t>
      </w:r>
      <w:r>
        <w:t>third</w:t>
      </w:r>
      <w:r w:rsidRPr="00C00FEC">
        <w:t xml:space="preserve"> full inspection of the </w:t>
      </w:r>
      <w:r w:rsidR="00E26D26" w:rsidRPr="00E26D26">
        <w:t>service</w:t>
      </w:r>
      <w:r w:rsidRPr="00C00FEC">
        <w:t xml:space="preserve"> was carried out by His Majesty’s Inspection of Constabulary and Fire and Rescue Services (HMICFRS) </w:t>
      </w:r>
      <w:r>
        <w:t xml:space="preserve">between March and April 2024.  </w:t>
      </w:r>
      <w:r w:rsidR="00E26D26" w:rsidRPr="00E26D26">
        <w:t>The inspectors said that there was</w:t>
      </w:r>
      <w:r>
        <w:t xml:space="preserve"> “there are some good foundations in place and sound financial planning” – and that it is important that the Service now moves ahead with those plans.</w:t>
      </w:r>
    </w:p>
    <w:p w14:paraId="22E81E2B" w14:textId="77777777" w:rsidR="007E7383" w:rsidRDefault="007E7383" w:rsidP="007E7383"/>
    <w:p w14:paraId="3DDA2699" w14:textId="77777777" w:rsidR="007E7383" w:rsidRDefault="007E7383" w:rsidP="007E7383">
      <w:r>
        <w:t>The Inspectors found that the Service is good at protecting people through fire regulations, using the full range of enforcement powers and working with businesses to protect the public.</w:t>
      </w:r>
    </w:p>
    <w:p w14:paraId="7507804A" w14:textId="77777777" w:rsidR="007E7383" w:rsidRDefault="007E7383" w:rsidP="007E7383"/>
    <w:p w14:paraId="3BD18660" w14:textId="77777777" w:rsidR="007E7383" w:rsidRDefault="007E7383" w:rsidP="007E7383">
      <w:r>
        <w:t>The Service was praised for the way it responds to major and multi-agency incidents and works with partners. The Inspectors singled out the work of the Joint Operations Team, a collaboration between Fire and Police to ensure both services can operate effectively together to keep the public safe.</w:t>
      </w:r>
    </w:p>
    <w:p w14:paraId="701CF580" w14:textId="77777777" w:rsidR="007E7383" w:rsidRDefault="007E7383" w:rsidP="007E7383"/>
    <w:p w14:paraId="22032D88" w14:textId="77777777" w:rsidR="007E7383" w:rsidRDefault="007E7383" w:rsidP="007E7383">
      <w:r>
        <w:t>Financial planning and business efficiency were also very highly rated, with the Inspectors highlighting the professional way goods and services are procured as an area of best practice for other Services to follow.</w:t>
      </w:r>
    </w:p>
    <w:p w14:paraId="6EF681F6" w14:textId="77777777" w:rsidR="007E7383" w:rsidRDefault="007E7383" w:rsidP="007E7383"/>
    <w:p w14:paraId="01E4A61E" w14:textId="294EB082" w:rsidR="007E7383" w:rsidRPr="00894A1F" w:rsidRDefault="007E7383" w:rsidP="007E7383">
      <w:pPr>
        <w:rPr>
          <w:rFonts w:eastAsia="Times New Roman"/>
        </w:rPr>
      </w:pPr>
      <w:r>
        <w:t>However</w:t>
      </w:r>
      <w:r w:rsidR="004444BA">
        <w:t>,</w:t>
      </w:r>
      <w:r>
        <w:t xml:space="preserve"> the Inspectors said that there is more work needed to ensure firefighters and staff across the Service do more to prevent fires and other risks. They also said that improvements are still needed in the area of people and culture, making sure that leaders </w:t>
      </w:r>
      <w:r>
        <w:t>and staff do all they can to promote the right values</w:t>
      </w:r>
      <w:r w:rsidR="00E26D26" w:rsidRPr="00E26D26">
        <w:t>,</w:t>
      </w:r>
      <w:r>
        <w:t xml:space="preserve"> and to improve diversity.</w:t>
      </w:r>
    </w:p>
    <w:p w14:paraId="3BC5882B" w14:textId="77777777" w:rsidR="007E7383" w:rsidRPr="00E26D26" w:rsidRDefault="007E7383" w:rsidP="007E7383">
      <w:pPr>
        <w:rPr>
          <w:sz w:val="20"/>
          <w:szCs w:val="20"/>
        </w:rPr>
      </w:pPr>
    </w:p>
    <w:p w14:paraId="2405A71A" w14:textId="77777777" w:rsidR="007E7383" w:rsidRPr="00E26D26" w:rsidRDefault="007E7383" w:rsidP="00E26D26">
      <w:pPr>
        <w:keepNext/>
        <w:tabs>
          <w:tab w:val="left" w:pos="360"/>
          <w:tab w:val="left" w:pos="7740"/>
        </w:tabs>
        <w:spacing w:after="60" w:line="276" w:lineRule="auto"/>
        <w:contextualSpacing/>
        <w:outlineLvl w:val="1"/>
        <w:rPr>
          <w:rFonts w:eastAsia="Calibri"/>
          <w:smallCaps/>
          <w:color w:val="CC0000"/>
          <w:sz w:val="32"/>
          <w:szCs w:val="24"/>
        </w:rPr>
      </w:pPr>
      <w:r w:rsidRPr="00E26D26">
        <w:rPr>
          <w:rFonts w:eastAsia="Calibri"/>
          <w:smallCaps/>
          <w:color w:val="CC0000"/>
          <w:sz w:val="32"/>
          <w:szCs w:val="24"/>
        </w:rPr>
        <w:t xml:space="preserve">Risk Management  </w:t>
      </w:r>
    </w:p>
    <w:p w14:paraId="07E853E2" w14:textId="77777777" w:rsidR="007E7383" w:rsidRPr="00C00FEC" w:rsidRDefault="007E7383" w:rsidP="007E7383">
      <w:r w:rsidRPr="00C00FEC">
        <w:t xml:space="preserve">The manner in which NCFRA manages its response to various risks is part of a continuum of risk management that takes into account the National Security Strategy, the National Risk Register and the NCFRA risk registers. </w:t>
      </w:r>
      <w:r>
        <w:t xml:space="preserve"> </w:t>
      </w:r>
      <w:r w:rsidRPr="00C00FEC">
        <w:t xml:space="preserve">Risks are regularly considered at the Joint Independent Audit Committee (JIAC) and the last update </w:t>
      </w:r>
      <w:r>
        <w:t xml:space="preserve">in the 2024/25 financial year </w:t>
      </w:r>
      <w:r w:rsidRPr="00C00FEC">
        <w:t>was considered in March 202</w:t>
      </w:r>
      <w:r>
        <w:t>5</w:t>
      </w:r>
      <w:r w:rsidRPr="00C00FEC">
        <w:t>.</w:t>
      </w:r>
    </w:p>
    <w:p w14:paraId="76E6CADB" w14:textId="77777777" w:rsidR="007E7383" w:rsidRPr="00C00FEC" w:rsidRDefault="007E7383" w:rsidP="007E7383"/>
    <w:p w14:paraId="0F0137E3" w14:textId="77777777" w:rsidR="007E7383" w:rsidRDefault="007E7383" w:rsidP="007E7383">
      <w:r w:rsidRPr="00C00FEC">
        <w:t>Managing risk and business continuity arrangements are a key aspect of NCFRA’s governance arrangements.</w:t>
      </w:r>
      <w:r>
        <w:t xml:space="preserve"> </w:t>
      </w:r>
      <w:r w:rsidRPr="00C00FEC">
        <w:t xml:space="preserve"> As a Category 1 responder under the Civil Contingencies Act 2004, the Authority is required to have in place business continuity arrangements to ensure that continuity of service can be provided for foreseeable events that may impact upon the delivery of services.</w:t>
      </w:r>
    </w:p>
    <w:p w14:paraId="3CC9AA8D" w14:textId="77777777" w:rsidR="007E7383" w:rsidRPr="00C00FEC" w:rsidRDefault="007E7383" w:rsidP="007E7383"/>
    <w:p w14:paraId="1FA0A7B6" w14:textId="77777777" w:rsidR="007E7383" w:rsidRDefault="007E7383" w:rsidP="007E7383">
      <w:pPr>
        <w:rPr>
          <w:lang w:val="gsw-FR"/>
        </w:rPr>
      </w:pPr>
      <w:r w:rsidRPr="00C00FEC">
        <w:rPr>
          <w:lang w:val="gsw-FR"/>
        </w:rPr>
        <w:t xml:space="preserve">The most significant risks to NCFRA have related to the operational risks required following the HMICFRS inspection and ensuring sufficient level of reserves and funding levels over the medium term. </w:t>
      </w:r>
    </w:p>
    <w:p w14:paraId="714EA557" w14:textId="77777777" w:rsidR="00E26D26" w:rsidRPr="00E26D26" w:rsidRDefault="00E26D26" w:rsidP="00E26D26">
      <w:pPr>
        <w:rPr>
          <w:sz w:val="20"/>
          <w:szCs w:val="20"/>
          <w:lang w:val="gsw-FR"/>
        </w:rPr>
      </w:pPr>
    </w:p>
    <w:p w14:paraId="492D476B" w14:textId="17B4C115" w:rsidR="007E7383" w:rsidRPr="000C6043" w:rsidRDefault="00E26D26" w:rsidP="007E7383">
      <w:pPr>
        <w:rPr>
          <w:rFonts w:eastAsia="Calibri"/>
          <w:color w:val="CC0000"/>
          <w:sz w:val="32"/>
          <w:szCs w:val="24"/>
        </w:rPr>
      </w:pPr>
      <w:r w:rsidRPr="00E26D26">
        <w:rPr>
          <w:sz w:val="20"/>
          <w:szCs w:val="20"/>
        </w:rPr>
        <w:br w:type="page"/>
      </w:r>
    </w:p>
    <w:p w14:paraId="116B07B3" w14:textId="77777777" w:rsidR="00585914" w:rsidRPr="00585914" w:rsidRDefault="00585914" w:rsidP="00585914">
      <w:pPr>
        <w:keepNext/>
        <w:tabs>
          <w:tab w:val="left" w:pos="360"/>
          <w:tab w:val="left" w:pos="7740"/>
        </w:tabs>
        <w:spacing w:after="60" w:line="276" w:lineRule="auto"/>
        <w:contextualSpacing/>
        <w:outlineLvl w:val="1"/>
        <w:rPr>
          <w:rFonts w:eastAsia="Calibri"/>
          <w:bCs/>
          <w:smallCaps/>
          <w:color w:val="CC0000"/>
          <w:sz w:val="32"/>
          <w:szCs w:val="24"/>
        </w:rPr>
      </w:pPr>
      <w:r w:rsidRPr="00585914">
        <w:rPr>
          <w:rFonts w:eastAsia="Calibri"/>
          <w:bCs/>
          <w:smallCaps/>
          <w:color w:val="CC0000"/>
          <w:sz w:val="32"/>
          <w:szCs w:val="24"/>
        </w:rPr>
        <w:lastRenderedPageBreak/>
        <w:t>Financial Performance</w:t>
      </w:r>
    </w:p>
    <w:p w14:paraId="3FF53AA6" w14:textId="044D21DB" w:rsidR="00585914" w:rsidRDefault="00585914" w:rsidP="00585914">
      <w:r w:rsidRPr="00585914">
        <w:t>As at year-end, NCFRA overspent the budget by £</w:t>
      </w:r>
      <w:r w:rsidR="00246737">
        <w:t>0.37m</w:t>
      </w:r>
      <w:r w:rsidRPr="00585914">
        <w:t xml:space="preserve"> on the budget of £32.6m after agreed transfers to/from reserves:</w:t>
      </w:r>
    </w:p>
    <w:p w14:paraId="4C11CC74" w14:textId="77777777" w:rsidR="00605F3D" w:rsidRPr="00585914" w:rsidRDefault="00605F3D" w:rsidP="00585914"/>
    <w:tbl>
      <w:tblPr>
        <w:tblW w:w="4532" w:type="dxa"/>
        <w:tblLook w:val="04A0" w:firstRow="1" w:lastRow="0" w:firstColumn="1" w:lastColumn="0" w:noHBand="0" w:noVBand="1"/>
      </w:tblPr>
      <w:tblGrid>
        <w:gridCol w:w="3276"/>
        <w:gridCol w:w="1256"/>
      </w:tblGrid>
      <w:tr w:rsidR="00585914" w:rsidRPr="00585914" w14:paraId="6A023AB8" w14:textId="77777777" w:rsidTr="6C31340A">
        <w:trPr>
          <w:trHeight w:val="315"/>
        </w:trPr>
        <w:tc>
          <w:tcPr>
            <w:tcW w:w="3276" w:type="dxa"/>
            <w:tcBorders>
              <w:top w:val="nil"/>
              <w:left w:val="nil"/>
              <w:bottom w:val="nil"/>
              <w:right w:val="nil"/>
            </w:tcBorders>
            <w:shd w:val="clear" w:color="auto" w:fill="C00000"/>
            <w:noWrap/>
            <w:vAlign w:val="center"/>
            <w:hideMark/>
          </w:tcPr>
          <w:p w14:paraId="3DD7C82C" w14:textId="77777777" w:rsidR="00585914" w:rsidRPr="00585914" w:rsidRDefault="00585914" w:rsidP="00585914">
            <w:pPr>
              <w:spacing w:line="240" w:lineRule="auto"/>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Budget Heading</w:t>
            </w:r>
          </w:p>
        </w:tc>
        <w:tc>
          <w:tcPr>
            <w:tcW w:w="1256" w:type="dxa"/>
            <w:tcBorders>
              <w:top w:val="nil"/>
              <w:left w:val="nil"/>
              <w:bottom w:val="nil"/>
              <w:right w:val="nil"/>
            </w:tcBorders>
            <w:shd w:val="clear" w:color="auto" w:fill="C00000"/>
            <w:noWrap/>
            <w:vAlign w:val="center"/>
            <w:hideMark/>
          </w:tcPr>
          <w:p w14:paraId="1A271FF8" w14:textId="77777777" w:rsidR="00585914" w:rsidRPr="00585914" w:rsidRDefault="00585914" w:rsidP="00585914">
            <w:pPr>
              <w:spacing w:line="240" w:lineRule="auto"/>
              <w:jc w:val="center"/>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Variance</w:t>
            </w:r>
          </w:p>
        </w:tc>
      </w:tr>
      <w:tr w:rsidR="00585914" w:rsidRPr="00585914" w14:paraId="4109455E" w14:textId="77777777" w:rsidTr="6C31340A">
        <w:trPr>
          <w:trHeight w:val="315"/>
        </w:trPr>
        <w:tc>
          <w:tcPr>
            <w:tcW w:w="3276" w:type="dxa"/>
            <w:tcBorders>
              <w:top w:val="nil"/>
              <w:left w:val="nil"/>
              <w:bottom w:val="nil"/>
              <w:right w:val="nil"/>
            </w:tcBorders>
            <w:shd w:val="clear" w:color="auto" w:fill="C00000"/>
            <w:noWrap/>
            <w:vAlign w:val="center"/>
            <w:hideMark/>
          </w:tcPr>
          <w:p w14:paraId="72938593" w14:textId="77777777" w:rsidR="00585914" w:rsidRPr="00585914" w:rsidRDefault="00585914" w:rsidP="00585914">
            <w:pPr>
              <w:spacing w:line="240" w:lineRule="auto"/>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 </w:t>
            </w:r>
          </w:p>
        </w:tc>
        <w:tc>
          <w:tcPr>
            <w:tcW w:w="1256" w:type="dxa"/>
            <w:tcBorders>
              <w:top w:val="nil"/>
              <w:left w:val="nil"/>
              <w:bottom w:val="nil"/>
              <w:right w:val="nil"/>
            </w:tcBorders>
            <w:shd w:val="clear" w:color="auto" w:fill="C00000"/>
            <w:noWrap/>
            <w:vAlign w:val="center"/>
            <w:hideMark/>
          </w:tcPr>
          <w:p w14:paraId="2078455A" w14:textId="77777777" w:rsidR="00585914" w:rsidRPr="00585914" w:rsidRDefault="00585914" w:rsidP="00585914">
            <w:pPr>
              <w:spacing w:line="240" w:lineRule="auto"/>
              <w:jc w:val="center"/>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£m</w:t>
            </w:r>
          </w:p>
        </w:tc>
      </w:tr>
      <w:tr w:rsidR="00585914" w:rsidRPr="00585914" w14:paraId="563B6CD0"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1BB6FF6B"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Firefighters - Wholetime</w:t>
            </w:r>
          </w:p>
        </w:tc>
        <w:tc>
          <w:tcPr>
            <w:tcW w:w="1256" w:type="dxa"/>
            <w:tcBorders>
              <w:top w:val="nil"/>
              <w:left w:val="nil"/>
              <w:bottom w:val="nil"/>
              <w:right w:val="nil"/>
            </w:tcBorders>
            <w:shd w:val="clear" w:color="auto" w:fill="FFE1E1"/>
            <w:noWrap/>
            <w:vAlign w:val="center"/>
            <w:hideMark/>
          </w:tcPr>
          <w:p w14:paraId="56715E4C" w14:textId="37F8156B" w:rsidR="00585914" w:rsidRPr="00585914" w:rsidRDefault="2B059075" w:rsidP="00585914">
            <w:pPr>
              <w:spacing w:line="240" w:lineRule="auto"/>
              <w:jc w:val="right"/>
              <w:rPr>
                <w:rFonts w:ascii="Calibri" w:eastAsia="Times New Roman" w:hAnsi="Calibri" w:cs="Calibri"/>
                <w:color w:val="000000"/>
                <w:sz w:val="20"/>
                <w:szCs w:val="20"/>
                <w:lang w:eastAsia="en-GB"/>
              </w:rPr>
            </w:pPr>
            <w:r w:rsidRPr="6C31340A">
              <w:rPr>
                <w:rFonts w:ascii="Calibri" w:eastAsia="Times New Roman" w:hAnsi="Calibri" w:cs="Calibri"/>
                <w:color w:val="000000" w:themeColor="text1"/>
                <w:sz w:val="20"/>
                <w:szCs w:val="20"/>
                <w:lang w:eastAsia="en-GB"/>
              </w:rPr>
              <w:t>0.6</w:t>
            </w:r>
            <w:r w:rsidR="2AECA54D" w:rsidRPr="6C31340A">
              <w:rPr>
                <w:rFonts w:ascii="Calibri" w:eastAsia="Times New Roman" w:hAnsi="Calibri" w:cs="Calibri"/>
                <w:color w:val="000000" w:themeColor="text1"/>
                <w:sz w:val="20"/>
                <w:szCs w:val="20"/>
                <w:lang w:eastAsia="en-GB"/>
              </w:rPr>
              <w:t>3</w:t>
            </w:r>
          </w:p>
        </w:tc>
      </w:tr>
      <w:tr w:rsidR="00585914" w:rsidRPr="00585914" w14:paraId="63142E31"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40CA5449"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Firefighters - Retained</w:t>
            </w:r>
          </w:p>
        </w:tc>
        <w:tc>
          <w:tcPr>
            <w:tcW w:w="1256" w:type="dxa"/>
            <w:tcBorders>
              <w:top w:val="nil"/>
              <w:left w:val="nil"/>
              <w:bottom w:val="nil"/>
              <w:right w:val="nil"/>
            </w:tcBorders>
            <w:shd w:val="clear" w:color="auto" w:fill="FFE1E1"/>
            <w:noWrap/>
            <w:vAlign w:val="center"/>
            <w:hideMark/>
          </w:tcPr>
          <w:p w14:paraId="2D103D80" w14:textId="15ADE072"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0.6</w:t>
            </w:r>
            <w:r w:rsidR="00374951">
              <w:rPr>
                <w:rFonts w:ascii="Calibri" w:eastAsia="Times New Roman" w:hAnsi="Calibri" w:cs="Calibri"/>
                <w:color w:val="000000"/>
                <w:sz w:val="20"/>
                <w:szCs w:val="20"/>
                <w:lang w:eastAsia="en-GB"/>
              </w:rPr>
              <w:t>9</w:t>
            </w:r>
          </w:p>
        </w:tc>
      </w:tr>
      <w:tr w:rsidR="00585914" w:rsidRPr="00585914" w14:paraId="404E01C9"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183CEDB6"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Control Room</w:t>
            </w:r>
          </w:p>
        </w:tc>
        <w:tc>
          <w:tcPr>
            <w:tcW w:w="1256" w:type="dxa"/>
            <w:tcBorders>
              <w:top w:val="nil"/>
              <w:left w:val="nil"/>
              <w:bottom w:val="nil"/>
              <w:right w:val="nil"/>
            </w:tcBorders>
            <w:shd w:val="clear" w:color="auto" w:fill="FFE1E1"/>
            <w:noWrap/>
            <w:vAlign w:val="center"/>
            <w:hideMark/>
          </w:tcPr>
          <w:p w14:paraId="747825C6" w14:textId="62341A0F"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(0.2</w:t>
            </w:r>
            <w:r w:rsidR="00374951">
              <w:rPr>
                <w:rFonts w:ascii="Calibri" w:eastAsia="Times New Roman" w:hAnsi="Calibri" w:cs="Calibri"/>
                <w:color w:val="000000"/>
                <w:sz w:val="20"/>
                <w:szCs w:val="20"/>
                <w:lang w:eastAsia="en-GB"/>
              </w:rPr>
              <w:t>2</w:t>
            </w:r>
            <w:r w:rsidRPr="00585914">
              <w:rPr>
                <w:rFonts w:ascii="Calibri" w:eastAsia="Times New Roman" w:hAnsi="Calibri" w:cs="Calibri"/>
                <w:color w:val="000000"/>
                <w:sz w:val="20"/>
                <w:szCs w:val="20"/>
                <w:lang w:eastAsia="en-GB"/>
              </w:rPr>
              <w:t>)</w:t>
            </w:r>
          </w:p>
        </w:tc>
      </w:tr>
      <w:tr w:rsidR="00585914" w:rsidRPr="00585914" w14:paraId="623AD709"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0BA74261"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Community Prevention</w:t>
            </w:r>
          </w:p>
        </w:tc>
        <w:tc>
          <w:tcPr>
            <w:tcW w:w="1256" w:type="dxa"/>
            <w:tcBorders>
              <w:top w:val="nil"/>
              <w:left w:val="nil"/>
              <w:bottom w:val="nil"/>
              <w:right w:val="nil"/>
            </w:tcBorders>
            <w:shd w:val="clear" w:color="auto" w:fill="FFE1E1"/>
            <w:noWrap/>
            <w:vAlign w:val="center"/>
            <w:hideMark/>
          </w:tcPr>
          <w:p w14:paraId="2AAA4C38" w14:textId="649FADB6"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(0.0</w:t>
            </w:r>
            <w:r w:rsidR="00374951">
              <w:rPr>
                <w:rFonts w:ascii="Calibri" w:eastAsia="Times New Roman" w:hAnsi="Calibri" w:cs="Calibri"/>
                <w:color w:val="000000"/>
                <w:sz w:val="20"/>
                <w:szCs w:val="20"/>
                <w:lang w:eastAsia="en-GB"/>
              </w:rPr>
              <w:t>2</w:t>
            </w:r>
            <w:r w:rsidRPr="00585914">
              <w:rPr>
                <w:rFonts w:ascii="Calibri" w:eastAsia="Times New Roman" w:hAnsi="Calibri" w:cs="Calibri"/>
                <w:color w:val="000000"/>
                <w:sz w:val="20"/>
                <w:szCs w:val="20"/>
                <w:lang w:eastAsia="en-GB"/>
              </w:rPr>
              <w:t>)</w:t>
            </w:r>
          </w:p>
        </w:tc>
      </w:tr>
      <w:tr w:rsidR="00585914" w:rsidRPr="00585914" w14:paraId="3A000E01"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0658542E"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Community Protection</w:t>
            </w:r>
          </w:p>
        </w:tc>
        <w:tc>
          <w:tcPr>
            <w:tcW w:w="1256" w:type="dxa"/>
            <w:tcBorders>
              <w:top w:val="nil"/>
              <w:left w:val="nil"/>
              <w:bottom w:val="nil"/>
              <w:right w:val="nil"/>
            </w:tcBorders>
            <w:shd w:val="clear" w:color="auto" w:fill="FFE1E1"/>
            <w:noWrap/>
            <w:vAlign w:val="center"/>
            <w:hideMark/>
          </w:tcPr>
          <w:p w14:paraId="05A22F5F" w14:textId="5CD7FBF4"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(0.00)</w:t>
            </w:r>
          </w:p>
        </w:tc>
      </w:tr>
      <w:tr w:rsidR="00585914" w:rsidRPr="00585914" w14:paraId="31DC0059"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2F260293"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Strategic Leadership Team</w:t>
            </w:r>
          </w:p>
        </w:tc>
        <w:tc>
          <w:tcPr>
            <w:tcW w:w="1256" w:type="dxa"/>
            <w:tcBorders>
              <w:top w:val="nil"/>
              <w:left w:val="nil"/>
              <w:bottom w:val="nil"/>
              <w:right w:val="nil"/>
            </w:tcBorders>
            <w:shd w:val="clear" w:color="auto" w:fill="FFE1E1"/>
            <w:noWrap/>
            <w:vAlign w:val="center"/>
            <w:hideMark/>
          </w:tcPr>
          <w:p w14:paraId="603D7C72" w14:textId="64E99B80"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(0.34)</w:t>
            </w:r>
          </w:p>
        </w:tc>
      </w:tr>
      <w:tr w:rsidR="00585914" w:rsidRPr="00585914" w14:paraId="2E9C39A9"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6006357D"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Other Staff &amp; Non-Pay</w:t>
            </w:r>
          </w:p>
        </w:tc>
        <w:tc>
          <w:tcPr>
            <w:tcW w:w="1256" w:type="dxa"/>
            <w:tcBorders>
              <w:top w:val="nil"/>
              <w:left w:val="nil"/>
              <w:bottom w:val="nil"/>
              <w:right w:val="nil"/>
            </w:tcBorders>
            <w:shd w:val="clear" w:color="auto" w:fill="FFE1E1"/>
            <w:noWrap/>
            <w:vAlign w:val="center"/>
            <w:hideMark/>
          </w:tcPr>
          <w:p w14:paraId="693EF079" w14:textId="6C12C87A"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(0.2</w:t>
            </w:r>
            <w:r w:rsidR="00374951">
              <w:rPr>
                <w:rFonts w:ascii="Calibri" w:eastAsia="Times New Roman" w:hAnsi="Calibri" w:cs="Calibri"/>
                <w:color w:val="000000"/>
                <w:sz w:val="20"/>
                <w:szCs w:val="20"/>
                <w:lang w:eastAsia="en-GB"/>
              </w:rPr>
              <w:t>2</w:t>
            </w:r>
            <w:r w:rsidRPr="00585914">
              <w:rPr>
                <w:rFonts w:ascii="Calibri" w:eastAsia="Times New Roman" w:hAnsi="Calibri" w:cs="Calibri"/>
                <w:color w:val="000000"/>
                <w:sz w:val="20"/>
                <w:szCs w:val="20"/>
                <w:lang w:eastAsia="en-GB"/>
              </w:rPr>
              <w:t>)</w:t>
            </w:r>
          </w:p>
        </w:tc>
      </w:tr>
      <w:tr w:rsidR="00585914" w:rsidRPr="00585914" w14:paraId="4CBB6C19" w14:textId="77777777" w:rsidTr="6C31340A">
        <w:trPr>
          <w:trHeight w:val="315"/>
        </w:trPr>
        <w:tc>
          <w:tcPr>
            <w:tcW w:w="3276" w:type="dxa"/>
            <w:tcBorders>
              <w:top w:val="nil"/>
              <w:left w:val="nil"/>
              <w:bottom w:val="nil"/>
              <w:right w:val="nil"/>
            </w:tcBorders>
            <w:shd w:val="clear" w:color="auto" w:fill="FFFFFF" w:themeFill="background1"/>
            <w:noWrap/>
            <w:vAlign w:val="center"/>
            <w:hideMark/>
          </w:tcPr>
          <w:p w14:paraId="3A5CCADB"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Capital &amp; Contingency</w:t>
            </w:r>
          </w:p>
        </w:tc>
        <w:tc>
          <w:tcPr>
            <w:tcW w:w="1256" w:type="dxa"/>
            <w:tcBorders>
              <w:top w:val="nil"/>
              <w:left w:val="nil"/>
              <w:bottom w:val="nil"/>
              <w:right w:val="nil"/>
            </w:tcBorders>
            <w:shd w:val="clear" w:color="auto" w:fill="FFE1E1"/>
            <w:noWrap/>
            <w:vAlign w:val="center"/>
            <w:hideMark/>
          </w:tcPr>
          <w:p w14:paraId="14DF11D2" w14:textId="3E61E844"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(0.1</w:t>
            </w:r>
            <w:r w:rsidR="00374951">
              <w:rPr>
                <w:rFonts w:ascii="Calibri" w:eastAsia="Times New Roman" w:hAnsi="Calibri" w:cs="Calibri"/>
                <w:color w:val="000000"/>
                <w:sz w:val="20"/>
                <w:szCs w:val="20"/>
                <w:lang w:eastAsia="en-GB"/>
              </w:rPr>
              <w:t>5</w:t>
            </w:r>
            <w:r w:rsidRPr="00585914">
              <w:rPr>
                <w:rFonts w:ascii="Calibri" w:eastAsia="Times New Roman" w:hAnsi="Calibri" w:cs="Calibri"/>
                <w:color w:val="000000"/>
                <w:sz w:val="20"/>
                <w:szCs w:val="20"/>
                <w:lang w:eastAsia="en-GB"/>
              </w:rPr>
              <w:t>)</w:t>
            </w:r>
          </w:p>
        </w:tc>
      </w:tr>
      <w:tr w:rsidR="00585914" w:rsidRPr="00585914" w14:paraId="5FA3EBBE" w14:textId="77777777" w:rsidTr="6C31340A">
        <w:trPr>
          <w:trHeight w:val="315"/>
        </w:trPr>
        <w:tc>
          <w:tcPr>
            <w:tcW w:w="3276" w:type="dxa"/>
            <w:tcBorders>
              <w:top w:val="single" w:sz="4" w:space="0" w:color="auto"/>
              <w:left w:val="nil"/>
              <w:bottom w:val="single" w:sz="4" w:space="0" w:color="auto"/>
              <w:right w:val="nil"/>
            </w:tcBorders>
            <w:shd w:val="clear" w:color="auto" w:fill="FFFFFF" w:themeFill="background1"/>
            <w:noWrap/>
            <w:vAlign w:val="center"/>
            <w:hideMark/>
          </w:tcPr>
          <w:p w14:paraId="4D2EC782" w14:textId="77777777" w:rsidR="00585914" w:rsidRPr="00585914" w:rsidRDefault="00585914" w:rsidP="00585914">
            <w:pPr>
              <w:spacing w:line="240" w:lineRule="auto"/>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Over/(Under)spend</w:t>
            </w:r>
          </w:p>
        </w:tc>
        <w:tc>
          <w:tcPr>
            <w:tcW w:w="1256" w:type="dxa"/>
            <w:tcBorders>
              <w:top w:val="single" w:sz="4" w:space="0" w:color="auto"/>
              <w:left w:val="nil"/>
              <w:bottom w:val="single" w:sz="4" w:space="0" w:color="auto"/>
              <w:right w:val="nil"/>
            </w:tcBorders>
            <w:shd w:val="clear" w:color="auto" w:fill="FFE1E1"/>
            <w:noWrap/>
            <w:vAlign w:val="center"/>
            <w:hideMark/>
          </w:tcPr>
          <w:p w14:paraId="16A8AA8F" w14:textId="06766A2C" w:rsidR="00585914" w:rsidRPr="00585914" w:rsidRDefault="00585914" w:rsidP="00585914">
            <w:pPr>
              <w:spacing w:line="240" w:lineRule="auto"/>
              <w:jc w:val="right"/>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0.3</w:t>
            </w:r>
            <w:r w:rsidR="005712EF">
              <w:rPr>
                <w:rFonts w:ascii="Calibri" w:eastAsia="Times New Roman" w:hAnsi="Calibri" w:cs="Calibri"/>
                <w:b/>
                <w:bCs/>
                <w:color w:val="000000"/>
                <w:sz w:val="20"/>
                <w:szCs w:val="20"/>
                <w:lang w:eastAsia="en-GB"/>
              </w:rPr>
              <w:t>7</w:t>
            </w:r>
          </w:p>
        </w:tc>
      </w:tr>
    </w:tbl>
    <w:p w14:paraId="2E97AFEA" w14:textId="77777777" w:rsidR="00585914" w:rsidRPr="00585914" w:rsidRDefault="00585914" w:rsidP="00585914">
      <w:pPr>
        <w:rPr>
          <w:sz w:val="20"/>
          <w:szCs w:val="20"/>
        </w:rPr>
      </w:pPr>
    </w:p>
    <w:p w14:paraId="0C448053" w14:textId="15CAC46F" w:rsidR="00585914" w:rsidRPr="00585914" w:rsidRDefault="00585914" w:rsidP="00585914">
      <w:r w:rsidRPr="00585914">
        <w:t>In 2024/25, the revenue cost of running NCFRA was £33.</w:t>
      </w:r>
      <w:r w:rsidR="0078521E">
        <w:t>49</w:t>
      </w:r>
      <w:r w:rsidRPr="00585914">
        <w:t>m.  This included £20.5</w:t>
      </w:r>
      <w:r w:rsidR="008E02F6">
        <w:t>5</w:t>
      </w:r>
      <w:r w:rsidRPr="00585914">
        <w:t>m on firefighters and £1.</w:t>
      </w:r>
      <w:r w:rsidR="00F01458">
        <w:t>36</w:t>
      </w:r>
      <w:r w:rsidRPr="00585914">
        <w:t>m on Prevention and Protections activities.</w:t>
      </w:r>
    </w:p>
    <w:p w14:paraId="3AFB9B3D" w14:textId="77777777" w:rsidR="00585914" w:rsidRPr="00585914" w:rsidRDefault="00585914" w:rsidP="00585914"/>
    <w:p w14:paraId="617F37A5" w14:textId="77777777" w:rsidR="00585914" w:rsidRPr="00585914" w:rsidRDefault="00585914" w:rsidP="00585914">
      <w:r w:rsidRPr="00585914">
        <w:t>Firefighter numbers were maintained at a higher level than originally budgeted to ensure sufficient resources were in place over peak times when flooding and fires have become more common.  This, along with sector-wide pay awards caused the overspend.  However, the level of business rates income increased on original projections and has allowed for reserves to be maintained.</w:t>
      </w:r>
    </w:p>
    <w:p w14:paraId="057EF319" w14:textId="77777777" w:rsidR="00605F3D" w:rsidRDefault="00605F3D" w:rsidP="00585914">
      <w:pPr>
        <w:rPr>
          <w:sz w:val="20"/>
          <w:szCs w:val="20"/>
        </w:rPr>
      </w:pPr>
    </w:p>
    <w:p w14:paraId="3BBBC06F" w14:textId="77777777" w:rsidR="00624EBB" w:rsidRPr="00585914" w:rsidRDefault="00624EBB" w:rsidP="00624EBB">
      <w:pPr>
        <w:numPr>
          <w:ilvl w:val="2"/>
          <w:numId w:val="0"/>
        </w:numPr>
        <w:tabs>
          <w:tab w:val="left" w:pos="1985"/>
        </w:tabs>
        <w:spacing w:line="276" w:lineRule="auto"/>
        <w:rPr>
          <w:rFonts w:eastAsia="Times New Roman" w:cs="Times New Roman"/>
          <w:bCs/>
          <w:color w:val="C00000"/>
          <w:sz w:val="24"/>
          <w:szCs w:val="24"/>
        </w:rPr>
      </w:pPr>
      <w:r w:rsidRPr="00585914">
        <w:rPr>
          <w:rFonts w:eastAsia="Times New Roman" w:cs="Times New Roman"/>
          <w:bCs/>
          <w:color w:val="C00000"/>
          <w:sz w:val="24"/>
          <w:szCs w:val="24"/>
        </w:rPr>
        <w:t>Borrowing</w:t>
      </w:r>
    </w:p>
    <w:p w14:paraId="2CD244B5" w14:textId="77777777" w:rsidR="00624EBB" w:rsidRPr="00585914" w:rsidRDefault="00624EBB" w:rsidP="00624EBB">
      <w:pPr>
        <w:rPr>
          <w:lang w:eastAsia="en-GB"/>
        </w:rPr>
      </w:pPr>
      <w:r w:rsidRPr="00585914">
        <w:rPr>
          <w:lang w:eastAsia="en-GB"/>
        </w:rPr>
        <w:t xml:space="preserve">Only internal borrowing took place in 2024/25.  NCFRA undertook borrowing of 40 years in 2020/21 with PWLB and there is a balance of £2.98m remaining as </w:t>
      </w:r>
      <w:proofErr w:type="gramStart"/>
      <w:r w:rsidRPr="00585914">
        <w:rPr>
          <w:lang w:eastAsia="en-GB"/>
        </w:rPr>
        <w:t>at</w:t>
      </w:r>
      <w:proofErr w:type="gramEnd"/>
      <w:r w:rsidRPr="00585914">
        <w:rPr>
          <w:lang w:eastAsia="en-GB"/>
        </w:rPr>
        <w:t xml:space="preserve"> 31</w:t>
      </w:r>
      <w:r w:rsidRPr="00585914">
        <w:rPr>
          <w:vertAlign w:val="superscript"/>
          <w:lang w:eastAsia="en-GB"/>
        </w:rPr>
        <w:t>st</w:t>
      </w:r>
      <w:r w:rsidRPr="00585914">
        <w:rPr>
          <w:lang w:eastAsia="en-GB"/>
        </w:rPr>
        <w:t xml:space="preserve"> March 2025.  NCFRA does not hold any short term loans.</w:t>
      </w:r>
    </w:p>
    <w:p w14:paraId="38942F31" w14:textId="77777777" w:rsidR="00605F3D" w:rsidRDefault="00605F3D" w:rsidP="00585914">
      <w:pPr>
        <w:rPr>
          <w:sz w:val="20"/>
          <w:szCs w:val="20"/>
        </w:rPr>
      </w:pPr>
    </w:p>
    <w:p w14:paraId="51CABBE9" w14:textId="77777777" w:rsidR="00605F3D" w:rsidRDefault="00605F3D" w:rsidP="00585914">
      <w:pPr>
        <w:rPr>
          <w:sz w:val="20"/>
          <w:szCs w:val="20"/>
        </w:rPr>
      </w:pPr>
    </w:p>
    <w:p w14:paraId="7A85BC75" w14:textId="77777777" w:rsidR="00605F3D" w:rsidRDefault="00605F3D" w:rsidP="00585914">
      <w:pPr>
        <w:rPr>
          <w:sz w:val="20"/>
          <w:szCs w:val="20"/>
        </w:rPr>
      </w:pPr>
    </w:p>
    <w:p w14:paraId="3194E5FC" w14:textId="77777777" w:rsidR="00605F3D" w:rsidRDefault="00605F3D" w:rsidP="00585914">
      <w:pPr>
        <w:rPr>
          <w:sz w:val="20"/>
          <w:szCs w:val="20"/>
        </w:rPr>
      </w:pPr>
    </w:p>
    <w:p w14:paraId="31A3AD3B" w14:textId="77777777" w:rsidR="00605F3D" w:rsidRDefault="00605F3D" w:rsidP="00585914">
      <w:pPr>
        <w:rPr>
          <w:sz w:val="20"/>
          <w:szCs w:val="20"/>
        </w:rPr>
      </w:pPr>
    </w:p>
    <w:p w14:paraId="0AB750EB" w14:textId="77777777" w:rsidR="00605F3D" w:rsidRDefault="00605F3D" w:rsidP="00585914">
      <w:pPr>
        <w:rPr>
          <w:sz w:val="20"/>
          <w:szCs w:val="20"/>
        </w:rPr>
      </w:pPr>
    </w:p>
    <w:p w14:paraId="02DCD528" w14:textId="77777777" w:rsidR="003762A9" w:rsidRDefault="003762A9" w:rsidP="00585914">
      <w:pPr>
        <w:rPr>
          <w:sz w:val="20"/>
          <w:szCs w:val="20"/>
        </w:rPr>
      </w:pPr>
    </w:p>
    <w:p w14:paraId="0AB08D17" w14:textId="77777777" w:rsidR="00605F3D" w:rsidRDefault="00605F3D" w:rsidP="00585914">
      <w:pPr>
        <w:rPr>
          <w:sz w:val="20"/>
          <w:szCs w:val="20"/>
        </w:rPr>
      </w:pPr>
    </w:p>
    <w:p w14:paraId="467C14D3" w14:textId="77777777" w:rsidR="00605F3D" w:rsidRDefault="00605F3D" w:rsidP="00585914">
      <w:pPr>
        <w:rPr>
          <w:sz w:val="20"/>
          <w:szCs w:val="20"/>
        </w:rPr>
      </w:pPr>
    </w:p>
    <w:p w14:paraId="7343F410" w14:textId="77777777" w:rsidR="00605F3D" w:rsidRDefault="00605F3D" w:rsidP="00585914">
      <w:pPr>
        <w:rPr>
          <w:sz w:val="20"/>
          <w:szCs w:val="20"/>
        </w:rPr>
      </w:pPr>
    </w:p>
    <w:p w14:paraId="6D9BEBFA" w14:textId="77777777" w:rsidR="00605F3D" w:rsidRDefault="00605F3D" w:rsidP="00585914">
      <w:pPr>
        <w:rPr>
          <w:sz w:val="20"/>
          <w:szCs w:val="20"/>
        </w:rPr>
      </w:pPr>
    </w:p>
    <w:p w14:paraId="7973674F" w14:textId="77777777" w:rsidR="00605F3D" w:rsidRDefault="00605F3D" w:rsidP="00585914">
      <w:pPr>
        <w:rPr>
          <w:sz w:val="20"/>
          <w:szCs w:val="20"/>
        </w:rPr>
      </w:pPr>
    </w:p>
    <w:p w14:paraId="07B1CE7F" w14:textId="77777777" w:rsidR="00605F3D" w:rsidRDefault="00605F3D" w:rsidP="00585914">
      <w:pPr>
        <w:rPr>
          <w:sz w:val="20"/>
          <w:szCs w:val="20"/>
        </w:rPr>
      </w:pPr>
    </w:p>
    <w:p w14:paraId="2F5A0BF9" w14:textId="77777777" w:rsidR="00605F3D" w:rsidRDefault="00605F3D" w:rsidP="00585914">
      <w:pPr>
        <w:rPr>
          <w:sz w:val="20"/>
          <w:szCs w:val="20"/>
        </w:rPr>
      </w:pPr>
    </w:p>
    <w:p w14:paraId="49231404" w14:textId="77777777" w:rsidR="00605F3D" w:rsidRDefault="00605F3D" w:rsidP="00585914">
      <w:pPr>
        <w:rPr>
          <w:sz w:val="20"/>
          <w:szCs w:val="20"/>
        </w:rPr>
      </w:pPr>
    </w:p>
    <w:p w14:paraId="64EC710B" w14:textId="77777777" w:rsidR="00605F3D" w:rsidRPr="00585914" w:rsidRDefault="00605F3D" w:rsidP="00585914">
      <w:pPr>
        <w:rPr>
          <w:sz w:val="20"/>
          <w:szCs w:val="20"/>
        </w:rPr>
      </w:pPr>
    </w:p>
    <w:p w14:paraId="0D3D1F0A" w14:textId="77777777" w:rsidR="00585914" w:rsidRPr="00585914" w:rsidRDefault="00585914" w:rsidP="00585914">
      <w:pPr>
        <w:numPr>
          <w:ilvl w:val="2"/>
          <w:numId w:val="0"/>
        </w:numPr>
        <w:tabs>
          <w:tab w:val="left" w:pos="1985"/>
        </w:tabs>
        <w:spacing w:line="276" w:lineRule="auto"/>
        <w:rPr>
          <w:rFonts w:eastAsia="Times New Roman" w:cs="Arial"/>
          <w:bCs/>
          <w:color w:val="C00000"/>
          <w:sz w:val="24"/>
          <w:szCs w:val="24"/>
        </w:rPr>
      </w:pPr>
      <w:r w:rsidRPr="00585914">
        <w:rPr>
          <w:rFonts w:eastAsia="Times New Roman" w:cs="Times New Roman"/>
          <w:bCs/>
          <w:color w:val="C00000"/>
          <w:sz w:val="24"/>
          <w:szCs w:val="24"/>
        </w:rPr>
        <w:t>Capital</w:t>
      </w:r>
    </w:p>
    <w:p w14:paraId="3F65A7CB" w14:textId="2037522C" w:rsidR="007940CC" w:rsidRDefault="00585914" w:rsidP="00585914">
      <w:r w:rsidRPr="00585914">
        <w:t>NCFRA have a significant capital programme following many years of under-investment prior to the governance transfer. The programme is continually reviewed to ensure that it is affordable. In 2024/25, capital expenditure totalled £2.43m and included upgrades to welfare facilities, IT systems and equipment replacement.</w:t>
      </w:r>
    </w:p>
    <w:p w14:paraId="46F81F6E" w14:textId="77777777" w:rsidR="00605F3D" w:rsidRPr="00585914" w:rsidRDefault="00605F3D" w:rsidP="00585914">
      <w:pPr>
        <w:rPr>
          <w:highlight w:val="yellow"/>
        </w:rPr>
      </w:pPr>
    </w:p>
    <w:tbl>
      <w:tblPr>
        <w:tblW w:w="4532" w:type="dxa"/>
        <w:tblLook w:val="04A0" w:firstRow="1" w:lastRow="0" w:firstColumn="1" w:lastColumn="0" w:noHBand="0" w:noVBand="1"/>
      </w:tblPr>
      <w:tblGrid>
        <w:gridCol w:w="3276"/>
        <w:gridCol w:w="1256"/>
      </w:tblGrid>
      <w:tr w:rsidR="00585914" w:rsidRPr="00585914" w14:paraId="6E3DCF1A" w14:textId="77777777">
        <w:trPr>
          <w:trHeight w:val="300"/>
        </w:trPr>
        <w:tc>
          <w:tcPr>
            <w:tcW w:w="3276" w:type="dxa"/>
            <w:tcBorders>
              <w:top w:val="nil"/>
              <w:left w:val="nil"/>
              <w:bottom w:val="nil"/>
              <w:right w:val="nil"/>
            </w:tcBorders>
            <w:shd w:val="clear" w:color="000000" w:fill="C00000"/>
            <w:noWrap/>
            <w:vAlign w:val="center"/>
            <w:hideMark/>
          </w:tcPr>
          <w:p w14:paraId="58E9C1D1" w14:textId="77777777" w:rsidR="00585914" w:rsidRPr="00585914" w:rsidRDefault="00585914" w:rsidP="00585914">
            <w:pPr>
              <w:spacing w:line="240" w:lineRule="auto"/>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Scheme</w:t>
            </w:r>
          </w:p>
        </w:tc>
        <w:tc>
          <w:tcPr>
            <w:tcW w:w="1256" w:type="dxa"/>
            <w:tcBorders>
              <w:top w:val="nil"/>
              <w:left w:val="nil"/>
              <w:bottom w:val="nil"/>
              <w:right w:val="nil"/>
            </w:tcBorders>
            <w:shd w:val="clear" w:color="000000" w:fill="C00000"/>
            <w:noWrap/>
            <w:vAlign w:val="center"/>
            <w:hideMark/>
          </w:tcPr>
          <w:p w14:paraId="1ABD60F8" w14:textId="77777777" w:rsidR="00585914" w:rsidRPr="00585914" w:rsidRDefault="00585914" w:rsidP="00585914">
            <w:pPr>
              <w:spacing w:line="240" w:lineRule="auto"/>
              <w:jc w:val="center"/>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Expenditure</w:t>
            </w:r>
          </w:p>
        </w:tc>
      </w:tr>
      <w:tr w:rsidR="00585914" w:rsidRPr="00585914" w14:paraId="54934EE6" w14:textId="77777777">
        <w:trPr>
          <w:trHeight w:val="300"/>
        </w:trPr>
        <w:tc>
          <w:tcPr>
            <w:tcW w:w="3276" w:type="dxa"/>
            <w:tcBorders>
              <w:top w:val="nil"/>
              <w:left w:val="nil"/>
              <w:bottom w:val="nil"/>
              <w:right w:val="nil"/>
            </w:tcBorders>
            <w:shd w:val="clear" w:color="000000" w:fill="C00000"/>
            <w:noWrap/>
            <w:vAlign w:val="center"/>
            <w:hideMark/>
          </w:tcPr>
          <w:p w14:paraId="543EFD73" w14:textId="77777777" w:rsidR="00585914" w:rsidRPr="00585914" w:rsidRDefault="00585914" w:rsidP="00585914">
            <w:pPr>
              <w:spacing w:line="240" w:lineRule="auto"/>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 </w:t>
            </w:r>
          </w:p>
        </w:tc>
        <w:tc>
          <w:tcPr>
            <w:tcW w:w="1256" w:type="dxa"/>
            <w:tcBorders>
              <w:top w:val="nil"/>
              <w:left w:val="nil"/>
              <w:bottom w:val="nil"/>
              <w:right w:val="nil"/>
            </w:tcBorders>
            <w:shd w:val="clear" w:color="000000" w:fill="C00000"/>
            <w:noWrap/>
            <w:vAlign w:val="center"/>
            <w:hideMark/>
          </w:tcPr>
          <w:p w14:paraId="0F8DF8ED" w14:textId="77777777" w:rsidR="00585914" w:rsidRPr="00585914" w:rsidRDefault="00585914" w:rsidP="00585914">
            <w:pPr>
              <w:spacing w:line="240" w:lineRule="auto"/>
              <w:jc w:val="center"/>
              <w:rPr>
                <w:rFonts w:ascii="Calibri" w:eastAsia="Times New Roman" w:hAnsi="Calibri" w:cs="Calibri"/>
                <w:b/>
                <w:bCs/>
                <w:color w:val="FFFFFF"/>
                <w:sz w:val="20"/>
                <w:szCs w:val="20"/>
                <w:lang w:eastAsia="en-GB"/>
              </w:rPr>
            </w:pPr>
            <w:r w:rsidRPr="00585914">
              <w:rPr>
                <w:rFonts w:ascii="Calibri" w:eastAsia="Times New Roman" w:hAnsi="Calibri" w:cs="Calibri"/>
                <w:b/>
                <w:bCs/>
                <w:color w:val="FFFFFF"/>
                <w:sz w:val="20"/>
                <w:szCs w:val="20"/>
                <w:lang w:eastAsia="en-GB"/>
              </w:rPr>
              <w:t>£m</w:t>
            </w:r>
          </w:p>
        </w:tc>
      </w:tr>
      <w:tr w:rsidR="00585914" w:rsidRPr="00585914" w14:paraId="6FB2CFA5" w14:textId="77777777">
        <w:trPr>
          <w:trHeight w:val="300"/>
        </w:trPr>
        <w:tc>
          <w:tcPr>
            <w:tcW w:w="3276" w:type="dxa"/>
            <w:tcBorders>
              <w:top w:val="nil"/>
              <w:left w:val="nil"/>
              <w:bottom w:val="nil"/>
              <w:right w:val="nil"/>
            </w:tcBorders>
            <w:shd w:val="clear" w:color="000000" w:fill="FFFFFF"/>
            <w:noWrap/>
            <w:vAlign w:val="center"/>
            <w:hideMark/>
          </w:tcPr>
          <w:p w14:paraId="3246AD3D"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Expenditure:</w:t>
            </w:r>
          </w:p>
        </w:tc>
        <w:tc>
          <w:tcPr>
            <w:tcW w:w="1256" w:type="dxa"/>
            <w:tcBorders>
              <w:top w:val="nil"/>
              <w:left w:val="nil"/>
              <w:bottom w:val="nil"/>
              <w:right w:val="nil"/>
            </w:tcBorders>
            <w:shd w:val="clear" w:color="000000" w:fill="FFE1E1"/>
            <w:noWrap/>
            <w:vAlign w:val="center"/>
            <w:hideMark/>
          </w:tcPr>
          <w:p w14:paraId="5C70D546" w14:textId="77777777"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 </w:t>
            </w:r>
          </w:p>
        </w:tc>
      </w:tr>
      <w:tr w:rsidR="00585914" w:rsidRPr="00585914" w14:paraId="46873BF4" w14:textId="77777777">
        <w:trPr>
          <w:trHeight w:val="300"/>
        </w:trPr>
        <w:tc>
          <w:tcPr>
            <w:tcW w:w="3276" w:type="dxa"/>
            <w:tcBorders>
              <w:top w:val="nil"/>
              <w:left w:val="nil"/>
              <w:bottom w:val="nil"/>
              <w:right w:val="nil"/>
            </w:tcBorders>
            <w:shd w:val="clear" w:color="000000" w:fill="FFFFFF"/>
            <w:noWrap/>
            <w:vAlign w:val="center"/>
            <w:hideMark/>
          </w:tcPr>
          <w:p w14:paraId="39D4D864"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Transport</w:t>
            </w:r>
          </w:p>
        </w:tc>
        <w:tc>
          <w:tcPr>
            <w:tcW w:w="1256" w:type="dxa"/>
            <w:tcBorders>
              <w:top w:val="nil"/>
              <w:left w:val="nil"/>
              <w:bottom w:val="nil"/>
              <w:right w:val="nil"/>
            </w:tcBorders>
            <w:shd w:val="clear" w:color="000000" w:fill="FFE1E1"/>
            <w:noWrap/>
            <w:vAlign w:val="center"/>
            <w:hideMark/>
          </w:tcPr>
          <w:p w14:paraId="357E3A16" w14:textId="3C3D3007"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0.4</w:t>
            </w:r>
            <w:r w:rsidR="00373632">
              <w:rPr>
                <w:rFonts w:ascii="Calibri" w:eastAsia="Times New Roman" w:hAnsi="Calibri" w:cs="Calibri"/>
                <w:color w:val="000000"/>
                <w:sz w:val="20"/>
                <w:szCs w:val="20"/>
                <w:lang w:eastAsia="en-GB"/>
              </w:rPr>
              <w:t>1</w:t>
            </w:r>
          </w:p>
        </w:tc>
      </w:tr>
      <w:tr w:rsidR="00585914" w:rsidRPr="00585914" w14:paraId="1063F5EA" w14:textId="77777777">
        <w:trPr>
          <w:trHeight w:val="300"/>
        </w:trPr>
        <w:tc>
          <w:tcPr>
            <w:tcW w:w="3276" w:type="dxa"/>
            <w:tcBorders>
              <w:top w:val="nil"/>
              <w:left w:val="nil"/>
              <w:bottom w:val="nil"/>
              <w:right w:val="nil"/>
            </w:tcBorders>
            <w:shd w:val="clear" w:color="000000" w:fill="FFFFFF"/>
            <w:noWrap/>
            <w:vAlign w:val="center"/>
            <w:hideMark/>
          </w:tcPr>
          <w:p w14:paraId="4D13D0F0"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Estates</w:t>
            </w:r>
          </w:p>
        </w:tc>
        <w:tc>
          <w:tcPr>
            <w:tcW w:w="1256" w:type="dxa"/>
            <w:tcBorders>
              <w:top w:val="nil"/>
              <w:left w:val="nil"/>
              <w:bottom w:val="nil"/>
              <w:right w:val="nil"/>
            </w:tcBorders>
            <w:shd w:val="clear" w:color="000000" w:fill="FFE1E1"/>
            <w:noWrap/>
            <w:vAlign w:val="center"/>
            <w:hideMark/>
          </w:tcPr>
          <w:p w14:paraId="0C43641A" w14:textId="1268435A"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1.25</w:t>
            </w:r>
          </w:p>
        </w:tc>
      </w:tr>
      <w:tr w:rsidR="00585914" w:rsidRPr="00585914" w14:paraId="1B82D48B" w14:textId="77777777">
        <w:trPr>
          <w:trHeight w:val="300"/>
        </w:trPr>
        <w:tc>
          <w:tcPr>
            <w:tcW w:w="3276" w:type="dxa"/>
            <w:tcBorders>
              <w:top w:val="nil"/>
              <w:left w:val="nil"/>
              <w:bottom w:val="nil"/>
              <w:right w:val="nil"/>
            </w:tcBorders>
            <w:shd w:val="clear" w:color="000000" w:fill="FFFFFF"/>
            <w:noWrap/>
            <w:vAlign w:val="center"/>
            <w:hideMark/>
          </w:tcPr>
          <w:p w14:paraId="65DDDBE3"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ICT</w:t>
            </w:r>
          </w:p>
        </w:tc>
        <w:tc>
          <w:tcPr>
            <w:tcW w:w="1256" w:type="dxa"/>
            <w:tcBorders>
              <w:top w:val="nil"/>
              <w:left w:val="nil"/>
              <w:bottom w:val="nil"/>
              <w:right w:val="nil"/>
            </w:tcBorders>
            <w:shd w:val="clear" w:color="000000" w:fill="FFE1E1"/>
            <w:noWrap/>
            <w:vAlign w:val="center"/>
            <w:hideMark/>
          </w:tcPr>
          <w:p w14:paraId="0B49710E" w14:textId="7663B9C1"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0.39</w:t>
            </w:r>
          </w:p>
        </w:tc>
      </w:tr>
      <w:tr w:rsidR="00585914" w:rsidRPr="00585914" w14:paraId="4E6AFDD4" w14:textId="77777777">
        <w:trPr>
          <w:trHeight w:val="300"/>
        </w:trPr>
        <w:tc>
          <w:tcPr>
            <w:tcW w:w="3276" w:type="dxa"/>
            <w:tcBorders>
              <w:top w:val="nil"/>
              <w:left w:val="nil"/>
              <w:bottom w:val="nil"/>
              <w:right w:val="nil"/>
            </w:tcBorders>
            <w:shd w:val="clear" w:color="000000" w:fill="FFFFFF"/>
            <w:noWrap/>
            <w:vAlign w:val="center"/>
            <w:hideMark/>
          </w:tcPr>
          <w:p w14:paraId="0520A3A7"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Operational Equipment</w:t>
            </w:r>
          </w:p>
        </w:tc>
        <w:tc>
          <w:tcPr>
            <w:tcW w:w="1256" w:type="dxa"/>
            <w:tcBorders>
              <w:top w:val="nil"/>
              <w:left w:val="nil"/>
              <w:bottom w:val="nil"/>
              <w:right w:val="nil"/>
            </w:tcBorders>
            <w:shd w:val="clear" w:color="000000" w:fill="FFE1E1"/>
            <w:noWrap/>
            <w:vAlign w:val="center"/>
            <w:hideMark/>
          </w:tcPr>
          <w:p w14:paraId="5032F843" w14:textId="6ADA0BE2"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0.38</w:t>
            </w:r>
          </w:p>
        </w:tc>
      </w:tr>
      <w:tr w:rsidR="00585914" w:rsidRPr="00585914" w14:paraId="3DC0FD09" w14:textId="77777777">
        <w:trPr>
          <w:trHeight w:val="300"/>
        </w:trPr>
        <w:tc>
          <w:tcPr>
            <w:tcW w:w="3276" w:type="dxa"/>
            <w:tcBorders>
              <w:top w:val="single" w:sz="4" w:space="0" w:color="auto"/>
              <w:left w:val="nil"/>
              <w:bottom w:val="single" w:sz="4" w:space="0" w:color="auto"/>
              <w:right w:val="nil"/>
            </w:tcBorders>
            <w:shd w:val="clear" w:color="000000" w:fill="FFFFFF"/>
            <w:noWrap/>
            <w:vAlign w:val="center"/>
            <w:hideMark/>
          </w:tcPr>
          <w:p w14:paraId="79987F89" w14:textId="77777777" w:rsidR="00585914" w:rsidRPr="00585914" w:rsidRDefault="00585914" w:rsidP="00585914">
            <w:pPr>
              <w:spacing w:line="240" w:lineRule="auto"/>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TOTAL Capital Expenditure</w:t>
            </w:r>
          </w:p>
        </w:tc>
        <w:tc>
          <w:tcPr>
            <w:tcW w:w="1256" w:type="dxa"/>
            <w:tcBorders>
              <w:top w:val="single" w:sz="4" w:space="0" w:color="auto"/>
              <w:left w:val="nil"/>
              <w:bottom w:val="single" w:sz="4" w:space="0" w:color="auto"/>
              <w:right w:val="nil"/>
            </w:tcBorders>
            <w:shd w:val="clear" w:color="000000" w:fill="FFE1E1"/>
            <w:noWrap/>
            <w:vAlign w:val="center"/>
            <w:hideMark/>
          </w:tcPr>
          <w:p w14:paraId="6A619C95" w14:textId="4A06D729" w:rsidR="00585914" w:rsidRPr="00585914" w:rsidRDefault="00585914" w:rsidP="00585914">
            <w:pPr>
              <w:spacing w:line="240" w:lineRule="auto"/>
              <w:jc w:val="right"/>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2.43</w:t>
            </w:r>
          </w:p>
        </w:tc>
      </w:tr>
      <w:tr w:rsidR="00585914" w:rsidRPr="00585914" w14:paraId="0425DC58" w14:textId="77777777">
        <w:trPr>
          <w:trHeight w:val="300"/>
        </w:trPr>
        <w:tc>
          <w:tcPr>
            <w:tcW w:w="3276" w:type="dxa"/>
            <w:tcBorders>
              <w:top w:val="nil"/>
              <w:left w:val="nil"/>
              <w:bottom w:val="nil"/>
              <w:right w:val="nil"/>
            </w:tcBorders>
            <w:shd w:val="clear" w:color="000000" w:fill="FFFFFF"/>
            <w:noWrap/>
            <w:vAlign w:val="center"/>
            <w:hideMark/>
          </w:tcPr>
          <w:p w14:paraId="2FB8143E"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 </w:t>
            </w:r>
          </w:p>
        </w:tc>
        <w:tc>
          <w:tcPr>
            <w:tcW w:w="1256" w:type="dxa"/>
            <w:tcBorders>
              <w:top w:val="nil"/>
              <w:left w:val="nil"/>
              <w:bottom w:val="nil"/>
              <w:right w:val="nil"/>
            </w:tcBorders>
            <w:shd w:val="clear" w:color="000000" w:fill="FFE1E1"/>
            <w:noWrap/>
            <w:vAlign w:val="center"/>
            <w:hideMark/>
          </w:tcPr>
          <w:p w14:paraId="43ED5D6C" w14:textId="77777777"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 </w:t>
            </w:r>
          </w:p>
        </w:tc>
      </w:tr>
      <w:tr w:rsidR="00585914" w:rsidRPr="00585914" w14:paraId="448919C0" w14:textId="77777777">
        <w:trPr>
          <w:trHeight w:val="300"/>
        </w:trPr>
        <w:tc>
          <w:tcPr>
            <w:tcW w:w="3276" w:type="dxa"/>
            <w:tcBorders>
              <w:top w:val="nil"/>
              <w:left w:val="nil"/>
              <w:bottom w:val="nil"/>
              <w:right w:val="nil"/>
            </w:tcBorders>
            <w:shd w:val="clear" w:color="000000" w:fill="FFFFFF"/>
            <w:noWrap/>
            <w:vAlign w:val="center"/>
            <w:hideMark/>
          </w:tcPr>
          <w:p w14:paraId="3B82C2DB"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Funded by:</w:t>
            </w:r>
          </w:p>
        </w:tc>
        <w:tc>
          <w:tcPr>
            <w:tcW w:w="1256" w:type="dxa"/>
            <w:tcBorders>
              <w:top w:val="nil"/>
              <w:left w:val="nil"/>
              <w:bottom w:val="nil"/>
              <w:right w:val="nil"/>
            </w:tcBorders>
            <w:shd w:val="clear" w:color="000000" w:fill="FFE1E1"/>
            <w:noWrap/>
            <w:vAlign w:val="center"/>
            <w:hideMark/>
          </w:tcPr>
          <w:p w14:paraId="227A2FD1" w14:textId="77777777"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 </w:t>
            </w:r>
          </w:p>
        </w:tc>
      </w:tr>
      <w:tr w:rsidR="00585914" w:rsidRPr="00585914" w14:paraId="742DD142" w14:textId="77777777">
        <w:trPr>
          <w:trHeight w:val="300"/>
        </w:trPr>
        <w:tc>
          <w:tcPr>
            <w:tcW w:w="3276" w:type="dxa"/>
            <w:tcBorders>
              <w:top w:val="nil"/>
              <w:left w:val="nil"/>
              <w:bottom w:val="nil"/>
              <w:right w:val="nil"/>
            </w:tcBorders>
            <w:shd w:val="clear" w:color="000000" w:fill="FFFFFF"/>
            <w:noWrap/>
            <w:vAlign w:val="center"/>
            <w:hideMark/>
          </w:tcPr>
          <w:p w14:paraId="5AADB6C3"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Capital Receipts</w:t>
            </w:r>
          </w:p>
        </w:tc>
        <w:tc>
          <w:tcPr>
            <w:tcW w:w="1256" w:type="dxa"/>
            <w:tcBorders>
              <w:top w:val="nil"/>
              <w:left w:val="nil"/>
              <w:bottom w:val="nil"/>
              <w:right w:val="nil"/>
            </w:tcBorders>
            <w:shd w:val="clear" w:color="000000" w:fill="FFE1E1"/>
            <w:noWrap/>
            <w:vAlign w:val="center"/>
            <w:hideMark/>
          </w:tcPr>
          <w:p w14:paraId="554932C7" w14:textId="745AF9D4"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(1.15)</w:t>
            </w:r>
          </w:p>
        </w:tc>
      </w:tr>
      <w:tr w:rsidR="00585914" w:rsidRPr="00585914" w14:paraId="2A057CF5" w14:textId="77777777">
        <w:trPr>
          <w:trHeight w:val="300"/>
        </w:trPr>
        <w:tc>
          <w:tcPr>
            <w:tcW w:w="3276" w:type="dxa"/>
            <w:tcBorders>
              <w:top w:val="nil"/>
              <w:left w:val="nil"/>
              <w:bottom w:val="nil"/>
              <w:right w:val="nil"/>
            </w:tcBorders>
            <w:shd w:val="clear" w:color="000000" w:fill="FFFFFF"/>
            <w:noWrap/>
            <w:vAlign w:val="center"/>
            <w:hideMark/>
          </w:tcPr>
          <w:p w14:paraId="1CC1D06F"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Capital Grants</w:t>
            </w:r>
          </w:p>
        </w:tc>
        <w:tc>
          <w:tcPr>
            <w:tcW w:w="1256" w:type="dxa"/>
            <w:tcBorders>
              <w:top w:val="nil"/>
              <w:left w:val="nil"/>
              <w:bottom w:val="nil"/>
              <w:right w:val="nil"/>
            </w:tcBorders>
            <w:shd w:val="clear" w:color="000000" w:fill="FFE1E1"/>
            <w:noWrap/>
            <w:vAlign w:val="center"/>
            <w:hideMark/>
          </w:tcPr>
          <w:p w14:paraId="5265E4C0" w14:textId="62ACC094"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(0.0</w:t>
            </w:r>
            <w:r w:rsidR="00DD5DA6">
              <w:rPr>
                <w:rFonts w:ascii="Calibri" w:eastAsia="Times New Roman" w:hAnsi="Calibri" w:cs="Calibri"/>
                <w:color w:val="000000"/>
                <w:sz w:val="20"/>
                <w:szCs w:val="20"/>
                <w:lang w:eastAsia="en-GB"/>
              </w:rPr>
              <w:t>2</w:t>
            </w:r>
            <w:r w:rsidRPr="00585914">
              <w:rPr>
                <w:rFonts w:ascii="Calibri" w:eastAsia="Times New Roman" w:hAnsi="Calibri" w:cs="Calibri"/>
                <w:color w:val="000000"/>
                <w:sz w:val="20"/>
                <w:szCs w:val="20"/>
                <w:lang w:eastAsia="en-GB"/>
              </w:rPr>
              <w:t>)</w:t>
            </w:r>
          </w:p>
        </w:tc>
      </w:tr>
      <w:tr w:rsidR="00585914" w:rsidRPr="00585914" w14:paraId="604E9EE5" w14:textId="77777777">
        <w:trPr>
          <w:trHeight w:val="300"/>
        </w:trPr>
        <w:tc>
          <w:tcPr>
            <w:tcW w:w="3276" w:type="dxa"/>
            <w:tcBorders>
              <w:top w:val="nil"/>
              <w:left w:val="nil"/>
              <w:bottom w:val="nil"/>
              <w:right w:val="nil"/>
            </w:tcBorders>
            <w:shd w:val="clear" w:color="000000" w:fill="FFFFFF"/>
            <w:noWrap/>
            <w:vAlign w:val="center"/>
            <w:hideMark/>
          </w:tcPr>
          <w:p w14:paraId="2F97895D" w14:textId="77777777" w:rsidR="00585914" w:rsidRPr="00585914" w:rsidRDefault="00585914" w:rsidP="00585914">
            <w:pPr>
              <w:spacing w:line="240" w:lineRule="auto"/>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Internal Borrowing</w:t>
            </w:r>
          </w:p>
        </w:tc>
        <w:tc>
          <w:tcPr>
            <w:tcW w:w="1256" w:type="dxa"/>
            <w:tcBorders>
              <w:top w:val="nil"/>
              <w:left w:val="nil"/>
              <w:bottom w:val="nil"/>
              <w:right w:val="nil"/>
            </w:tcBorders>
            <w:shd w:val="clear" w:color="000000" w:fill="FFE1E1"/>
            <w:noWrap/>
            <w:vAlign w:val="center"/>
            <w:hideMark/>
          </w:tcPr>
          <w:p w14:paraId="637D7DC3" w14:textId="1864E009" w:rsidR="00585914" w:rsidRPr="00585914" w:rsidRDefault="00585914" w:rsidP="00585914">
            <w:pPr>
              <w:spacing w:line="240" w:lineRule="auto"/>
              <w:jc w:val="right"/>
              <w:rPr>
                <w:rFonts w:ascii="Calibri" w:eastAsia="Times New Roman" w:hAnsi="Calibri" w:cs="Calibri"/>
                <w:color w:val="000000"/>
                <w:sz w:val="20"/>
                <w:szCs w:val="20"/>
                <w:lang w:eastAsia="en-GB"/>
              </w:rPr>
            </w:pPr>
            <w:r w:rsidRPr="00585914">
              <w:rPr>
                <w:rFonts w:ascii="Calibri" w:eastAsia="Times New Roman" w:hAnsi="Calibri" w:cs="Calibri"/>
                <w:color w:val="000000"/>
                <w:sz w:val="20"/>
                <w:szCs w:val="20"/>
                <w:lang w:eastAsia="en-GB"/>
              </w:rPr>
              <w:t>(1.26)</w:t>
            </w:r>
          </w:p>
        </w:tc>
      </w:tr>
      <w:tr w:rsidR="00585914" w:rsidRPr="00585914" w14:paraId="2EDAD54D" w14:textId="77777777">
        <w:trPr>
          <w:trHeight w:val="300"/>
        </w:trPr>
        <w:tc>
          <w:tcPr>
            <w:tcW w:w="3276" w:type="dxa"/>
            <w:tcBorders>
              <w:top w:val="single" w:sz="4" w:space="0" w:color="auto"/>
              <w:left w:val="nil"/>
              <w:bottom w:val="single" w:sz="4" w:space="0" w:color="auto"/>
              <w:right w:val="nil"/>
            </w:tcBorders>
            <w:shd w:val="clear" w:color="000000" w:fill="FFFFFF"/>
            <w:noWrap/>
            <w:vAlign w:val="center"/>
            <w:hideMark/>
          </w:tcPr>
          <w:p w14:paraId="4332971A" w14:textId="77777777" w:rsidR="00585914" w:rsidRPr="00585914" w:rsidRDefault="00585914" w:rsidP="00585914">
            <w:pPr>
              <w:spacing w:line="240" w:lineRule="auto"/>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TOTAL Capital Funding</w:t>
            </w:r>
          </w:p>
        </w:tc>
        <w:tc>
          <w:tcPr>
            <w:tcW w:w="1256" w:type="dxa"/>
            <w:tcBorders>
              <w:top w:val="single" w:sz="4" w:space="0" w:color="auto"/>
              <w:left w:val="nil"/>
              <w:bottom w:val="single" w:sz="4" w:space="0" w:color="auto"/>
              <w:right w:val="nil"/>
            </w:tcBorders>
            <w:shd w:val="clear" w:color="000000" w:fill="FFE1E1"/>
            <w:noWrap/>
            <w:vAlign w:val="center"/>
            <w:hideMark/>
          </w:tcPr>
          <w:p w14:paraId="06DB871B" w14:textId="70F36CD1" w:rsidR="00585914" w:rsidRPr="00585914" w:rsidRDefault="00585914" w:rsidP="00585914">
            <w:pPr>
              <w:spacing w:line="240" w:lineRule="auto"/>
              <w:jc w:val="right"/>
              <w:rPr>
                <w:rFonts w:ascii="Calibri" w:eastAsia="Times New Roman" w:hAnsi="Calibri" w:cs="Calibri"/>
                <w:b/>
                <w:bCs/>
                <w:color w:val="000000"/>
                <w:sz w:val="20"/>
                <w:szCs w:val="20"/>
                <w:lang w:eastAsia="en-GB"/>
              </w:rPr>
            </w:pPr>
            <w:r w:rsidRPr="00585914">
              <w:rPr>
                <w:rFonts w:ascii="Calibri" w:eastAsia="Times New Roman" w:hAnsi="Calibri" w:cs="Calibri"/>
                <w:b/>
                <w:bCs/>
                <w:color w:val="000000"/>
                <w:sz w:val="20"/>
                <w:szCs w:val="20"/>
                <w:lang w:eastAsia="en-GB"/>
              </w:rPr>
              <w:t>(2.43)</w:t>
            </w:r>
          </w:p>
        </w:tc>
      </w:tr>
    </w:tbl>
    <w:p w14:paraId="397944D5" w14:textId="77777777" w:rsidR="00585914" w:rsidRPr="00585914" w:rsidRDefault="00585914" w:rsidP="00585914">
      <w:pPr>
        <w:numPr>
          <w:ilvl w:val="2"/>
          <w:numId w:val="0"/>
        </w:numPr>
        <w:tabs>
          <w:tab w:val="left" w:pos="1985"/>
        </w:tabs>
        <w:spacing w:line="276" w:lineRule="auto"/>
        <w:rPr>
          <w:rFonts w:eastAsia="Times New Roman" w:cs="Times New Roman"/>
          <w:bCs/>
          <w:color w:val="C00000"/>
          <w:sz w:val="20"/>
          <w:szCs w:val="20"/>
          <w:highlight w:val="yellow"/>
        </w:rPr>
      </w:pPr>
    </w:p>
    <w:p w14:paraId="7C527E89" w14:textId="77777777" w:rsidR="00585914" w:rsidRPr="00585914" w:rsidRDefault="00585914" w:rsidP="00585914">
      <w:pPr>
        <w:numPr>
          <w:ilvl w:val="2"/>
          <w:numId w:val="0"/>
        </w:numPr>
        <w:tabs>
          <w:tab w:val="left" w:pos="1985"/>
        </w:tabs>
        <w:spacing w:line="276" w:lineRule="auto"/>
        <w:rPr>
          <w:rFonts w:eastAsia="Times New Roman" w:cs="Times New Roman"/>
          <w:bCs/>
          <w:color w:val="C00000"/>
          <w:sz w:val="24"/>
          <w:szCs w:val="24"/>
        </w:rPr>
      </w:pPr>
      <w:r w:rsidRPr="00585914">
        <w:rPr>
          <w:rFonts w:eastAsia="Times New Roman" w:cs="Times New Roman"/>
          <w:bCs/>
          <w:color w:val="C00000"/>
          <w:sz w:val="24"/>
          <w:szCs w:val="24"/>
        </w:rPr>
        <w:t>Fixed Assets</w:t>
      </w:r>
    </w:p>
    <w:p w14:paraId="3A742C69" w14:textId="7AB1AA1D" w:rsidR="00585914" w:rsidRPr="005F6B2F" w:rsidRDefault="00585914" w:rsidP="00585914">
      <w:pPr>
        <w:rPr>
          <w:lang w:eastAsia="en-GB"/>
        </w:rPr>
      </w:pPr>
      <w:r w:rsidRPr="00585914">
        <w:rPr>
          <w:lang w:eastAsia="en-GB"/>
        </w:rPr>
        <w:t xml:space="preserve">NCFRA owns 23 properties across </w:t>
      </w:r>
      <w:proofErr w:type="gramStart"/>
      <w:r w:rsidRPr="00585914">
        <w:rPr>
          <w:lang w:eastAsia="en-GB"/>
        </w:rPr>
        <w:t>Northamptonshire, and</w:t>
      </w:r>
      <w:proofErr w:type="gramEnd"/>
      <w:r w:rsidRPr="00585914">
        <w:rPr>
          <w:lang w:eastAsia="en-GB"/>
        </w:rPr>
        <w:t xml:space="preserve"> utilises one site on a leasehold basis.</w:t>
      </w:r>
      <w:r w:rsidR="00621421">
        <w:rPr>
          <w:lang w:eastAsia="en-GB"/>
        </w:rPr>
        <w:t xml:space="preserve">  </w:t>
      </w:r>
      <w:r w:rsidR="003E0B00" w:rsidRPr="00A942DB">
        <w:rPr>
          <w:lang w:eastAsia="en-GB"/>
        </w:rPr>
        <w:t>The</w:t>
      </w:r>
      <w:r w:rsidR="005F6B2F" w:rsidRPr="00A942DB">
        <w:rPr>
          <w:lang w:eastAsia="en-GB"/>
        </w:rPr>
        <w:t xml:space="preserve"> </w:t>
      </w:r>
      <w:r w:rsidR="003A5E56">
        <w:rPr>
          <w:lang w:eastAsia="en-GB"/>
        </w:rPr>
        <w:t>A</w:t>
      </w:r>
      <w:r w:rsidR="005F6B2F" w:rsidRPr="00A942DB">
        <w:rPr>
          <w:lang w:eastAsia="en-GB"/>
        </w:rPr>
        <w:t>uthority sold one asset for £3.</w:t>
      </w:r>
      <w:r w:rsidR="004B389F" w:rsidRPr="00A942DB">
        <w:rPr>
          <w:lang w:eastAsia="en-GB"/>
        </w:rPr>
        <w:t>30</w:t>
      </w:r>
      <w:r w:rsidR="005F6B2F" w:rsidRPr="00A942DB">
        <w:rPr>
          <w:lang w:eastAsia="en-GB"/>
        </w:rPr>
        <w:t xml:space="preserve">m during </w:t>
      </w:r>
      <w:r w:rsidR="00E542B5">
        <w:rPr>
          <w:lang w:eastAsia="en-GB"/>
        </w:rPr>
        <w:t>20</w:t>
      </w:r>
      <w:r w:rsidR="005F6B2F" w:rsidRPr="00A942DB">
        <w:rPr>
          <w:lang w:eastAsia="en-GB"/>
        </w:rPr>
        <w:t>24/25.</w:t>
      </w:r>
    </w:p>
    <w:p w14:paraId="709B78E0" w14:textId="77777777" w:rsidR="005F6B2F" w:rsidRDefault="005F6B2F" w:rsidP="00585914">
      <w:pPr>
        <w:numPr>
          <w:ilvl w:val="2"/>
          <w:numId w:val="0"/>
        </w:numPr>
        <w:tabs>
          <w:tab w:val="left" w:pos="1985"/>
        </w:tabs>
        <w:spacing w:line="276" w:lineRule="auto"/>
        <w:rPr>
          <w:rFonts w:eastAsia="Times New Roman" w:cs="Times New Roman"/>
          <w:bCs/>
          <w:color w:val="C00000"/>
          <w:sz w:val="24"/>
          <w:szCs w:val="24"/>
        </w:rPr>
      </w:pPr>
    </w:p>
    <w:p w14:paraId="15D8810D" w14:textId="3C2EF5E0" w:rsidR="00585914" w:rsidRPr="00585914" w:rsidRDefault="00585914" w:rsidP="00585914">
      <w:pPr>
        <w:numPr>
          <w:ilvl w:val="2"/>
          <w:numId w:val="0"/>
        </w:numPr>
        <w:tabs>
          <w:tab w:val="left" w:pos="1985"/>
        </w:tabs>
        <w:spacing w:line="276" w:lineRule="auto"/>
        <w:rPr>
          <w:rFonts w:eastAsia="Times New Roman" w:cs="Times New Roman"/>
          <w:bCs/>
          <w:color w:val="C00000"/>
          <w:sz w:val="24"/>
          <w:szCs w:val="24"/>
        </w:rPr>
      </w:pPr>
      <w:r w:rsidRPr="00585914">
        <w:rPr>
          <w:rFonts w:eastAsia="Times New Roman" w:cs="Times New Roman"/>
          <w:bCs/>
          <w:color w:val="C00000"/>
          <w:sz w:val="24"/>
          <w:szCs w:val="24"/>
        </w:rPr>
        <w:t>Reserves</w:t>
      </w:r>
    </w:p>
    <w:p w14:paraId="2DDB9F73" w14:textId="12C789F3" w:rsidR="00585914" w:rsidRPr="00585914" w:rsidRDefault="00585914" w:rsidP="00585914">
      <w:pPr>
        <w:rPr>
          <w:sz w:val="20"/>
          <w:szCs w:val="20"/>
        </w:rPr>
      </w:pPr>
      <w:r w:rsidRPr="00585914">
        <w:t xml:space="preserve">As </w:t>
      </w:r>
      <w:proofErr w:type="gramStart"/>
      <w:r w:rsidRPr="00585914">
        <w:t>at</w:t>
      </w:r>
      <w:proofErr w:type="gramEnd"/>
      <w:r w:rsidRPr="00585914">
        <w:t xml:space="preserve"> 31</w:t>
      </w:r>
      <w:r w:rsidRPr="00585914">
        <w:rPr>
          <w:vertAlign w:val="superscript"/>
        </w:rPr>
        <w:t>st</w:t>
      </w:r>
      <w:r w:rsidRPr="00585914">
        <w:t xml:space="preserve"> March 2025, NCFRA held £7.21m in usable reserves as follows</w:t>
      </w:r>
      <w:r w:rsidRPr="00585914">
        <w:rPr>
          <w:sz w:val="20"/>
          <w:szCs w:val="20"/>
        </w:rPr>
        <w:t>:</w:t>
      </w:r>
    </w:p>
    <w:p w14:paraId="5D80BC71" w14:textId="77777777" w:rsidR="00585914" w:rsidRPr="00585914" w:rsidRDefault="00585914" w:rsidP="00585914">
      <w:pPr>
        <w:rPr>
          <w:sz w:val="20"/>
          <w:szCs w:val="20"/>
        </w:rPr>
      </w:pPr>
    </w:p>
    <w:tbl>
      <w:tblPr>
        <w:tblW w:w="4730" w:type="dxa"/>
        <w:tblLook w:val="04A0" w:firstRow="1" w:lastRow="0" w:firstColumn="1" w:lastColumn="0" w:noHBand="0" w:noVBand="1"/>
      </w:tblPr>
      <w:tblGrid>
        <w:gridCol w:w="3119"/>
        <w:gridCol w:w="1611"/>
      </w:tblGrid>
      <w:tr w:rsidR="00585914" w:rsidRPr="00585914" w14:paraId="6D111A72" w14:textId="77777777">
        <w:trPr>
          <w:trHeight w:val="290"/>
        </w:trPr>
        <w:tc>
          <w:tcPr>
            <w:tcW w:w="3119" w:type="dxa"/>
            <w:shd w:val="clear" w:color="auto" w:fill="C00000"/>
            <w:noWrap/>
            <w:vAlign w:val="bottom"/>
            <w:hideMark/>
          </w:tcPr>
          <w:p w14:paraId="2ECA27B3" w14:textId="77777777" w:rsidR="00585914" w:rsidRPr="00585914" w:rsidRDefault="00585914" w:rsidP="00585914">
            <w:pPr>
              <w:rPr>
                <w:b/>
                <w:bCs/>
                <w:sz w:val="20"/>
                <w:szCs w:val="20"/>
                <w:lang w:eastAsia="en-GB"/>
              </w:rPr>
            </w:pPr>
            <w:r w:rsidRPr="00585914">
              <w:rPr>
                <w:b/>
                <w:bCs/>
                <w:sz w:val="20"/>
                <w:szCs w:val="20"/>
                <w:lang w:eastAsia="en-GB"/>
              </w:rPr>
              <w:t>Reserve</w:t>
            </w:r>
          </w:p>
        </w:tc>
        <w:tc>
          <w:tcPr>
            <w:tcW w:w="1611" w:type="dxa"/>
            <w:shd w:val="clear" w:color="auto" w:fill="C00000"/>
            <w:noWrap/>
            <w:vAlign w:val="bottom"/>
            <w:hideMark/>
          </w:tcPr>
          <w:p w14:paraId="1C61C00B" w14:textId="77777777" w:rsidR="00585914" w:rsidRPr="00585914" w:rsidRDefault="00585914" w:rsidP="00585914">
            <w:pPr>
              <w:jc w:val="center"/>
              <w:rPr>
                <w:b/>
                <w:bCs/>
                <w:sz w:val="20"/>
                <w:szCs w:val="20"/>
                <w:lang w:eastAsia="en-GB"/>
              </w:rPr>
            </w:pPr>
            <w:r w:rsidRPr="00585914">
              <w:rPr>
                <w:b/>
                <w:bCs/>
                <w:sz w:val="20"/>
                <w:szCs w:val="20"/>
                <w:lang w:eastAsia="en-GB"/>
              </w:rPr>
              <w:t>31 March 2025</w:t>
            </w:r>
          </w:p>
        </w:tc>
      </w:tr>
      <w:tr w:rsidR="00585914" w:rsidRPr="00585914" w14:paraId="29073579" w14:textId="77777777">
        <w:trPr>
          <w:trHeight w:val="290"/>
        </w:trPr>
        <w:tc>
          <w:tcPr>
            <w:tcW w:w="3119" w:type="dxa"/>
            <w:shd w:val="clear" w:color="auto" w:fill="C00000"/>
            <w:noWrap/>
            <w:vAlign w:val="bottom"/>
            <w:hideMark/>
          </w:tcPr>
          <w:p w14:paraId="443066F3" w14:textId="77777777" w:rsidR="00585914" w:rsidRPr="00585914" w:rsidRDefault="00585914" w:rsidP="00585914">
            <w:pPr>
              <w:rPr>
                <w:b/>
                <w:bCs/>
                <w:sz w:val="20"/>
                <w:szCs w:val="20"/>
                <w:lang w:eastAsia="en-GB"/>
              </w:rPr>
            </w:pPr>
          </w:p>
        </w:tc>
        <w:tc>
          <w:tcPr>
            <w:tcW w:w="1611" w:type="dxa"/>
            <w:shd w:val="clear" w:color="auto" w:fill="C00000"/>
            <w:noWrap/>
            <w:vAlign w:val="bottom"/>
            <w:hideMark/>
          </w:tcPr>
          <w:p w14:paraId="0FEA4289" w14:textId="1C43EA88" w:rsidR="00585914" w:rsidRPr="00585914" w:rsidRDefault="00585914" w:rsidP="00585914">
            <w:pPr>
              <w:jc w:val="center"/>
              <w:rPr>
                <w:b/>
                <w:bCs/>
                <w:sz w:val="20"/>
                <w:szCs w:val="20"/>
                <w:lang w:eastAsia="en-GB"/>
              </w:rPr>
            </w:pPr>
            <w:r w:rsidRPr="00585914">
              <w:rPr>
                <w:b/>
                <w:bCs/>
                <w:sz w:val="20"/>
                <w:szCs w:val="20"/>
                <w:lang w:eastAsia="en-GB"/>
              </w:rPr>
              <w:t>£</w:t>
            </w:r>
            <w:r w:rsidR="00636A89">
              <w:rPr>
                <w:b/>
                <w:bCs/>
                <w:sz w:val="20"/>
                <w:szCs w:val="20"/>
                <w:lang w:eastAsia="en-GB"/>
              </w:rPr>
              <w:t>m</w:t>
            </w:r>
          </w:p>
        </w:tc>
      </w:tr>
      <w:tr w:rsidR="00585914" w:rsidRPr="00585914" w14:paraId="25BC6E71" w14:textId="77777777">
        <w:trPr>
          <w:trHeight w:val="290"/>
        </w:trPr>
        <w:tc>
          <w:tcPr>
            <w:tcW w:w="3119" w:type="dxa"/>
            <w:noWrap/>
            <w:vAlign w:val="bottom"/>
            <w:hideMark/>
          </w:tcPr>
          <w:p w14:paraId="149B232C" w14:textId="77777777" w:rsidR="00585914" w:rsidRPr="00585914" w:rsidRDefault="00585914" w:rsidP="00585914">
            <w:pPr>
              <w:rPr>
                <w:sz w:val="20"/>
                <w:szCs w:val="20"/>
                <w:lang w:eastAsia="en-GB"/>
              </w:rPr>
            </w:pPr>
            <w:r w:rsidRPr="00585914">
              <w:rPr>
                <w:sz w:val="20"/>
                <w:szCs w:val="20"/>
                <w:lang w:eastAsia="en-GB"/>
              </w:rPr>
              <w:t>General Fund</w:t>
            </w:r>
          </w:p>
        </w:tc>
        <w:tc>
          <w:tcPr>
            <w:tcW w:w="1611" w:type="dxa"/>
            <w:shd w:val="clear" w:color="auto" w:fill="FFE1E1"/>
            <w:noWrap/>
            <w:vAlign w:val="bottom"/>
            <w:hideMark/>
          </w:tcPr>
          <w:p w14:paraId="1EA11C03" w14:textId="748928DD" w:rsidR="00585914" w:rsidRPr="00585914" w:rsidRDefault="00585914" w:rsidP="00585914">
            <w:pPr>
              <w:jc w:val="right"/>
              <w:rPr>
                <w:sz w:val="20"/>
                <w:szCs w:val="20"/>
                <w:lang w:eastAsia="en-GB"/>
              </w:rPr>
            </w:pPr>
            <w:r w:rsidRPr="00585914">
              <w:rPr>
                <w:sz w:val="20"/>
                <w:szCs w:val="20"/>
                <w:lang w:eastAsia="en-GB"/>
              </w:rPr>
              <w:t>2.00</w:t>
            </w:r>
          </w:p>
        </w:tc>
      </w:tr>
      <w:tr w:rsidR="00585914" w:rsidRPr="00585914" w14:paraId="57C3ABDC" w14:textId="77777777">
        <w:trPr>
          <w:trHeight w:val="290"/>
        </w:trPr>
        <w:tc>
          <w:tcPr>
            <w:tcW w:w="3119" w:type="dxa"/>
            <w:noWrap/>
            <w:vAlign w:val="bottom"/>
            <w:hideMark/>
          </w:tcPr>
          <w:p w14:paraId="48E5A63D" w14:textId="77777777" w:rsidR="00585914" w:rsidRPr="00585914" w:rsidRDefault="00585914" w:rsidP="00585914">
            <w:pPr>
              <w:rPr>
                <w:sz w:val="20"/>
                <w:szCs w:val="20"/>
                <w:lang w:eastAsia="en-GB"/>
              </w:rPr>
            </w:pPr>
            <w:r w:rsidRPr="00585914">
              <w:rPr>
                <w:sz w:val="20"/>
                <w:szCs w:val="20"/>
                <w:lang w:eastAsia="en-GB"/>
              </w:rPr>
              <w:t>Earmarked Revenue Reserves</w:t>
            </w:r>
          </w:p>
        </w:tc>
        <w:tc>
          <w:tcPr>
            <w:tcW w:w="1611" w:type="dxa"/>
            <w:shd w:val="clear" w:color="auto" w:fill="FFE1E1"/>
            <w:noWrap/>
            <w:vAlign w:val="bottom"/>
            <w:hideMark/>
          </w:tcPr>
          <w:p w14:paraId="2D274D0D" w14:textId="078D4FF7" w:rsidR="00585914" w:rsidRPr="00585914" w:rsidRDefault="00585914" w:rsidP="00585914">
            <w:pPr>
              <w:jc w:val="right"/>
              <w:rPr>
                <w:sz w:val="20"/>
                <w:szCs w:val="20"/>
                <w:lang w:eastAsia="en-GB"/>
              </w:rPr>
            </w:pPr>
            <w:r w:rsidRPr="00585914">
              <w:rPr>
                <w:sz w:val="20"/>
                <w:szCs w:val="20"/>
                <w:lang w:eastAsia="en-GB"/>
              </w:rPr>
              <w:t xml:space="preserve">                2</w:t>
            </w:r>
            <w:r w:rsidR="00636A89">
              <w:rPr>
                <w:sz w:val="20"/>
                <w:szCs w:val="20"/>
                <w:lang w:eastAsia="en-GB"/>
              </w:rPr>
              <w:t>.</w:t>
            </w:r>
            <w:r w:rsidRPr="00585914">
              <w:rPr>
                <w:sz w:val="20"/>
                <w:szCs w:val="20"/>
                <w:lang w:eastAsia="en-GB"/>
              </w:rPr>
              <w:t>37</w:t>
            </w:r>
          </w:p>
        </w:tc>
      </w:tr>
      <w:tr w:rsidR="00585914" w:rsidRPr="00585914" w14:paraId="29C921DE" w14:textId="77777777">
        <w:trPr>
          <w:trHeight w:val="290"/>
        </w:trPr>
        <w:tc>
          <w:tcPr>
            <w:tcW w:w="3119" w:type="dxa"/>
            <w:tcBorders>
              <w:bottom w:val="single" w:sz="4" w:space="0" w:color="auto"/>
            </w:tcBorders>
            <w:noWrap/>
            <w:vAlign w:val="bottom"/>
            <w:hideMark/>
          </w:tcPr>
          <w:p w14:paraId="08A50359" w14:textId="77777777" w:rsidR="00585914" w:rsidRPr="00585914" w:rsidRDefault="00585914" w:rsidP="00585914">
            <w:pPr>
              <w:rPr>
                <w:sz w:val="20"/>
                <w:szCs w:val="20"/>
                <w:lang w:eastAsia="en-GB"/>
              </w:rPr>
            </w:pPr>
            <w:r w:rsidRPr="00585914">
              <w:rPr>
                <w:sz w:val="20"/>
                <w:szCs w:val="20"/>
                <w:lang w:eastAsia="en-GB"/>
              </w:rPr>
              <w:t>Capital Grants and Reserves</w:t>
            </w:r>
          </w:p>
        </w:tc>
        <w:tc>
          <w:tcPr>
            <w:tcW w:w="1611" w:type="dxa"/>
            <w:tcBorders>
              <w:bottom w:val="single" w:sz="4" w:space="0" w:color="auto"/>
            </w:tcBorders>
            <w:shd w:val="clear" w:color="auto" w:fill="FFE1E1"/>
            <w:noWrap/>
            <w:vAlign w:val="bottom"/>
            <w:hideMark/>
          </w:tcPr>
          <w:p w14:paraId="3D7E1A70" w14:textId="7D38B7E0" w:rsidR="00585914" w:rsidRPr="00585914" w:rsidRDefault="00585914" w:rsidP="00585914">
            <w:pPr>
              <w:jc w:val="right"/>
              <w:rPr>
                <w:sz w:val="20"/>
                <w:szCs w:val="20"/>
                <w:lang w:eastAsia="en-GB"/>
              </w:rPr>
            </w:pPr>
            <w:r w:rsidRPr="00585914">
              <w:rPr>
                <w:sz w:val="20"/>
                <w:szCs w:val="20"/>
                <w:lang w:eastAsia="en-GB"/>
              </w:rPr>
              <w:t xml:space="preserve">                    2.8</w:t>
            </w:r>
            <w:r w:rsidR="00841C6C">
              <w:rPr>
                <w:sz w:val="20"/>
                <w:szCs w:val="20"/>
                <w:lang w:eastAsia="en-GB"/>
              </w:rPr>
              <w:t>4</w:t>
            </w:r>
          </w:p>
        </w:tc>
      </w:tr>
      <w:tr w:rsidR="00585914" w:rsidRPr="00585914" w14:paraId="4978DE54" w14:textId="77777777">
        <w:trPr>
          <w:trHeight w:val="290"/>
        </w:trPr>
        <w:tc>
          <w:tcPr>
            <w:tcW w:w="3119" w:type="dxa"/>
            <w:tcBorders>
              <w:top w:val="single" w:sz="4" w:space="0" w:color="auto"/>
              <w:bottom w:val="single" w:sz="4" w:space="0" w:color="auto"/>
            </w:tcBorders>
            <w:shd w:val="clear" w:color="auto" w:fill="FFFFFF" w:themeFill="background1"/>
            <w:noWrap/>
            <w:vAlign w:val="bottom"/>
            <w:hideMark/>
          </w:tcPr>
          <w:p w14:paraId="2424F9B2" w14:textId="77777777" w:rsidR="00585914" w:rsidRPr="00585914" w:rsidRDefault="00585914" w:rsidP="00585914">
            <w:pPr>
              <w:rPr>
                <w:b/>
                <w:bCs/>
                <w:sz w:val="20"/>
                <w:szCs w:val="20"/>
                <w:lang w:eastAsia="en-GB"/>
              </w:rPr>
            </w:pPr>
            <w:r w:rsidRPr="00585914">
              <w:rPr>
                <w:b/>
                <w:bCs/>
                <w:sz w:val="20"/>
                <w:szCs w:val="20"/>
                <w:lang w:eastAsia="en-GB"/>
              </w:rPr>
              <w:t>Balance as at Year End</w:t>
            </w:r>
          </w:p>
        </w:tc>
        <w:tc>
          <w:tcPr>
            <w:tcW w:w="1611" w:type="dxa"/>
            <w:tcBorders>
              <w:top w:val="single" w:sz="4" w:space="0" w:color="auto"/>
              <w:bottom w:val="single" w:sz="4" w:space="0" w:color="auto"/>
            </w:tcBorders>
            <w:shd w:val="clear" w:color="auto" w:fill="FFE1E1"/>
            <w:noWrap/>
            <w:vAlign w:val="bottom"/>
            <w:hideMark/>
          </w:tcPr>
          <w:p w14:paraId="398BF669" w14:textId="03F30D55" w:rsidR="00585914" w:rsidRPr="00585914" w:rsidRDefault="00585914" w:rsidP="00585914">
            <w:pPr>
              <w:jc w:val="right"/>
              <w:rPr>
                <w:b/>
                <w:bCs/>
                <w:sz w:val="20"/>
                <w:szCs w:val="20"/>
                <w:lang w:eastAsia="en-GB"/>
              </w:rPr>
            </w:pPr>
            <w:r w:rsidRPr="00585914">
              <w:rPr>
                <w:b/>
                <w:bCs/>
                <w:sz w:val="20"/>
                <w:szCs w:val="20"/>
                <w:lang w:eastAsia="en-GB"/>
              </w:rPr>
              <w:t xml:space="preserve">                7.21</w:t>
            </w:r>
          </w:p>
        </w:tc>
      </w:tr>
    </w:tbl>
    <w:p w14:paraId="3CF62198" w14:textId="77777777" w:rsidR="00585914" w:rsidRPr="00585914" w:rsidRDefault="00585914" w:rsidP="00585914">
      <w:pPr>
        <w:rPr>
          <w:sz w:val="20"/>
          <w:szCs w:val="20"/>
        </w:rPr>
      </w:pPr>
    </w:p>
    <w:p w14:paraId="49739F55" w14:textId="77777777" w:rsidR="00585914" w:rsidRPr="00585914" w:rsidRDefault="00585914" w:rsidP="00585914">
      <w:r w:rsidRPr="00585914">
        <w:t>The Reserves Strategy is reviewed each year and is available on the NCFRA website.</w:t>
      </w:r>
    </w:p>
    <w:p w14:paraId="355C3CE3" w14:textId="77777777" w:rsidR="00605F3D" w:rsidRDefault="00605F3D" w:rsidP="00585914">
      <w:pPr>
        <w:numPr>
          <w:ilvl w:val="2"/>
          <w:numId w:val="0"/>
        </w:numPr>
        <w:tabs>
          <w:tab w:val="left" w:pos="1985"/>
        </w:tabs>
        <w:spacing w:line="276" w:lineRule="auto"/>
        <w:rPr>
          <w:rFonts w:eastAsia="Times New Roman" w:cs="Times New Roman"/>
          <w:bCs/>
          <w:color w:val="C00000"/>
          <w:sz w:val="24"/>
          <w:szCs w:val="24"/>
        </w:rPr>
      </w:pPr>
    </w:p>
    <w:p w14:paraId="682AC1CA" w14:textId="5DB9A0D7" w:rsidR="00585914" w:rsidRPr="00585914" w:rsidRDefault="00585914" w:rsidP="00585914">
      <w:pPr>
        <w:numPr>
          <w:ilvl w:val="2"/>
          <w:numId w:val="0"/>
        </w:numPr>
        <w:tabs>
          <w:tab w:val="left" w:pos="1985"/>
        </w:tabs>
        <w:spacing w:line="276" w:lineRule="auto"/>
        <w:rPr>
          <w:rFonts w:eastAsia="Times New Roman" w:cs="Arial"/>
          <w:bCs/>
          <w:color w:val="C00000"/>
          <w:sz w:val="24"/>
          <w:szCs w:val="24"/>
        </w:rPr>
      </w:pPr>
      <w:r w:rsidRPr="00585914">
        <w:rPr>
          <w:rFonts w:eastAsia="Times New Roman" w:cs="Times New Roman"/>
          <w:bCs/>
          <w:color w:val="C00000"/>
          <w:sz w:val="24"/>
          <w:szCs w:val="24"/>
        </w:rPr>
        <w:t>Events after the Balance Sheet Date</w:t>
      </w:r>
    </w:p>
    <w:p w14:paraId="4B595D7D" w14:textId="77777777" w:rsidR="00585914" w:rsidRPr="00585914" w:rsidRDefault="00585914" w:rsidP="00585914">
      <w:r w:rsidRPr="00585914">
        <w:t>There were no events highlighted after the Balance Sheet date.</w:t>
      </w:r>
    </w:p>
    <w:p w14:paraId="3E646EF5" w14:textId="77777777" w:rsidR="00585914" w:rsidRPr="00585914" w:rsidRDefault="00585914" w:rsidP="00585914">
      <w:pPr>
        <w:rPr>
          <w:sz w:val="20"/>
          <w:szCs w:val="20"/>
        </w:rPr>
      </w:pPr>
    </w:p>
    <w:p w14:paraId="6919BF17" w14:textId="77777777" w:rsidR="007E7383" w:rsidRDefault="007E7383" w:rsidP="007E7383">
      <w:pPr>
        <w:rPr>
          <w:rFonts w:eastAsia="Calibri"/>
          <w:color w:val="CC0000"/>
          <w:sz w:val="32"/>
          <w:szCs w:val="24"/>
        </w:rPr>
      </w:pPr>
      <w:r>
        <w:br w:type="page"/>
      </w:r>
    </w:p>
    <w:p w14:paraId="0ACA7507" w14:textId="77777777" w:rsidR="007E7383" w:rsidRDefault="007E7383" w:rsidP="007E7383">
      <w:pPr>
        <w:pStyle w:val="VAHeading"/>
      </w:pPr>
      <w:r>
        <w:lastRenderedPageBreak/>
        <w:t>Strategy and Resources</w:t>
      </w:r>
    </w:p>
    <w:p w14:paraId="13F841D9" w14:textId="77777777" w:rsidR="007E7383" w:rsidRPr="00C00FEC" w:rsidRDefault="007E7383" w:rsidP="002A1ADD">
      <w:pPr>
        <w:pStyle w:val="VAHeadingLevel2"/>
      </w:pPr>
      <w:r>
        <w:t>Stability</w:t>
      </w:r>
    </w:p>
    <w:p w14:paraId="3602CD11" w14:textId="7125A94F" w:rsidR="007E7383" w:rsidRPr="00C00FEC" w:rsidRDefault="007E7383" w:rsidP="007E7383">
      <w:r w:rsidRPr="00C00FEC">
        <w:t xml:space="preserve">Whilst NCFRA was established </w:t>
      </w:r>
      <w:r>
        <w:t>in</w:t>
      </w:r>
      <w:r w:rsidRPr="00C00FEC">
        <w:t xml:space="preserve"> 2019 without any reserves being transferred, the Authority put in place priorities to build a stable financial platform and a three year financial stability plan</w:t>
      </w:r>
      <w:r w:rsidR="00D8347E">
        <w:t>.</w:t>
      </w:r>
      <w:r w:rsidR="004218C6">
        <w:t xml:space="preserve"> This plan was </w:t>
      </w:r>
      <w:r w:rsidRPr="00C00FEC">
        <w:t xml:space="preserve">taken forward to ensure an appropriate level of reserves were established; with a financial base that was understood and supported by internal controls.  </w:t>
      </w:r>
    </w:p>
    <w:p w14:paraId="2481D799" w14:textId="77777777" w:rsidR="007E7383" w:rsidRPr="00C00FEC" w:rsidRDefault="007E7383" w:rsidP="007E7383"/>
    <w:p w14:paraId="2438DAEE" w14:textId="77777777" w:rsidR="007E7383" w:rsidRPr="00C00FEC" w:rsidRDefault="007E7383" w:rsidP="007E7383">
      <w:r w:rsidRPr="00C00FEC">
        <w:t xml:space="preserve">Whilst the financial stability plan was achieved, the cost of living remains a </w:t>
      </w:r>
      <w:proofErr w:type="gramStart"/>
      <w:r w:rsidRPr="00C00FEC">
        <w:t>challenge</w:t>
      </w:r>
      <w:proofErr w:type="gramEnd"/>
      <w:r w:rsidRPr="00C00FEC">
        <w:t xml:space="preserve"> and the revenue budget is feeling the pressure of increased pay, fuel and utility costs. </w:t>
      </w:r>
      <w:r>
        <w:t xml:space="preserve"> </w:t>
      </w:r>
      <w:r w:rsidRPr="00C00FEC">
        <w:t>Therefore, efficiencies are still required</w:t>
      </w:r>
      <w:r>
        <w:t>,</w:t>
      </w:r>
      <w:r w:rsidRPr="00C00FEC">
        <w:t xml:space="preserve"> and a plan is in place to ensure a balanced budget can be achieved each year.  The impact of these on the MTFP will continue to be kept under review and measures put in place to address them.</w:t>
      </w:r>
    </w:p>
    <w:p w14:paraId="3433A7D7" w14:textId="77777777" w:rsidR="007E7383" w:rsidRPr="00C00FEC" w:rsidRDefault="007E7383" w:rsidP="007E7383">
      <w:pPr>
        <w:rPr>
          <w:highlight w:val="yellow"/>
        </w:rPr>
      </w:pPr>
    </w:p>
    <w:p w14:paraId="3CBAB29B" w14:textId="77777777" w:rsidR="007E7383" w:rsidRPr="00C00FEC" w:rsidRDefault="007E7383" w:rsidP="007E7383">
      <w:r w:rsidRPr="00C00FEC">
        <w:t xml:space="preserve">A capital programme is in place which enables investment in key operational requirements including investment in new fire tenders, replacement of essential operational equipment and delivery of the joint </w:t>
      </w:r>
      <w:proofErr w:type="gramStart"/>
      <w:r w:rsidRPr="00C00FEC">
        <w:t>estates</w:t>
      </w:r>
      <w:proofErr w:type="gramEnd"/>
      <w:r w:rsidRPr="00C00FEC">
        <w:t xml:space="preserve"> strategy with Police. </w:t>
      </w:r>
      <w:r>
        <w:t xml:space="preserve"> The Service</w:t>
      </w:r>
      <w:r w:rsidRPr="00C00FEC">
        <w:t xml:space="preserve"> </w:t>
      </w:r>
      <w:r>
        <w:t>is</w:t>
      </w:r>
      <w:r w:rsidRPr="00C00FEC">
        <w:t xml:space="preserve"> continuing to work with Police to integrate essential support services and arrangements where appropriate, building capacity and resilience and releasing efficiencies over the medium term.</w:t>
      </w:r>
    </w:p>
    <w:p w14:paraId="6162B36E" w14:textId="77777777" w:rsidR="007E7383" w:rsidRPr="00C00FEC" w:rsidRDefault="007E7383" w:rsidP="007E7383"/>
    <w:p w14:paraId="228A7BF9" w14:textId="77777777" w:rsidR="007E7383" w:rsidRPr="00C00FEC" w:rsidRDefault="007E7383" w:rsidP="007E7383">
      <w:r>
        <w:t>F</w:t>
      </w:r>
      <w:r w:rsidRPr="00C00FEC">
        <w:t xml:space="preserve">urther funding </w:t>
      </w:r>
      <w:r>
        <w:t xml:space="preserve">was obtained </w:t>
      </w:r>
      <w:r w:rsidRPr="00C00FEC">
        <w:t xml:space="preserve">for NCFRA </w:t>
      </w:r>
      <w:r>
        <w:t>following</w:t>
      </w:r>
      <w:r w:rsidRPr="00C00FEC">
        <w:t xml:space="preserve"> the governance transfer, </w:t>
      </w:r>
      <w:r>
        <w:t>and</w:t>
      </w:r>
      <w:r w:rsidRPr="00C00FEC">
        <w:t xml:space="preserve"> </w:t>
      </w:r>
      <w:r>
        <w:t xml:space="preserve">efforts </w:t>
      </w:r>
      <w:r w:rsidRPr="00C00FEC">
        <w:t>will continue to ensure all opportunities are taken to identify and realise savings and efficiencies.</w:t>
      </w:r>
    </w:p>
    <w:p w14:paraId="35C2C059" w14:textId="77777777" w:rsidR="007E7383" w:rsidRDefault="007E7383" w:rsidP="007E7383"/>
    <w:p w14:paraId="0B59D55A" w14:textId="77777777" w:rsidR="007E7383" w:rsidRPr="00C00FEC" w:rsidRDefault="007E7383" w:rsidP="002A1ADD">
      <w:pPr>
        <w:pStyle w:val="VAHeadingLevel2"/>
      </w:pPr>
      <w:r w:rsidRPr="00C00FEC">
        <w:t>202</w:t>
      </w:r>
      <w:r>
        <w:t>5/</w:t>
      </w:r>
      <w:r w:rsidRPr="00C00FEC">
        <w:t>2</w:t>
      </w:r>
      <w:r>
        <w:t>6</w:t>
      </w:r>
      <w:r w:rsidRPr="00C00FEC">
        <w:t xml:space="preserve"> Budget</w:t>
      </w:r>
    </w:p>
    <w:p w14:paraId="105A87F5" w14:textId="77777777" w:rsidR="007E7383" w:rsidRDefault="007E7383" w:rsidP="007E7383">
      <w:r w:rsidRPr="00C00FEC">
        <w:t>NCFRA has adopted a prudent approach to budgeting that is both affordable and sustainable over the medium term.</w:t>
      </w:r>
    </w:p>
    <w:p w14:paraId="7C1E868F" w14:textId="77777777" w:rsidR="007E7383" w:rsidRPr="00C00FEC" w:rsidRDefault="007E7383" w:rsidP="007E7383"/>
    <w:p w14:paraId="3A1D23DF" w14:textId="77777777" w:rsidR="007E7383" w:rsidRDefault="007E7383" w:rsidP="007E7383">
      <w:r w:rsidRPr="00C00FEC">
        <w:t>The PFCC has set a balanced budget for Fire for 202</w:t>
      </w:r>
      <w:r>
        <w:t>5</w:t>
      </w:r>
      <w:r w:rsidRPr="00C00FEC">
        <w:t>/2</w:t>
      </w:r>
      <w:r>
        <w:t>6</w:t>
      </w:r>
      <w:r w:rsidRPr="00C00FEC">
        <w:t>.</w:t>
      </w:r>
      <w:r>
        <w:t xml:space="preserve">  </w:t>
      </w:r>
      <w:r w:rsidRPr="00C00FEC">
        <w:t>The budget was approved by the PFCC in January 202</w:t>
      </w:r>
      <w:r>
        <w:t>5</w:t>
      </w:r>
      <w:r w:rsidRPr="00C00FEC">
        <w:t xml:space="preserve"> and the proposed precept considered at the Police, Fire and Crime Panel in February 202</w:t>
      </w:r>
      <w:r>
        <w:t>5</w:t>
      </w:r>
      <w:r w:rsidRPr="00C00FEC">
        <w:t xml:space="preserve">. </w:t>
      </w:r>
      <w:r>
        <w:t xml:space="preserve"> </w:t>
      </w:r>
      <w:r w:rsidRPr="00C00FEC">
        <w:t xml:space="preserve">Fire Authorities were given the </w:t>
      </w:r>
      <w:r>
        <w:t>ability to raise precept by up to £5 without triggering a referendum and the PFCC took this opportunity, raising Band D council tax to £80.39.</w:t>
      </w:r>
    </w:p>
    <w:p w14:paraId="0AF5E8AC" w14:textId="77777777" w:rsidR="007E7383" w:rsidRPr="00176850" w:rsidRDefault="007E7383" w:rsidP="007E7383">
      <w:pPr>
        <w:rPr>
          <w:sz w:val="14"/>
          <w:szCs w:val="14"/>
        </w:rPr>
      </w:pPr>
    </w:p>
    <w:p w14:paraId="6F235907" w14:textId="5324D883" w:rsidR="007E7383" w:rsidRDefault="007E7383" w:rsidP="007E7383">
      <w:r w:rsidRPr="00C00FEC">
        <w:t>Even after this increase, NCFRA is still one of the lowest funded and lowest precepting F</w:t>
      </w:r>
      <w:r>
        <w:t>ire and Rescue Authorities</w:t>
      </w:r>
      <w:r w:rsidRPr="00C00FEC">
        <w:t xml:space="preserve"> in the country.</w:t>
      </w:r>
    </w:p>
    <w:p w14:paraId="6B079AD7" w14:textId="77777777" w:rsidR="00176850" w:rsidRDefault="00176850" w:rsidP="007E7383"/>
    <w:p w14:paraId="3A1B42F3" w14:textId="77777777" w:rsidR="007E7383" w:rsidRDefault="007E7383" w:rsidP="002A1ADD">
      <w:pPr>
        <w:pStyle w:val="VAHeadingLevel2"/>
      </w:pPr>
      <w:r>
        <w:t>Medium Term Financial Plan</w:t>
      </w:r>
    </w:p>
    <w:p w14:paraId="42E44336" w14:textId="77777777" w:rsidR="007E7383" w:rsidRDefault="007E7383" w:rsidP="007E7383">
      <w:r>
        <w:t xml:space="preserve">The MTFP is regularly reviewed and updated in line with the following established principles: </w:t>
      </w:r>
    </w:p>
    <w:p w14:paraId="49F34DC7" w14:textId="126C20F0" w:rsidR="007E7383" w:rsidRDefault="007E7383" w:rsidP="007E7383">
      <w:pPr>
        <w:pStyle w:val="Firebullet"/>
        <w:numPr>
          <w:ilvl w:val="0"/>
          <w:numId w:val="4"/>
        </w:numPr>
        <w:ind w:left="284" w:hanging="284"/>
      </w:pPr>
      <w:r>
        <w:t>To make the best use of available resources</w:t>
      </w:r>
    </w:p>
    <w:p w14:paraId="15FB98FF" w14:textId="59386231" w:rsidR="007E7383" w:rsidRDefault="007E7383" w:rsidP="007E7383">
      <w:pPr>
        <w:pStyle w:val="Firebullet"/>
        <w:numPr>
          <w:ilvl w:val="0"/>
          <w:numId w:val="4"/>
        </w:numPr>
        <w:ind w:left="284" w:hanging="284"/>
      </w:pPr>
      <w:r>
        <w:t>To maximise income and funding</w:t>
      </w:r>
    </w:p>
    <w:p w14:paraId="70292FF9" w14:textId="631BC4D2" w:rsidR="007E7383" w:rsidRDefault="007E7383" w:rsidP="007E7383">
      <w:pPr>
        <w:pStyle w:val="Firebullet"/>
        <w:numPr>
          <w:ilvl w:val="0"/>
          <w:numId w:val="4"/>
        </w:numPr>
        <w:ind w:left="284" w:hanging="284"/>
      </w:pPr>
      <w:r>
        <w:t>To target expenditure and investment priorities and value for money opportunities</w:t>
      </w:r>
    </w:p>
    <w:p w14:paraId="77224C47" w14:textId="279006C3" w:rsidR="007E7383" w:rsidRDefault="007E7383" w:rsidP="007E7383">
      <w:pPr>
        <w:pStyle w:val="Firebullet"/>
        <w:numPr>
          <w:ilvl w:val="0"/>
          <w:numId w:val="4"/>
        </w:numPr>
        <w:ind w:left="284" w:hanging="284"/>
      </w:pPr>
      <w:r>
        <w:t>To exploit fixed assets to deliver maximum value</w:t>
      </w:r>
    </w:p>
    <w:p w14:paraId="79D5447D" w14:textId="3B5A9005" w:rsidR="007E7383" w:rsidRDefault="007E7383" w:rsidP="007E7383">
      <w:pPr>
        <w:pStyle w:val="Firebullet"/>
        <w:numPr>
          <w:ilvl w:val="0"/>
          <w:numId w:val="4"/>
        </w:numPr>
        <w:ind w:left="284" w:hanging="284"/>
      </w:pPr>
      <w:r>
        <w:t>To optimise delivery costs</w:t>
      </w:r>
    </w:p>
    <w:p w14:paraId="05B163A1" w14:textId="1C53E097" w:rsidR="007E7383" w:rsidRDefault="007E7383" w:rsidP="0064214B">
      <w:pPr>
        <w:pStyle w:val="Firebullet"/>
        <w:numPr>
          <w:ilvl w:val="0"/>
          <w:numId w:val="4"/>
        </w:numPr>
        <w:ind w:left="284" w:hanging="284"/>
        <w:jc w:val="left"/>
      </w:pPr>
      <w:r>
        <w:t>To provide sufficient financial reserves in the context of unprecedented uncertainty, transformation and change</w:t>
      </w:r>
    </w:p>
    <w:p w14:paraId="0147C07A" w14:textId="77777777" w:rsidR="007E7383" w:rsidRPr="008C3987" w:rsidRDefault="007E7383" w:rsidP="007E7383">
      <w:pPr>
        <w:rPr>
          <w:sz w:val="14"/>
          <w:szCs w:val="14"/>
        </w:rPr>
      </w:pPr>
    </w:p>
    <w:p w14:paraId="4AD25B1E" w14:textId="3E91A1E8" w:rsidR="007E7383" w:rsidRDefault="007E7383" w:rsidP="007E7383">
      <w:r>
        <w:t xml:space="preserve">The latest MTFP shows that the NCFRA has produced a balanced budget for 2025/26 with savings targets in place.  These are being addressed via the Continuous Improvement Board that feeds into the Senior Leadership Team meeting.  </w:t>
      </w:r>
      <w:r w:rsidRPr="00C00FEC">
        <w:t>In the short term,</w:t>
      </w:r>
      <w:r w:rsidR="00F45E53">
        <w:t xml:space="preserve"> there are sufficient </w:t>
      </w:r>
      <w:r w:rsidRPr="00C00FEC">
        <w:t>reserves available</w:t>
      </w:r>
      <w:r w:rsidR="009E7975">
        <w:t>, if required,</w:t>
      </w:r>
      <w:r w:rsidRPr="00C00FEC">
        <w:t xml:space="preserve"> to smooth the timing or impact of efficiencies</w:t>
      </w:r>
      <w:r w:rsidR="009E7975">
        <w:t>.</w:t>
      </w:r>
    </w:p>
    <w:tbl>
      <w:tblPr>
        <w:tblW w:w="4760" w:type="dxa"/>
        <w:tblLook w:val="04A0" w:firstRow="1" w:lastRow="0" w:firstColumn="1" w:lastColumn="0" w:noHBand="0" w:noVBand="1"/>
      </w:tblPr>
      <w:tblGrid>
        <w:gridCol w:w="1476"/>
        <w:gridCol w:w="656"/>
        <w:gridCol w:w="657"/>
        <w:gridCol w:w="657"/>
        <w:gridCol w:w="657"/>
        <w:gridCol w:w="657"/>
      </w:tblGrid>
      <w:tr w:rsidR="007E7383" w:rsidRPr="00752B36" w14:paraId="47434A9B" w14:textId="77777777">
        <w:trPr>
          <w:trHeight w:val="600"/>
        </w:trPr>
        <w:tc>
          <w:tcPr>
            <w:tcW w:w="1476" w:type="dxa"/>
            <w:tcBorders>
              <w:top w:val="nil"/>
              <w:left w:val="nil"/>
              <w:bottom w:val="nil"/>
              <w:right w:val="nil"/>
            </w:tcBorders>
            <w:shd w:val="clear" w:color="000000" w:fill="CC0000"/>
            <w:noWrap/>
            <w:vAlign w:val="center"/>
            <w:hideMark/>
          </w:tcPr>
          <w:p w14:paraId="02FE5981" w14:textId="68BD17F9" w:rsidR="007E7383" w:rsidRPr="00752B36" w:rsidRDefault="007E7383">
            <w:pPr>
              <w:spacing w:line="240" w:lineRule="auto"/>
              <w:jc w:val="lef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MTFP</w:t>
            </w:r>
          </w:p>
        </w:tc>
        <w:tc>
          <w:tcPr>
            <w:tcW w:w="656" w:type="dxa"/>
            <w:tcBorders>
              <w:top w:val="nil"/>
              <w:left w:val="nil"/>
              <w:bottom w:val="nil"/>
              <w:right w:val="nil"/>
            </w:tcBorders>
            <w:shd w:val="clear" w:color="000000" w:fill="CC0000"/>
            <w:vAlign w:val="center"/>
            <w:hideMark/>
          </w:tcPr>
          <w:p w14:paraId="72BC67E7" w14:textId="77777777" w:rsidR="007E7383" w:rsidRPr="00752B36" w:rsidRDefault="007E7383">
            <w:pPr>
              <w:spacing w:line="240" w:lineRule="auto"/>
              <w:jc w:val="center"/>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25/26</w:t>
            </w:r>
            <w:r w:rsidRPr="00752B36">
              <w:rPr>
                <w:rFonts w:ascii="Calibri" w:eastAsia="Times New Roman" w:hAnsi="Calibri" w:cs="Calibri"/>
                <w:b/>
                <w:bCs/>
                <w:color w:val="FFFFFF"/>
                <w:sz w:val="16"/>
                <w:szCs w:val="16"/>
                <w:lang w:eastAsia="en-GB"/>
              </w:rPr>
              <w:br/>
              <w:t>£m</w:t>
            </w:r>
          </w:p>
        </w:tc>
        <w:tc>
          <w:tcPr>
            <w:tcW w:w="657" w:type="dxa"/>
            <w:tcBorders>
              <w:top w:val="nil"/>
              <w:left w:val="nil"/>
              <w:bottom w:val="nil"/>
              <w:right w:val="nil"/>
            </w:tcBorders>
            <w:shd w:val="clear" w:color="000000" w:fill="CC0000"/>
            <w:vAlign w:val="center"/>
            <w:hideMark/>
          </w:tcPr>
          <w:p w14:paraId="40EAF20C" w14:textId="77777777" w:rsidR="007E7383" w:rsidRPr="00752B36" w:rsidRDefault="007E7383">
            <w:pPr>
              <w:spacing w:line="240" w:lineRule="auto"/>
              <w:jc w:val="center"/>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26/27</w:t>
            </w:r>
            <w:r w:rsidRPr="00752B36">
              <w:rPr>
                <w:rFonts w:ascii="Calibri" w:eastAsia="Times New Roman" w:hAnsi="Calibri" w:cs="Calibri"/>
                <w:b/>
                <w:bCs/>
                <w:color w:val="FFFFFF"/>
                <w:sz w:val="16"/>
                <w:szCs w:val="16"/>
                <w:lang w:eastAsia="en-GB"/>
              </w:rPr>
              <w:br/>
              <w:t>£m</w:t>
            </w:r>
          </w:p>
        </w:tc>
        <w:tc>
          <w:tcPr>
            <w:tcW w:w="657" w:type="dxa"/>
            <w:tcBorders>
              <w:top w:val="nil"/>
              <w:left w:val="nil"/>
              <w:bottom w:val="nil"/>
              <w:right w:val="nil"/>
            </w:tcBorders>
            <w:shd w:val="clear" w:color="000000" w:fill="CC0000"/>
            <w:vAlign w:val="center"/>
            <w:hideMark/>
          </w:tcPr>
          <w:p w14:paraId="10547AC6" w14:textId="77777777" w:rsidR="007E7383" w:rsidRPr="00752B36" w:rsidRDefault="007E7383">
            <w:pPr>
              <w:spacing w:line="240" w:lineRule="auto"/>
              <w:jc w:val="center"/>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27/28</w:t>
            </w:r>
            <w:r w:rsidRPr="00752B36">
              <w:rPr>
                <w:rFonts w:ascii="Calibri" w:eastAsia="Times New Roman" w:hAnsi="Calibri" w:cs="Calibri"/>
                <w:b/>
                <w:bCs/>
                <w:color w:val="FFFFFF"/>
                <w:sz w:val="16"/>
                <w:szCs w:val="16"/>
                <w:lang w:eastAsia="en-GB"/>
              </w:rPr>
              <w:br/>
              <w:t>£m</w:t>
            </w:r>
          </w:p>
        </w:tc>
        <w:tc>
          <w:tcPr>
            <w:tcW w:w="657" w:type="dxa"/>
            <w:tcBorders>
              <w:top w:val="nil"/>
              <w:left w:val="nil"/>
              <w:bottom w:val="nil"/>
              <w:right w:val="nil"/>
            </w:tcBorders>
            <w:shd w:val="clear" w:color="000000" w:fill="CC0000"/>
            <w:vAlign w:val="center"/>
            <w:hideMark/>
          </w:tcPr>
          <w:p w14:paraId="13F6AB30" w14:textId="77777777" w:rsidR="007E7383" w:rsidRPr="00752B36" w:rsidRDefault="007E7383">
            <w:pPr>
              <w:spacing w:line="240" w:lineRule="auto"/>
              <w:jc w:val="center"/>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28/29</w:t>
            </w:r>
            <w:r w:rsidRPr="00752B36">
              <w:rPr>
                <w:rFonts w:ascii="Calibri" w:eastAsia="Times New Roman" w:hAnsi="Calibri" w:cs="Calibri"/>
                <w:b/>
                <w:bCs/>
                <w:color w:val="FFFFFF"/>
                <w:sz w:val="16"/>
                <w:szCs w:val="16"/>
                <w:lang w:eastAsia="en-GB"/>
              </w:rPr>
              <w:br/>
              <w:t>£m</w:t>
            </w:r>
          </w:p>
        </w:tc>
        <w:tc>
          <w:tcPr>
            <w:tcW w:w="657" w:type="dxa"/>
            <w:tcBorders>
              <w:top w:val="nil"/>
              <w:left w:val="nil"/>
              <w:bottom w:val="nil"/>
              <w:right w:val="nil"/>
            </w:tcBorders>
            <w:shd w:val="clear" w:color="000000" w:fill="CC0000"/>
            <w:vAlign w:val="center"/>
            <w:hideMark/>
          </w:tcPr>
          <w:p w14:paraId="79121F2F" w14:textId="77777777" w:rsidR="007E7383" w:rsidRPr="00752B36" w:rsidRDefault="007E7383">
            <w:pPr>
              <w:spacing w:line="240" w:lineRule="auto"/>
              <w:jc w:val="center"/>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29/30</w:t>
            </w:r>
            <w:r w:rsidRPr="00752B36">
              <w:rPr>
                <w:rFonts w:ascii="Calibri" w:eastAsia="Times New Roman" w:hAnsi="Calibri" w:cs="Calibri"/>
                <w:b/>
                <w:bCs/>
                <w:color w:val="FFFFFF"/>
                <w:sz w:val="16"/>
                <w:szCs w:val="16"/>
                <w:lang w:eastAsia="en-GB"/>
              </w:rPr>
              <w:br/>
              <w:t>£m</w:t>
            </w:r>
          </w:p>
        </w:tc>
      </w:tr>
      <w:tr w:rsidR="007E7383" w:rsidRPr="00752B36" w14:paraId="1F88980C" w14:textId="77777777">
        <w:trPr>
          <w:trHeight w:val="330"/>
        </w:trPr>
        <w:tc>
          <w:tcPr>
            <w:tcW w:w="1476" w:type="dxa"/>
            <w:tcBorders>
              <w:top w:val="nil"/>
              <w:left w:val="nil"/>
              <w:bottom w:val="nil"/>
              <w:right w:val="nil"/>
            </w:tcBorders>
            <w:shd w:val="clear" w:color="000000" w:fill="FFFFFF"/>
            <w:noWrap/>
            <w:vAlign w:val="center"/>
            <w:hideMark/>
          </w:tcPr>
          <w:p w14:paraId="7B91F1F3"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Expenditure</w:t>
            </w:r>
          </w:p>
        </w:tc>
        <w:tc>
          <w:tcPr>
            <w:tcW w:w="656" w:type="dxa"/>
            <w:tcBorders>
              <w:top w:val="nil"/>
              <w:left w:val="nil"/>
              <w:bottom w:val="nil"/>
              <w:right w:val="nil"/>
            </w:tcBorders>
            <w:shd w:val="clear" w:color="000000" w:fill="FFFFFF"/>
            <w:noWrap/>
            <w:vAlign w:val="center"/>
            <w:hideMark/>
          </w:tcPr>
          <w:p w14:paraId="28FBE8B8"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35.4</w:t>
            </w:r>
          </w:p>
        </w:tc>
        <w:tc>
          <w:tcPr>
            <w:tcW w:w="657" w:type="dxa"/>
            <w:tcBorders>
              <w:top w:val="nil"/>
              <w:left w:val="nil"/>
              <w:bottom w:val="nil"/>
              <w:right w:val="nil"/>
            </w:tcBorders>
            <w:shd w:val="clear" w:color="000000" w:fill="FFFFFF"/>
            <w:noWrap/>
            <w:vAlign w:val="center"/>
            <w:hideMark/>
          </w:tcPr>
          <w:p w14:paraId="631BB4FB"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37.3</w:t>
            </w:r>
          </w:p>
        </w:tc>
        <w:tc>
          <w:tcPr>
            <w:tcW w:w="657" w:type="dxa"/>
            <w:tcBorders>
              <w:top w:val="nil"/>
              <w:left w:val="nil"/>
              <w:bottom w:val="nil"/>
              <w:right w:val="nil"/>
            </w:tcBorders>
            <w:shd w:val="clear" w:color="000000" w:fill="FFFFFF"/>
            <w:noWrap/>
            <w:vAlign w:val="center"/>
            <w:hideMark/>
          </w:tcPr>
          <w:p w14:paraId="38FAEEBB"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39.5</w:t>
            </w:r>
          </w:p>
        </w:tc>
        <w:tc>
          <w:tcPr>
            <w:tcW w:w="657" w:type="dxa"/>
            <w:tcBorders>
              <w:top w:val="nil"/>
              <w:left w:val="nil"/>
              <w:bottom w:val="nil"/>
              <w:right w:val="nil"/>
            </w:tcBorders>
            <w:shd w:val="clear" w:color="000000" w:fill="FFFFFF"/>
            <w:noWrap/>
            <w:vAlign w:val="center"/>
            <w:hideMark/>
          </w:tcPr>
          <w:p w14:paraId="0DA544D8"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41.1</w:t>
            </w:r>
          </w:p>
        </w:tc>
        <w:tc>
          <w:tcPr>
            <w:tcW w:w="657" w:type="dxa"/>
            <w:tcBorders>
              <w:top w:val="nil"/>
              <w:left w:val="nil"/>
              <w:bottom w:val="nil"/>
              <w:right w:val="nil"/>
            </w:tcBorders>
            <w:shd w:val="clear" w:color="000000" w:fill="FFFFFF"/>
            <w:noWrap/>
            <w:vAlign w:val="center"/>
            <w:hideMark/>
          </w:tcPr>
          <w:p w14:paraId="184EBBD5"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41.8</w:t>
            </w:r>
          </w:p>
        </w:tc>
      </w:tr>
      <w:tr w:rsidR="007E7383" w:rsidRPr="00752B36" w14:paraId="74BE42E9" w14:textId="77777777">
        <w:trPr>
          <w:trHeight w:val="315"/>
        </w:trPr>
        <w:tc>
          <w:tcPr>
            <w:tcW w:w="1476" w:type="dxa"/>
            <w:tcBorders>
              <w:top w:val="nil"/>
              <w:left w:val="nil"/>
              <w:bottom w:val="nil"/>
              <w:right w:val="nil"/>
            </w:tcBorders>
            <w:shd w:val="clear" w:color="000000" w:fill="FFFFFF"/>
            <w:noWrap/>
            <w:vAlign w:val="center"/>
            <w:hideMark/>
          </w:tcPr>
          <w:p w14:paraId="563DCAA4"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Savings Plans</w:t>
            </w:r>
          </w:p>
        </w:tc>
        <w:tc>
          <w:tcPr>
            <w:tcW w:w="656" w:type="dxa"/>
            <w:tcBorders>
              <w:top w:val="nil"/>
              <w:left w:val="nil"/>
              <w:bottom w:val="nil"/>
              <w:right w:val="nil"/>
            </w:tcBorders>
            <w:shd w:val="clear" w:color="000000" w:fill="FFFFFF"/>
            <w:noWrap/>
            <w:vAlign w:val="center"/>
            <w:hideMark/>
          </w:tcPr>
          <w:p w14:paraId="1B93DDF5"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(1.7)</w:t>
            </w:r>
          </w:p>
        </w:tc>
        <w:tc>
          <w:tcPr>
            <w:tcW w:w="657" w:type="dxa"/>
            <w:tcBorders>
              <w:top w:val="nil"/>
              <w:left w:val="nil"/>
              <w:bottom w:val="nil"/>
              <w:right w:val="nil"/>
            </w:tcBorders>
            <w:shd w:val="clear" w:color="000000" w:fill="FFFFFF"/>
            <w:noWrap/>
            <w:vAlign w:val="center"/>
            <w:hideMark/>
          </w:tcPr>
          <w:p w14:paraId="12B6B475"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(1.1)</w:t>
            </w:r>
          </w:p>
        </w:tc>
        <w:tc>
          <w:tcPr>
            <w:tcW w:w="657" w:type="dxa"/>
            <w:tcBorders>
              <w:top w:val="nil"/>
              <w:left w:val="nil"/>
              <w:bottom w:val="nil"/>
              <w:right w:val="nil"/>
            </w:tcBorders>
            <w:shd w:val="clear" w:color="000000" w:fill="FFFFFF"/>
            <w:noWrap/>
            <w:vAlign w:val="center"/>
            <w:hideMark/>
          </w:tcPr>
          <w:p w14:paraId="0635A5AE"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(1.5)</w:t>
            </w:r>
          </w:p>
        </w:tc>
        <w:tc>
          <w:tcPr>
            <w:tcW w:w="657" w:type="dxa"/>
            <w:tcBorders>
              <w:top w:val="nil"/>
              <w:left w:val="nil"/>
              <w:bottom w:val="nil"/>
              <w:right w:val="nil"/>
            </w:tcBorders>
            <w:shd w:val="clear" w:color="000000" w:fill="FFFFFF"/>
            <w:noWrap/>
            <w:vAlign w:val="center"/>
            <w:hideMark/>
          </w:tcPr>
          <w:p w14:paraId="5321A807"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(1.8)</w:t>
            </w:r>
          </w:p>
        </w:tc>
        <w:tc>
          <w:tcPr>
            <w:tcW w:w="657" w:type="dxa"/>
            <w:tcBorders>
              <w:top w:val="nil"/>
              <w:left w:val="nil"/>
              <w:bottom w:val="nil"/>
              <w:right w:val="nil"/>
            </w:tcBorders>
            <w:shd w:val="clear" w:color="000000" w:fill="FFFFFF"/>
            <w:noWrap/>
            <w:vAlign w:val="center"/>
            <w:hideMark/>
          </w:tcPr>
          <w:p w14:paraId="4D37E7A3"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(2.2)</w:t>
            </w:r>
          </w:p>
        </w:tc>
      </w:tr>
      <w:tr w:rsidR="007E7383" w:rsidRPr="00752B36" w14:paraId="2BC27991" w14:textId="77777777">
        <w:trPr>
          <w:trHeight w:val="315"/>
        </w:trPr>
        <w:tc>
          <w:tcPr>
            <w:tcW w:w="1476" w:type="dxa"/>
            <w:tcBorders>
              <w:top w:val="nil"/>
              <w:left w:val="nil"/>
              <w:bottom w:val="nil"/>
              <w:right w:val="nil"/>
            </w:tcBorders>
            <w:shd w:val="clear" w:color="000000" w:fill="FFFFFF"/>
            <w:noWrap/>
            <w:vAlign w:val="center"/>
            <w:hideMark/>
          </w:tcPr>
          <w:p w14:paraId="4219D7A9" w14:textId="77777777" w:rsidR="007E7383" w:rsidRPr="00752B36" w:rsidRDefault="007E7383">
            <w:pPr>
              <w:spacing w:line="240" w:lineRule="auto"/>
              <w:jc w:val="lef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 </w:t>
            </w:r>
          </w:p>
        </w:tc>
        <w:tc>
          <w:tcPr>
            <w:tcW w:w="656" w:type="dxa"/>
            <w:tcBorders>
              <w:top w:val="single" w:sz="4" w:space="0" w:color="auto"/>
              <w:left w:val="nil"/>
              <w:bottom w:val="nil"/>
              <w:right w:val="nil"/>
            </w:tcBorders>
            <w:shd w:val="clear" w:color="000000" w:fill="FFFFFF"/>
            <w:noWrap/>
            <w:vAlign w:val="center"/>
            <w:hideMark/>
          </w:tcPr>
          <w:p w14:paraId="74734156" w14:textId="77777777" w:rsidR="007E7383" w:rsidRPr="00752B36" w:rsidRDefault="007E7383">
            <w:pPr>
              <w:spacing w:line="240" w:lineRule="auto"/>
              <w:jc w:val="righ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33.7</w:t>
            </w:r>
          </w:p>
        </w:tc>
        <w:tc>
          <w:tcPr>
            <w:tcW w:w="657" w:type="dxa"/>
            <w:tcBorders>
              <w:top w:val="single" w:sz="4" w:space="0" w:color="auto"/>
              <w:left w:val="nil"/>
              <w:bottom w:val="nil"/>
              <w:right w:val="nil"/>
            </w:tcBorders>
            <w:shd w:val="clear" w:color="000000" w:fill="FFFFFF"/>
            <w:noWrap/>
            <w:vAlign w:val="center"/>
            <w:hideMark/>
          </w:tcPr>
          <w:p w14:paraId="049E835F" w14:textId="77777777" w:rsidR="007E7383" w:rsidRPr="00752B36" w:rsidRDefault="007E7383">
            <w:pPr>
              <w:spacing w:line="240" w:lineRule="auto"/>
              <w:jc w:val="righ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36.2</w:t>
            </w:r>
          </w:p>
        </w:tc>
        <w:tc>
          <w:tcPr>
            <w:tcW w:w="657" w:type="dxa"/>
            <w:tcBorders>
              <w:top w:val="single" w:sz="4" w:space="0" w:color="auto"/>
              <w:left w:val="nil"/>
              <w:bottom w:val="nil"/>
              <w:right w:val="nil"/>
            </w:tcBorders>
            <w:shd w:val="clear" w:color="000000" w:fill="FFFFFF"/>
            <w:noWrap/>
            <w:vAlign w:val="center"/>
            <w:hideMark/>
          </w:tcPr>
          <w:p w14:paraId="50228231" w14:textId="77777777" w:rsidR="007E7383" w:rsidRPr="00752B36" w:rsidRDefault="007E7383">
            <w:pPr>
              <w:spacing w:line="240" w:lineRule="auto"/>
              <w:jc w:val="righ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38.1</w:t>
            </w:r>
          </w:p>
        </w:tc>
        <w:tc>
          <w:tcPr>
            <w:tcW w:w="657" w:type="dxa"/>
            <w:tcBorders>
              <w:top w:val="single" w:sz="4" w:space="0" w:color="auto"/>
              <w:left w:val="nil"/>
              <w:bottom w:val="nil"/>
              <w:right w:val="nil"/>
            </w:tcBorders>
            <w:shd w:val="clear" w:color="000000" w:fill="FFFFFF"/>
            <w:noWrap/>
            <w:vAlign w:val="center"/>
            <w:hideMark/>
          </w:tcPr>
          <w:p w14:paraId="56E971DC" w14:textId="77777777" w:rsidR="007E7383" w:rsidRPr="00752B36" w:rsidRDefault="007E7383">
            <w:pPr>
              <w:spacing w:line="240" w:lineRule="auto"/>
              <w:jc w:val="righ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39.3</w:t>
            </w:r>
          </w:p>
        </w:tc>
        <w:tc>
          <w:tcPr>
            <w:tcW w:w="657" w:type="dxa"/>
            <w:tcBorders>
              <w:top w:val="single" w:sz="4" w:space="0" w:color="auto"/>
              <w:left w:val="nil"/>
              <w:bottom w:val="nil"/>
              <w:right w:val="nil"/>
            </w:tcBorders>
            <w:shd w:val="clear" w:color="000000" w:fill="FFFFFF"/>
            <w:noWrap/>
            <w:vAlign w:val="center"/>
            <w:hideMark/>
          </w:tcPr>
          <w:p w14:paraId="54C1D984" w14:textId="77777777" w:rsidR="007E7383" w:rsidRPr="00752B36" w:rsidRDefault="007E7383">
            <w:pPr>
              <w:spacing w:line="240" w:lineRule="auto"/>
              <w:jc w:val="right"/>
              <w:rPr>
                <w:rFonts w:ascii="Calibri" w:eastAsia="Times New Roman" w:hAnsi="Calibri" w:cs="Calibri"/>
                <w:b/>
                <w:bCs/>
                <w:color w:val="000000"/>
                <w:sz w:val="16"/>
                <w:szCs w:val="16"/>
                <w:lang w:eastAsia="en-GB"/>
              </w:rPr>
            </w:pPr>
            <w:r w:rsidRPr="00752B36">
              <w:rPr>
                <w:rFonts w:ascii="Calibri" w:eastAsia="Times New Roman" w:hAnsi="Calibri" w:cs="Calibri"/>
                <w:b/>
                <w:bCs/>
                <w:color w:val="000000"/>
                <w:sz w:val="16"/>
                <w:szCs w:val="16"/>
                <w:lang w:eastAsia="en-GB"/>
              </w:rPr>
              <w:t>39.6</w:t>
            </w:r>
          </w:p>
        </w:tc>
      </w:tr>
      <w:tr w:rsidR="007E7383" w:rsidRPr="00752B36" w14:paraId="35508F5D" w14:textId="77777777">
        <w:trPr>
          <w:trHeight w:val="315"/>
        </w:trPr>
        <w:tc>
          <w:tcPr>
            <w:tcW w:w="1476" w:type="dxa"/>
            <w:tcBorders>
              <w:top w:val="nil"/>
              <w:left w:val="nil"/>
              <w:bottom w:val="nil"/>
              <w:right w:val="nil"/>
            </w:tcBorders>
            <w:shd w:val="clear" w:color="000000" w:fill="FFFFFF"/>
            <w:noWrap/>
            <w:vAlign w:val="center"/>
            <w:hideMark/>
          </w:tcPr>
          <w:p w14:paraId="5EBE76A2"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c>
          <w:tcPr>
            <w:tcW w:w="656" w:type="dxa"/>
            <w:tcBorders>
              <w:top w:val="nil"/>
              <w:left w:val="nil"/>
              <w:bottom w:val="nil"/>
              <w:right w:val="nil"/>
            </w:tcBorders>
            <w:shd w:val="clear" w:color="000000" w:fill="FFFFFF"/>
            <w:noWrap/>
            <w:vAlign w:val="center"/>
            <w:hideMark/>
          </w:tcPr>
          <w:p w14:paraId="4BD9FF37"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c>
          <w:tcPr>
            <w:tcW w:w="657" w:type="dxa"/>
            <w:tcBorders>
              <w:top w:val="nil"/>
              <w:left w:val="nil"/>
              <w:bottom w:val="nil"/>
              <w:right w:val="nil"/>
            </w:tcBorders>
            <w:shd w:val="clear" w:color="000000" w:fill="FFFFFF"/>
            <w:noWrap/>
            <w:vAlign w:val="center"/>
            <w:hideMark/>
          </w:tcPr>
          <w:p w14:paraId="0520BD12"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c>
          <w:tcPr>
            <w:tcW w:w="657" w:type="dxa"/>
            <w:tcBorders>
              <w:top w:val="nil"/>
              <w:left w:val="nil"/>
              <w:bottom w:val="nil"/>
              <w:right w:val="nil"/>
            </w:tcBorders>
            <w:shd w:val="clear" w:color="000000" w:fill="FFFFFF"/>
            <w:noWrap/>
            <w:vAlign w:val="center"/>
            <w:hideMark/>
          </w:tcPr>
          <w:p w14:paraId="54021815"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c>
          <w:tcPr>
            <w:tcW w:w="657" w:type="dxa"/>
            <w:tcBorders>
              <w:top w:val="nil"/>
              <w:left w:val="nil"/>
              <w:bottom w:val="nil"/>
              <w:right w:val="nil"/>
            </w:tcBorders>
            <w:shd w:val="clear" w:color="000000" w:fill="FFFFFF"/>
            <w:noWrap/>
            <w:vAlign w:val="center"/>
            <w:hideMark/>
          </w:tcPr>
          <w:p w14:paraId="6F62AE79"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c>
          <w:tcPr>
            <w:tcW w:w="657" w:type="dxa"/>
            <w:tcBorders>
              <w:top w:val="nil"/>
              <w:left w:val="nil"/>
              <w:bottom w:val="nil"/>
              <w:right w:val="nil"/>
            </w:tcBorders>
            <w:shd w:val="clear" w:color="000000" w:fill="FFFFFF"/>
            <w:noWrap/>
            <w:vAlign w:val="center"/>
            <w:hideMark/>
          </w:tcPr>
          <w:p w14:paraId="37CC57C9"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 </w:t>
            </w:r>
          </w:p>
        </w:tc>
      </w:tr>
      <w:tr w:rsidR="007E7383" w:rsidRPr="00752B36" w14:paraId="336DD2A4" w14:textId="77777777">
        <w:trPr>
          <w:trHeight w:val="315"/>
        </w:trPr>
        <w:tc>
          <w:tcPr>
            <w:tcW w:w="1476" w:type="dxa"/>
            <w:tcBorders>
              <w:top w:val="nil"/>
              <w:left w:val="nil"/>
              <w:bottom w:val="nil"/>
              <w:right w:val="nil"/>
            </w:tcBorders>
            <w:shd w:val="clear" w:color="000000" w:fill="FFFFFF"/>
            <w:noWrap/>
            <w:vAlign w:val="center"/>
            <w:hideMark/>
          </w:tcPr>
          <w:p w14:paraId="6E98B85A" w14:textId="77777777" w:rsidR="007E7383" w:rsidRPr="00752B36" w:rsidRDefault="007E7383">
            <w:pPr>
              <w:spacing w:line="240" w:lineRule="auto"/>
              <w:jc w:val="lef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Funding</w:t>
            </w:r>
          </w:p>
        </w:tc>
        <w:tc>
          <w:tcPr>
            <w:tcW w:w="656" w:type="dxa"/>
            <w:tcBorders>
              <w:top w:val="nil"/>
              <w:left w:val="nil"/>
              <w:bottom w:val="nil"/>
              <w:right w:val="nil"/>
            </w:tcBorders>
            <w:shd w:val="clear" w:color="000000" w:fill="FFFFFF"/>
            <w:noWrap/>
            <w:vAlign w:val="center"/>
            <w:hideMark/>
          </w:tcPr>
          <w:p w14:paraId="73E53F2A"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(33.7)</w:t>
            </w:r>
          </w:p>
        </w:tc>
        <w:tc>
          <w:tcPr>
            <w:tcW w:w="657" w:type="dxa"/>
            <w:tcBorders>
              <w:top w:val="nil"/>
              <w:left w:val="nil"/>
              <w:bottom w:val="nil"/>
              <w:right w:val="nil"/>
            </w:tcBorders>
            <w:shd w:val="clear" w:color="000000" w:fill="FFFFFF"/>
            <w:noWrap/>
            <w:vAlign w:val="center"/>
            <w:hideMark/>
          </w:tcPr>
          <w:p w14:paraId="3CB532CE"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(34.7)</w:t>
            </w:r>
          </w:p>
        </w:tc>
        <w:tc>
          <w:tcPr>
            <w:tcW w:w="657" w:type="dxa"/>
            <w:tcBorders>
              <w:top w:val="nil"/>
              <w:left w:val="nil"/>
              <w:bottom w:val="nil"/>
              <w:right w:val="nil"/>
            </w:tcBorders>
            <w:shd w:val="clear" w:color="000000" w:fill="FFFFFF"/>
            <w:noWrap/>
            <w:vAlign w:val="center"/>
            <w:hideMark/>
          </w:tcPr>
          <w:p w14:paraId="0E6AEF1E"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(35.8)</w:t>
            </w:r>
          </w:p>
        </w:tc>
        <w:tc>
          <w:tcPr>
            <w:tcW w:w="657" w:type="dxa"/>
            <w:tcBorders>
              <w:top w:val="nil"/>
              <w:left w:val="nil"/>
              <w:bottom w:val="nil"/>
              <w:right w:val="nil"/>
            </w:tcBorders>
            <w:shd w:val="clear" w:color="000000" w:fill="FFFFFF"/>
            <w:noWrap/>
            <w:vAlign w:val="center"/>
            <w:hideMark/>
          </w:tcPr>
          <w:p w14:paraId="3764030D"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(37.0)</w:t>
            </w:r>
          </w:p>
        </w:tc>
        <w:tc>
          <w:tcPr>
            <w:tcW w:w="657" w:type="dxa"/>
            <w:tcBorders>
              <w:top w:val="nil"/>
              <w:left w:val="nil"/>
              <w:bottom w:val="nil"/>
              <w:right w:val="nil"/>
            </w:tcBorders>
            <w:shd w:val="clear" w:color="000000" w:fill="FFFFFF"/>
            <w:noWrap/>
            <w:vAlign w:val="center"/>
            <w:hideMark/>
          </w:tcPr>
          <w:p w14:paraId="12D5E98F" w14:textId="77777777" w:rsidR="007E7383" w:rsidRPr="00752B36" w:rsidRDefault="007E7383">
            <w:pPr>
              <w:spacing w:line="240" w:lineRule="auto"/>
              <w:jc w:val="right"/>
              <w:rPr>
                <w:rFonts w:ascii="Calibri" w:eastAsia="Times New Roman" w:hAnsi="Calibri" w:cs="Calibri"/>
                <w:color w:val="000000"/>
                <w:sz w:val="16"/>
                <w:szCs w:val="16"/>
                <w:lang w:eastAsia="en-GB"/>
              </w:rPr>
            </w:pPr>
            <w:r w:rsidRPr="00752B36">
              <w:rPr>
                <w:rFonts w:ascii="Calibri" w:eastAsia="Times New Roman" w:hAnsi="Calibri" w:cs="Calibri"/>
                <w:color w:val="000000"/>
                <w:sz w:val="16"/>
                <w:szCs w:val="16"/>
                <w:lang w:eastAsia="en-GB"/>
              </w:rPr>
              <w:t>(38.2)</w:t>
            </w:r>
          </w:p>
        </w:tc>
      </w:tr>
      <w:tr w:rsidR="007E7383" w:rsidRPr="00752B36" w14:paraId="68A831D0" w14:textId="77777777">
        <w:trPr>
          <w:trHeight w:val="315"/>
        </w:trPr>
        <w:tc>
          <w:tcPr>
            <w:tcW w:w="1476" w:type="dxa"/>
            <w:tcBorders>
              <w:top w:val="nil"/>
              <w:left w:val="nil"/>
              <w:bottom w:val="nil"/>
              <w:right w:val="nil"/>
            </w:tcBorders>
            <w:shd w:val="clear" w:color="000000" w:fill="CC0000"/>
            <w:noWrap/>
            <w:vAlign w:val="center"/>
            <w:hideMark/>
          </w:tcPr>
          <w:p w14:paraId="1736A031" w14:textId="77777777" w:rsidR="007E7383" w:rsidRPr="00752B36" w:rsidRDefault="007E7383">
            <w:pPr>
              <w:spacing w:line="240" w:lineRule="auto"/>
              <w:jc w:val="lef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Shortfall</w:t>
            </w:r>
          </w:p>
        </w:tc>
        <w:tc>
          <w:tcPr>
            <w:tcW w:w="656" w:type="dxa"/>
            <w:tcBorders>
              <w:top w:val="nil"/>
              <w:left w:val="nil"/>
              <w:bottom w:val="nil"/>
              <w:right w:val="nil"/>
            </w:tcBorders>
            <w:shd w:val="clear" w:color="000000" w:fill="CC0000"/>
            <w:noWrap/>
            <w:vAlign w:val="center"/>
            <w:hideMark/>
          </w:tcPr>
          <w:p w14:paraId="25AC3DA3" w14:textId="77777777" w:rsidR="007E7383" w:rsidRPr="00752B36" w:rsidRDefault="007E7383">
            <w:pPr>
              <w:spacing w:line="240" w:lineRule="auto"/>
              <w:jc w:val="righ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w:t>
            </w:r>
          </w:p>
        </w:tc>
        <w:tc>
          <w:tcPr>
            <w:tcW w:w="657" w:type="dxa"/>
            <w:tcBorders>
              <w:top w:val="nil"/>
              <w:left w:val="nil"/>
              <w:bottom w:val="nil"/>
              <w:right w:val="nil"/>
            </w:tcBorders>
            <w:shd w:val="clear" w:color="000000" w:fill="CC0000"/>
            <w:noWrap/>
            <w:vAlign w:val="center"/>
            <w:hideMark/>
          </w:tcPr>
          <w:p w14:paraId="5BC554C7" w14:textId="77777777" w:rsidR="007E7383" w:rsidRPr="00752B36" w:rsidRDefault="007E7383">
            <w:pPr>
              <w:spacing w:line="240" w:lineRule="auto"/>
              <w:jc w:val="righ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1.5</w:t>
            </w:r>
          </w:p>
        </w:tc>
        <w:tc>
          <w:tcPr>
            <w:tcW w:w="657" w:type="dxa"/>
            <w:tcBorders>
              <w:top w:val="nil"/>
              <w:left w:val="nil"/>
              <w:bottom w:val="nil"/>
              <w:right w:val="nil"/>
            </w:tcBorders>
            <w:shd w:val="clear" w:color="000000" w:fill="CC0000"/>
            <w:noWrap/>
            <w:vAlign w:val="center"/>
            <w:hideMark/>
          </w:tcPr>
          <w:p w14:paraId="3C5249D5" w14:textId="77777777" w:rsidR="007E7383" w:rsidRPr="00752B36" w:rsidRDefault="007E7383">
            <w:pPr>
              <w:spacing w:line="240" w:lineRule="auto"/>
              <w:jc w:val="righ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2.2</w:t>
            </w:r>
          </w:p>
        </w:tc>
        <w:tc>
          <w:tcPr>
            <w:tcW w:w="657" w:type="dxa"/>
            <w:tcBorders>
              <w:top w:val="nil"/>
              <w:left w:val="nil"/>
              <w:bottom w:val="nil"/>
              <w:right w:val="nil"/>
            </w:tcBorders>
            <w:shd w:val="clear" w:color="000000" w:fill="CC0000"/>
            <w:noWrap/>
            <w:vAlign w:val="center"/>
            <w:hideMark/>
          </w:tcPr>
          <w:p w14:paraId="3BE74DAA" w14:textId="77777777" w:rsidR="007E7383" w:rsidRPr="00752B36" w:rsidRDefault="007E7383">
            <w:pPr>
              <w:spacing w:line="240" w:lineRule="auto"/>
              <w:jc w:val="righ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2.3</w:t>
            </w:r>
          </w:p>
        </w:tc>
        <w:tc>
          <w:tcPr>
            <w:tcW w:w="657" w:type="dxa"/>
            <w:tcBorders>
              <w:top w:val="nil"/>
              <w:left w:val="nil"/>
              <w:bottom w:val="nil"/>
              <w:right w:val="nil"/>
            </w:tcBorders>
            <w:shd w:val="clear" w:color="000000" w:fill="CC0000"/>
            <w:noWrap/>
            <w:vAlign w:val="center"/>
            <w:hideMark/>
          </w:tcPr>
          <w:p w14:paraId="339B5211" w14:textId="77777777" w:rsidR="007E7383" w:rsidRPr="00752B36" w:rsidRDefault="007E7383">
            <w:pPr>
              <w:spacing w:line="240" w:lineRule="auto"/>
              <w:jc w:val="right"/>
              <w:rPr>
                <w:rFonts w:ascii="Calibri" w:eastAsia="Times New Roman" w:hAnsi="Calibri" w:cs="Calibri"/>
                <w:b/>
                <w:bCs/>
                <w:color w:val="FFFFFF"/>
                <w:sz w:val="16"/>
                <w:szCs w:val="16"/>
                <w:lang w:eastAsia="en-GB"/>
              </w:rPr>
            </w:pPr>
            <w:r w:rsidRPr="00752B36">
              <w:rPr>
                <w:rFonts w:ascii="Calibri" w:eastAsia="Times New Roman" w:hAnsi="Calibri" w:cs="Calibri"/>
                <w:b/>
                <w:bCs/>
                <w:color w:val="FFFFFF"/>
                <w:sz w:val="16"/>
                <w:szCs w:val="16"/>
                <w:lang w:eastAsia="en-GB"/>
              </w:rPr>
              <w:t>1.4</w:t>
            </w:r>
          </w:p>
        </w:tc>
      </w:tr>
    </w:tbl>
    <w:p w14:paraId="178BD806" w14:textId="77777777" w:rsidR="007E7383" w:rsidRDefault="007E7383" w:rsidP="007E7383"/>
    <w:p w14:paraId="596CD08B" w14:textId="77777777" w:rsidR="007E7383" w:rsidRDefault="007E7383" w:rsidP="002A1ADD">
      <w:pPr>
        <w:pStyle w:val="VAHeadingLevel2"/>
      </w:pPr>
      <w:r>
        <w:t>Collaboration</w:t>
      </w:r>
    </w:p>
    <w:p w14:paraId="3E894ED2" w14:textId="77777777" w:rsidR="007E7383" w:rsidRDefault="007E7383" w:rsidP="007E7383">
      <w:r w:rsidRPr="00C00FEC">
        <w:t>The Fire budget and precept continues in taking forward the statutory duty to collaborate for the three emergency services. This means that the services should be actively seeking opportunities to work together to deliver more efficient and effective public services.</w:t>
      </w:r>
    </w:p>
    <w:p w14:paraId="34A19E77" w14:textId="77777777" w:rsidR="007E7383" w:rsidRPr="00C00FEC" w:rsidRDefault="007E7383" w:rsidP="007E7383"/>
    <w:p w14:paraId="3748FC58" w14:textId="2B23A8E3" w:rsidR="007E7383" w:rsidRPr="00C00FEC" w:rsidRDefault="007E7383" w:rsidP="007E7383">
      <w:r w:rsidRPr="00C00FEC">
        <w:t xml:space="preserve">A number </w:t>
      </w:r>
      <w:r w:rsidR="00220725">
        <w:t xml:space="preserve">of </w:t>
      </w:r>
      <w:r w:rsidRPr="00C00FEC">
        <w:t xml:space="preserve">enabling services joint teams have already been established and these, together with interoperability proposals, will provide opportunities for efficiencies and greater integration between </w:t>
      </w:r>
      <w:r w:rsidR="004B471C">
        <w:t>P</w:t>
      </w:r>
      <w:r w:rsidRPr="00C00FEC">
        <w:t xml:space="preserve">olice and </w:t>
      </w:r>
      <w:r w:rsidR="004B471C">
        <w:t>F</w:t>
      </w:r>
      <w:r w:rsidRPr="00C00FEC">
        <w:t xml:space="preserve">ire and </w:t>
      </w:r>
      <w:r w:rsidR="004B471C">
        <w:t>R</w:t>
      </w:r>
      <w:r w:rsidRPr="00C00FEC">
        <w:t xml:space="preserve">escue to realise savings to meet financial challenges, increase capacity and resilience and reinvest where possible in frontline services. </w:t>
      </w:r>
    </w:p>
    <w:p w14:paraId="06058FE4" w14:textId="77777777" w:rsidR="007E7383" w:rsidRPr="00C00FEC" w:rsidRDefault="007E7383" w:rsidP="007E7383"/>
    <w:p w14:paraId="1E6DE217" w14:textId="77777777" w:rsidR="007E7383" w:rsidRDefault="007E7383" w:rsidP="007E7383">
      <w:r w:rsidRPr="00C00FEC">
        <w:t xml:space="preserve">However, with the increase in pay, fuel and utilities inflation, further pressures are anticipated in the medium term. </w:t>
      </w:r>
      <w:r>
        <w:t xml:space="preserve"> </w:t>
      </w:r>
      <w:r w:rsidRPr="00C00FEC">
        <w:t xml:space="preserve">The Medium Term Financial Plan </w:t>
      </w:r>
      <w:r>
        <w:t>is</w:t>
      </w:r>
      <w:r w:rsidRPr="00C00FEC">
        <w:t xml:space="preserve"> regularly updated and where appropriate further savings identified.</w:t>
      </w:r>
    </w:p>
    <w:p w14:paraId="14B1E3FB" w14:textId="77777777" w:rsidR="007E7383" w:rsidRDefault="007E7383" w:rsidP="00743ACA">
      <w:pPr>
        <w:pStyle w:val="VAHeading"/>
      </w:pPr>
      <w:r>
        <w:lastRenderedPageBreak/>
        <w:t>Outlook</w:t>
      </w:r>
    </w:p>
    <w:p w14:paraId="0783D706" w14:textId="77777777" w:rsidR="007E7383" w:rsidRPr="009A05C1" w:rsidRDefault="007E7383" w:rsidP="002A1ADD">
      <w:pPr>
        <w:pStyle w:val="VAHeadingLevel2"/>
      </w:pPr>
      <w:r w:rsidRPr="009A05C1">
        <w:t>Risks and Opportunities</w:t>
      </w:r>
    </w:p>
    <w:p w14:paraId="67DCB58D" w14:textId="77777777" w:rsidR="007E7383" w:rsidRPr="009A05C1" w:rsidRDefault="007E7383" w:rsidP="007E7383">
      <w:r w:rsidRPr="009A05C1">
        <w:t>There are some significant areas of uncertainty which include:</w:t>
      </w:r>
    </w:p>
    <w:p w14:paraId="192DE127" w14:textId="77777777" w:rsidR="007E7383" w:rsidRPr="009A05C1" w:rsidRDefault="007E7383" w:rsidP="007E7383"/>
    <w:p w14:paraId="10236379" w14:textId="77777777" w:rsidR="007E7383" w:rsidRPr="009A05C1" w:rsidRDefault="007E7383" w:rsidP="007E7383">
      <w:pPr>
        <w:pStyle w:val="VAHeadingLevel3"/>
      </w:pPr>
      <w:r w:rsidRPr="009A05C1">
        <w:t>The Comprehensive Spending Review (CSR)</w:t>
      </w:r>
    </w:p>
    <w:p w14:paraId="38ABC551" w14:textId="726E1079" w:rsidR="007E7383" w:rsidRPr="009A05C1" w:rsidRDefault="007E7383" w:rsidP="007E7383">
      <w:r w:rsidRPr="009A05C1">
        <w:t>This is a governmental process carried out by HM Treasury to set firm expenditure limits and, through public service agreements, define the key improvements that the public can expect from these resources.  Following the change in government, only one year funding was announced in Dec 2</w:t>
      </w:r>
      <w:r w:rsidR="0074427F">
        <w:t>4</w:t>
      </w:r>
      <w:r w:rsidR="0096010B">
        <w:t xml:space="preserve">.  As promised, </w:t>
      </w:r>
      <w:r w:rsidR="0045269E">
        <w:t xml:space="preserve">more information was announced </w:t>
      </w:r>
      <w:r w:rsidR="00A723BD">
        <w:t xml:space="preserve">by the Chancellor to provide </w:t>
      </w:r>
      <w:r w:rsidR="00651D19">
        <w:t>funding assumptions over the coming years.</w:t>
      </w:r>
      <w:r w:rsidR="00C73EDA">
        <w:t xml:space="preserve">  However, this was provided at a high level and </w:t>
      </w:r>
      <w:r w:rsidRPr="009A05C1">
        <w:t xml:space="preserve">there </w:t>
      </w:r>
      <w:r w:rsidR="00C73EDA">
        <w:t>remains a</w:t>
      </w:r>
      <w:r w:rsidRPr="009A05C1">
        <w:t xml:space="preserve"> considerable </w:t>
      </w:r>
      <w:r w:rsidR="00C73EDA">
        <w:t xml:space="preserve">level of </w:t>
      </w:r>
      <w:r w:rsidRPr="009A05C1">
        <w:t xml:space="preserve">uncertainty </w:t>
      </w:r>
      <w:r w:rsidR="008B4579">
        <w:t xml:space="preserve">until </w:t>
      </w:r>
      <w:r w:rsidR="00E946F6">
        <w:t xml:space="preserve">the provisional settlement for 2026/27 is released </w:t>
      </w:r>
      <w:r w:rsidR="00997370">
        <w:t>later in the year</w:t>
      </w:r>
      <w:r w:rsidRPr="009A05C1">
        <w:t>.</w:t>
      </w:r>
    </w:p>
    <w:p w14:paraId="30BD7C49" w14:textId="77777777" w:rsidR="007E7383" w:rsidRPr="009A05C1" w:rsidRDefault="007E7383" w:rsidP="007E7383"/>
    <w:p w14:paraId="7055B769" w14:textId="77777777" w:rsidR="007E7383" w:rsidRPr="009A05C1" w:rsidRDefault="007E7383" w:rsidP="007E7383">
      <w:pPr>
        <w:pStyle w:val="VAHeadingLevel3"/>
      </w:pPr>
      <w:r w:rsidRPr="009A05C1">
        <w:t>Economy</w:t>
      </w:r>
    </w:p>
    <w:p w14:paraId="236A2E82" w14:textId="77777777" w:rsidR="007E7383" w:rsidRPr="009A05C1" w:rsidRDefault="007E7383" w:rsidP="007E7383">
      <w:bookmarkStart w:id="8" w:name="_Hlk190855226"/>
      <w:r w:rsidRPr="009A05C1">
        <w:t xml:space="preserve">The lasting effects of the conflicts in Gaza and Ukraine, and the pandemic have all had an impact on the national and international economies and cost of living.  More recently, the impact of USA </w:t>
      </w:r>
      <w:proofErr w:type="gramStart"/>
      <w:r w:rsidRPr="009A05C1">
        <w:t>import</w:t>
      </w:r>
      <w:proofErr w:type="gramEnd"/>
      <w:r w:rsidRPr="009A05C1">
        <w:t xml:space="preserve"> tariffs and other international factors are having an impact on the economic situation worldwide.  In the UK, we continue to face higher costs of living and inflation rates than the Bank of England target.</w:t>
      </w:r>
    </w:p>
    <w:bookmarkEnd w:id="8"/>
    <w:p w14:paraId="3B86F257" w14:textId="77777777" w:rsidR="007E7383" w:rsidRPr="009A05C1" w:rsidRDefault="007E7383" w:rsidP="007E7383"/>
    <w:p w14:paraId="430BC786" w14:textId="77777777" w:rsidR="007E7383" w:rsidRPr="009A05C1" w:rsidRDefault="007E7383" w:rsidP="007E7383">
      <w:pPr>
        <w:pStyle w:val="VAHeadingLevel3"/>
      </w:pPr>
      <w:r w:rsidRPr="009A05C1">
        <w:t>Estate</w:t>
      </w:r>
    </w:p>
    <w:p w14:paraId="35F24A4E" w14:textId="77777777" w:rsidR="007E7383" w:rsidRPr="009A05C1" w:rsidRDefault="007E7383" w:rsidP="007E7383">
      <w:r w:rsidRPr="009A05C1">
        <w:t>NCFRA continues to operate with an ageing estate and there had been a history of limited investment until recently.</w:t>
      </w:r>
    </w:p>
    <w:p w14:paraId="2B195805" w14:textId="77777777" w:rsidR="007E7383" w:rsidRPr="009A05C1" w:rsidRDefault="007E7383" w:rsidP="007E7383"/>
    <w:p w14:paraId="06528ED0" w14:textId="3B332A27" w:rsidR="007E7383" w:rsidRPr="009A05C1" w:rsidRDefault="007E7383" w:rsidP="007E7383">
      <w:r w:rsidRPr="009A05C1">
        <w:t>The latest plan includes new replacement fire stations at Moulton and Kettering.  The stations shall be built with state-of-the-art facilities for firefighters to support the Service in keeping communities safe.    They will include enhanced welfare facilities for the safety of our firefighter crews.</w:t>
      </w:r>
      <w:r w:rsidR="00467251">
        <w:t xml:space="preserve"> </w:t>
      </w:r>
      <w:r w:rsidR="007E49CA">
        <w:t xml:space="preserve"> </w:t>
      </w:r>
      <w:r w:rsidR="00467251" w:rsidRPr="009A05C1">
        <w:t>The proposed new sites will be in great locations which are both accessible to the public and well located for operational needs.</w:t>
      </w:r>
    </w:p>
    <w:p w14:paraId="283D709F" w14:textId="77777777" w:rsidR="007E7383" w:rsidRPr="009A05C1" w:rsidRDefault="007E7383" w:rsidP="007E7383"/>
    <w:p w14:paraId="581639EF" w14:textId="2DD7C1F9" w:rsidR="007E7383" w:rsidRPr="009A05C1" w:rsidRDefault="007E7383" w:rsidP="007E7383">
      <w:r w:rsidRPr="009A05C1">
        <w:t>The Estates Strategy is managed jointly with policing by Enabling Services to maximise opportunities for efficiencies across services.  This includes a shared vehicle workshop to replace end-of-life facilities in both organisations.</w:t>
      </w:r>
      <w:r w:rsidR="00DD1168">
        <w:t xml:space="preserve">  As this </w:t>
      </w:r>
      <w:r w:rsidR="00442635">
        <w:t xml:space="preserve">provision will now be built on </w:t>
      </w:r>
      <w:r w:rsidR="00FD2E6D">
        <w:t>a</w:t>
      </w:r>
      <w:r w:rsidR="00986587">
        <w:t xml:space="preserve">n existing site, the </w:t>
      </w:r>
      <w:r w:rsidR="00945663">
        <w:t xml:space="preserve">building previously </w:t>
      </w:r>
      <w:r w:rsidR="00A6747F">
        <w:t xml:space="preserve">held for this has been sold and proceeds will be used to </w:t>
      </w:r>
      <w:r w:rsidR="00AA7627">
        <w:t>reduce any additional borrowing requirement.</w:t>
      </w:r>
    </w:p>
    <w:p w14:paraId="4A171E8F" w14:textId="77777777" w:rsidR="00ED2932" w:rsidRDefault="00ED2932" w:rsidP="007E7383">
      <w:pPr>
        <w:pStyle w:val="VAHeadingLevel3"/>
      </w:pPr>
    </w:p>
    <w:p w14:paraId="4F77D8D5" w14:textId="485D9B2E" w:rsidR="007E7383" w:rsidRPr="009A05C1" w:rsidRDefault="007E7383" w:rsidP="007E7383">
      <w:pPr>
        <w:pStyle w:val="VAHeadingLevel3"/>
      </w:pPr>
      <w:r w:rsidRPr="009A05C1">
        <w:t>Investment</w:t>
      </w:r>
    </w:p>
    <w:p w14:paraId="43C63F17" w14:textId="4D3F6C98" w:rsidR="007E7383" w:rsidRDefault="007E7383" w:rsidP="007E7383">
      <w:r w:rsidRPr="009A05C1">
        <w:t>The PFCC ring-fenced £1</w:t>
      </w:r>
      <w:r w:rsidR="004233A9">
        <w:t>.0</w:t>
      </w:r>
      <w:r w:rsidRPr="009A05C1">
        <w:t>m for transformative projects and will continue to work with the Chief Fire Officer to identify investment which will make a difference in supporting the Public Safety Plan.</w:t>
      </w:r>
    </w:p>
    <w:p w14:paraId="497A6CD6" w14:textId="77777777" w:rsidR="008C3987" w:rsidRPr="009A05C1" w:rsidRDefault="008C3987" w:rsidP="007E7383"/>
    <w:p w14:paraId="16E72A75" w14:textId="77777777" w:rsidR="007E7383" w:rsidRPr="009A05C1" w:rsidRDefault="007E7383" w:rsidP="007B3680">
      <w:pPr>
        <w:pStyle w:val="VAHeading"/>
      </w:pPr>
      <w:r w:rsidRPr="009A05C1">
        <w:t>The Financial Statements</w:t>
      </w:r>
    </w:p>
    <w:p w14:paraId="3D549056" w14:textId="77777777" w:rsidR="007E7383" w:rsidRPr="009A05C1" w:rsidRDefault="007E7383" w:rsidP="007E7383">
      <w:r w:rsidRPr="009A05C1">
        <w:t>The accounts are prepared using International Financial Reporting Standards (IFRS).  Although these are the same standards that a large company would use in preparing its financial statements, some adjustments to costs are applied where they are not a charge to local taxpayers.</w:t>
      </w:r>
    </w:p>
    <w:p w14:paraId="7032182B" w14:textId="77777777" w:rsidR="007E7383" w:rsidRPr="009A05C1" w:rsidRDefault="007E7383" w:rsidP="007E7383"/>
    <w:p w14:paraId="4CD61D29" w14:textId="77777777" w:rsidR="007E7383" w:rsidRPr="009A05C1" w:rsidRDefault="007E7383" w:rsidP="007E7383">
      <w:r w:rsidRPr="009A05C1">
        <w:t>The key statements are as follows:</w:t>
      </w:r>
    </w:p>
    <w:p w14:paraId="4D298B54" w14:textId="77777777" w:rsidR="007E7383" w:rsidRPr="009A05C1" w:rsidRDefault="007E7383" w:rsidP="007E7383"/>
    <w:p w14:paraId="39755A68" w14:textId="77777777" w:rsidR="00720075" w:rsidRPr="009A05C1" w:rsidRDefault="00720075" w:rsidP="00720075">
      <w:pPr>
        <w:pStyle w:val="VAHeadingLevel3"/>
      </w:pPr>
      <w:r w:rsidRPr="009A05C1">
        <w:t>Comprehensive Income and Expenditure Statement (CIES)</w:t>
      </w:r>
    </w:p>
    <w:p w14:paraId="661A2344" w14:textId="77777777" w:rsidR="00720075" w:rsidRDefault="00720075" w:rsidP="00720075">
      <w:r w:rsidRPr="009A05C1">
        <w:t>This statement shows the income and expenditure accounting cost in the year of providing services under IFRS.</w:t>
      </w:r>
    </w:p>
    <w:p w14:paraId="528FBE24" w14:textId="77777777" w:rsidR="007E7383" w:rsidRPr="009A05C1" w:rsidRDefault="007E7383" w:rsidP="007E7383"/>
    <w:p w14:paraId="6E8DD910" w14:textId="77777777" w:rsidR="007E7383" w:rsidRPr="009A05C1" w:rsidRDefault="007E7383" w:rsidP="007E7383">
      <w:pPr>
        <w:pStyle w:val="VAHeadingLevel3"/>
      </w:pPr>
      <w:r w:rsidRPr="009A05C1">
        <w:t>Movement in Reserves Statement (MiRS)</w:t>
      </w:r>
    </w:p>
    <w:p w14:paraId="52CD31A6" w14:textId="77777777" w:rsidR="007E7383" w:rsidRPr="009A05C1" w:rsidRDefault="007E7383" w:rsidP="007E7383">
      <w:r w:rsidRPr="009A05C1">
        <w:t>This statement shows the movement in the year on the different reserves held by the NCFRA.  It shows how the deficit/(surplus) for the year in the Comprehensive Income and Expenditure Statement is adjusted by the costs that are not a charge to local taxpayers.</w:t>
      </w:r>
    </w:p>
    <w:p w14:paraId="09FB5950" w14:textId="77777777" w:rsidR="007E7383" w:rsidRPr="009A05C1" w:rsidRDefault="007E7383" w:rsidP="007E7383"/>
    <w:p w14:paraId="0A9E0E4F" w14:textId="77777777" w:rsidR="007E7383" w:rsidRPr="009A05C1" w:rsidRDefault="007E7383" w:rsidP="007E7383">
      <w:pPr>
        <w:pStyle w:val="VAHeadingLevel3"/>
      </w:pPr>
      <w:r w:rsidRPr="009A05C1">
        <w:t>Balance Sheet</w:t>
      </w:r>
    </w:p>
    <w:p w14:paraId="6C97A1AC" w14:textId="3240CD11" w:rsidR="007E7383" w:rsidRPr="009A05C1" w:rsidRDefault="007E7383" w:rsidP="007E7383">
      <w:r w:rsidRPr="009A05C1">
        <w:t xml:space="preserve">The balance sheet shows the </w:t>
      </w:r>
      <w:r w:rsidR="0070640D">
        <w:t>NCFRA</w:t>
      </w:r>
      <w:r w:rsidRPr="009A05C1">
        <w:t>’s assets, liabilities and reserve balances at the financial year end date.</w:t>
      </w:r>
    </w:p>
    <w:p w14:paraId="10222D70" w14:textId="77777777" w:rsidR="007E7383" w:rsidRPr="009A05C1" w:rsidRDefault="007E7383" w:rsidP="007E7383"/>
    <w:p w14:paraId="0A35CF2C" w14:textId="77777777" w:rsidR="007E7383" w:rsidRPr="009A05C1" w:rsidRDefault="007E7383" w:rsidP="007E7383">
      <w:pPr>
        <w:pStyle w:val="VAHeadingLevel3"/>
      </w:pPr>
      <w:r w:rsidRPr="009A05C1">
        <w:t xml:space="preserve">Cash Flow Statement </w:t>
      </w:r>
    </w:p>
    <w:p w14:paraId="4D598846" w14:textId="77777777" w:rsidR="007E7383" w:rsidRPr="009A05C1" w:rsidRDefault="007E7383" w:rsidP="007E7383">
      <w:r w:rsidRPr="009A05C1">
        <w:t xml:space="preserve">This statement shows the reason for changes in cash balances during the year and the balance held by the NCFRA at the end of the financial year. </w:t>
      </w:r>
    </w:p>
    <w:p w14:paraId="26065BAC" w14:textId="77777777" w:rsidR="007E7383" w:rsidRPr="009A05C1" w:rsidRDefault="007E7383" w:rsidP="007E7383"/>
    <w:p w14:paraId="5CF79758" w14:textId="77777777" w:rsidR="007E7383" w:rsidRPr="009A05C1" w:rsidRDefault="007E7383" w:rsidP="007E7383">
      <w:pPr>
        <w:pStyle w:val="VAHeadingLevel3"/>
      </w:pPr>
      <w:r w:rsidRPr="009A05C1">
        <w:t>Notes to the Financial Statements</w:t>
      </w:r>
    </w:p>
    <w:p w14:paraId="2175FE36" w14:textId="4AAECA02" w:rsidR="007E7383" w:rsidRPr="009A05C1" w:rsidRDefault="007E7383" w:rsidP="007E7383">
      <w:r w:rsidRPr="009A05C1">
        <w:t>These include information required by the</w:t>
      </w:r>
      <w:r w:rsidR="00B6788C">
        <w:t xml:space="preserve"> CIPFA</w:t>
      </w:r>
      <w:r w:rsidRPr="009A05C1">
        <w:t xml:space="preserve"> Code and additional material items of interest to assist the reader’s understanding of the reported figures. </w:t>
      </w:r>
    </w:p>
    <w:p w14:paraId="5FBB12C5" w14:textId="7077C829" w:rsidR="007E7383" w:rsidRPr="009A05C1" w:rsidRDefault="007E7383" w:rsidP="007E7383">
      <w:pPr>
        <w:pStyle w:val="VAHeadingLevel3"/>
      </w:pPr>
    </w:p>
    <w:p w14:paraId="34545029" w14:textId="63C041E5" w:rsidR="007E7383" w:rsidRPr="009A05C1" w:rsidRDefault="007E7383" w:rsidP="6C31340A">
      <w:r>
        <w:br w:type="page"/>
      </w:r>
    </w:p>
    <w:p w14:paraId="6E013F55" w14:textId="43A493D3" w:rsidR="007E7383" w:rsidRPr="009A05C1" w:rsidRDefault="21C25056" w:rsidP="007E7383">
      <w:pPr>
        <w:pStyle w:val="VAHeadingLevel3"/>
      </w:pPr>
      <w:r>
        <w:lastRenderedPageBreak/>
        <w:t>Expenditure and Funding Analysis (EFA)</w:t>
      </w:r>
    </w:p>
    <w:p w14:paraId="40E7A062" w14:textId="77777777" w:rsidR="007E7383" w:rsidRPr="009A05C1" w:rsidRDefault="007E7383" w:rsidP="007E7383">
      <w:r w:rsidRPr="009A05C1">
        <w:t>This reconciles the amounts reported internally in line with the General Fund and the amounts reported in the Comprehensive Income and Expenditure Statement.</w:t>
      </w:r>
    </w:p>
    <w:p w14:paraId="110096DD" w14:textId="77777777" w:rsidR="007E7383" w:rsidRPr="009A05C1" w:rsidRDefault="007E7383" w:rsidP="007E7383"/>
    <w:p w14:paraId="5EA845CB" w14:textId="77777777" w:rsidR="007E7383" w:rsidRPr="009A05C1" w:rsidRDefault="007E7383" w:rsidP="007E7383">
      <w:pPr>
        <w:pStyle w:val="VAHeadingLevel3"/>
      </w:pPr>
      <w:r w:rsidRPr="009A05C1">
        <w:t xml:space="preserve">Events after the Reporting Period and authorised for issue date </w:t>
      </w:r>
    </w:p>
    <w:p w14:paraId="788A6EB5" w14:textId="77777777" w:rsidR="007E7383" w:rsidRPr="009A05C1" w:rsidRDefault="007E7383" w:rsidP="007E7383">
      <w:r w:rsidRPr="009A05C1">
        <w:t xml:space="preserve">This summarises any major events that happened between the year-end and the authorised-for-issue date.  Events coming to light after the authorised-for-issue date will not be included in the financial statements. </w:t>
      </w:r>
    </w:p>
    <w:p w14:paraId="71C62085" w14:textId="77777777" w:rsidR="007E7383" w:rsidRPr="009A05C1" w:rsidRDefault="007E7383" w:rsidP="007E7383"/>
    <w:p w14:paraId="58DA7771" w14:textId="77777777" w:rsidR="007E7383" w:rsidRPr="009A05C1" w:rsidRDefault="007E7383" w:rsidP="007E7383">
      <w:pPr>
        <w:pStyle w:val="VAHeadingLevel3"/>
      </w:pPr>
      <w:r w:rsidRPr="009A05C1">
        <w:t xml:space="preserve">Firefighters’ Pension Fund Account </w:t>
      </w:r>
    </w:p>
    <w:p w14:paraId="5024FDE5" w14:textId="77777777" w:rsidR="007E7383" w:rsidRPr="009A05C1" w:rsidRDefault="007E7383" w:rsidP="007E7383">
      <w:r w:rsidRPr="009A05C1">
        <w:t>The Firefighters Pension Scheme is unfunded and holds no assets.  The purpose of this account is to demonstrate the cash-based transactions taking place over the year and to identify the arrangements needed to balance the account.</w:t>
      </w:r>
    </w:p>
    <w:p w14:paraId="362D1DD9" w14:textId="77777777" w:rsidR="007E7383" w:rsidRPr="009A05C1" w:rsidRDefault="007E7383" w:rsidP="007E7383"/>
    <w:p w14:paraId="7BDED7A2" w14:textId="77777777" w:rsidR="007E7383" w:rsidRPr="009A05C1" w:rsidRDefault="007E7383" w:rsidP="007E7383">
      <w:pPr>
        <w:pStyle w:val="VAHeadingLevel3"/>
      </w:pPr>
      <w:r w:rsidRPr="009A05C1">
        <w:t xml:space="preserve">Statement of Provisions </w:t>
      </w:r>
    </w:p>
    <w:p w14:paraId="2F035ED5" w14:textId="77777777" w:rsidR="007E7383" w:rsidRPr="009A05C1" w:rsidRDefault="007E7383" w:rsidP="007E7383">
      <w:pPr>
        <w:rPr>
          <w:lang w:eastAsia="en-GB"/>
        </w:rPr>
      </w:pPr>
      <w:r w:rsidRPr="009A05C1">
        <w:t>Provisions are made where an event has taken place that gives the NCFRA a legal or constructive obligation that requires settlement by a transfer of economic benefits or service potential, and a reliable estimate can be made of the amount of the obligation.  These accounts include a number of provisions, detailed in the Notes to the Financial Statements.</w:t>
      </w:r>
    </w:p>
    <w:p w14:paraId="2F59EA52" w14:textId="77777777" w:rsidR="007E7383" w:rsidRPr="009A05C1" w:rsidRDefault="007E7383" w:rsidP="007E7383">
      <w:pPr>
        <w:rPr>
          <w:lang w:eastAsia="en-GB"/>
        </w:rPr>
      </w:pPr>
    </w:p>
    <w:p w14:paraId="277F1692" w14:textId="77777777" w:rsidR="007E7383" w:rsidRPr="009A05C1" w:rsidRDefault="007E7383" w:rsidP="007E7383">
      <w:pPr>
        <w:pStyle w:val="VAHeadingLevel3"/>
      </w:pPr>
      <w:r w:rsidRPr="009A05C1">
        <w:t xml:space="preserve">Accounting Policies </w:t>
      </w:r>
    </w:p>
    <w:p w14:paraId="51919D27" w14:textId="77777777" w:rsidR="007E7383" w:rsidRPr="009A05C1" w:rsidRDefault="007E7383" w:rsidP="007E7383">
      <w:r w:rsidRPr="009A05C1">
        <w:t>These outline the principles used for how we account and prepare our financial statements.</w:t>
      </w:r>
    </w:p>
    <w:p w14:paraId="5A46D142" w14:textId="77777777" w:rsidR="007E7383" w:rsidRPr="009A05C1" w:rsidRDefault="007E7383" w:rsidP="007E7383"/>
    <w:p w14:paraId="69D6C6FD" w14:textId="77777777" w:rsidR="007E7383" w:rsidRPr="009A05C1" w:rsidRDefault="007E7383" w:rsidP="007E7383">
      <w:pPr>
        <w:pStyle w:val="VAHeadingLevel3"/>
      </w:pPr>
      <w:r w:rsidRPr="009A05C1">
        <w:t xml:space="preserve">Glossary of financial terms </w:t>
      </w:r>
    </w:p>
    <w:p w14:paraId="6F9CB4F8" w14:textId="77777777" w:rsidR="007E7383" w:rsidRPr="009A05C1" w:rsidRDefault="007E7383" w:rsidP="007E7383">
      <w:r w:rsidRPr="009A05C1">
        <w:t>The nature of this document means that technical words are unavoidable.  The glossary is intended to simplify and explain such words.</w:t>
      </w:r>
    </w:p>
    <w:p w14:paraId="69D77EDC" w14:textId="77777777" w:rsidR="007E7383" w:rsidRPr="00806B41" w:rsidRDefault="007E7383" w:rsidP="007E7383">
      <w:pPr>
        <w:rPr>
          <w:highlight w:val="yellow"/>
        </w:rPr>
      </w:pPr>
    </w:p>
    <w:p w14:paraId="6331EE9D" w14:textId="77777777" w:rsidR="001A13BA" w:rsidRPr="009A05C1" w:rsidRDefault="001A13BA" w:rsidP="001A13BA">
      <w:pPr>
        <w:pStyle w:val="VAHeadingLevel3"/>
      </w:pPr>
      <w:r w:rsidRPr="009A05C1">
        <w:t xml:space="preserve">Annual Governance Statement </w:t>
      </w:r>
    </w:p>
    <w:p w14:paraId="7F8EBCB3" w14:textId="133B59EA" w:rsidR="00D43225" w:rsidRDefault="001A13BA" w:rsidP="007E7383">
      <w:r w:rsidRPr="009A05C1">
        <w:t xml:space="preserve">This statement explains how the NCFRA complies with </w:t>
      </w:r>
      <w:r>
        <w:t>the</w:t>
      </w:r>
      <w:r w:rsidRPr="009A05C1">
        <w:t xml:space="preserve"> Code of Corporate Governance. Preparation and publication of the statement fulfils the PFCC’s statutory requirement under the Accounts and Audit Regulations 2011 to conduct a review at least once in each financial year of the effectiveness of </w:t>
      </w:r>
      <w:r>
        <w:t>the</w:t>
      </w:r>
      <w:r w:rsidRPr="009A05C1">
        <w:t xml:space="preserve"> system of internal control and to include a statement reporting on the review with the Statement of Accounts. </w:t>
      </w:r>
    </w:p>
    <w:p w14:paraId="4049E1FF" w14:textId="77777777" w:rsidR="009200C0" w:rsidRDefault="009200C0" w:rsidP="007E7383">
      <w:pPr>
        <w:rPr>
          <w:highlight w:val="yellow"/>
        </w:rPr>
      </w:pPr>
    </w:p>
    <w:p w14:paraId="4DE1325A" w14:textId="77777777" w:rsidR="007E7383" w:rsidRPr="001A290C" w:rsidRDefault="007E7383" w:rsidP="007E7383">
      <w:pPr>
        <w:pStyle w:val="VAHeading"/>
      </w:pPr>
      <w:r w:rsidRPr="001A290C">
        <w:t>Summary and Conclusion</w:t>
      </w:r>
    </w:p>
    <w:p w14:paraId="53559870" w14:textId="77777777" w:rsidR="007E7383" w:rsidRPr="001A290C" w:rsidRDefault="007E7383" w:rsidP="007E7383">
      <w:r w:rsidRPr="001A290C">
        <w:t xml:space="preserve">Despite the tight financial climate and future challenges, the NCFRA and wider PFCC Group continues to demonstrate a strong track record of effective financial management and delivering outturn within the approved budget.  </w:t>
      </w:r>
      <w:bookmarkStart w:id="9" w:name="_Hlk160033573"/>
      <w:r w:rsidRPr="001A290C">
        <w:t>However, there is a long-term financial impact of economic uncertainty to consider which will continue to be monitored very closely.</w:t>
      </w:r>
      <w:bookmarkEnd w:id="9"/>
    </w:p>
    <w:p w14:paraId="15C5D030" w14:textId="77777777" w:rsidR="007E7383" w:rsidRPr="001A290C" w:rsidRDefault="007E7383" w:rsidP="007E7383"/>
    <w:p w14:paraId="60D0908F" w14:textId="77777777" w:rsidR="007E7383" w:rsidRDefault="007E7383" w:rsidP="007E7383">
      <w:r w:rsidRPr="001A290C">
        <w:t>The budgeting process continues to develop with rigorous challenge from both the Chief Fire Officer and the PFCC.</w:t>
      </w:r>
    </w:p>
    <w:p w14:paraId="3C46B6F5" w14:textId="77777777" w:rsidR="007E7383" w:rsidRDefault="007E7383" w:rsidP="007E7383"/>
    <w:p w14:paraId="7FE5BC40" w14:textId="77777777" w:rsidR="007E7383" w:rsidRDefault="007E7383" w:rsidP="007E7383">
      <w:r>
        <w:t xml:space="preserve">The Chief Fire Officer is committed to ensuring that improvements required as part of recommendations from HMICFRS do not lose momentum and ensure the best services can be delivered for the public of Northamptonshire.  </w:t>
      </w:r>
    </w:p>
    <w:p w14:paraId="2B73EEFE" w14:textId="77777777" w:rsidR="007E7383" w:rsidRDefault="007E7383" w:rsidP="007E7383"/>
    <w:p w14:paraId="19A456F9" w14:textId="31486D42" w:rsidR="007E7383" w:rsidRDefault="007E7383" w:rsidP="007E7383">
      <w:r>
        <w:t xml:space="preserve">The financial outlook remains challenging, but Northamptonshire </w:t>
      </w:r>
      <w:r w:rsidR="3EB80959">
        <w:t>is</w:t>
      </w:r>
      <w:r>
        <w:t xml:space="preserve"> already well prepared in meeting these challenges.  Fire and Police will continue to actively seek and implement opportunities to work together to deliver more efficient and effective public services.</w:t>
      </w:r>
    </w:p>
    <w:p w14:paraId="50A959FC" w14:textId="77777777" w:rsidR="007E7383" w:rsidRDefault="007E7383" w:rsidP="007E7383"/>
    <w:p w14:paraId="0BEDF5FC" w14:textId="77777777" w:rsidR="007E7383" w:rsidRDefault="007E7383" w:rsidP="007E7383"/>
    <w:p w14:paraId="43028B6E" w14:textId="410174B5" w:rsidR="007E7383" w:rsidRDefault="007E7383" w:rsidP="007E7383"/>
    <w:p w14:paraId="53ABCE5B" w14:textId="77777777" w:rsidR="007E7383" w:rsidRDefault="007E7383" w:rsidP="007E7383"/>
    <w:p w14:paraId="01185945" w14:textId="77777777" w:rsidR="007E7383" w:rsidRPr="00101359" w:rsidRDefault="007E7383" w:rsidP="007E7383">
      <w:pPr>
        <w:rPr>
          <w:b/>
          <w:bCs/>
        </w:rPr>
      </w:pPr>
      <w:r w:rsidRPr="00101359">
        <w:rPr>
          <w:b/>
          <w:bCs/>
        </w:rPr>
        <w:t>Vaughan Ashcroft</w:t>
      </w:r>
    </w:p>
    <w:p w14:paraId="1E25683C" w14:textId="77777777" w:rsidR="007E7383" w:rsidRPr="00101359" w:rsidRDefault="007E7383" w:rsidP="007E7383">
      <w:pPr>
        <w:rPr>
          <w:b/>
          <w:bCs/>
        </w:rPr>
      </w:pPr>
      <w:r w:rsidRPr="00101359">
        <w:rPr>
          <w:b/>
          <w:bCs/>
        </w:rPr>
        <w:t>Chief Finance Officer (s151)</w:t>
      </w:r>
    </w:p>
    <w:p w14:paraId="1C1C9A2B" w14:textId="50BC651F" w:rsidR="007E7383" w:rsidRPr="0066484D" w:rsidRDefault="007E7383" w:rsidP="007E7383">
      <w:r w:rsidRPr="0066484D">
        <w:t>Date:</w:t>
      </w:r>
      <w:r>
        <w:t xml:space="preserve"> </w:t>
      </w:r>
      <w:r w:rsidR="00954027">
        <w:t>24/02/2026</w:t>
      </w:r>
    </w:p>
    <w:p w14:paraId="7A1848C4" w14:textId="77777777" w:rsidR="00DF3969" w:rsidRPr="00EE19D0" w:rsidRDefault="00DF3969" w:rsidP="00DF3969">
      <w:pPr>
        <w:rPr>
          <w:b/>
          <w:bCs/>
        </w:rPr>
      </w:pPr>
    </w:p>
    <w:p w14:paraId="10AC896F" w14:textId="77777777" w:rsidR="00DF3969" w:rsidRPr="00EE19D0" w:rsidRDefault="00DF3969" w:rsidP="00DF3969">
      <w:pPr>
        <w:rPr>
          <w:b/>
          <w:bCs/>
        </w:rPr>
      </w:pPr>
    </w:p>
    <w:p w14:paraId="46210F1C" w14:textId="77777777" w:rsidR="00DF3969" w:rsidRPr="00EE19D0" w:rsidRDefault="00DF3969" w:rsidP="00DF3969">
      <w:pPr>
        <w:rPr>
          <w:b/>
          <w:bCs/>
        </w:rPr>
      </w:pPr>
    </w:p>
    <w:p w14:paraId="23A669E4" w14:textId="6FE7096F" w:rsidR="00DF3969" w:rsidRPr="00EE19D0" w:rsidRDefault="00DF3969" w:rsidP="00DF3969">
      <w:pPr>
        <w:rPr>
          <w:b/>
          <w:bCs/>
        </w:rPr>
      </w:pPr>
    </w:p>
    <w:p w14:paraId="42390A0C" w14:textId="77777777" w:rsidR="00DF3969" w:rsidRPr="00EE19D0" w:rsidRDefault="00DF3969" w:rsidP="00DF3969">
      <w:pPr>
        <w:rPr>
          <w:b/>
          <w:bCs/>
        </w:rPr>
      </w:pPr>
      <w:r w:rsidRPr="00EE19D0">
        <w:rPr>
          <w:b/>
          <w:bCs/>
        </w:rPr>
        <w:t>Danielle Stone</w:t>
      </w:r>
    </w:p>
    <w:p w14:paraId="21434D5F" w14:textId="77777777" w:rsidR="00DF3969" w:rsidRPr="00EE19D0" w:rsidRDefault="00DF3969" w:rsidP="00DF3969">
      <w:pPr>
        <w:jc w:val="left"/>
        <w:rPr>
          <w:b/>
          <w:bCs/>
        </w:rPr>
      </w:pPr>
      <w:r w:rsidRPr="00EE19D0">
        <w:rPr>
          <w:b/>
          <w:bCs/>
        </w:rPr>
        <w:t>Northamptonshire Police, Fire and Crime Commissioner</w:t>
      </w:r>
    </w:p>
    <w:p w14:paraId="5E0E4A4D" w14:textId="77777777" w:rsidR="00DF3969" w:rsidRDefault="00DF3969" w:rsidP="00DF3969">
      <w:r w:rsidRPr="0066484D">
        <w:t>Date</w:t>
      </w:r>
      <w:r>
        <w:t xml:space="preserve">: </w:t>
      </w:r>
      <w:r w:rsidR="00954027">
        <w:t>24/02/2026</w:t>
      </w:r>
    </w:p>
    <w:p w14:paraId="354F2BFA" w14:textId="77777777" w:rsidR="00D43225" w:rsidRDefault="00D43225" w:rsidP="00DF3969"/>
    <w:p w14:paraId="54DC3318" w14:textId="77777777" w:rsidR="00D43225" w:rsidRDefault="00D43225" w:rsidP="00DF3969"/>
    <w:p w14:paraId="23197786" w14:textId="77777777" w:rsidR="00D43225" w:rsidRDefault="00D43225" w:rsidP="00DF3969"/>
    <w:p w14:paraId="7D395103" w14:textId="77777777" w:rsidR="00D43225" w:rsidRDefault="00D43225" w:rsidP="00DF3969"/>
    <w:p w14:paraId="7FBAD056" w14:textId="77777777" w:rsidR="00D43225" w:rsidRDefault="00D43225" w:rsidP="00DF3969"/>
    <w:p w14:paraId="316EC2FC" w14:textId="77777777" w:rsidR="00D43225" w:rsidRDefault="00D43225" w:rsidP="00DF3969"/>
    <w:p w14:paraId="5305A23F" w14:textId="77777777" w:rsidR="00D43225" w:rsidRDefault="00D43225" w:rsidP="00DF3969"/>
    <w:p w14:paraId="7B18049A" w14:textId="77777777" w:rsidR="00D43225" w:rsidRDefault="00D43225" w:rsidP="00DF3969"/>
    <w:p w14:paraId="2DFBF547" w14:textId="00D5AEFE" w:rsidR="00D43225" w:rsidRDefault="00D43225" w:rsidP="00DF3969">
      <w:pPr>
        <w:sectPr w:rsidR="00D43225" w:rsidSect="00DF3969">
          <w:type w:val="continuous"/>
          <w:pgSz w:w="11906" w:h="16838"/>
          <w:pgMar w:top="851" w:right="680" w:bottom="680" w:left="851" w:header="680" w:footer="0" w:gutter="0"/>
          <w:cols w:num="2" w:space="708"/>
          <w:titlePg/>
          <w:docGrid w:linePitch="360"/>
        </w:sectPr>
      </w:pPr>
    </w:p>
    <w:p w14:paraId="28423A9D" w14:textId="77777777" w:rsidR="003349A7" w:rsidRDefault="003349A7" w:rsidP="00A6442F">
      <w:pPr>
        <w:sectPr w:rsidR="003349A7" w:rsidSect="003349A7">
          <w:type w:val="continuous"/>
          <w:pgSz w:w="11906" w:h="16838"/>
          <w:pgMar w:top="851" w:right="680" w:bottom="680" w:left="851" w:header="680" w:footer="0" w:gutter="0"/>
          <w:cols w:num="2" w:space="708"/>
          <w:titlePg/>
          <w:docGrid w:linePitch="360"/>
        </w:sectPr>
      </w:pPr>
    </w:p>
    <w:p w14:paraId="1E4737F3" w14:textId="77777777" w:rsidR="003349A7" w:rsidRDefault="003349A7" w:rsidP="00A6442F">
      <w:r>
        <w:br w:type="page"/>
      </w:r>
    </w:p>
    <w:p w14:paraId="7C565224" w14:textId="581BA24F" w:rsidR="003349A7" w:rsidRDefault="788150CC" w:rsidP="002A1ADD">
      <w:pPr>
        <w:pStyle w:val="ChapterHeading"/>
      </w:pPr>
      <w:r w:rsidRPr="717F6110">
        <w:lastRenderedPageBreak/>
        <w:t xml:space="preserve">Statement of Responsibilities for the Statement </w:t>
      </w:r>
      <w:r w:rsidR="50D179A0" w:rsidRPr="717F6110">
        <w:t>of</w:t>
      </w:r>
      <w:r w:rsidRPr="717F6110">
        <w:t xml:space="preserve"> Accounts</w:t>
      </w:r>
    </w:p>
    <w:p w14:paraId="3484C9EF" w14:textId="77777777" w:rsidR="003349A7" w:rsidRDefault="003349A7" w:rsidP="717F6110">
      <w:pPr>
        <w:rPr>
          <w:color w:val="AB2328"/>
        </w:rPr>
      </w:pPr>
    </w:p>
    <w:p w14:paraId="582ABE77" w14:textId="169A3235" w:rsidR="00103626" w:rsidRPr="007F07C2" w:rsidRDefault="73E618DD" w:rsidP="717F6110">
      <w:pPr>
        <w:pStyle w:val="VAHeadingLevel3"/>
        <w:rPr>
          <w:color w:val="AB2328"/>
        </w:rPr>
      </w:pPr>
      <w:r w:rsidRPr="717F6110">
        <w:rPr>
          <w:color w:val="AB2328"/>
        </w:rPr>
        <w:t xml:space="preserve">The Police, Fire and Crime Commissioner’s responsibilities </w:t>
      </w:r>
    </w:p>
    <w:p w14:paraId="7AD9C2B4" w14:textId="77777777" w:rsidR="0017732C" w:rsidRPr="007F07C2" w:rsidRDefault="0017732C" w:rsidP="0079406E">
      <w:pPr>
        <w:pStyle w:val="Default"/>
        <w:rPr>
          <w:rFonts w:asciiTheme="minorHAnsi" w:hAnsiTheme="minorHAnsi"/>
          <w:color w:val="auto"/>
          <w:sz w:val="22"/>
          <w:szCs w:val="22"/>
        </w:rPr>
      </w:pPr>
    </w:p>
    <w:p w14:paraId="5DEF4A1B" w14:textId="03BCAE51" w:rsidR="0017732C" w:rsidRPr="007F07C2" w:rsidRDefault="00103626" w:rsidP="0079406E">
      <w:pPr>
        <w:pStyle w:val="Default"/>
        <w:rPr>
          <w:rFonts w:asciiTheme="minorHAnsi" w:hAnsiTheme="minorHAnsi"/>
          <w:color w:val="auto"/>
          <w:sz w:val="22"/>
          <w:szCs w:val="22"/>
        </w:rPr>
      </w:pPr>
      <w:r w:rsidRPr="007F07C2">
        <w:rPr>
          <w:rFonts w:asciiTheme="minorHAnsi" w:hAnsiTheme="minorHAnsi"/>
          <w:color w:val="auto"/>
          <w:sz w:val="22"/>
          <w:szCs w:val="22"/>
        </w:rPr>
        <w:t xml:space="preserve">The Police, Fire and Crime Commissioner is required to: </w:t>
      </w:r>
    </w:p>
    <w:p w14:paraId="15847D8E" w14:textId="53C65F64" w:rsidR="0017732C" w:rsidRPr="007F07C2" w:rsidRDefault="00103626" w:rsidP="00A6442F">
      <w:pPr>
        <w:pStyle w:val="Firebullet"/>
      </w:pPr>
      <w:r w:rsidRPr="007F07C2">
        <w:t>Make arrangements for the proper administration of its financial affairs and to secure that one of its officers has the responsibility for the administration of those affairs. In this Authority, that officer is the Chief Finance Officer</w:t>
      </w:r>
    </w:p>
    <w:p w14:paraId="794EF31D" w14:textId="32DA4CA8" w:rsidR="0017732C" w:rsidRPr="007F07C2" w:rsidRDefault="00103626" w:rsidP="00A6442F">
      <w:pPr>
        <w:pStyle w:val="Firebullet"/>
      </w:pPr>
      <w:r w:rsidRPr="007F07C2">
        <w:t>Manage its affairs to secure economic, efficient and effective use of resources and safeguard its assets</w:t>
      </w:r>
    </w:p>
    <w:p w14:paraId="64D185E3" w14:textId="647BC3B0" w:rsidR="00103626" w:rsidRPr="007F07C2" w:rsidRDefault="00103626" w:rsidP="00A6442F">
      <w:pPr>
        <w:pStyle w:val="Firebullet"/>
      </w:pPr>
      <w:r w:rsidRPr="007F07C2">
        <w:t>Approve the Statement of Accounts</w:t>
      </w:r>
    </w:p>
    <w:p w14:paraId="550A3419" w14:textId="77777777" w:rsidR="00103626" w:rsidRPr="007F07C2" w:rsidRDefault="00103626" w:rsidP="0079406E">
      <w:pPr>
        <w:pStyle w:val="Default"/>
        <w:rPr>
          <w:rFonts w:asciiTheme="minorHAnsi" w:hAnsiTheme="minorHAnsi"/>
          <w:color w:val="auto"/>
          <w:sz w:val="22"/>
          <w:szCs w:val="22"/>
        </w:rPr>
      </w:pPr>
    </w:p>
    <w:p w14:paraId="78F66BC0" w14:textId="77777777" w:rsidR="00DF3969" w:rsidRPr="007F07C2" w:rsidRDefault="00DF3969" w:rsidP="00DF3969">
      <w:r w:rsidRPr="007F07C2">
        <w:t>I certify that these accounts were considered and approved.</w:t>
      </w:r>
    </w:p>
    <w:p w14:paraId="209091C6" w14:textId="7AF54FE5" w:rsidR="00DF3969" w:rsidRDefault="00DF3969" w:rsidP="00DF3969">
      <w:pPr>
        <w:rPr>
          <w:b/>
          <w:bCs/>
          <w:noProof/>
        </w:rPr>
      </w:pPr>
    </w:p>
    <w:p w14:paraId="1A0973F4" w14:textId="2FCF61B9" w:rsidR="008F2E58" w:rsidRDefault="008F2E58" w:rsidP="00DF3969">
      <w:pPr>
        <w:rPr>
          <w:b/>
          <w:bCs/>
          <w:noProof/>
        </w:rPr>
      </w:pPr>
    </w:p>
    <w:p w14:paraId="0216CDA6" w14:textId="77777777" w:rsidR="00D43225" w:rsidRPr="007F07C2" w:rsidRDefault="00D43225" w:rsidP="00DF3969"/>
    <w:p w14:paraId="6535177E" w14:textId="77777777" w:rsidR="00DF3969" w:rsidRPr="00D85081" w:rsidRDefault="00DF3969" w:rsidP="00DF3969">
      <w:pPr>
        <w:rPr>
          <w:b/>
          <w:bCs/>
        </w:rPr>
      </w:pPr>
      <w:r w:rsidRPr="00D85081">
        <w:rPr>
          <w:b/>
          <w:bCs/>
        </w:rPr>
        <w:t>Danielle Stone</w:t>
      </w:r>
    </w:p>
    <w:p w14:paraId="40D33050" w14:textId="77777777" w:rsidR="00DF3969" w:rsidRPr="00D85081" w:rsidRDefault="00DF3969" w:rsidP="00DF3969">
      <w:pPr>
        <w:rPr>
          <w:b/>
          <w:bCs/>
        </w:rPr>
      </w:pPr>
      <w:r w:rsidRPr="00D85081">
        <w:rPr>
          <w:b/>
          <w:bCs/>
        </w:rPr>
        <w:t>Police, Fire and Crime Commissioner for Northamptonshire</w:t>
      </w:r>
    </w:p>
    <w:p w14:paraId="32073738" w14:textId="5B32C95A" w:rsidR="00773072" w:rsidRPr="003349A7" w:rsidRDefault="00DF3969" w:rsidP="00DF3969">
      <w:r w:rsidRPr="0066484D">
        <w:t xml:space="preserve">Date: </w:t>
      </w:r>
      <w:r w:rsidR="00FA24DB">
        <w:t>24/02/2026</w:t>
      </w:r>
    </w:p>
    <w:p w14:paraId="7623BDBB" w14:textId="77777777" w:rsidR="0039276D" w:rsidRDefault="0039276D" w:rsidP="0079406E">
      <w:pPr>
        <w:pStyle w:val="Default"/>
        <w:rPr>
          <w:rFonts w:asciiTheme="minorHAnsi" w:hAnsiTheme="minorHAnsi"/>
          <w:b/>
          <w:color w:val="auto"/>
          <w:sz w:val="22"/>
          <w:szCs w:val="22"/>
        </w:rPr>
      </w:pPr>
    </w:p>
    <w:p w14:paraId="7B5CB0E0" w14:textId="77777777" w:rsidR="0014205C" w:rsidRDefault="0014205C" w:rsidP="0079406E">
      <w:pPr>
        <w:pStyle w:val="Default"/>
        <w:rPr>
          <w:rFonts w:asciiTheme="minorHAnsi" w:hAnsiTheme="minorHAnsi"/>
          <w:b/>
          <w:color w:val="auto"/>
          <w:sz w:val="22"/>
          <w:szCs w:val="22"/>
        </w:rPr>
      </w:pPr>
    </w:p>
    <w:p w14:paraId="59DE34B0" w14:textId="3791F9AA" w:rsidR="00103626" w:rsidRPr="007F07C2" w:rsidRDefault="73E618DD" w:rsidP="002A1ADD">
      <w:pPr>
        <w:pStyle w:val="VAHeadingLevel2"/>
      </w:pPr>
      <w:r w:rsidRPr="717F6110">
        <w:t xml:space="preserve">The Chief Finance Officer’s responsibilities </w:t>
      </w:r>
    </w:p>
    <w:p w14:paraId="3C981982" w14:textId="12F76D91" w:rsidR="00103626" w:rsidRPr="007F07C2" w:rsidRDefault="00103626" w:rsidP="00A6442F">
      <w:r w:rsidRPr="007F07C2">
        <w:t>The Chief Finance Officer is responsible for the preparation of the Authority’s Statement of Accounts in accordance with proper</w:t>
      </w:r>
      <w:r w:rsidR="00A72EA8">
        <w:t xml:space="preserve"> </w:t>
      </w:r>
      <w:r w:rsidRPr="007F07C2">
        <w:t xml:space="preserve">practices as set out in the CIPFA/LASAAC Code of Practice on Local Authority Accounting in the United Kingdom (the Code). </w:t>
      </w:r>
    </w:p>
    <w:p w14:paraId="32175456" w14:textId="77777777" w:rsidR="00103626" w:rsidRPr="007F07C2" w:rsidRDefault="00103626" w:rsidP="00A6442F"/>
    <w:p w14:paraId="440B455A" w14:textId="77777777" w:rsidR="00103626" w:rsidRPr="007F07C2" w:rsidRDefault="00103626" w:rsidP="0079406E">
      <w:pPr>
        <w:pStyle w:val="Default"/>
        <w:rPr>
          <w:rFonts w:asciiTheme="minorHAnsi" w:hAnsiTheme="minorHAnsi"/>
          <w:color w:val="auto"/>
          <w:sz w:val="22"/>
          <w:szCs w:val="22"/>
        </w:rPr>
      </w:pPr>
      <w:r w:rsidRPr="007F07C2">
        <w:rPr>
          <w:rFonts w:asciiTheme="minorHAnsi" w:hAnsiTheme="minorHAnsi"/>
          <w:color w:val="auto"/>
          <w:sz w:val="22"/>
          <w:szCs w:val="22"/>
        </w:rPr>
        <w:t xml:space="preserve">In preparing this Statement of Accounts, the Chief Finance Officer has: </w:t>
      </w:r>
    </w:p>
    <w:p w14:paraId="7F706CED" w14:textId="7B0F1F29" w:rsidR="00103626" w:rsidRPr="007F07C2" w:rsidRDefault="00103626" w:rsidP="00A6442F">
      <w:pPr>
        <w:pStyle w:val="Firebullet"/>
      </w:pPr>
      <w:r w:rsidRPr="007F07C2">
        <w:t>Selected suitable accounting policies and applied them consistently</w:t>
      </w:r>
    </w:p>
    <w:p w14:paraId="170FBB22" w14:textId="30540F47" w:rsidR="00103626" w:rsidRPr="007F07C2" w:rsidRDefault="00103626" w:rsidP="00A6442F">
      <w:pPr>
        <w:pStyle w:val="Firebullet"/>
      </w:pPr>
      <w:r w:rsidRPr="007F07C2">
        <w:t>Made judgements and estimates that are reasonable and prudent</w:t>
      </w:r>
    </w:p>
    <w:p w14:paraId="518AC4B8" w14:textId="20EF6CCB" w:rsidR="00103626" w:rsidRPr="007F07C2" w:rsidRDefault="00103626" w:rsidP="00A6442F">
      <w:pPr>
        <w:pStyle w:val="Firebullet"/>
      </w:pPr>
      <w:r w:rsidRPr="007F07C2">
        <w:t xml:space="preserve">Complied with the </w:t>
      </w:r>
      <w:r w:rsidR="00615286">
        <w:t>L</w:t>
      </w:r>
      <w:r w:rsidRPr="007F07C2">
        <w:t xml:space="preserve">ocal </w:t>
      </w:r>
      <w:r w:rsidR="00615286">
        <w:t>A</w:t>
      </w:r>
      <w:r w:rsidRPr="007F07C2">
        <w:t>uthority Code</w:t>
      </w:r>
    </w:p>
    <w:p w14:paraId="53A9979E" w14:textId="77777777" w:rsidR="00103626" w:rsidRPr="007F07C2" w:rsidRDefault="00103626" w:rsidP="0079406E">
      <w:pPr>
        <w:pStyle w:val="Default"/>
        <w:rPr>
          <w:rFonts w:asciiTheme="minorHAnsi" w:hAnsiTheme="minorHAnsi"/>
          <w:color w:val="auto"/>
          <w:sz w:val="22"/>
          <w:szCs w:val="22"/>
        </w:rPr>
      </w:pPr>
    </w:p>
    <w:p w14:paraId="2C2A5AE5" w14:textId="77777777" w:rsidR="00103626" w:rsidRPr="007F07C2" w:rsidRDefault="00103626" w:rsidP="00A6442F">
      <w:r w:rsidRPr="007F07C2">
        <w:t xml:space="preserve">The Chief Finance Officer has also: </w:t>
      </w:r>
    </w:p>
    <w:p w14:paraId="6FEDDC81" w14:textId="16222813" w:rsidR="00103626" w:rsidRPr="007F07C2" w:rsidRDefault="00103626" w:rsidP="00A6442F">
      <w:pPr>
        <w:pStyle w:val="Firebullet"/>
      </w:pPr>
      <w:r w:rsidRPr="007F07C2">
        <w:t>Kept proper accounting records which were up to date</w:t>
      </w:r>
    </w:p>
    <w:p w14:paraId="13312E7D" w14:textId="32B11312" w:rsidR="00103626" w:rsidRPr="007F07C2" w:rsidRDefault="00103626" w:rsidP="00A6442F">
      <w:pPr>
        <w:pStyle w:val="Firebullet"/>
      </w:pPr>
      <w:r w:rsidRPr="007F07C2">
        <w:t>Taken reasonable steps for the prevention and detection of fraud and other irregularities</w:t>
      </w:r>
    </w:p>
    <w:p w14:paraId="60D11AFE" w14:textId="77777777" w:rsidR="00103626" w:rsidRDefault="00103626" w:rsidP="0079406E">
      <w:pPr>
        <w:pStyle w:val="Default"/>
        <w:rPr>
          <w:rFonts w:asciiTheme="minorHAnsi" w:hAnsiTheme="minorHAnsi"/>
          <w:color w:val="auto"/>
          <w:sz w:val="22"/>
          <w:szCs w:val="22"/>
        </w:rPr>
      </w:pPr>
    </w:p>
    <w:p w14:paraId="33B0C961" w14:textId="77777777" w:rsidR="00271E48" w:rsidRPr="007F07C2" w:rsidRDefault="00271E48" w:rsidP="0079406E">
      <w:pPr>
        <w:pStyle w:val="Default"/>
        <w:rPr>
          <w:rFonts w:asciiTheme="minorHAnsi" w:hAnsiTheme="minorHAnsi"/>
          <w:color w:val="auto"/>
          <w:sz w:val="22"/>
          <w:szCs w:val="22"/>
        </w:rPr>
      </w:pPr>
    </w:p>
    <w:p w14:paraId="51057B35" w14:textId="77777777" w:rsidR="00103626" w:rsidRPr="007F07C2" w:rsidRDefault="73E618DD" w:rsidP="002A1ADD">
      <w:pPr>
        <w:pStyle w:val="VAHeadingLevel2"/>
      </w:pPr>
      <w:r w:rsidRPr="717F6110">
        <w:t xml:space="preserve">The Chief Finance Officer’s certificate </w:t>
      </w:r>
    </w:p>
    <w:p w14:paraId="5A548089" w14:textId="0023F4CF" w:rsidR="00103626" w:rsidRPr="007F07C2" w:rsidRDefault="73E618DD" w:rsidP="00A6442F">
      <w:r>
        <w:t xml:space="preserve">I certify that the Statement of Accounts has been prepared in accordance with the CIPFA/LASAAC Code and present a true and fair view of the financial position of the Authority </w:t>
      </w:r>
      <w:proofErr w:type="gramStart"/>
      <w:r>
        <w:t>at</w:t>
      </w:r>
      <w:proofErr w:type="gramEnd"/>
      <w:r>
        <w:t xml:space="preserve"> 31</w:t>
      </w:r>
      <w:r w:rsidR="78152543" w:rsidRPr="717F6110">
        <w:rPr>
          <w:vertAlign w:val="superscript"/>
        </w:rPr>
        <w:t>st</w:t>
      </w:r>
      <w:r w:rsidR="78152543">
        <w:t xml:space="preserve"> </w:t>
      </w:r>
      <w:r>
        <w:t>March 20</w:t>
      </w:r>
      <w:r w:rsidR="59553053">
        <w:t>2</w:t>
      </w:r>
      <w:r w:rsidR="419A92D2">
        <w:t>5</w:t>
      </w:r>
      <w:r>
        <w:t xml:space="preserve"> and its income and expenditure for the year ended 31</w:t>
      </w:r>
      <w:r w:rsidR="78152543" w:rsidRPr="717F6110">
        <w:rPr>
          <w:vertAlign w:val="superscript"/>
        </w:rPr>
        <w:t>st</w:t>
      </w:r>
      <w:r w:rsidR="78152543">
        <w:t xml:space="preserve"> </w:t>
      </w:r>
      <w:r>
        <w:t>March 20</w:t>
      </w:r>
      <w:r w:rsidR="59553053">
        <w:t>2</w:t>
      </w:r>
      <w:r w:rsidR="419A92D2">
        <w:t>5</w:t>
      </w:r>
      <w:r>
        <w:t xml:space="preserve">. </w:t>
      </w:r>
    </w:p>
    <w:p w14:paraId="59E4E49E" w14:textId="77777777" w:rsidR="00DF3969" w:rsidRPr="007F07C2" w:rsidRDefault="00DF3969" w:rsidP="00DF3969"/>
    <w:p w14:paraId="3D23662D" w14:textId="77777777" w:rsidR="00DF3969" w:rsidRDefault="00DF3969" w:rsidP="00DF3969"/>
    <w:p w14:paraId="189E9CCF" w14:textId="63758DD7" w:rsidR="00DF3969" w:rsidRDefault="00DF3969" w:rsidP="00DF3969"/>
    <w:p w14:paraId="5A23362F" w14:textId="77777777" w:rsidR="00D43225" w:rsidRPr="003349A7" w:rsidRDefault="00D43225" w:rsidP="00DF3969"/>
    <w:p w14:paraId="17F26966" w14:textId="77777777" w:rsidR="00DF3969" w:rsidRPr="00D85081" w:rsidRDefault="00DF3969" w:rsidP="00DF3969">
      <w:pPr>
        <w:rPr>
          <w:b/>
          <w:bCs/>
        </w:rPr>
      </w:pPr>
      <w:r w:rsidRPr="00D85081">
        <w:rPr>
          <w:b/>
          <w:bCs/>
        </w:rPr>
        <w:t>Vaughan Ashcroft</w:t>
      </w:r>
    </w:p>
    <w:p w14:paraId="49C22A5F" w14:textId="77777777" w:rsidR="00DF3969" w:rsidRPr="00D85081" w:rsidRDefault="00DF3969" w:rsidP="00DF3969">
      <w:pPr>
        <w:rPr>
          <w:b/>
          <w:bCs/>
        </w:rPr>
      </w:pPr>
      <w:r w:rsidRPr="00D85081">
        <w:rPr>
          <w:b/>
          <w:bCs/>
        </w:rPr>
        <w:t>Chief Finance Officer and s151 Officer</w:t>
      </w:r>
    </w:p>
    <w:p w14:paraId="38E060D2" w14:textId="77777777" w:rsidR="00DF3969" w:rsidRPr="00D85081" w:rsidRDefault="00DF3969" w:rsidP="00DF3969">
      <w:pPr>
        <w:rPr>
          <w:b/>
          <w:bCs/>
        </w:rPr>
      </w:pPr>
      <w:r w:rsidRPr="00D85081">
        <w:rPr>
          <w:b/>
          <w:bCs/>
        </w:rPr>
        <w:t>Northamptonshire Commissioner Fire and Rescue Authority</w:t>
      </w:r>
    </w:p>
    <w:p w14:paraId="7FF3EC10" w14:textId="6BFAB851" w:rsidR="00B048C8" w:rsidRPr="003349A7" w:rsidRDefault="00DF3969" w:rsidP="00DF3969">
      <w:r w:rsidRPr="0066484D">
        <w:t xml:space="preserve">Date: </w:t>
      </w:r>
      <w:r w:rsidR="00FA24DB">
        <w:t>24/</w:t>
      </w:r>
      <w:r w:rsidR="00F66E75">
        <w:t>02/2026</w:t>
      </w:r>
      <w:r w:rsidR="00B048C8" w:rsidRPr="003349A7">
        <w:br w:type="page"/>
      </w:r>
    </w:p>
    <w:p w14:paraId="1162F0BE" w14:textId="55D7CAAA" w:rsidR="0097774C" w:rsidRPr="007F07C2" w:rsidRDefault="788150CC" w:rsidP="002A1ADD">
      <w:pPr>
        <w:pStyle w:val="ChapterHeading"/>
      </w:pPr>
      <w:r w:rsidRPr="717F6110">
        <w:lastRenderedPageBreak/>
        <w:t>Statement of Accounting Policies</w:t>
      </w:r>
    </w:p>
    <w:p w14:paraId="61C830CE" w14:textId="2EB906B6" w:rsidR="0097774C" w:rsidRPr="007F07C2" w:rsidRDefault="0097774C" w:rsidP="00271E48">
      <w:r w:rsidRPr="007F07C2">
        <w:t xml:space="preserve">The Financial Statements must meet the accounting requirements of the CIPFA Code of Practice on Local Authority Accounting which has been agreed with HM Treasury. </w:t>
      </w:r>
      <w:r w:rsidR="00A6442F">
        <w:t xml:space="preserve"> </w:t>
      </w:r>
      <w:r w:rsidRPr="007F07C2">
        <w:t>Consequently, the following financial statements have been prepared in accordance with the CIPFA Code of Practice on Local Authority Accounting 202</w:t>
      </w:r>
      <w:r w:rsidR="00497FA8">
        <w:t>4</w:t>
      </w:r>
      <w:r w:rsidRPr="007F07C2">
        <w:t>/2</w:t>
      </w:r>
      <w:r w:rsidR="00497FA8">
        <w:t>5</w:t>
      </w:r>
      <w:r w:rsidRPr="007F07C2">
        <w:t>.</w:t>
      </w:r>
      <w:r w:rsidR="00A6442F">
        <w:t xml:space="preserve"> </w:t>
      </w:r>
      <w:r w:rsidRPr="007F07C2">
        <w:t xml:space="preserve"> The accounting policies contained in the CIPFA Code of Practice follow International Financial Reporting Standards to the extent that they are meaningful and appropriate to Local Authority Accounts, as determined by H</w:t>
      </w:r>
      <w:r w:rsidR="000B1B67">
        <w:t>is Majesty’s</w:t>
      </w:r>
      <w:r w:rsidRPr="007F07C2">
        <w:t xml:space="preserve"> Treasury, who are advised by the Financial Reporting Advisory Board. </w:t>
      </w:r>
      <w:r w:rsidR="00A6442F">
        <w:t xml:space="preserve"> </w:t>
      </w:r>
      <w:r w:rsidRPr="007F07C2">
        <w:t xml:space="preserve">Where the CIPFA Code of Practice on Local Authority Accounting permits a choice of accounting policy, the accounting policy which is judged to be the most appropriate to the particular circumstances of the Authority for the purpose of presenting fairly the position of the Authority is selected. </w:t>
      </w:r>
      <w:r w:rsidR="00A6442F">
        <w:t xml:space="preserve"> </w:t>
      </w:r>
      <w:r w:rsidRPr="007F07C2">
        <w:t xml:space="preserve">The particular policies adopted by the Authority are described below and they have been applied consistently in dealing with items considered material in relation to the Accounts. </w:t>
      </w:r>
    </w:p>
    <w:p w14:paraId="58052B5F" w14:textId="77777777" w:rsidR="0097774C" w:rsidRPr="007F07C2" w:rsidRDefault="0097774C" w:rsidP="00271E48"/>
    <w:p w14:paraId="595DC1DD" w14:textId="77777777" w:rsidR="0097774C" w:rsidRPr="007F07C2" w:rsidRDefault="4E993319" w:rsidP="002A1ADD">
      <w:pPr>
        <w:pStyle w:val="VAHeadingLevel2"/>
      </w:pPr>
      <w:r w:rsidRPr="717F6110">
        <w:t xml:space="preserve">Accounting Convention </w:t>
      </w:r>
    </w:p>
    <w:p w14:paraId="7CE319C4" w14:textId="77777777" w:rsidR="0097774C" w:rsidRPr="007F07C2" w:rsidRDefault="0097774C" w:rsidP="00271E48">
      <w:r w:rsidRPr="007F07C2">
        <w:t xml:space="preserve">These Accounts have been prepared under the historical cost convention, modified to account for the revaluation of property, plant and equipment, intangible assets and inventories. Where appropriate, financial assets and liabilities have been impaired or discounted to bring them to fair value. </w:t>
      </w:r>
    </w:p>
    <w:p w14:paraId="2F607648" w14:textId="77777777" w:rsidR="0097774C" w:rsidRPr="007F07C2" w:rsidRDefault="0097774C" w:rsidP="00271E48"/>
    <w:p w14:paraId="22A66839" w14:textId="77777777" w:rsidR="0097774C" w:rsidRPr="007F07C2" w:rsidRDefault="4E993319" w:rsidP="002A1ADD">
      <w:pPr>
        <w:pStyle w:val="VAHeadingLevel2"/>
      </w:pPr>
      <w:r w:rsidRPr="717F6110">
        <w:t xml:space="preserve">Acquisitions and Discontinued Operations </w:t>
      </w:r>
    </w:p>
    <w:p w14:paraId="64F911CB" w14:textId="77777777" w:rsidR="0097774C" w:rsidRPr="007F07C2" w:rsidRDefault="0097774C" w:rsidP="00271E48">
      <w:r w:rsidRPr="007F07C2">
        <w:t xml:space="preserve">Activities are considered to be ‘acquired’ only if they are taken on from outside the public sector. Activities are considered to be ‘discontinued’ only if they cease entirely. They are not considered to be ‘discontinued’ if they transfer from one public sector body to another. The Authority has not acquired or discontinued any operations during the reporting period. </w:t>
      </w:r>
    </w:p>
    <w:p w14:paraId="422C96B3" w14:textId="77777777" w:rsidR="0097774C" w:rsidRPr="007F07C2" w:rsidRDefault="0097774C" w:rsidP="00271E48"/>
    <w:p w14:paraId="439E37D4" w14:textId="77777777" w:rsidR="0097774C" w:rsidRPr="007F07C2" w:rsidRDefault="4E993319" w:rsidP="002A1ADD">
      <w:pPr>
        <w:pStyle w:val="VAHeadingLevel2"/>
      </w:pPr>
      <w:r w:rsidRPr="717F6110">
        <w:t xml:space="preserve">Going Concern </w:t>
      </w:r>
    </w:p>
    <w:p w14:paraId="27D0A1F3" w14:textId="77777777" w:rsidR="0097774C" w:rsidRPr="007F07C2" w:rsidRDefault="0097774C" w:rsidP="00271E48">
      <w:r w:rsidRPr="007F07C2">
        <w:t>These accounts have been prepared on a going concern basis.</w:t>
      </w:r>
    </w:p>
    <w:p w14:paraId="09E1AA44" w14:textId="77777777" w:rsidR="0097774C" w:rsidRPr="007F07C2" w:rsidRDefault="0097774C" w:rsidP="00271E48"/>
    <w:p w14:paraId="314DB504" w14:textId="0E20C832" w:rsidR="0097774C" w:rsidRPr="007F07C2" w:rsidRDefault="0097774C" w:rsidP="00271E48">
      <w:r w:rsidRPr="007F07C2">
        <w:t>The concept of a going concern assumes that the functions of the Northamptonshire Commissioner Fire and Rescue Authority will continue in operational existence for the foreseeable future. The provisions in the Code (Code of Practice on Local Authority Accounting in the United Kingdom 202</w:t>
      </w:r>
      <w:r w:rsidR="0076096A">
        <w:t>4</w:t>
      </w:r>
      <w:r w:rsidRPr="007F07C2">
        <w:t>/2</w:t>
      </w:r>
      <w:r w:rsidR="0076096A">
        <w:t>5</w:t>
      </w:r>
      <w:r w:rsidRPr="007F07C2">
        <w:t xml:space="preserve">) in respect of going concern reporting requirements reflect the economic and statutory environment in which fire and rescue services operate. </w:t>
      </w:r>
    </w:p>
    <w:p w14:paraId="0D262AC8" w14:textId="77777777" w:rsidR="0097774C" w:rsidRPr="007F07C2" w:rsidRDefault="0097774C" w:rsidP="00271E48">
      <w:r w:rsidRPr="007F07C2">
        <w:t xml:space="preserve"> </w:t>
      </w:r>
    </w:p>
    <w:p w14:paraId="0C43E359" w14:textId="77777777" w:rsidR="0097774C" w:rsidRPr="007F07C2" w:rsidRDefault="0097774C" w:rsidP="00271E48">
      <w:r w:rsidRPr="007F07C2">
        <w:t>These provisions confirm that, as fire and rescue services cannot be created or dissolved without statutory prescription, they must prepare their financial statements on a going concern basis of accounting.</w:t>
      </w:r>
    </w:p>
    <w:p w14:paraId="237572A6" w14:textId="77777777" w:rsidR="0097774C" w:rsidRPr="007F07C2" w:rsidRDefault="0097774C" w:rsidP="00271E48">
      <w:r w:rsidRPr="007F07C2">
        <w:t xml:space="preserve"> </w:t>
      </w:r>
    </w:p>
    <w:p w14:paraId="6BBC0F50" w14:textId="77777777" w:rsidR="0097774C" w:rsidRPr="00026A06" w:rsidRDefault="0097774C" w:rsidP="00271E48">
      <w:r w:rsidRPr="007F07C2">
        <w:t>Fire and Rescue services carry out functions essential to the local community and are themselves revenue-raising bodies (</w:t>
      </w:r>
      <w:r w:rsidRPr="000B7152">
        <w:t>with limits on their revenue-raising powers arising only at the discretion of central government). If a fire and rescue authority were in financial difficulty, the prospects are thus that a</w:t>
      </w:r>
      <w:r w:rsidRPr="00026A06">
        <w:t>lternative arrangements might be made by central government either for the continuation of the functions it provides or for assistance with the recovery of a deficit over more than one financial year. As a result of this, it would not therefore be appropriate for the financial statements to be provided on anything other than a going concern basis.  Accounts drawn up under the Code therefore assume that a fire and rescue authority and service will continue to operate for the foreseeable future.</w:t>
      </w:r>
    </w:p>
    <w:p w14:paraId="28A45511" w14:textId="77777777" w:rsidR="0097774C" w:rsidRPr="00026A06" w:rsidRDefault="0097774C" w:rsidP="00271E48"/>
    <w:p w14:paraId="43604152" w14:textId="27CF82A5" w:rsidR="0097774C" w:rsidRPr="007F07C2" w:rsidRDefault="0097774C" w:rsidP="00271E48">
      <w:r w:rsidRPr="00F410FA">
        <w:t>NCFRA have undertaken cashflow modelling which demonstrates the Authority’s ability to work within its Capital Financing Requirement and has a realistic headroom on a £</w:t>
      </w:r>
      <w:r w:rsidR="00F410FA" w:rsidRPr="00F410FA">
        <w:t>31.4</w:t>
      </w:r>
      <w:r w:rsidRPr="00F410FA">
        <w:t>m annual budget, together with sufficient scope for borrowing if required.</w:t>
      </w:r>
    </w:p>
    <w:p w14:paraId="5EB6BFF4" w14:textId="77777777" w:rsidR="0097774C" w:rsidRPr="007F07C2" w:rsidRDefault="0097774C" w:rsidP="00271E48">
      <w:r w:rsidRPr="007F07C2">
        <w:t xml:space="preserve"> </w:t>
      </w:r>
    </w:p>
    <w:p w14:paraId="23EED353" w14:textId="77777777" w:rsidR="0097774C" w:rsidRPr="007F07C2" w:rsidRDefault="0097774C" w:rsidP="00271E48">
      <w:r w:rsidRPr="007F07C2">
        <w:t>At the time of the approval of the accounts, the Authority has only one long term</w:t>
      </w:r>
      <w:r>
        <w:t xml:space="preserve"> loan</w:t>
      </w:r>
      <w:r w:rsidRPr="007F07C2">
        <w:t xml:space="preserve"> which is well below the Authority’s operational boundary and authorised limit</w:t>
      </w:r>
      <w:r>
        <w:t xml:space="preserve">. The </w:t>
      </w:r>
      <w:r w:rsidRPr="007F07C2">
        <w:t>costs</w:t>
      </w:r>
      <w:r>
        <w:t xml:space="preserve"> of this borrowing </w:t>
      </w:r>
      <w:proofErr w:type="gramStart"/>
      <w:r>
        <w:t>is</w:t>
      </w:r>
      <w:proofErr w:type="gramEnd"/>
      <w:r w:rsidRPr="007F07C2">
        <w:t xml:space="preserve"> included within the MTFP.</w:t>
      </w:r>
    </w:p>
    <w:p w14:paraId="1C2DEF45" w14:textId="77777777" w:rsidR="0097774C" w:rsidRPr="007F07C2" w:rsidRDefault="0097774C" w:rsidP="00271E48">
      <w:r w:rsidRPr="007F07C2">
        <w:t xml:space="preserve"> </w:t>
      </w:r>
    </w:p>
    <w:p w14:paraId="2940F4EC" w14:textId="77777777" w:rsidR="0097774C" w:rsidRPr="007F07C2" w:rsidRDefault="0097774C" w:rsidP="00271E48">
      <w:r w:rsidRPr="007F07C2">
        <w:lastRenderedPageBreak/>
        <w:t>NCFRA therefore concludes that it is appropriate to prepare the financial statements on a going concern basis and that NCFRA will continue to be a going concern, 12 months from the date of the approval of these accounts.</w:t>
      </w:r>
    </w:p>
    <w:p w14:paraId="53F65761" w14:textId="77777777" w:rsidR="00A6442F" w:rsidRDefault="00A6442F" w:rsidP="00271E48">
      <w:pPr>
        <w:rPr>
          <w:b/>
          <w:bCs/>
        </w:rPr>
      </w:pPr>
    </w:p>
    <w:p w14:paraId="04D82BE7" w14:textId="443866DA" w:rsidR="0097774C" w:rsidRPr="007F07C2" w:rsidRDefault="4E993319" w:rsidP="002A1ADD">
      <w:pPr>
        <w:pStyle w:val="VAHeadingLevel2"/>
      </w:pPr>
      <w:r w:rsidRPr="717F6110">
        <w:t xml:space="preserve">Accruals of Income and Expenditure </w:t>
      </w:r>
    </w:p>
    <w:p w14:paraId="7418E693" w14:textId="77777777" w:rsidR="0097774C" w:rsidRPr="007F07C2" w:rsidRDefault="0097774C" w:rsidP="00271E48">
      <w:r w:rsidRPr="007F07C2">
        <w:t>Activity is accounted for in the year that it takes place, not simply when cash payments are made or received. In particular:</w:t>
      </w:r>
    </w:p>
    <w:p w14:paraId="7A52954D" w14:textId="77777777" w:rsidR="0097774C" w:rsidRPr="007F07C2" w:rsidRDefault="0097774C" w:rsidP="00271E48"/>
    <w:p w14:paraId="45ADAAF5" w14:textId="4E3562F8" w:rsidR="0097774C" w:rsidRPr="007F07C2" w:rsidRDefault="0097774C" w:rsidP="00A6442F">
      <w:pPr>
        <w:pStyle w:val="Firebullet"/>
      </w:pPr>
      <w:r w:rsidRPr="007F07C2">
        <w:t>Supplies are recorded as expenditure when they are consumed. Where there is a gap between the date supplies are received and their consumption, they are carried as inventories on the Balance Sheet</w:t>
      </w:r>
    </w:p>
    <w:p w14:paraId="17E12BDC" w14:textId="71229E3B" w:rsidR="0097774C" w:rsidRPr="007F07C2" w:rsidRDefault="0097774C" w:rsidP="00A6442F">
      <w:pPr>
        <w:pStyle w:val="Firebullet"/>
      </w:pPr>
      <w:r w:rsidRPr="007F07C2">
        <w:t>Expenses in relation to services received (including services provided by employees) are recorded as expenditure when the services are received rather than when payments are made</w:t>
      </w:r>
    </w:p>
    <w:p w14:paraId="57ACAE0A" w14:textId="581D2AFA" w:rsidR="0097774C" w:rsidRPr="00A6442F" w:rsidRDefault="0097774C" w:rsidP="00A6442F">
      <w:pPr>
        <w:pStyle w:val="Firebullet"/>
      </w:pPr>
      <w:r w:rsidRPr="007F07C2">
        <w:t>Fees, charges and rents due are accounted for as income at the date the Authority provides the relevant goods or services</w:t>
      </w:r>
    </w:p>
    <w:p w14:paraId="36C978CB" w14:textId="7206A83C" w:rsidR="0097774C" w:rsidRPr="007F07C2" w:rsidRDefault="0097774C" w:rsidP="00A6442F">
      <w:pPr>
        <w:pStyle w:val="Firebullet"/>
      </w:pPr>
      <w:r w:rsidRPr="007F07C2">
        <w:t>Interest payable on borrowings and receivable on investments is accounted for as expenditure or income respectively on the basis of the effective interest rate for the relevant financial instrument rather than the cash flows fixed or determined by the contract</w:t>
      </w:r>
    </w:p>
    <w:p w14:paraId="6A2BCA2D" w14:textId="047109D3" w:rsidR="0097774C" w:rsidRPr="007F07C2" w:rsidRDefault="0097774C" w:rsidP="00A6442F">
      <w:pPr>
        <w:pStyle w:val="Firebullet"/>
      </w:pPr>
      <w:r w:rsidRPr="007F07C2">
        <w:t>Where income and expenditure has been recognised but cash has not yet been received or paid, a debtor or creditor for the relevant amount is recorded in the Balance Sheet. Where it is doubtful that debts will be settled, the balance of debtors is written down and a charge made to revenue for the income that might not be collected</w:t>
      </w:r>
    </w:p>
    <w:p w14:paraId="2CF816A9" w14:textId="77777777" w:rsidR="0097774C" w:rsidRPr="007F07C2" w:rsidRDefault="0097774C" w:rsidP="000E709E">
      <w:pPr>
        <w:pStyle w:val="Default"/>
        <w:jc w:val="both"/>
        <w:rPr>
          <w:rFonts w:asciiTheme="minorHAnsi" w:hAnsiTheme="minorHAnsi"/>
          <w:color w:val="auto"/>
          <w:sz w:val="22"/>
          <w:szCs w:val="20"/>
        </w:rPr>
      </w:pPr>
    </w:p>
    <w:p w14:paraId="448A23F7" w14:textId="77777777" w:rsidR="0097774C" w:rsidRPr="00E75785" w:rsidRDefault="4E993319" w:rsidP="002A1ADD">
      <w:pPr>
        <w:pStyle w:val="VAHeadingLevel2"/>
      </w:pPr>
      <w:r w:rsidRPr="717F6110">
        <w:t xml:space="preserve">Employee Benefits </w:t>
      </w:r>
    </w:p>
    <w:p w14:paraId="02929B04" w14:textId="77777777" w:rsidR="0097774C" w:rsidRPr="00E75785" w:rsidRDefault="0097774C" w:rsidP="000E709E">
      <w:pPr>
        <w:pStyle w:val="Default"/>
        <w:jc w:val="both"/>
        <w:rPr>
          <w:rFonts w:asciiTheme="minorHAnsi" w:hAnsiTheme="minorHAnsi" w:cstheme="minorHAnsi"/>
          <w:color w:val="auto"/>
          <w:sz w:val="22"/>
          <w:szCs w:val="22"/>
        </w:rPr>
      </w:pPr>
    </w:p>
    <w:p w14:paraId="4D51AB97" w14:textId="77777777" w:rsidR="0097774C" w:rsidRPr="00E75785" w:rsidRDefault="4E993319" w:rsidP="717F6110">
      <w:pPr>
        <w:pStyle w:val="VAHeadingLevel3"/>
        <w:rPr>
          <w:color w:val="AB2328"/>
        </w:rPr>
      </w:pPr>
      <w:r w:rsidRPr="717F6110">
        <w:rPr>
          <w:color w:val="AB2328"/>
        </w:rPr>
        <w:t xml:space="preserve">Benefits Payable during Employment </w:t>
      </w:r>
    </w:p>
    <w:p w14:paraId="5130901B" w14:textId="688C419E" w:rsidR="0097774C" w:rsidRPr="00E75785" w:rsidRDefault="0097774C" w:rsidP="00271E48">
      <w:r w:rsidRPr="00E75785">
        <w:t xml:space="preserve">Short-term employee benefits are those due to be settled within 12 months of the year-end. They include such benefits as salaries, paid annual leave and flexitime, bonuses and non-monetary benefits (for example cars) for current employees and are recognised as an expense in the year in which employees render service to the Authority. The CIPFA Code of Practice on Local Authority Accounting requires the Authority to recognise the amount of untaken annual leave at the </w:t>
      </w:r>
      <w:proofErr w:type="gramStart"/>
      <w:r w:rsidRPr="00E75785">
        <w:t>31</w:t>
      </w:r>
      <w:r w:rsidR="00E02F0A" w:rsidRPr="000E709E">
        <w:rPr>
          <w:vertAlign w:val="superscript"/>
        </w:rPr>
        <w:t>st</w:t>
      </w:r>
      <w:proofErr w:type="gramEnd"/>
      <w:r w:rsidRPr="00E75785">
        <w:t xml:space="preserve"> March as a liability which is reflected on the Balance Sheet. To ensure consistency annual leave costs have been reflected in the year in which the annual leave should have been taken.  </w:t>
      </w:r>
    </w:p>
    <w:p w14:paraId="4F153AE4" w14:textId="77777777" w:rsidR="0097774C" w:rsidRPr="00E75785" w:rsidRDefault="0097774C" w:rsidP="00271E48"/>
    <w:p w14:paraId="02322E8F" w14:textId="77777777" w:rsidR="0097774C" w:rsidRPr="00E75785" w:rsidRDefault="4E993319" w:rsidP="717F6110">
      <w:pPr>
        <w:pStyle w:val="VAHeadingLevel3"/>
        <w:rPr>
          <w:color w:val="AB2328"/>
        </w:rPr>
      </w:pPr>
      <w:r w:rsidRPr="717F6110">
        <w:rPr>
          <w:color w:val="AB2328"/>
        </w:rPr>
        <w:t xml:space="preserve">Termination Benefits </w:t>
      </w:r>
    </w:p>
    <w:p w14:paraId="5A30E61C" w14:textId="62769705" w:rsidR="0097774C" w:rsidRPr="00E75785" w:rsidRDefault="0097774C" w:rsidP="00271E48">
      <w:r w:rsidRPr="00E75785">
        <w:t xml:space="preserve">Termination benefits are amounts payable as a result of a decision by the Authority to terminate an </w:t>
      </w:r>
      <w:r w:rsidR="007112B6">
        <w:t>employee</w:t>
      </w:r>
      <w:r w:rsidRPr="00E75785">
        <w:t xml:space="preserve">’s employment before the normal retirement date or of an </w:t>
      </w:r>
      <w:r w:rsidR="007112B6">
        <w:t>employee</w:t>
      </w:r>
      <w:r w:rsidRPr="00E75785">
        <w:t>’s decision to accept voluntary redundancy in exchange for those benefits. These are charged on an Accruals basis to the C</w:t>
      </w:r>
      <w:r w:rsidR="000B1B67">
        <w:t xml:space="preserve">IES </w:t>
      </w:r>
      <w:r w:rsidRPr="00E75785">
        <w:t xml:space="preserve">at the earlier of when the Authority can no longer withdraw the offer of those benefits or when the Authority recognises costs for a restructuring. </w:t>
      </w:r>
    </w:p>
    <w:p w14:paraId="20F8A8ED" w14:textId="77777777" w:rsidR="0097774C" w:rsidRPr="00E75785" w:rsidRDefault="0097774C" w:rsidP="00271E48"/>
    <w:p w14:paraId="7E755406" w14:textId="77777777" w:rsidR="0097774C" w:rsidRPr="00E75785" w:rsidRDefault="0097774C" w:rsidP="00271E48">
      <w:r w:rsidRPr="00E75785">
        <w:t>When termination benefits involve the enhancement of pensions, statutory provisions require the General Fund Balance to be charged with the amount payable by the Authority to the Pension Fund or pensioner in the year, not the amount calculated according to the relevant accounting standards. In the Movement in Reserves Statement,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year-end.</w:t>
      </w:r>
    </w:p>
    <w:p w14:paraId="478A2CB0" w14:textId="77777777" w:rsidR="00655D3D" w:rsidRDefault="00655D3D" w:rsidP="00271E48">
      <w:pPr>
        <w:rPr>
          <w:b/>
          <w:bCs/>
        </w:rPr>
      </w:pPr>
    </w:p>
    <w:p w14:paraId="762578C4" w14:textId="2428AD39" w:rsidR="0097774C" w:rsidRPr="00E75785" w:rsidRDefault="4E993319" w:rsidP="717F6110">
      <w:pPr>
        <w:pStyle w:val="VAHeadingLevel3"/>
        <w:rPr>
          <w:color w:val="AB2328"/>
        </w:rPr>
      </w:pPr>
      <w:r w:rsidRPr="717F6110">
        <w:rPr>
          <w:color w:val="AB2328"/>
        </w:rPr>
        <w:t xml:space="preserve">Retirement Benefits </w:t>
      </w:r>
    </w:p>
    <w:p w14:paraId="1696EA85" w14:textId="77777777" w:rsidR="0097774C" w:rsidRPr="00E75785" w:rsidRDefault="0097774C" w:rsidP="00271E48">
      <w:r w:rsidRPr="00E75785">
        <w:t xml:space="preserve">Employees of the Authority are members of the following pensions schemes: </w:t>
      </w:r>
    </w:p>
    <w:p w14:paraId="36AFB8C6" w14:textId="77777777" w:rsidR="0097774C" w:rsidRPr="00E75785" w:rsidRDefault="0097774C" w:rsidP="00271E48"/>
    <w:p w14:paraId="0E505036" w14:textId="77777777" w:rsidR="0097774C" w:rsidRPr="00E75785" w:rsidRDefault="0097774C" w:rsidP="00A6442F">
      <w:pPr>
        <w:pStyle w:val="Firebullet"/>
      </w:pPr>
      <w:r w:rsidRPr="00E75785">
        <w:t xml:space="preserve">The 1992, 2006, 2015 and Modified Firefighters’ Pension Schemes (FPS) - these are unfunded schemes, which means that there </w:t>
      </w:r>
      <w:proofErr w:type="gramStart"/>
      <w:r w:rsidRPr="00E75785">
        <w:t>are</w:t>
      </w:r>
      <w:proofErr w:type="gramEnd"/>
      <w:r w:rsidRPr="00E75785">
        <w:t xml:space="preserve"> no investment assets built up to meet the pensions liabilities, and cash has to be generated to meet the actual payments as they fall due. The Authority is required by legislation to operate a </w:t>
      </w:r>
      <w:r w:rsidRPr="00E75785">
        <w:lastRenderedPageBreak/>
        <w:t xml:space="preserve">Pension Fund, with the amounts that must be paid into or out of the Pension Fund being specified by regulation. The Authority set up a Pension Fund on 1 April 2006 from which pension payments are made and into which contributions, from the Authority and employees, are received. The Pension Fund receives a top-up grant from the Government equal to the deficit each year, with any surplus on the Pension Fund being repaid to the Government. The Pension Fund is shown separately in the Accounts </w:t>
      </w:r>
    </w:p>
    <w:p w14:paraId="3A21D7A6" w14:textId="360D1B0A" w:rsidR="0097774C" w:rsidRPr="00E75785" w:rsidRDefault="0097774C" w:rsidP="00A6442F">
      <w:pPr>
        <w:pStyle w:val="Firebullet"/>
      </w:pPr>
      <w:r w:rsidRPr="00E75785">
        <w:t>The Local Government Pension Scheme (LGPS) for support staff, administered by the Northamptonshire Pension Fund, is a funded scheme, which means that the Authority and employees pay contributions into a fund, calculated at a level intended to balance the pensions liabilities with investment Assets</w:t>
      </w:r>
    </w:p>
    <w:p w14:paraId="3F5ABF57" w14:textId="77777777" w:rsidR="0097774C" w:rsidRPr="00E75785" w:rsidRDefault="0097774C" w:rsidP="00271E48"/>
    <w:p w14:paraId="176B43C0" w14:textId="77777777" w:rsidR="0097774C" w:rsidRPr="00E75785" w:rsidRDefault="0097774C" w:rsidP="00271E48">
      <w:r w:rsidRPr="00E75785">
        <w:t xml:space="preserve">The above schemes provide defined benefits to members (retirement lump sums and pensions), earned as employees work for the Authority. They are accounted for in accordance with the requirements for Defined Benefits Schemes, based on the principle that an organisation should account for retirement benefits when it is committed to give them, even though this may be many years into the future. </w:t>
      </w:r>
    </w:p>
    <w:p w14:paraId="0912D9BF" w14:textId="77777777" w:rsidR="0097774C" w:rsidRPr="00E75785" w:rsidRDefault="0097774C" w:rsidP="00271E48"/>
    <w:p w14:paraId="33382252" w14:textId="77777777" w:rsidR="0097774C" w:rsidRPr="00E75785" w:rsidRDefault="0097774C" w:rsidP="00271E48">
      <w:r w:rsidRPr="00E75785">
        <w:t xml:space="preserve">A pensions Asset or Liability is recognised in the Balance Sheet, made up of the net position of retirement Liabilities and pension scheme Assets. Retirement Liabilities are measured on an actuarial basis using the projected unit method, by assessing the future payments that will be made in relation to retirement benefits earned to date by employees, based on assumptions about mortality rates, employee turnover rates and projections of earnings for current employees. Pension scheme assets (LGPS only) attributable to the Authority are included at their Fair Value. The Authority currently has a net pensions </w:t>
      </w:r>
      <w:proofErr w:type="gramStart"/>
      <w:r w:rsidRPr="00E75785">
        <w:t>liability</w:t>
      </w:r>
      <w:proofErr w:type="gramEnd"/>
      <w:r w:rsidRPr="00E75785">
        <w:t xml:space="preserve"> and this is matched in the Balance Sheet by a Pensions Reserve. </w:t>
      </w:r>
    </w:p>
    <w:p w14:paraId="0B896488" w14:textId="67E95ECE" w:rsidR="0097774C" w:rsidRPr="00E75785" w:rsidRDefault="0097774C" w:rsidP="00271E48">
      <w:r>
        <w:t xml:space="preserve">The change in net pensions </w:t>
      </w:r>
      <w:r w:rsidR="29719F9C">
        <w:t>l</w:t>
      </w:r>
      <w:r>
        <w:t xml:space="preserve">iability during the year is analysed into the following components: </w:t>
      </w:r>
    </w:p>
    <w:p w14:paraId="2977CE46" w14:textId="77777777" w:rsidR="00895FAC" w:rsidRDefault="00895FAC" w:rsidP="00271E48"/>
    <w:p w14:paraId="30E2667C" w14:textId="215087D6" w:rsidR="0097774C" w:rsidRPr="00E75785" w:rsidRDefault="0097774C" w:rsidP="00271E48">
      <w:r w:rsidRPr="00E75785">
        <w:t xml:space="preserve">Service cost comprising: </w:t>
      </w:r>
    </w:p>
    <w:p w14:paraId="78827BE9" w14:textId="77777777" w:rsidR="0097774C" w:rsidRPr="00E75785" w:rsidRDefault="0097774C" w:rsidP="00271E48"/>
    <w:p w14:paraId="40D883D1" w14:textId="77777777" w:rsidR="0097774C" w:rsidRPr="00E75785" w:rsidRDefault="0097774C" w:rsidP="00A6442F">
      <w:pPr>
        <w:pStyle w:val="Firebullet"/>
      </w:pPr>
      <w:r w:rsidRPr="00E75785">
        <w:t xml:space="preserve">Current service cost – the increase in Liabilities as a result of service earned by employees in the current year. This is charged to services within the Comprehensive Income and Expenditure Statement </w:t>
      </w:r>
    </w:p>
    <w:p w14:paraId="4D45D19A" w14:textId="77777777" w:rsidR="0097774C" w:rsidRPr="007F07C2" w:rsidRDefault="0097774C" w:rsidP="00A6442F">
      <w:pPr>
        <w:pStyle w:val="Firebullet"/>
        <w:rPr>
          <w:szCs w:val="20"/>
        </w:rPr>
      </w:pPr>
      <w:r w:rsidRPr="007F07C2">
        <w:rPr>
          <w:szCs w:val="20"/>
        </w:rPr>
        <w:t xml:space="preserve">Past service cost – the increase in Liabilities as a result of a scheme amendment or curtailment whose effect relates to service earned in earlier years. This is part of the services line in the Comprehensive Income and Expenditure Statement </w:t>
      </w:r>
    </w:p>
    <w:p w14:paraId="0A86D146" w14:textId="6369919F" w:rsidR="0097774C" w:rsidRPr="007F07C2" w:rsidRDefault="0097774C" w:rsidP="00A6442F">
      <w:pPr>
        <w:pStyle w:val="Firebullet"/>
        <w:rPr>
          <w:szCs w:val="20"/>
        </w:rPr>
      </w:pPr>
      <w:r w:rsidRPr="007F07C2">
        <w:rPr>
          <w:szCs w:val="20"/>
        </w:rPr>
        <w:t xml:space="preserve">Net interest on the net defined benefit </w:t>
      </w:r>
      <w:r w:rsidR="008A4A2F">
        <w:rPr>
          <w:szCs w:val="20"/>
        </w:rPr>
        <w:t>l</w:t>
      </w:r>
      <w:r w:rsidRPr="007F07C2">
        <w:rPr>
          <w:szCs w:val="20"/>
        </w:rPr>
        <w:t xml:space="preserve">iability – the change during the period in the net defined benefit </w:t>
      </w:r>
      <w:r w:rsidR="008A4A2F">
        <w:rPr>
          <w:szCs w:val="20"/>
        </w:rPr>
        <w:t>l</w:t>
      </w:r>
      <w:r w:rsidRPr="007F07C2">
        <w:rPr>
          <w:szCs w:val="20"/>
        </w:rPr>
        <w:t xml:space="preserve">iability that arises from the passage of time. This is calculated by applying the discount rate used to measure the defined benefit obligation at the beginning of the period to the net defined benefit </w:t>
      </w:r>
      <w:r w:rsidR="008A4A2F">
        <w:rPr>
          <w:szCs w:val="20"/>
        </w:rPr>
        <w:t>l</w:t>
      </w:r>
      <w:r w:rsidRPr="007F07C2">
        <w:rPr>
          <w:szCs w:val="20"/>
        </w:rPr>
        <w:t xml:space="preserve">iability at the end of the period, taking into account any changes in the net defined benefit </w:t>
      </w:r>
      <w:r w:rsidR="008A4A2F">
        <w:rPr>
          <w:szCs w:val="20"/>
        </w:rPr>
        <w:t>l</w:t>
      </w:r>
      <w:r w:rsidRPr="007F07C2">
        <w:rPr>
          <w:szCs w:val="20"/>
        </w:rPr>
        <w:t xml:space="preserve">iability during the period as a result of contribution and benefit payments. This is charged to the Financing and Investment Income and Expenditure line within the Comprehensive Income and Expenditure Statement </w:t>
      </w:r>
    </w:p>
    <w:p w14:paraId="7117131D" w14:textId="77777777" w:rsidR="0097774C" w:rsidRPr="007F07C2" w:rsidRDefault="0097774C" w:rsidP="00271E48"/>
    <w:p w14:paraId="028BBFEE" w14:textId="7DC9CCB3" w:rsidR="0097774C" w:rsidRDefault="0097774C" w:rsidP="00271E48">
      <w:r w:rsidRPr="007F07C2">
        <w:t xml:space="preserve">Remeasurements comprising: </w:t>
      </w:r>
    </w:p>
    <w:p w14:paraId="026272A7" w14:textId="77777777" w:rsidR="00EB0CAA" w:rsidRPr="007F07C2" w:rsidRDefault="00EB0CAA" w:rsidP="00271E48"/>
    <w:p w14:paraId="72E67D89" w14:textId="595237CA" w:rsidR="00A6442F" w:rsidRDefault="0097774C" w:rsidP="00A6442F">
      <w:pPr>
        <w:pStyle w:val="Firebullet"/>
      </w:pPr>
      <w:r w:rsidRPr="007F07C2">
        <w:t xml:space="preserve">The return on plan assets (LGPS only) – this excludes amounts included in net interest on the net defined benefit </w:t>
      </w:r>
      <w:r w:rsidR="00E7151B">
        <w:t>l</w:t>
      </w:r>
      <w:r w:rsidRPr="007F07C2">
        <w:t>iability and is charged to the Pensions Reserve as Other Comprehensive Income and Expenditure</w:t>
      </w:r>
    </w:p>
    <w:p w14:paraId="544FBFC0" w14:textId="41A39ECA" w:rsidR="0097774C" w:rsidRPr="00A6442F" w:rsidRDefault="0097774C" w:rsidP="00A6442F">
      <w:pPr>
        <w:pStyle w:val="Firebullet"/>
      </w:pPr>
      <w:r w:rsidRPr="00A6442F">
        <w:t xml:space="preserve">Actuarial gains and losses – changes in the net pensions </w:t>
      </w:r>
      <w:r w:rsidR="00E7151B">
        <w:t>l</w:t>
      </w:r>
      <w:r w:rsidRPr="00A6442F">
        <w:t>iability that arise because events have not coincided</w:t>
      </w:r>
      <w:r w:rsidRPr="007F07C2">
        <w:t xml:space="preserve"> with assumptions made at the last actuarial valuation or because the</w:t>
      </w:r>
      <w:r w:rsidRPr="00A6442F">
        <w:rPr>
          <w:sz w:val="28"/>
        </w:rPr>
        <w:t xml:space="preserve"> </w:t>
      </w:r>
      <w:r w:rsidRPr="007F07C2">
        <w:t>actuaries have updated their assumptions. This is charged to the Pensions Reserve as Other Comprehensive Income and Expenditure</w:t>
      </w:r>
    </w:p>
    <w:p w14:paraId="127C19AC" w14:textId="02F5310A" w:rsidR="0097774C" w:rsidRPr="007F07C2" w:rsidRDefault="0097774C" w:rsidP="00A6442F">
      <w:pPr>
        <w:pStyle w:val="Firebullet"/>
      </w:pPr>
      <w:r w:rsidRPr="007F07C2">
        <w:t xml:space="preserve">Contributions paid / benefits paid – cash paid as employer’s contribution by the Authority either to LGPS or directly to pensioners to reduce the scheme </w:t>
      </w:r>
      <w:r w:rsidR="00C078C2">
        <w:t>l</w:t>
      </w:r>
      <w:r w:rsidRPr="007F07C2">
        <w:t>iabilities</w:t>
      </w:r>
    </w:p>
    <w:p w14:paraId="3DF184B2" w14:textId="77777777" w:rsidR="0097774C" w:rsidRPr="00635F47" w:rsidRDefault="0097774C" w:rsidP="00271E48"/>
    <w:p w14:paraId="757C76C1" w14:textId="77777777" w:rsidR="0097774C" w:rsidRPr="00635F47" w:rsidRDefault="0097774C" w:rsidP="00271E48">
      <w:r w:rsidRPr="00635F47">
        <w:t xml:space="preserve">Statutory provisions require that the amount charged to the General Fund Balance is that payable by the Authority to Pensions Funds or directly to pensioners during the year rather than that calculated under accounting standards. This means that an appropriation to or from the Pensions Reserve is done within the Movement in Reserves Statement to replace the notional sums for retirement benefits with the actual </w:t>
      </w:r>
      <w:proofErr w:type="gramStart"/>
      <w:r w:rsidRPr="00635F47">
        <w:t>pensions</w:t>
      </w:r>
      <w:proofErr w:type="gramEnd"/>
      <w:r w:rsidRPr="00635F47">
        <w:t xml:space="preserve"> costs. The negative balance </w:t>
      </w:r>
      <w:r w:rsidRPr="00635F47">
        <w:lastRenderedPageBreak/>
        <w:t xml:space="preserve">on the Pensions Reserve thereby measures the beneficial impact to the General Fund of being required to account for retirement benefits on the basis of cash flows rather than as benefits are earned by employees. </w:t>
      </w:r>
    </w:p>
    <w:p w14:paraId="42E4BF00" w14:textId="77777777" w:rsidR="0097774C" w:rsidRPr="00635F47" w:rsidRDefault="0097774C" w:rsidP="00271E48"/>
    <w:p w14:paraId="5C804AA0" w14:textId="3235A6D9" w:rsidR="0097774C" w:rsidRPr="00635F47" w:rsidRDefault="0097774C" w:rsidP="00271E48">
      <w:r w:rsidRPr="00635F47">
        <w:t>On 31</w:t>
      </w:r>
      <w:r w:rsidR="00655D3D" w:rsidRPr="00655D3D">
        <w:rPr>
          <w:vertAlign w:val="superscript"/>
        </w:rPr>
        <w:t>st</w:t>
      </w:r>
      <w:r w:rsidR="00655D3D">
        <w:t xml:space="preserve"> </w:t>
      </w:r>
      <w:r w:rsidRPr="00635F47">
        <w:t xml:space="preserve">March 2022, following the Sergeant and McCloud ruling for Pensions Age Discrimination, both the 1992 &amp; 2006 schemes were </w:t>
      </w:r>
      <w:proofErr w:type="gramStart"/>
      <w:r w:rsidRPr="00635F47">
        <w:t>closed</w:t>
      </w:r>
      <w:proofErr w:type="gramEnd"/>
      <w:r w:rsidRPr="00635F47">
        <w:t xml:space="preserve"> and all members of these schemes will be transferred to the 2015 pension scheme.</w:t>
      </w:r>
    </w:p>
    <w:p w14:paraId="40030FA6" w14:textId="77777777" w:rsidR="00E8420D" w:rsidRPr="00635F47" w:rsidRDefault="00E8420D" w:rsidP="00271E48"/>
    <w:p w14:paraId="3F4637C9" w14:textId="5398583C" w:rsidR="0097774C" w:rsidRPr="00635F47" w:rsidRDefault="4E993319" w:rsidP="002A1ADD">
      <w:pPr>
        <w:pStyle w:val="VAHeadingLevel2"/>
      </w:pPr>
      <w:r w:rsidRPr="717F6110">
        <w:t xml:space="preserve">Property, Plant and Equipment Recognition </w:t>
      </w:r>
    </w:p>
    <w:p w14:paraId="03D6EAA5" w14:textId="0432F597" w:rsidR="0097774C" w:rsidRDefault="0097774C" w:rsidP="00271E48">
      <w:r w:rsidRPr="00635F47">
        <w:t xml:space="preserve">Property, plant and equipment is capitalised if: </w:t>
      </w:r>
    </w:p>
    <w:p w14:paraId="320448AB" w14:textId="77777777" w:rsidR="00655D3D" w:rsidRPr="00635F47" w:rsidRDefault="00655D3D" w:rsidP="00271E48"/>
    <w:p w14:paraId="66F48080" w14:textId="776140B1" w:rsidR="0097774C" w:rsidRPr="00635F47" w:rsidRDefault="009327CA" w:rsidP="00271E48">
      <w:pPr>
        <w:pStyle w:val="Firebullet"/>
      </w:pPr>
      <w:r>
        <w:t>I</w:t>
      </w:r>
      <w:r w:rsidR="0097774C" w:rsidRPr="00635F47">
        <w:t>t is expected to be used for more than one financial year</w:t>
      </w:r>
    </w:p>
    <w:p w14:paraId="4CF2900E" w14:textId="1F76838B" w:rsidR="0097774C" w:rsidRPr="00635F47" w:rsidRDefault="009327CA" w:rsidP="00271E48">
      <w:pPr>
        <w:pStyle w:val="Firebullet"/>
      </w:pPr>
      <w:r>
        <w:t>T</w:t>
      </w:r>
      <w:r w:rsidR="0097774C" w:rsidRPr="00635F47">
        <w:t>he cost of the item can be measured reliably</w:t>
      </w:r>
      <w:r w:rsidR="0072396E">
        <w:t>,</w:t>
      </w:r>
      <w:r w:rsidR="0097774C" w:rsidRPr="00635F47">
        <w:t xml:space="preserve"> and </w:t>
      </w:r>
    </w:p>
    <w:p w14:paraId="108D55F6" w14:textId="20A11E99" w:rsidR="0097774C" w:rsidRPr="00635F47" w:rsidRDefault="009327CA" w:rsidP="00271E48">
      <w:pPr>
        <w:pStyle w:val="Firebullet"/>
      </w:pPr>
      <w:r>
        <w:t>T</w:t>
      </w:r>
      <w:r w:rsidR="0097774C" w:rsidRPr="00635F47">
        <w:t>he item has a cost of at least £6,000 or is part of a project or replacement programme costing above £6,000</w:t>
      </w:r>
    </w:p>
    <w:p w14:paraId="19276EEC" w14:textId="77777777" w:rsidR="0097774C" w:rsidRPr="00635F47" w:rsidRDefault="0097774C" w:rsidP="00271E48"/>
    <w:p w14:paraId="18D72230" w14:textId="4754E377" w:rsidR="0097774C" w:rsidRPr="00635F47" w:rsidRDefault="0097774C" w:rsidP="00271E48">
      <w:r w:rsidRPr="00635F47">
        <w:t xml:space="preserve">Where a large Asset, for example a building, includes a number of components with significantly different Asset lives (a minimum of 5 years), </w:t>
      </w:r>
      <w:r w:rsidR="00AC7587">
        <w:t xml:space="preserve">and </w:t>
      </w:r>
      <w:r w:rsidRPr="00635F47">
        <w:t>they have a cost that is a significant proportion of the whole Asset (a minimum of 25%)</w:t>
      </w:r>
      <w:r w:rsidR="006B0AA1">
        <w:t xml:space="preserve">, </w:t>
      </w:r>
      <w:r w:rsidR="000859D1">
        <w:t>t</w:t>
      </w:r>
      <w:r w:rsidRPr="00635F47">
        <w:t xml:space="preserve">he components are treated as separate Assets and depreciated over their useful economic life. </w:t>
      </w:r>
    </w:p>
    <w:p w14:paraId="104745BC" w14:textId="77777777" w:rsidR="0097774C" w:rsidRPr="00635F47" w:rsidRDefault="0097774C" w:rsidP="00271E48"/>
    <w:p w14:paraId="194AFCEA" w14:textId="77777777" w:rsidR="0097774C" w:rsidRPr="00635F47" w:rsidRDefault="0097774C" w:rsidP="00271E48">
      <w:r w:rsidRPr="00635F47">
        <w:t xml:space="preserve">Donated Assets are recognised at their value and are defined in the CIPFA Code of Practice on Local Government Accounting as those Assets that are transferred at nil value or acquired at less than Current Value. Donated Assets that are from other public bodies are accounted for as a government grant (as required by IAS 20). </w:t>
      </w:r>
    </w:p>
    <w:p w14:paraId="6CD558A6" w14:textId="77777777" w:rsidR="0097774C" w:rsidRPr="00635F47" w:rsidRDefault="0097774C" w:rsidP="00271E48"/>
    <w:p w14:paraId="4FB6C89F" w14:textId="77777777" w:rsidR="0097774C" w:rsidRPr="00635F47" w:rsidRDefault="4E993319" w:rsidP="717F6110">
      <w:pPr>
        <w:pStyle w:val="VAHeadingLevel3"/>
        <w:rPr>
          <w:color w:val="AB2328"/>
        </w:rPr>
      </w:pPr>
      <w:r w:rsidRPr="717F6110">
        <w:rPr>
          <w:color w:val="AB2328"/>
        </w:rPr>
        <w:t xml:space="preserve">Valuation </w:t>
      </w:r>
    </w:p>
    <w:p w14:paraId="323B6064" w14:textId="77777777" w:rsidR="0097774C" w:rsidRPr="00635F47" w:rsidRDefault="0097774C" w:rsidP="00271E48">
      <w:r w:rsidRPr="00635F47">
        <w:t xml:space="preserve">All property, plant and equipment are measured initially at cost, representing the cost attributable to acquiring or constructing the Asset and bringing it to the location and condition necessary for it to be capable of operating in the manner intended by management. All Assets are measured subsequently at Current Value. </w:t>
      </w:r>
    </w:p>
    <w:p w14:paraId="2AEDB3FF" w14:textId="77777777" w:rsidR="0097774C" w:rsidRPr="00635F47" w:rsidRDefault="0097774C" w:rsidP="00271E48"/>
    <w:p w14:paraId="7C1F050A" w14:textId="433FDC9A" w:rsidR="0097774C" w:rsidRDefault="0097774C" w:rsidP="00271E48">
      <w:r w:rsidRPr="00635F47">
        <w:t xml:space="preserve">Land and buildings used by the Authority are stated in the Balance Sheet at their re-valued amounts, being the Current Value at the date of valuation. Revaluations are performed with sufficient regularity to ensure that carrying amounts are not materially different from those that would be determined at the end of the Reporting Period. Current Values are determined as follows: </w:t>
      </w:r>
    </w:p>
    <w:p w14:paraId="03FEDB36" w14:textId="77777777" w:rsidR="00655D3D" w:rsidRPr="00635F47" w:rsidRDefault="00655D3D" w:rsidP="00271E48"/>
    <w:p w14:paraId="4D1154CE" w14:textId="73D05494" w:rsidR="0097774C" w:rsidRPr="00635F47" w:rsidRDefault="0097774C" w:rsidP="00A6442F">
      <w:pPr>
        <w:pStyle w:val="Firebullet"/>
      </w:pPr>
      <w:r w:rsidRPr="00635F47">
        <w:t xml:space="preserve">Operational </w:t>
      </w:r>
      <w:r w:rsidR="00486DFB">
        <w:t>b</w:t>
      </w:r>
      <w:r w:rsidRPr="00635F47">
        <w:t xml:space="preserve">uildings – Depreciated </w:t>
      </w:r>
      <w:r w:rsidR="00F00844">
        <w:t>r</w:t>
      </w:r>
      <w:r w:rsidRPr="00635F47">
        <w:t>eplacement cost</w:t>
      </w:r>
    </w:p>
    <w:p w14:paraId="2CEF4C90" w14:textId="29D09224" w:rsidR="0097774C" w:rsidRPr="00635F47" w:rsidRDefault="0097774C" w:rsidP="00A6442F">
      <w:pPr>
        <w:pStyle w:val="Firebullet"/>
      </w:pPr>
      <w:r w:rsidRPr="00635F47">
        <w:t>Land and non-specialised buildings – Current value for existing use</w:t>
      </w:r>
    </w:p>
    <w:p w14:paraId="7358EF19" w14:textId="41AACB4C" w:rsidR="0097774C" w:rsidRPr="00635F47" w:rsidRDefault="0097774C" w:rsidP="00A6442F">
      <w:pPr>
        <w:pStyle w:val="Firebullet"/>
      </w:pPr>
      <w:r w:rsidRPr="00635F47">
        <w:t xml:space="preserve">Vehicles, plant and equipment – </w:t>
      </w:r>
      <w:r w:rsidR="00BF3445">
        <w:t>H</w:t>
      </w:r>
      <w:r w:rsidRPr="00635F47">
        <w:t>istoric cost less accumulated depreciation (as a proxy for current replacement cost)</w:t>
      </w:r>
    </w:p>
    <w:p w14:paraId="35D99A87" w14:textId="77777777" w:rsidR="0097774C" w:rsidRPr="00635F47" w:rsidRDefault="0097774C" w:rsidP="00271E48"/>
    <w:p w14:paraId="7778773C" w14:textId="5776CBF5" w:rsidR="0097774C" w:rsidRPr="00635F47" w:rsidRDefault="4533ED02" w:rsidP="6C31340A">
      <w:pPr>
        <w:rPr>
          <w:color w:val="AB2328"/>
        </w:rPr>
      </w:pPr>
      <w:r>
        <w:t>Properties in the course of construction are carried at cost, less any impairment loss. Costs include professional fees but not borrowing costs, which are recognised as expenses immediately, as allowed by IAS 23 for assets held at Current Value. Assets are re-</w:t>
      </w:r>
      <w:proofErr w:type="gramStart"/>
      <w:r>
        <w:t>valued</w:t>
      </w:r>
      <w:proofErr w:type="gramEnd"/>
      <w:r>
        <w:t xml:space="preserve"> and depreciation commences when they are brought into use.  An increase arising on revaluation is taken to the Revaluation Reserve except when it reverses an impairment previously recognised in expenditure, in which case it is credited to expenditure to the extent of the decrease previously charged there. A revaluation decrease is recognised as an Impairment charged to the Revaluation Reserve to the extent that there is a balance on the Reserve for the Asset, and, thereafter, to expenditure. Gains and losses recognised in the Revaluation Reserve are reported as other comprehensive income in the Comprehensive Income and Expenditure Statement. </w:t>
      </w:r>
    </w:p>
    <w:p w14:paraId="437136B7" w14:textId="60315ADC" w:rsidR="0097774C" w:rsidRPr="00635F47" w:rsidRDefault="4E993319" w:rsidP="6C31340A">
      <w:r>
        <w:br w:type="page"/>
      </w:r>
    </w:p>
    <w:p w14:paraId="34F1FF39" w14:textId="2688F5F3" w:rsidR="0097774C" w:rsidRPr="00635F47" w:rsidRDefault="09CC474B" w:rsidP="6C31340A">
      <w:pPr>
        <w:rPr>
          <w:color w:val="AB2328"/>
        </w:rPr>
      </w:pPr>
      <w:r w:rsidRPr="6C31340A">
        <w:rPr>
          <w:color w:val="AB2328"/>
        </w:rPr>
        <w:lastRenderedPageBreak/>
        <w:t xml:space="preserve">Disposals </w:t>
      </w:r>
    </w:p>
    <w:p w14:paraId="186595AB" w14:textId="6DDD2AF2" w:rsidR="0097774C" w:rsidRDefault="0097774C" w:rsidP="00271E48">
      <w:r w:rsidRPr="00635F47">
        <w:t xml:space="preserve">Capital receipts from the sale of non-current assets are held in the Capital Receipts Unapplied Account until such time as they are used to finance other Capital Expenditure or to repay debt. Gains and losses on the disposal of non-current assets are recognised in the Comprehensive Income and Expenditure Statement. </w:t>
      </w:r>
    </w:p>
    <w:p w14:paraId="2571F1AF" w14:textId="333C76C9" w:rsidR="00927E96" w:rsidRPr="00635F47" w:rsidRDefault="00927E96" w:rsidP="6C31340A"/>
    <w:p w14:paraId="0C2B7546" w14:textId="77777777" w:rsidR="0097774C" w:rsidRPr="00635F47" w:rsidRDefault="4E993319" w:rsidP="717F6110">
      <w:pPr>
        <w:pStyle w:val="VAHeadingLevel3"/>
        <w:rPr>
          <w:color w:val="AB2328"/>
        </w:rPr>
      </w:pPr>
      <w:r w:rsidRPr="717F6110">
        <w:rPr>
          <w:color w:val="AB2328"/>
        </w:rPr>
        <w:t xml:space="preserve">Depreciation and Impairments </w:t>
      </w:r>
    </w:p>
    <w:p w14:paraId="5FAB4208" w14:textId="77777777" w:rsidR="00E02F0A" w:rsidRDefault="0097774C" w:rsidP="00271E48">
      <w:r w:rsidRPr="00635F47">
        <w:t xml:space="preserve">Depreciation is charged to write off the costs or valuation of property, plant and equipment and intangible non-current assets, less any residual value, over their Useful Economic Lives, on a straight line basis.  The Useful Economic Life of an Asset is the period over which the Authority expects to obtain economic benefits or service potential from the Asset. This is specific to the Authority and may be shorter than the physical life of the Asset itself. The Useful Economic Life and Residual Values are reviewed each year end, with the effect of any changes recognised on a prospective basis. </w:t>
      </w:r>
    </w:p>
    <w:p w14:paraId="481F0F8A" w14:textId="77777777" w:rsidR="00E02F0A" w:rsidRDefault="00E02F0A" w:rsidP="00271E48"/>
    <w:p w14:paraId="7A3EC216" w14:textId="444C8F37" w:rsidR="0097774C" w:rsidRPr="00635F47" w:rsidRDefault="0097774C" w:rsidP="00271E48">
      <w:r w:rsidRPr="00635F47">
        <w:t xml:space="preserve">The approximate average useful lives (depreciation periods) are categorised below: </w:t>
      </w:r>
    </w:p>
    <w:p w14:paraId="54A8C705" w14:textId="77777777" w:rsidR="0097774C" w:rsidRPr="00635F47" w:rsidRDefault="0097774C" w:rsidP="00271E48"/>
    <w:p w14:paraId="69E7DC90" w14:textId="77777777" w:rsidR="0097774C" w:rsidRPr="00A6442F" w:rsidRDefault="0097774C" w:rsidP="00A6442F">
      <w:pPr>
        <w:pStyle w:val="Firebullet"/>
      </w:pPr>
      <w:r w:rsidRPr="00A6442F">
        <w:t xml:space="preserve">Buildings 30 – 60 years </w:t>
      </w:r>
    </w:p>
    <w:p w14:paraId="7F0560AB" w14:textId="77777777" w:rsidR="0097774C" w:rsidRPr="00A6442F" w:rsidRDefault="0097774C" w:rsidP="00A6442F">
      <w:pPr>
        <w:pStyle w:val="Firebullet"/>
      </w:pPr>
      <w:r w:rsidRPr="00A6442F">
        <w:t>Vehicles – Fire Appliances 15 years</w:t>
      </w:r>
    </w:p>
    <w:p w14:paraId="0C5A7098" w14:textId="77777777" w:rsidR="0097774C" w:rsidRPr="00A6442F" w:rsidRDefault="0097774C" w:rsidP="00A6442F">
      <w:pPr>
        <w:pStyle w:val="Firebullet"/>
      </w:pPr>
      <w:r w:rsidRPr="00A6442F">
        <w:t xml:space="preserve">Vehicles – Lorries and Vans 7 years </w:t>
      </w:r>
    </w:p>
    <w:p w14:paraId="049E1D10" w14:textId="77777777" w:rsidR="0097774C" w:rsidRPr="00A6442F" w:rsidRDefault="0097774C" w:rsidP="00A6442F">
      <w:pPr>
        <w:pStyle w:val="Firebullet"/>
      </w:pPr>
      <w:r w:rsidRPr="00A6442F">
        <w:t xml:space="preserve">Vehicles – Non FDS Cars and Light Vans 7 years </w:t>
      </w:r>
    </w:p>
    <w:p w14:paraId="40CD97E0" w14:textId="77777777" w:rsidR="0097774C" w:rsidRPr="00A6442F" w:rsidRDefault="0097774C" w:rsidP="00A6442F">
      <w:pPr>
        <w:pStyle w:val="Firebullet"/>
      </w:pPr>
      <w:r w:rsidRPr="00A6442F">
        <w:t xml:space="preserve">Vehicles – FDS Cars 5 years </w:t>
      </w:r>
    </w:p>
    <w:p w14:paraId="3769B242" w14:textId="1E6683DC" w:rsidR="00B415EA" w:rsidRPr="00A6442F" w:rsidRDefault="0097774C" w:rsidP="00B415EA">
      <w:pPr>
        <w:pStyle w:val="Firebullet"/>
      </w:pPr>
      <w:r w:rsidRPr="00A6442F">
        <w:t xml:space="preserve">Equipment </w:t>
      </w:r>
      <w:r w:rsidR="00B415EA">
        <w:t>3 - 25</w:t>
      </w:r>
      <w:r w:rsidRPr="00A6442F">
        <w:t xml:space="preserve"> years </w:t>
      </w:r>
    </w:p>
    <w:p w14:paraId="3189AADD" w14:textId="77777777" w:rsidR="0097774C" w:rsidRPr="00635F47" w:rsidRDefault="0097774C" w:rsidP="00271E48"/>
    <w:p w14:paraId="096CA2D3" w14:textId="77777777" w:rsidR="0097774C" w:rsidRPr="00635F47" w:rsidRDefault="0097774C" w:rsidP="00271E48">
      <w:r w:rsidRPr="00635F47">
        <w:t xml:space="preserve">Assets acquired under Finance Leases are Depreciated over the term of the lease (or the life of the asset if this is lower than the term of the lease) on a straight line basis. </w:t>
      </w:r>
    </w:p>
    <w:p w14:paraId="27AF3785" w14:textId="77777777" w:rsidR="0097774C" w:rsidRPr="00635F47" w:rsidRDefault="0097774C" w:rsidP="00271E48"/>
    <w:p w14:paraId="07F1AC02" w14:textId="77777777" w:rsidR="0097774C" w:rsidRPr="00635F47" w:rsidRDefault="0097774C" w:rsidP="00271E48">
      <w:r w:rsidRPr="00635F47">
        <w:t xml:space="preserve">At each reporting period end, the Authority checks whether there is any indication that any of its non-current Assets have suffered an impairment loss. If there is indication of an Impairment loss, the recoverable amount of the Asset is estimated to determine whether there has been a loss and, if so, its amount. </w:t>
      </w:r>
    </w:p>
    <w:p w14:paraId="5D606F2A" w14:textId="77777777" w:rsidR="0097774C" w:rsidRPr="00635F47" w:rsidRDefault="0097774C" w:rsidP="00271E48"/>
    <w:p w14:paraId="57957F10" w14:textId="77777777" w:rsidR="0097774C" w:rsidRPr="00563B8D" w:rsidRDefault="0097774C" w:rsidP="00271E48">
      <w:r w:rsidRPr="00635F47">
        <w:t xml:space="preserve">If there has been an Impairment loss, the Asset is written down to its recoverable amount, with the loss charged to the Revaluation Reserve to the extent that there is a balance on the Reserve for the Asset and, thereafter, to expenditure. Where an impairment loss subsequently reverses, the carrying amount of the Asset is increased to the </w:t>
      </w:r>
      <w:r w:rsidRPr="00563B8D">
        <w:t xml:space="preserve">revised estimate of the recoverable amount but capped at the amount that would have been determined had there been no initial impairment loss. The reversal of the impairment loss is credited to expenditure to the extent of the decrease previously charged there and thereafter to the Revaluation Reserve. </w:t>
      </w:r>
    </w:p>
    <w:p w14:paraId="1D387CBB" w14:textId="77777777" w:rsidR="0097774C" w:rsidRPr="00563B8D" w:rsidRDefault="0097774C" w:rsidP="00271E48"/>
    <w:p w14:paraId="1B15C556" w14:textId="77777777" w:rsidR="0097774C" w:rsidRPr="00563B8D" w:rsidRDefault="0097774C" w:rsidP="00271E48">
      <w:r w:rsidRPr="00563B8D">
        <w:t xml:space="preserve">The Authority undertakes regular reviews of all it’s assets to verify that they still are in use and will provide an economic benefit to the Authority.  A non-property asset that is due to last 5 years will incur depreciation for each of those five years and have a £0 balance at the end of the 5 </w:t>
      </w:r>
      <w:proofErr w:type="gramStart"/>
      <w:r w:rsidRPr="00563B8D">
        <w:t>years, but</w:t>
      </w:r>
      <w:proofErr w:type="gramEnd"/>
      <w:r w:rsidRPr="00563B8D">
        <w:t xml:space="preserve"> will still be recorded in the asset register after these five years if it still exists and provides an economic benefit to the authority.</w:t>
      </w:r>
    </w:p>
    <w:p w14:paraId="2D403EF2" w14:textId="77777777" w:rsidR="0097774C" w:rsidRPr="00563B8D" w:rsidRDefault="0097774C" w:rsidP="00271E48"/>
    <w:p w14:paraId="28047D8A" w14:textId="45B3D3E7" w:rsidR="0097774C" w:rsidRPr="00635F47" w:rsidRDefault="4533ED02" w:rsidP="6C31340A">
      <w:pPr>
        <w:rPr>
          <w:color w:val="AB2328"/>
        </w:rPr>
      </w:pPr>
      <w:r>
        <w:t xml:space="preserve">The Authority is not required to raise council tax to cover Depreciation and Impairment, however it is required to make an annual provision from its revenue budget to contribute towards the reduction in its overall borrowing requirement, the Minimum Revenue Provision (MRP). The Authority borrowed for the first time in 2021/22 for capital purposes.  The policy is to charge MRP over the life of the asset from the year after the asset acquired comes into use, </w:t>
      </w:r>
      <w:r w:rsidR="4EA8BF14">
        <w:t>with the result that the first MRP charge</w:t>
      </w:r>
      <w:r>
        <w:t xml:space="preserve"> was made in 2021/22.</w:t>
      </w:r>
    </w:p>
    <w:p w14:paraId="59A4E268" w14:textId="059D3B78" w:rsidR="0097774C" w:rsidRPr="00635F47" w:rsidRDefault="4E993319" w:rsidP="6C31340A">
      <w:r>
        <w:br w:type="page"/>
      </w:r>
    </w:p>
    <w:p w14:paraId="3286E10D" w14:textId="4EF97450" w:rsidR="0097774C" w:rsidRPr="00635F47" w:rsidRDefault="09CC474B" w:rsidP="6C31340A">
      <w:pPr>
        <w:rPr>
          <w:color w:val="AB2328"/>
        </w:rPr>
      </w:pPr>
      <w:r w:rsidRPr="6C31340A">
        <w:rPr>
          <w:color w:val="AB2328"/>
        </w:rPr>
        <w:lastRenderedPageBreak/>
        <w:t xml:space="preserve">Government Grants </w:t>
      </w:r>
    </w:p>
    <w:p w14:paraId="7B749074" w14:textId="77777777" w:rsidR="0097774C" w:rsidRDefault="0097774C" w:rsidP="00271E48">
      <w:r w:rsidRPr="00635F47">
        <w:t xml:space="preserve">Government grants are grants from Government bodies. Revenue grants are matched against the expenditure to which they relate. Capital grants are credited to income once any conditions of the grant have been satisfied. Assets purchased from government grants are valued, Depreciated and Impaired as described for purchased Assets. </w:t>
      </w:r>
    </w:p>
    <w:p w14:paraId="75BC066D" w14:textId="77777777" w:rsidR="007B082A" w:rsidRDefault="007B082A" w:rsidP="00271E48"/>
    <w:p w14:paraId="08AE762D" w14:textId="5D270767" w:rsidR="007B082A" w:rsidRPr="00635F47" w:rsidRDefault="001F0075" w:rsidP="00271E48">
      <w:r>
        <w:t xml:space="preserve">Grants received with no conditions or restrictions </w:t>
      </w:r>
      <w:r w:rsidR="009A31C8">
        <w:t xml:space="preserve">are accounted for as income received in the year, in line with </w:t>
      </w:r>
      <w:r w:rsidR="00701BA1">
        <w:t>the recognition criteria outlined in the appropriate accounting standards.</w:t>
      </w:r>
    </w:p>
    <w:p w14:paraId="41D69F16" w14:textId="77777777" w:rsidR="0097774C" w:rsidRPr="00635F47" w:rsidRDefault="0097774C" w:rsidP="00271E48">
      <w:pPr>
        <w:rPr>
          <w:b/>
          <w:bCs/>
        </w:rPr>
      </w:pPr>
    </w:p>
    <w:p w14:paraId="61A1ED07" w14:textId="2068F988" w:rsidR="0097774C" w:rsidRPr="00927E96" w:rsidRDefault="09CC474B" w:rsidP="6C31340A">
      <w:pPr>
        <w:rPr>
          <w:color w:val="AB2328"/>
        </w:rPr>
      </w:pPr>
      <w:r w:rsidRPr="6C31340A">
        <w:rPr>
          <w:color w:val="AB2328"/>
        </w:rPr>
        <w:t xml:space="preserve">Leases </w:t>
      </w:r>
    </w:p>
    <w:p w14:paraId="0D43E963" w14:textId="77777777" w:rsidR="001D0049" w:rsidRPr="001D0049" w:rsidRDefault="001D0049" w:rsidP="001D0049">
      <w:pPr>
        <w:pStyle w:val="Default"/>
        <w:jc w:val="both"/>
        <w:rPr>
          <w:rFonts w:asciiTheme="minorHAnsi" w:hAnsiTheme="minorHAnsi" w:cstheme="minorHAnsi"/>
          <w:color w:val="auto"/>
          <w:sz w:val="22"/>
          <w:szCs w:val="22"/>
        </w:rPr>
      </w:pPr>
      <w:r w:rsidRPr="001D0049">
        <w:rPr>
          <w:rFonts w:asciiTheme="minorHAnsi" w:hAnsiTheme="minorHAnsi" w:cstheme="minorHAnsi"/>
          <w:color w:val="auto"/>
          <w:sz w:val="22"/>
          <w:szCs w:val="22"/>
        </w:rPr>
        <w:t xml:space="preserve">In 2025, the authority adopted IFRS 16 for the first time, using the modified retrospective approach, recognizing the cumulative effect of initial application as an adjustment to the capital adjustment account. In line with the Code, the prior year balances have not been reinstated. </w:t>
      </w:r>
    </w:p>
    <w:p w14:paraId="062BC6FE" w14:textId="77777777" w:rsidR="0097774C" w:rsidRPr="00635F47" w:rsidRDefault="0097774C" w:rsidP="000E709E">
      <w:pPr>
        <w:pStyle w:val="Default"/>
        <w:jc w:val="both"/>
        <w:rPr>
          <w:rFonts w:asciiTheme="minorHAnsi" w:hAnsiTheme="minorHAnsi" w:cstheme="minorHAnsi"/>
          <w:b/>
          <w:bCs/>
          <w:color w:val="auto"/>
          <w:sz w:val="22"/>
          <w:szCs w:val="22"/>
        </w:rPr>
      </w:pPr>
    </w:p>
    <w:p w14:paraId="587DBB1D" w14:textId="4E4D1B44" w:rsidR="0097774C" w:rsidRPr="00927E96" w:rsidRDefault="4E993319" w:rsidP="00927E96">
      <w:pPr>
        <w:pStyle w:val="VAHeadingLevel3"/>
      </w:pPr>
      <w:r w:rsidRPr="00927E96">
        <w:t xml:space="preserve">The Authority </w:t>
      </w:r>
      <w:r w:rsidR="788150CC" w:rsidRPr="00927E96">
        <w:t>a</w:t>
      </w:r>
      <w:r w:rsidRPr="00927E96">
        <w:t xml:space="preserve">s </w:t>
      </w:r>
      <w:r w:rsidR="788150CC" w:rsidRPr="00927E96">
        <w:t>a</w:t>
      </w:r>
      <w:r w:rsidRPr="00927E96">
        <w:t xml:space="preserve"> Lessee </w:t>
      </w:r>
    </w:p>
    <w:p w14:paraId="6A803441" w14:textId="51C1DAF5" w:rsidR="0097774C" w:rsidRPr="00A306E1" w:rsidRDefault="00A306E1" w:rsidP="00A306E1">
      <w:pPr>
        <w:pStyle w:val="Default"/>
        <w:jc w:val="both"/>
        <w:rPr>
          <w:rFonts w:asciiTheme="minorHAnsi" w:hAnsiTheme="minorHAnsi" w:cstheme="minorHAnsi"/>
          <w:color w:val="auto"/>
          <w:sz w:val="22"/>
          <w:szCs w:val="22"/>
        </w:rPr>
      </w:pPr>
      <w:r w:rsidRPr="00A306E1">
        <w:rPr>
          <w:rFonts w:asciiTheme="minorHAnsi" w:hAnsiTheme="minorHAnsi" w:cstheme="minorHAnsi"/>
          <w:color w:val="auto"/>
          <w:sz w:val="22"/>
          <w:szCs w:val="22"/>
        </w:rPr>
        <w:t>Leases are accounted for under IFRS 16, at the commencement of each contract, an assessment is made to determine whether it contains a lease. The right-of-use (ROU) asset is initially measured at cost, which includes the lease liability, any lease payments made at or before commencement, direct costs, and estimated restoration costs. Under IFRS 16, leases are recognized on the balance sheet. The lease liability is measured at the present value of future lease payments, discounted using the interest rate implicit in the lease or the lessee’s incremental borrowing rate. Short-term leases and leases of low-value assets may be expensed directly.</w:t>
      </w:r>
      <w:r w:rsidR="0097774C" w:rsidRPr="00A306E1">
        <w:rPr>
          <w:rFonts w:asciiTheme="minorHAnsi" w:hAnsiTheme="minorHAnsi" w:cstheme="minorHAnsi"/>
          <w:color w:val="auto"/>
          <w:sz w:val="22"/>
          <w:szCs w:val="22"/>
        </w:rPr>
        <w:t xml:space="preserve"> </w:t>
      </w:r>
    </w:p>
    <w:p w14:paraId="536190F5" w14:textId="77777777" w:rsidR="0097774C" w:rsidRPr="00635F47" w:rsidRDefault="0097774C" w:rsidP="00271E48">
      <w:pPr>
        <w:rPr>
          <w:b/>
          <w:bCs/>
        </w:rPr>
      </w:pPr>
    </w:p>
    <w:p w14:paraId="6102DDB2" w14:textId="77777777" w:rsidR="0097774C" w:rsidRPr="00635F47" w:rsidRDefault="4E993319" w:rsidP="002A1ADD">
      <w:pPr>
        <w:pStyle w:val="VAHeadingLevel2"/>
      </w:pPr>
      <w:r w:rsidRPr="717F6110">
        <w:t xml:space="preserve">Inventories </w:t>
      </w:r>
    </w:p>
    <w:p w14:paraId="45FFD592" w14:textId="77777777" w:rsidR="0097774C" w:rsidRPr="00635F47" w:rsidRDefault="0097774C" w:rsidP="00271E48">
      <w:r w:rsidRPr="00635F47">
        <w:t xml:space="preserve">Inventories are valued at the lower of cost and Net Realisable Value using the average cost method. This is considered to be a reasonable approximation to Fair Value. </w:t>
      </w:r>
    </w:p>
    <w:p w14:paraId="02B12F10" w14:textId="77777777" w:rsidR="0097774C" w:rsidRPr="00635F47" w:rsidRDefault="0097774C" w:rsidP="00271E48"/>
    <w:p w14:paraId="6267374D" w14:textId="77777777" w:rsidR="0097774C" w:rsidRPr="00635F47" w:rsidRDefault="4E993319" w:rsidP="002A1ADD">
      <w:pPr>
        <w:pStyle w:val="VAHeadingLevel2"/>
      </w:pPr>
      <w:r w:rsidRPr="717F6110">
        <w:t xml:space="preserve">Cash and Cash Equivalents </w:t>
      </w:r>
    </w:p>
    <w:p w14:paraId="7747FF3F" w14:textId="77777777" w:rsidR="00566FC3" w:rsidRDefault="0097774C" w:rsidP="00566FC3">
      <w:r w:rsidRPr="00635F47">
        <w:t>Cash is cash in hand and deposits with any financial institution repayable without penalty on notice of not more than 24 hours. The balances on the current account and the business reserve account are cash. The balance in the liquidity manager account is a cash equivalent (as this is held for investment purposes until a sufficient balance is achieved and a short-term investment entered into). In the Cash Flow Statement, cash and cash equivalents are shown net of bank overdrafts that are repayable on demand and that form an integral part of the Authority’s cash management.</w:t>
      </w:r>
    </w:p>
    <w:p w14:paraId="5457C43D" w14:textId="77777777" w:rsidR="00566FC3" w:rsidRDefault="00566FC3" w:rsidP="00566FC3"/>
    <w:p w14:paraId="4CF5D224" w14:textId="2F5C97C8" w:rsidR="00566FC3" w:rsidRDefault="0793110E" w:rsidP="002A1ADD">
      <w:pPr>
        <w:pStyle w:val="VAHeadingLevel2"/>
      </w:pPr>
      <w:r w:rsidRPr="717F6110">
        <w:t>Investments</w:t>
      </w:r>
    </w:p>
    <w:p w14:paraId="149957C6" w14:textId="0EBF0EAC" w:rsidR="00566FC3" w:rsidRDefault="00566FC3" w:rsidP="00566FC3">
      <w:r>
        <w:t>Short term investments relate to a bank account which is used to relate interest on funds and has a maturity date of over 24 hours but less than 365 days.</w:t>
      </w:r>
    </w:p>
    <w:p w14:paraId="142DD9E9" w14:textId="77777777" w:rsidR="0097774C" w:rsidRPr="00635F47" w:rsidRDefault="0097774C" w:rsidP="00271E48">
      <w:pPr>
        <w:rPr>
          <w:b/>
          <w:bCs/>
        </w:rPr>
      </w:pPr>
    </w:p>
    <w:p w14:paraId="3E0D6F26" w14:textId="77777777" w:rsidR="0097774C" w:rsidRPr="00635F47" w:rsidRDefault="4E993319" w:rsidP="002A1ADD">
      <w:pPr>
        <w:pStyle w:val="VAHeadingLevel2"/>
      </w:pPr>
      <w:r w:rsidRPr="717F6110">
        <w:t xml:space="preserve">Provisions </w:t>
      </w:r>
    </w:p>
    <w:p w14:paraId="246DE4CA" w14:textId="77777777" w:rsidR="0097774C" w:rsidRPr="00635F47" w:rsidRDefault="0097774C" w:rsidP="00271E48">
      <w:r w:rsidRPr="00635F47">
        <w:t xml:space="preserve">Provisions are recognised when the Authority has a present legal or constructive obligation as a result of a past event, it is probable that the Authority will be required to settle the obligation, and a reliable estimate can be made of the amount of the obligation. The amount recognised as a provision is the best estimate of the expenditure required to settle the obligation at the end of the reporting period, taking into account the risks and uncertainties. </w:t>
      </w:r>
    </w:p>
    <w:p w14:paraId="26EEE703" w14:textId="77777777" w:rsidR="0097774C" w:rsidRPr="00635F47" w:rsidRDefault="0097774C" w:rsidP="00271E48">
      <w:pPr>
        <w:rPr>
          <w:b/>
          <w:bCs/>
        </w:rPr>
      </w:pPr>
    </w:p>
    <w:p w14:paraId="36211876" w14:textId="77777777" w:rsidR="0097774C" w:rsidRPr="00635F47" w:rsidRDefault="4E993319" w:rsidP="002A1ADD">
      <w:pPr>
        <w:pStyle w:val="VAHeadingLevel2"/>
      </w:pPr>
      <w:r w:rsidRPr="717F6110">
        <w:t xml:space="preserve">Reserves </w:t>
      </w:r>
    </w:p>
    <w:p w14:paraId="514072A9" w14:textId="60AF7C23" w:rsidR="0097774C" w:rsidRPr="00635F47" w:rsidRDefault="0097774C" w:rsidP="00271E48">
      <w:r w:rsidRPr="00635F47">
        <w:t xml:space="preserve">The Authority sets aside specific reserves for future policy purposes.  Details of these reserves are provided in the relevant note to the Accounts.  </w:t>
      </w:r>
      <w:r w:rsidR="00D34835">
        <w:t xml:space="preserve">In addition to the </w:t>
      </w:r>
      <w:r w:rsidR="00690522">
        <w:t>Unearmarked General Fund Reserves, t</w:t>
      </w:r>
      <w:r w:rsidRPr="00635F47">
        <w:t>he Authority has the following</w:t>
      </w:r>
      <w:r w:rsidR="00A82D72">
        <w:t xml:space="preserve"> </w:t>
      </w:r>
      <w:r w:rsidR="00690522">
        <w:t xml:space="preserve">Earmarked general fund </w:t>
      </w:r>
      <w:r w:rsidRPr="00635F47">
        <w:t>reserves:</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445"/>
      </w:tblGrid>
      <w:tr w:rsidR="0097774C" w:rsidRPr="00635F47" w14:paraId="092DBFA4" w14:textId="77777777" w:rsidTr="002B1A4E">
        <w:tc>
          <w:tcPr>
            <w:tcW w:w="4176" w:type="dxa"/>
          </w:tcPr>
          <w:p w14:paraId="307BAE17" w14:textId="37570588" w:rsidR="0097774C" w:rsidRPr="00635F47" w:rsidRDefault="00D34835" w:rsidP="004F14C9">
            <w:pPr>
              <w:pStyle w:val="Firebullet"/>
            </w:pPr>
            <w:r>
              <w:t>Equipment Reserve</w:t>
            </w:r>
            <w:r w:rsidR="002B587D">
              <w:t xml:space="preserve"> </w:t>
            </w:r>
          </w:p>
        </w:tc>
        <w:tc>
          <w:tcPr>
            <w:tcW w:w="5504" w:type="dxa"/>
          </w:tcPr>
          <w:p w14:paraId="13D26307" w14:textId="77777777" w:rsidR="0097774C" w:rsidRPr="00635F47" w:rsidRDefault="0097774C" w:rsidP="004F14C9">
            <w:pPr>
              <w:pStyle w:val="Firebullet"/>
            </w:pPr>
            <w:r w:rsidRPr="00635F47">
              <w:t>S106 Developer Contributions</w:t>
            </w:r>
          </w:p>
        </w:tc>
      </w:tr>
      <w:tr w:rsidR="0097774C" w:rsidRPr="00635F47" w14:paraId="4B74BE04" w14:textId="77777777" w:rsidTr="002B1A4E">
        <w:tc>
          <w:tcPr>
            <w:tcW w:w="4176" w:type="dxa"/>
          </w:tcPr>
          <w:p w14:paraId="3B1D9D9E" w14:textId="77777777" w:rsidR="0097774C" w:rsidRPr="00635F47" w:rsidRDefault="0097774C" w:rsidP="004F14C9">
            <w:pPr>
              <w:pStyle w:val="Firebullet"/>
            </w:pPr>
            <w:r w:rsidRPr="00635F47">
              <w:t>Insurance</w:t>
            </w:r>
          </w:p>
        </w:tc>
        <w:tc>
          <w:tcPr>
            <w:tcW w:w="5504" w:type="dxa"/>
          </w:tcPr>
          <w:p w14:paraId="7A348239" w14:textId="77777777" w:rsidR="0097774C" w:rsidRPr="00635F47" w:rsidRDefault="0097774C" w:rsidP="004F14C9">
            <w:pPr>
              <w:pStyle w:val="Firebullet"/>
            </w:pPr>
            <w:r w:rsidRPr="00635F47">
              <w:t>Capital Receipts Reserve</w:t>
            </w:r>
          </w:p>
        </w:tc>
      </w:tr>
      <w:tr w:rsidR="0097774C" w:rsidRPr="00635F47" w14:paraId="002FB364" w14:textId="77777777" w:rsidTr="002B1A4E">
        <w:tc>
          <w:tcPr>
            <w:tcW w:w="4176" w:type="dxa"/>
          </w:tcPr>
          <w:p w14:paraId="58AA7C4A" w14:textId="77777777" w:rsidR="0097774C" w:rsidRPr="00635F47" w:rsidRDefault="0097774C" w:rsidP="004F14C9">
            <w:pPr>
              <w:pStyle w:val="Firebullet"/>
            </w:pPr>
            <w:r w:rsidRPr="00635F47">
              <w:t>Funding Reserve</w:t>
            </w:r>
          </w:p>
        </w:tc>
        <w:tc>
          <w:tcPr>
            <w:tcW w:w="5504" w:type="dxa"/>
          </w:tcPr>
          <w:p w14:paraId="1F6EFEBF" w14:textId="77777777" w:rsidR="0097774C" w:rsidRPr="00635F47" w:rsidRDefault="0097774C" w:rsidP="004F14C9">
            <w:pPr>
              <w:pStyle w:val="Firebullet"/>
            </w:pPr>
            <w:r w:rsidRPr="00635F47">
              <w:t>Capital Grants Unapplied Reserve</w:t>
            </w:r>
          </w:p>
        </w:tc>
      </w:tr>
      <w:tr w:rsidR="0097774C" w:rsidRPr="00635F47" w14:paraId="7035D614" w14:textId="77777777" w:rsidTr="002B1A4E">
        <w:tc>
          <w:tcPr>
            <w:tcW w:w="4176" w:type="dxa"/>
          </w:tcPr>
          <w:p w14:paraId="4101BA2D" w14:textId="77777777" w:rsidR="0097774C" w:rsidRPr="00635F47" w:rsidRDefault="0097774C" w:rsidP="004F14C9">
            <w:pPr>
              <w:pStyle w:val="Firebullet"/>
            </w:pPr>
            <w:r w:rsidRPr="00635F47">
              <w:t>Transformation Reserve</w:t>
            </w:r>
          </w:p>
        </w:tc>
        <w:tc>
          <w:tcPr>
            <w:tcW w:w="5504" w:type="dxa"/>
          </w:tcPr>
          <w:p w14:paraId="7A5028B0" w14:textId="0750BF04" w:rsidR="0097774C" w:rsidRPr="00635F47" w:rsidRDefault="0097774C" w:rsidP="004F14C9">
            <w:pPr>
              <w:pStyle w:val="Firebullet"/>
            </w:pPr>
            <w:r w:rsidRPr="00635F47">
              <w:t>Capital Reserve</w:t>
            </w:r>
          </w:p>
        </w:tc>
      </w:tr>
      <w:tr w:rsidR="004158E4" w:rsidRPr="00635F47" w14:paraId="6BFB1716" w14:textId="77777777" w:rsidTr="002B1A4E">
        <w:tc>
          <w:tcPr>
            <w:tcW w:w="4176" w:type="dxa"/>
          </w:tcPr>
          <w:p w14:paraId="5C62BE11" w14:textId="77777777" w:rsidR="004158E4" w:rsidRPr="00635F47" w:rsidRDefault="004158E4" w:rsidP="004F14C9">
            <w:pPr>
              <w:pStyle w:val="Firebullet"/>
            </w:pPr>
            <w:r w:rsidRPr="00635F47">
              <w:t>Carry Forwards Reserve</w:t>
            </w:r>
          </w:p>
        </w:tc>
        <w:tc>
          <w:tcPr>
            <w:tcW w:w="5504" w:type="dxa"/>
          </w:tcPr>
          <w:p w14:paraId="5322754E" w14:textId="284AAEAA" w:rsidR="004158E4" w:rsidRPr="00635F47" w:rsidRDefault="004158E4" w:rsidP="004F14C9">
            <w:pPr>
              <w:pStyle w:val="Firebullet"/>
              <w:numPr>
                <w:ilvl w:val="0"/>
                <w:numId w:val="0"/>
              </w:numPr>
              <w:ind w:left="721"/>
            </w:pPr>
          </w:p>
        </w:tc>
      </w:tr>
    </w:tbl>
    <w:p w14:paraId="0A13B700" w14:textId="77777777" w:rsidR="0097774C" w:rsidRPr="00635F47" w:rsidRDefault="0097774C" w:rsidP="00271E48"/>
    <w:p w14:paraId="3656B5EE" w14:textId="310DD64D" w:rsidR="00275910" w:rsidRPr="00635F47" w:rsidRDefault="0097774C" w:rsidP="00271E48">
      <w:r w:rsidRPr="00635F47">
        <w:t xml:space="preserve">Other reserves held by the Authority, </w:t>
      </w:r>
      <w:r w:rsidR="00A82D72">
        <w:t xml:space="preserve">Unusable Reserves, </w:t>
      </w:r>
      <w:r w:rsidRPr="00635F47">
        <w:t xml:space="preserve">are held to meet accounting requirements: </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449"/>
      </w:tblGrid>
      <w:tr w:rsidR="0097774C" w:rsidRPr="00635F47" w14:paraId="1E138DF0" w14:textId="77777777" w:rsidTr="00CE6060">
        <w:tc>
          <w:tcPr>
            <w:tcW w:w="4140" w:type="dxa"/>
          </w:tcPr>
          <w:p w14:paraId="5353BF70" w14:textId="77777777" w:rsidR="0097774C" w:rsidRPr="00635F47" w:rsidRDefault="0097774C" w:rsidP="004F14C9">
            <w:pPr>
              <w:pStyle w:val="Firebullet"/>
            </w:pPr>
            <w:r w:rsidRPr="00635F47">
              <w:t>Revaluation Reserve</w:t>
            </w:r>
          </w:p>
        </w:tc>
        <w:tc>
          <w:tcPr>
            <w:tcW w:w="5449" w:type="dxa"/>
          </w:tcPr>
          <w:p w14:paraId="4EE40EAB" w14:textId="77777777" w:rsidR="0097774C" w:rsidRPr="00635F47" w:rsidRDefault="0097774C" w:rsidP="004F14C9">
            <w:pPr>
              <w:pStyle w:val="Firebullet"/>
            </w:pPr>
            <w:r w:rsidRPr="00635F47">
              <w:t>Capital Adjustment Account</w:t>
            </w:r>
          </w:p>
        </w:tc>
      </w:tr>
      <w:tr w:rsidR="0097774C" w:rsidRPr="00635F47" w14:paraId="0BBCC615" w14:textId="77777777" w:rsidTr="00CE6060">
        <w:trPr>
          <w:trHeight w:val="68"/>
        </w:trPr>
        <w:tc>
          <w:tcPr>
            <w:tcW w:w="4140" w:type="dxa"/>
          </w:tcPr>
          <w:p w14:paraId="566CBDCC" w14:textId="77777777" w:rsidR="0097774C" w:rsidRDefault="0097774C" w:rsidP="004F14C9">
            <w:pPr>
              <w:pStyle w:val="Firebullet"/>
            </w:pPr>
            <w:r w:rsidRPr="00635F47">
              <w:t>Pension Reserve</w:t>
            </w:r>
          </w:p>
          <w:p w14:paraId="6F390587" w14:textId="607FC66B" w:rsidR="00524AAA" w:rsidRPr="00635F47" w:rsidRDefault="00524AAA" w:rsidP="004F14C9">
            <w:pPr>
              <w:pStyle w:val="Firebullet"/>
            </w:pPr>
            <w:r>
              <w:t>Donated Assets Reserve</w:t>
            </w:r>
          </w:p>
        </w:tc>
        <w:tc>
          <w:tcPr>
            <w:tcW w:w="5449" w:type="dxa"/>
          </w:tcPr>
          <w:p w14:paraId="352B39A7" w14:textId="77777777" w:rsidR="0097774C" w:rsidRDefault="0097774C" w:rsidP="004F14C9">
            <w:pPr>
              <w:pStyle w:val="Firebullet"/>
            </w:pPr>
            <w:r w:rsidRPr="00635F47">
              <w:t>Accumulated Absence Reserve</w:t>
            </w:r>
          </w:p>
          <w:p w14:paraId="799607F9" w14:textId="4D7C6139" w:rsidR="00CE6060" w:rsidRPr="00635F47" w:rsidRDefault="006711DF" w:rsidP="00BD64CF">
            <w:pPr>
              <w:pStyle w:val="Firebullet"/>
            </w:pPr>
            <w:r>
              <w:t>Council Tax and NDR Collection Fund Account</w:t>
            </w:r>
          </w:p>
        </w:tc>
      </w:tr>
    </w:tbl>
    <w:p w14:paraId="495A3EC4" w14:textId="77777777" w:rsidR="00927E96" w:rsidRDefault="00927E96" w:rsidP="002A1ADD">
      <w:pPr>
        <w:pStyle w:val="VAHeadingLevel2"/>
      </w:pPr>
    </w:p>
    <w:p w14:paraId="4C380EB8" w14:textId="5E06E3B3" w:rsidR="00CE6060" w:rsidRPr="00A6442F" w:rsidRDefault="00CE6060" w:rsidP="002A1ADD">
      <w:pPr>
        <w:pStyle w:val="VAHeadingLevel2"/>
      </w:pPr>
      <w:r w:rsidRPr="717F6110">
        <w:t xml:space="preserve">Financial Instruments </w:t>
      </w:r>
    </w:p>
    <w:p w14:paraId="1D997B44" w14:textId="77777777" w:rsidR="00CE6060" w:rsidRPr="00563B8D" w:rsidRDefault="00CE6060" w:rsidP="00CE6060">
      <w:r w:rsidRPr="00563B8D">
        <w:t>Financial instruments are recognised on the Balance Sheet when the Authority becomes party to the contractual provisions of a financial instrument. They are initially measured at fair value.</w:t>
      </w:r>
    </w:p>
    <w:p w14:paraId="4453C131" w14:textId="77777777" w:rsidR="00566FC3" w:rsidRDefault="00566FC3" w:rsidP="002A1ADD">
      <w:pPr>
        <w:pStyle w:val="VAHeadingLevel2"/>
      </w:pPr>
    </w:p>
    <w:p w14:paraId="6407D963" w14:textId="52A2A2FE" w:rsidR="0097774C" w:rsidRPr="00635F47" w:rsidRDefault="4E993319" w:rsidP="002A1ADD">
      <w:pPr>
        <w:pStyle w:val="VAHeadingLevel2"/>
      </w:pPr>
      <w:r w:rsidRPr="717F6110">
        <w:t xml:space="preserve">Financial Assets </w:t>
      </w:r>
    </w:p>
    <w:p w14:paraId="2B4BD6F4" w14:textId="77777777" w:rsidR="005F7FCA" w:rsidRPr="00563B8D" w:rsidRDefault="005F7FCA" w:rsidP="005F7FCA">
      <w:r w:rsidRPr="00563B8D">
        <w:t>Financial assets held at amortised cost. These represent loans and similar arrangements where repayments of interest and principal take place on set dates and at specified amounts in advance. The amount presented in the Balance Sheet represents the outstanding principal received plus accrued interest. Interest credited to the CIES is the amount receivable as per the loan agreement.</w:t>
      </w:r>
    </w:p>
    <w:p w14:paraId="3EC138DC" w14:textId="77777777" w:rsidR="005F7FCA" w:rsidRDefault="005F7FCA" w:rsidP="005F7FCA">
      <w:r w:rsidRPr="00563B8D">
        <w:t>Changes in the value of assets carried at fair value are debited/credited to the CIES as they arise.</w:t>
      </w:r>
    </w:p>
    <w:p w14:paraId="7AB41D16" w14:textId="77777777" w:rsidR="005F7FCA" w:rsidRDefault="005F7FCA" w:rsidP="005F7FCA"/>
    <w:p w14:paraId="1C2B88ED" w14:textId="15AF21E5" w:rsidR="0097774C" w:rsidRPr="00635F47" w:rsidRDefault="0097774C" w:rsidP="005F7FCA">
      <w:r w:rsidRPr="00635F47">
        <w:t xml:space="preserve">Financial assets are recognised when the Authority becomes party to the Financial Instrument contract or in the case of trade receivables, when goods or services have been delivered. Financial assets are derecognised when the contractual rights have </w:t>
      </w:r>
      <w:proofErr w:type="gramStart"/>
      <w:r w:rsidRPr="00635F47">
        <w:t>expired</w:t>
      </w:r>
      <w:proofErr w:type="gramEnd"/>
      <w:r w:rsidRPr="00635F47">
        <w:t xml:space="preserve"> or the Asset has been transferred. Financial Assets are initially recognised at Fair Value. </w:t>
      </w:r>
    </w:p>
    <w:p w14:paraId="4D30BD65" w14:textId="77777777" w:rsidR="0097774C" w:rsidRPr="00635F47" w:rsidRDefault="0097774C" w:rsidP="00271E48"/>
    <w:p w14:paraId="61DEA89A" w14:textId="77777777" w:rsidR="0097774C" w:rsidRPr="00635F47" w:rsidRDefault="0097774C" w:rsidP="00271E48">
      <w:r w:rsidRPr="00635F47">
        <w:t xml:space="preserve">Financial Assets are classified into the following categories: Financial Assets at Fair Value through profit and loss; held to maturity investments; available for sale Financial Assets, and loans and receivables. The classification depends on the nature and purpose of the financial assets and is determined at the time of initial recognition. </w:t>
      </w:r>
    </w:p>
    <w:p w14:paraId="35F6FEC7" w14:textId="77777777" w:rsidR="0097774C" w:rsidRDefault="0097774C" w:rsidP="00271E48"/>
    <w:p w14:paraId="2FDABDF5" w14:textId="77777777" w:rsidR="005F7FCA" w:rsidRPr="00563B8D" w:rsidRDefault="005F7FCA" w:rsidP="002A1ADD">
      <w:pPr>
        <w:pStyle w:val="VAHeadingLevel2"/>
      </w:pPr>
      <w:r w:rsidRPr="717F6110">
        <w:t xml:space="preserve">Financial Liabilities </w:t>
      </w:r>
    </w:p>
    <w:p w14:paraId="75B63A4A" w14:textId="77777777" w:rsidR="005F7FCA" w:rsidRPr="00563B8D" w:rsidRDefault="005F7FCA" w:rsidP="005F7FCA">
      <w:r w:rsidRPr="00563B8D">
        <w:t xml:space="preserve">Financial Liabilities are recognised in the Balance Sheet when the Authority becomes party to the contractual provisions of the Financial Instrument or, in the case of trade payables, when the goods or services have been received. Financial liabilities are derecognised when the liability has been discharged, that is, the Liability has been paid or expired. Financial Liabilities are recognised at Fair Value. </w:t>
      </w:r>
    </w:p>
    <w:p w14:paraId="2B2E7211" w14:textId="77777777" w:rsidR="005F7FCA" w:rsidRPr="00635F47" w:rsidRDefault="005F7FCA" w:rsidP="00271E48"/>
    <w:p w14:paraId="5F98E22C" w14:textId="77777777" w:rsidR="0097774C" w:rsidRPr="00635F47" w:rsidRDefault="4E993319" w:rsidP="002A1ADD">
      <w:pPr>
        <w:pStyle w:val="VAHeadingLevel2"/>
      </w:pPr>
      <w:r w:rsidRPr="717F6110">
        <w:t xml:space="preserve">Loans and Receivables </w:t>
      </w:r>
    </w:p>
    <w:p w14:paraId="07298F93" w14:textId="77777777" w:rsidR="0097774C" w:rsidRDefault="0097774C" w:rsidP="00271E48">
      <w:r w:rsidRPr="00635F47">
        <w:t xml:space="preserve">Loans and receivables are non-derivative Financial Assets with fixed or determinable payments which are not quoted in an active market. After initial recognition, they are measured at Amortised cost using the Effective Interest Method, less any Impairment. Interest is recognised using the Effective Interest Rate Method. </w:t>
      </w:r>
    </w:p>
    <w:p w14:paraId="6075A8DB" w14:textId="77777777" w:rsidR="0097774C" w:rsidRPr="00635F47" w:rsidRDefault="0097774C" w:rsidP="00271E48"/>
    <w:p w14:paraId="1CDBCB14" w14:textId="77777777" w:rsidR="0097774C" w:rsidRDefault="0097774C" w:rsidP="00271E48">
      <w:r w:rsidRPr="00635F47">
        <w:t xml:space="preserve">Fair Value is determined by reference to quoted market prices where </w:t>
      </w:r>
      <w:proofErr w:type="gramStart"/>
      <w:r w:rsidRPr="00635F47">
        <w:t>possible, or</w:t>
      </w:r>
      <w:proofErr w:type="gramEnd"/>
      <w:r w:rsidRPr="00635F47">
        <w:t xml:space="preserve"> failing that by reference to similar arms-length transactions between knowledgeable and willing parties. </w:t>
      </w:r>
    </w:p>
    <w:p w14:paraId="370A78DC" w14:textId="77777777" w:rsidR="0097774C" w:rsidRPr="00635F47" w:rsidRDefault="0097774C" w:rsidP="00271E48"/>
    <w:p w14:paraId="27CB6B69" w14:textId="77777777" w:rsidR="0097774C" w:rsidRPr="00635F47" w:rsidRDefault="0097774C" w:rsidP="00271E48">
      <w:r w:rsidRPr="00635F47">
        <w:t>The Effective Interest Rate is the rate that exactly discounts estimated future cash receipts through the expected life of the financial asset.</w:t>
      </w:r>
    </w:p>
    <w:p w14:paraId="41E46CAB" w14:textId="77777777" w:rsidR="0097774C" w:rsidRPr="00635F47" w:rsidRDefault="0097774C" w:rsidP="00271E48"/>
    <w:p w14:paraId="7329A792" w14:textId="77777777" w:rsidR="0097774C" w:rsidRPr="00635F47" w:rsidRDefault="0097774C" w:rsidP="00271E48">
      <w:r w:rsidRPr="00635F47">
        <w:t xml:space="preserve">At the end of the reporting period the Authority assesses whether any Financial Assets, other than those held at ‘Fair Value through profit and loss’ are impaired. Financial assets are </w:t>
      </w:r>
      <w:proofErr w:type="gramStart"/>
      <w:r w:rsidRPr="00635F47">
        <w:t>impaired</w:t>
      </w:r>
      <w:proofErr w:type="gramEnd"/>
      <w:r w:rsidRPr="00635F47">
        <w:t xml:space="preserve"> and Impairment losses recognised if there is objective evidence of impairment, as a result of one or more events which occurred after the initial recognition of the Asset and which has an impact on the estimated future cash flows of the Asset. </w:t>
      </w:r>
    </w:p>
    <w:p w14:paraId="200E88DF" w14:textId="77777777" w:rsidR="0097774C" w:rsidRPr="00635F47" w:rsidRDefault="0097774C" w:rsidP="00271E48"/>
    <w:p w14:paraId="68A59E2A" w14:textId="77777777" w:rsidR="0097774C" w:rsidRPr="00635F47" w:rsidRDefault="0097774C" w:rsidP="00271E48">
      <w:r w:rsidRPr="00635F47">
        <w:t xml:space="preserve">For Financial Assets carried at amortised cost, the amount of the Impairment loss is measured as the difference between the Assets carrying amount and the present value of the revised future cash flows discounted at the Asset’s </w:t>
      </w:r>
      <w:r w:rsidRPr="00635F47">
        <w:lastRenderedPageBreak/>
        <w:t xml:space="preserve">original effective interest rate. The loss is recognised in expenditure and the carrying amount of the Asset reduced directly. </w:t>
      </w:r>
    </w:p>
    <w:p w14:paraId="34B19237" w14:textId="77777777" w:rsidR="0097774C" w:rsidRPr="00635F47" w:rsidRDefault="0097774C" w:rsidP="00271E48"/>
    <w:p w14:paraId="69C41401" w14:textId="1216E55E" w:rsidR="0097774C" w:rsidRDefault="0097774C" w:rsidP="00271E48">
      <w:r w:rsidRPr="00635F47">
        <w:t xml:space="preserve">If, in a subsequent period, the amount of the Impairment loss decreases and the decrease can be related objectively to an event occurring after the Impairment was recognised, the previously recognised impairment loss is reversed </w:t>
      </w:r>
      <w:r w:rsidRPr="00563B8D">
        <w:t>through expenditure to the extent that the carrying amount of the receivable at the date of the Impairment is reversed does not exceed what the amortised cost would have been had the Impairment not been recognised.</w:t>
      </w:r>
    </w:p>
    <w:p w14:paraId="3CB90332" w14:textId="77777777" w:rsidR="000D1438" w:rsidRPr="00563B8D" w:rsidRDefault="000D1438" w:rsidP="00271E48"/>
    <w:p w14:paraId="22406BB1" w14:textId="77777777" w:rsidR="0097774C" w:rsidRPr="00563B8D" w:rsidRDefault="4E993319" w:rsidP="002A1ADD">
      <w:pPr>
        <w:pStyle w:val="VAHeadingLevel2"/>
      </w:pPr>
      <w:r w:rsidRPr="717F6110">
        <w:t xml:space="preserve">Exceptional Items </w:t>
      </w:r>
    </w:p>
    <w:p w14:paraId="1C702C69" w14:textId="77777777" w:rsidR="0097774C" w:rsidRDefault="0097774C" w:rsidP="00271E48">
      <w:r w:rsidRPr="00563B8D">
        <w:t>Exceptional items shall be included in the</w:t>
      </w:r>
      <w:r w:rsidRPr="00635F47">
        <w:t xml:space="preserve"> costs of the service to which they relate and noted accordingly. </w:t>
      </w:r>
    </w:p>
    <w:p w14:paraId="27AC4B7A" w14:textId="0FC365B7" w:rsidR="0097774C" w:rsidRPr="00635F47" w:rsidRDefault="0097774C" w:rsidP="00271E48"/>
    <w:p w14:paraId="17D8449D" w14:textId="77777777" w:rsidR="0097774C" w:rsidRPr="00635F47" w:rsidRDefault="4E993319" w:rsidP="002A1ADD">
      <w:pPr>
        <w:pStyle w:val="VAHeadingLevel2"/>
      </w:pPr>
      <w:r w:rsidRPr="717F6110">
        <w:t xml:space="preserve">Events After </w:t>
      </w:r>
      <w:proofErr w:type="gramStart"/>
      <w:r w:rsidRPr="717F6110">
        <w:t>The</w:t>
      </w:r>
      <w:proofErr w:type="gramEnd"/>
      <w:r w:rsidRPr="717F6110">
        <w:t xml:space="preserve"> Reporting Period </w:t>
      </w:r>
    </w:p>
    <w:p w14:paraId="5ECD04D7" w14:textId="77777777" w:rsidR="0097774C" w:rsidRPr="00635F47" w:rsidRDefault="0097774C" w:rsidP="00271E48">
      <w:r w:rsidRPr="00635F47">
        <w:t xml:space="preserve">Material events after the Balance Sheet date shall be disclosed as a note to the Accounts and amended in the Accounts as required. Other events after the Balance Sheet date will be disclosed in a note with an estimate of the likely effect. </w:t>
      </w:r>
    </w:p>
    <w:p w14:paraId="7A3F82B8" w14:textId="77777777" w:rsidR="0097774C" w:rsidRPr="00635F47" w:rsidRDefault="0097774C" w:rsidP="00271E48"/>
    <w:p w14:paraId="7186CC25" w14:textId="77777777" w:rsidR="0097774C" w:rsidRPr="00635F47" w:rsidRDefault="4E993319" w:rsidP="002A1ADD">
      <w:pPr>
        <w:pStyle w:val="VAHeadingLevel2"/>
      </w:pPr>
      <w:r w:rsidRPr="717F6110">
        <w:t xml:space="preserve">VAT </w:t>
      </w:r>
    </w:p>
    <w:p w14:paraId="67100438" w14:textId="257E90A7" w:rsidR="00A43136" w:rsidRDefault="0097774C" w:rsidP="00271E48">
      <w:r w:rsidRPr="00635F47">
        <w:t xml:space="preserve">Where output tax is charged or input VAT is recoverable, the amounts are stated net of VAT. Irrecoverable VAT is charged to the relevant expenditure category or included in the capitalised purchase cost of Non-Current Assets. </w:t>
      </w:r>
    </w:p>
    <w:p w14:paraId="1E469F5A" w14:textId="77777777" w:rsidR="009D2AE1" w:rsidRPr="00860F67" w:rsidRDefault="009D2AE1" w:rsidP="00271E48">
      <w:pPr>
        <w:rPr>
          <w:rFonts w:eastAsia="Times New Roman" w:cs="Arial"/>
          <w:bCs/>
          <w:color w:val="C00000"/>
          <w:sz w:val="24"/>
          <w:szCs w:val="24"/>
        </w:rPr>
      </w:pPr>
    </w:p>
    <w:p w14:paraId="47B1EC29" w14:textId="237461FC" w:rsidR="00160EDC" w:rsidRDefault="3025C747" w:rsidP="002A1ADD">
      <w:pPr>
        <w:pStyle w:val="VAHeadingLevel2"/>
      </w:pPr>
      <w:r w:rsidRPr="717F6110">
        <w:t>Non-Exchange</w:t>
      </w:r>
      <w:r w:rsidR="715F3879" w:rsidRPr="717F6110">
        <w:t xml:space="preserve"> Income Transactions </w:t>
      </w:r>
      <w:r w:rsidR="077F9A52" w:rsidRPr="717F6110">
        <w:t xml:space="preserve">- </w:t>
      </w:r>
      <w:r w:rsidR="2FFCBDED" w:rsidRPr="717F6110">
        <w:t xml:space="preserve">Council Tax Income and </w:t>
      </w:r>
      <w:r w:rsidR="55D4ED87" w:rsidRPr="717F6110">
        <w:t>Non-Domestic</w:t>
      </w:r>
      <w:r w:rsidR="2FFCBDED" w:rsidRPr="717F6110">
        <w:t xml:space="preserve"> Rates</w:t>
      </w:r>
    </w:p>
    <w:p w14:paraId="7E5A09AC" w14:textId="590A7B4F" w:rsidR="009D2AE1" w:rsidRDefault="2FFCBDED" w:rsidP="009D2AE1">
      <w:r>
        <w:t xml:space="preserve">Council tax and </w:t>
      </w:r>
      <w:r w:rsidR="26EAA47A">
        <w:t>non-domestic</w:t>
      </w:r>
      <w:r>
        <w:t xml:space="preserve"> rates are collected from taxpayers by billing authorities both for themselves and substantively as agents, collecting council tax and </w:t>
      </w:r>
      <w:r w:rsidR="58BEF31E">
        <w:t>non-domestic</w:t>
      </w:r>
      <w:r>
        <w:t xml:space="preserve"> rates on behalf of precepting authorities and central government and distributing it to them.</w:t>
      </w:r>
    </w:p>
    <w:p w14:paraId="7DBFC3CF" w14:textId="77777777" w:rsidR="00160EDC" w:rsidRDefault="00160EDC" w:rsidP="009D2AE1"/>
    <w:p w14:paraId="5F320CE2" w14:textId="05D177BC" w:rsidR="009D2AE1" w:rsidRDefault="2FFCBDED" w:rsidP="009D2AE1">
      <w:r>
        <w:t xml:space="preserve">This authority is a precepting authority, and council tax and </w:t>
      </w:r>
      <w:r w:rsidR="77C20763">
        <w:t>non-domestic</w:t>
      </w:r>
      <w:r>
        <w:t xml:space="preserve"> rates income included in the Comprehensive Income and Expenditure Statement is the accrued income for the year. The difference between the income included in the Comprehensive Income and Expenditure Statement and the amount required by regulation to be credited to the General Fund is taken to the Collection Fund Adjustment Account on the Balance Sheet and shown within the Movement in Reserves Statement.</w:t>
      </w:r>
    </w:p>
    <w:p w14:paraId="7641DBFA" w14:textId="77777777" w:rsidR="00E20187" w:rsidRDefault="00E20187" w:rsidP="009D2AE1"/>
    <w:p w14:paraId="1E252E9E" w14:textId="77777777" w:rsidR="009D2AE1" w:rsidRDefault="009D2AE1" w:rsidP="009D2AE1">
      <w:r>
        <w:t>Billing authorities prepare a Collection Fund balance sheet for council tax and non-domestic rates activities, which is disaggregated and shared between the billing authority and its precepting authorities. This Authority’s Balance Sheet contains the following items:</w:t>
      </w:r>
    </w:p>
    <w:p w14:paraId="137A2830" w14:textId="4D95384F" w:rsidR="009D2AE1" w:rsidRDefault="2FFCBDED" w:rsidP="00E20187">
      <w:pPr>
        <w:pStyle w:val="Firebullet"/>
      </w:pPr>
      <w:r>
        <w:t xml:space="preserve">Council tax and </w:t>
      </w:r>
      <w:r w:rsidR="31E25A75">
        <w:t>non-domestic</w:t>
      </w:r>
      <w:r>
        <w:t xml:space="preserve"> rates arrears apportioned in relation to the following year’s precept proportions are included as Short Term Debtors</w:t>
      </w:r>
    </w:p>
    <w:p w14:paraId="5064632C" w14:textId="4FB50D2A" w:rsidR="009D2AE1" w:rsidRDefault="2FFCBDED" w:rsidP="00E20187">
      <w:pPr>
        <w:pStyle w:val="Firebullet"/>
      </w:pPr>
      <w:r>
        <w:t xml:space="preserve">Impairment allowance for doubtful debts apportioned as for council tax and </w:t>
      </w:r>
      <w:r w:rsidR="4D2C037E">
        <w:t>non-domestic</w:t>
      </w:r>
      <w:r>
        <w:t xml:space="preserve"> rates arrears and deducted from council tax and </w:t>
      </w:r>
      <w:r w:rsidR="39D4DB39">
        <w:t>non-domestic</w:t>
      </w:r>
      <w:r>
        <w:t xml:space="preserve"> rates arrears debtors</w:t>
      </w:r>
    </w:p>
    <w:p w14:paraId="363D6F7E" w14:textId="5BA4F178" w:rsidR="009D2AE1" w:rsidRDefault="2FFCBDED" w:rsidP="00E20187">
      <w:pPr>
        <w:pStyle w:val="Firebullet"/>
      </w:pPr>
      <w:r>
        <w:t xml:space="preserve">Council tax and </w:t>
      </w:r>
      <w:r w:rsidR="57EA1790">
        <w:t>non-domestic</w:t>
      </w:r>
      <w:r>
        <w:t xml:space="preserve"> rates overpayments and prepayment apportioned in relation to the following year’s precept proportions are included as Short Term Creditors</w:t>
      </w:r>
    </w:p>
    <w:p w14:paraId="6DEB0CD0" w14:textId="1A5F39D6" w:rsidR="009D2AE1" w:rsidRDefault="009D2AE1" w:rsidP="00E20187">
      <w:pPr>
        <w:pStyle w:val="Firebullet"/>
      </w:pPr>
      <w:r>
        <w:t>Collection Fund surplus / deficit – the reversing entry to the Comprehensive Income and Expenditure Account adjustment is included in the Collection Fund Adjustment Account</w:t>
      </w:r>
    </w:p>
    <w:p w14:paraId="65988894" w14:textId="581E0D9D" w:rsidR="00275910" w:rsidRPr="00BD64CF" w:rsidRDefault="009D2AE1">
      <w:pPr>
        <w:pStyle w:val="Firebullet"/>
        <w:spacing w:after="160"/>
        <w:jc w:val="left"/>
        <w:rPr>
          <w:rFonts w:eastAsia="Times New Roman" w:cs="Arial"/>
          <w:color w:val="AB2328"/>
        </w:rPr>
      </w:pPr>
      <w:r>
        <w:t>Collection Fund cash surplus / deficit held on the authority’s behalf by the billing authority is included in Short Term Debtors or Short Term Creditors</w:t>
      </w:r>
    </w:p>
    <w:p w14:paraId="737BE25C" w14:textId="378E351E" w:rsidR="00860F67" w:rsidRPr="004F14C9" w:rsidRDefault="2FFCBDED" w:rsidP="00927E96">
      <w:pPr>
        <w:pStyle w:val="VAHeadingLevel2"/>
      </w:pPr>
      <w:r w:rsidRPr="717F6110">
        <w:t>Collection Fund Adjustment Account</w:t>
      </w:r>
    </w:p>
    <w:p w14:paraId="63EC49C6" w14:textId="1455C9A8" w:rsidR="00A43136" w:rsidRDefault="009D2AE1" w:rsidP="00271E48">
      <w:r>
        <w:t xml:space="preserve">This reserve manages the differences arising from the recognition of council tax income in the Comprehensive Income and Expenditure Statement as it falls due from council </w:t>
      </w:r>
      <w:proofErr w:type="gramStart"/>
      <w:r>
        <w:t>tax payers</w:t>
      </w:r>
      <w:proofErr w:type="gramEnd"/>
      <w:r>
        <w:t>, compared with the statutory arrangements for paying across amounts due to the General Fund from the billing authorities.</w:t>
      </w:r>
    </w:p>
    <w:p w14:paraId="204218C5" w14:textId="3F1A2880" w:rsidR="00CA1DD8" w:rsidRPr="00E114FF" w:rsidRDefault="62C576D4" w:rsidP="002A1ADD">
      <w:pPr>
        <w:pStyle w:val="ChapterHeading"/>
      </w:pPr>
      <w:r w:rsidRPr="00870BA0">
        <w:lastRenderedPageBreak/>
        <w:t>ACCOUNTING</w:t>
      </w:r>
      <w:r w:rsidRPr="00E114FF">
        <w:t xml:space="preserve"> STATEMENTS </w:t>
      </w:r>
    </w:p>
    <w:p w14:paraId="22BCFD68" w14:textId="77777777" w:rsidR="00EA3562" w:rsidRPr="00635F47" w:rsidRDefault="00EA3562" w:rsidP="00CA1DD8">
      <w:pPr>
        <w:pStyle w:val="Default"/>
        <w:rPr>
          <w:rFonts w:asciiTheme="minorHAnsi" w:hAnsiTheme="minorHAnsi" w:cstheme="minorHAnsi"/>
          <w:b/>
          <w:bCs/>
          <w:color w:val="auto"/>
          <w:sz w:val="28"/>
          <w:szCs w:val="28"/>
        </w:rPr>
      </w:pPr>
    </w:p>
    <w:p w14:paraId="47524F54" w14:textId="10F4B923" w:rsidR="00CA1DD8" w:rsidRPr="00927E96" w:rsidRDefault="788150CC" w:rsidP="00927E96">
      <w:pPr>
        <w:pStyle w:val="VAHeading"/>
      </w:pPr>
      <w:r w:rsidRPr="00927E96">
        <w:t xml:space="preserve">Comprehensive Income and Expenditure Statement </w:t>
      </w:r>
    </w:p>
    <w:p w14:paraId="2E99FA52" w14:textId="2A508064" w:rsidR="00CA1DD8" w:rsidRPr="00E114FF" w:rsidRDefault="788150CC" w:rsidP="002A1ADD">
      <w:pPr>
        <w:pStyle w:val="VAHeadingLevel2"/>
      </w:pPr>
      <w:r w:rsidRPr="00E114FF">
        <w:t xml:space="preserve">For </w:t>
      </w:r>
      <w:r w:rsidR="159C30E6" w:rsidRPr="00E114FF">
        <w:t>t</w:t>
      </w:r>
      <w:r w:rsidRPr="00E114FF">
        <w:t>he Year Ending 31</w:t>
      </w:r>
      <w:r w:rsidRPr="00E114FF">
        <w:rPr>
          <w:vertAlign w:val="superscript"/>
        </w:rPr>
        <w:t>st</w:t>
      </w:r>
      <w:r w:rsidRPr="00E114FF">
        <w:t xml:space="preserve"> </w:t>
      </w:r>
      <w:r w:rsidR="71C08371" w:rsidRPr="00E114FF">
        <w:t xml:space="preserve">March </w:t>
      </w:r>
      <w:r w:rsidRPr="00E114FF">
        <w:t>202</w:t>
      </w:r>
      <w:r w:rsidR="419A92D2" w:rsidRPr="00E114FF">
        <w:t>5</w:t>
      </w:r>
    </w:p>
    <w:p w14:paraId="2FB20272" w14:textId="0533DB6F" w:rsidR="006C17C4" w:rsidRDefault="006C17C4" w:rsidP="00A57018">
      <w:pPr>
        <w:pStyle w:val="Default"/>
        <w:rPr>
          <w:rFonts w:asciiTheme="minorHAnsi" w:hAnsiTheme="minorHAnsi" w:cstheme="minorBidi"/>
          <w:color w:val="auto"/>
          <w:sz w:val="22"/>
          <w:szCs w:val="22"/>
        </w:rPr>
      </w:pPr>
    </w:p>
    <w:p w14:paraId="5D2D7426" w14:textId="46E974D5" w:rsidR="003034F5" w:rsidRDefault="003034F5" w:rsidP="00A57018">
      <w:pPr>
        <w:pStyle w:val="Default"/>
        <w:rPr>
          <w:rFonts w:asciiTheme="minorHAnsi" w:hAnsiTheme="minorHAnsi" w:cstheme="minorBidi"/>
          <w:color w:val="auto"/>
          <w:sz w:val="22"/>
          <w:szCs w:val="22"/>
        </w:rPr>
      </w:pPr>
    </w:p>
    <w:tbl>
      <w:tblPr>
        <w:tblW w:w="5000" w:type="pct"/>
        <w:tblLook w:val="04A0" w:firstRow="1" w:lastRow="0" w:firstColumn="1" w:lastColumn="0" w:noHBand="0" w:noVBand="1"/>
      </w:tblPr>
      <w:tblGrid>
        <w:gridCol w:w="1080"/>
        <w:gridCol w:w="962"/>
        <w:gridCol w:w="1130"/>
        <w:gridCol w:w="3086"/>
        <w:gridCol w:w="777"/>
        <w:gridCol w:w="1227"/>
        <w:gridCol w:w="1145"/>
        <w:gridCol w:w="968"/>
      </w:tblGrid>
      <w:tr w:rsidR="001B3957" w:rsidRPr="001B3957" w14:paraId="0EF0D003" w14:textId="77777777" w:rsidTr="004A4ABA">
        <w:trPr>
          <w:trHeight w:val="315"/>
        </w:trPr>
        <w:tc>
          <w:tcPr>
            <w:tcW w:w="1549" w:type="pct"/>
            <w:gridSpan w:val="3"/>
            <w:tcBorders>
              <w:top w:val="nil"/>
              <w:left w:val="nil"/>
              <w:bottom w:val="nil"/>
              <w:right w:val="nil"/>
            </w:tcBorders>
            <w:shd w:val="clear" w:color="auto" w:fill="AB2328"/>
            <w:noWrap/>
            <w:vAlign w:val="center"/>
            <w:hideMark/>
          </w:tcPr>
          <w:p w14:paraId="360E3D76" w14:textId="77777777" w:rsidR="001B3957" w:rsidRPr="001B3957" w:rsidRDefault="001B3957" w:rsidP="001B3957">
            <w:pPr>
              <w:spacing w:line="240" w:lineRule="auto"/>
              <w:jc w:val="center"/>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2023/24</w:t>
            </w:r>
          </w:p>
        </w:tc>
        <w:tc>
          <w:tcPr>
            <w:tcW w:w="1498" w:type="pct"/>
            <w:tcBorders>
              <w:top w:val="nil"/>
              <w:left w:val="nil"/>
              <w:bottom w:val="nil"/>
              <w:right w:val="nil"/>
            </w:tcBorders>
            <w:shd w:val="clear" w:color="auto" w:fill="AB2328"/>
            <w:textDirection w:val="btLr"/>
            <w:vAlign w:val="bottom"/>
            <w:hideMark/>
          </w:tcPr>
          <w:p w14:paraId="5B58A15F"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w:t>
            </w:r>
          </w:p>
        </w:tc>
        <w:tc>
          <w:tcPr>
            <w:tcW w:w="385" w:type="pct"/>
            <w:tcBorders>
              <w:top w:val="nil"/>
              <w:left w:val="nil"/>
              <w:bottom w:val="nil"/>
              <w:right w:val="nil"/>
            </w:tcBorders>
            <w:shd w:val="clear" w:color="auto" w:fill="AB2328"/>
            <w:textDirection w:val="btLr"/>
            <w:vAlign w:val="bottom"/>
            <w:hideMark/>
          </w:tcPr>
          <w:p w14:paraId="72339A9E"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w:t>
            </w:r>
          </w:p>
        </w:tc>
        <w:tc>
          <w:tcPr>
            <w:tcW w:w="1568" w:type="pct"/>
            <w:gridSpan w:val="3"/>
            <w:tcBorders>
              <w:top w:val="nil"/>
              <w:left w:val="nil"/>
              <w:bottom w:val="nil"/>
              <w:right w:val="nil"/>
            </w:tcBorders>
            <w:shd w:val="clear" w:color="auto" w:fill="AB2328"/>
            <w:noWrap/>
            <w:vAlign w:val="center"/>
            <w:hideMark/>
          </w:tcPr>
          <w:p w14:paraId="40BF88D3" w14:textId="77777777" w:rsidR="001B3957" w:rsidRPr="001B3957" w:rsidRDefault="001B3957" w:rsidP="001B3957">
            <w:pPr>
              <w:spacing w:line="240" w:lineRule="auto"/>
              <w:jc w:val="center"/>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2024/25</w:t>
            </w:r>
          </w:p>
        </w:tc>
      </w:tr>
      <w:tr w:rsidR="001B3957" w:rsidRPr="001B3957" w14:paraId="2E537380" w14:textId="77777777" w:rsidTr="004A4ABA">
        <w:trPr>
          <w:trHeight w:val="1407"/>
        </w:trPr>
        <w:tc>
          <w:tcPr>
            <w:tcW w:w="520" w:type="pct"/>
            <w:tcBorders>
              <w:top w:val="nil"/>
              <w:left w:val="nil"/>
              <w:bottom w:val="nil"/>
              <w:right w:val="nil"/>
            </w:tcBorders>
            <w:shd w:val="clear" w:color="auto" w:fill="AB2328"/>
            <w:textDirection w:val="btLr"/>
            <w:vAlign w:val="bottom"/>
            <w:hideMark/>
          </w:tcPr>
          <w:p w14:paraId="4768AFE6" w14:textId="2FD64D41" w:rsidR="001B3957" w:rsidRPr="001B3957" w:rsidRDefault="31633EEA" w:rsidP="001B3957">
            <w:pPr>
              <w:spacing w:line="240" w:lineRule="auto"/>
              <w:jc w:val="right"/>
              <w:rPr>
                <w:rFonts w:ascii="Calibri" w:eastAsia="Times New Roman" w:hAnsi="Calibri" w:cs="Calibri"/>
                <w:b/>
                <w:bCs/>
                <w:color w:val="FFFFFF"/>
                <w:lang w:eastAsia="en-GB"/>
              </w:rPr>
            </w:pPr>
            <w:r w:rsidRPr="6C31340A">
              <w:rPr>
                <w:rFonts w:ascii="Calibri" w:eastAsia="Times New Roman" w:hAnsi="Calibri" w:cs="Calibri"/>
                <w:b/>
                <w:bCs/>
                <w:color w:val="FFFFFF" w:themeColor="background1"/>
                <w:lang w:eastAsia="en-GB"/>
              </w:rPr>
              <w:t>Gross Expendi</w:t>
            </w:r>
            <w:r w:rsidR="4E01B444" w:rsidRPr="6C31340A">
              <w:rPr>
                <w:rFonts w:ascii="Calibri" w:eastAsia="Times New Roman" w:hAnsi="Calibri" w:cs="Calibri"/>
                <w:b/>
                <w:bCs/>
                <w:color w:val="FFFFFF" w:themeColor="background1"/>
                <w:lang w:eastAsia="en-GB"/>
              </w:rPr>
              <w:t>t</w:t>
            </w:r>
            <w:r w:rsidRPr="6C31340A">
              <w:rPr>
                <w:rFonts w:ascii="Calibri" w:eastAsia="Times New Roman" w:hAnsi="Calibri" w:cs="Calibri"/>
                <w:b/>
                <w:bCs/>
                <w:color w:val="FFFFFF" w:themeColor="background1"/>
                <w:lang w:eastAsia="en-GB"/>
              </w:rPr>
              <w:t>ure</w:t>
            </w:r>
          </w:p>
        </w:tc>
        <w:tc>
          <w:tcPr>
            <w:tcW w:w="464" w:type="pct"/>
            <w:tcBorders>
              <w:top w:val="nil"/>
              <w:left w:val="nil"/>
              <w:bottom w:val="nil"/>
              <w:right w:val="nil"/>
            </w:tcBorders>
            <w:shd w:val="clear" w:color="auto" w:fill="AB2328"/>
            <w:noWrap/>
            <w:textDirection w:val="btLr"/>
            <w:vAlign w:val="bottom"/>
            <w:hideMark/>
          </w:tcPr>
          <w:p w14:paraId="1630D5DC"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Gross Income</w:t>
            </w:r>
          </w:p>
        </w:tc>
        <w:tc>
          <w:tcPr>
            <w:tcW w:w="565" w:type="pct"/>
            <w:tcBorders>
              <w:top w:val="nil"/>
              <w:left w:val="nil"/>
              <w:bottom w:val="nil"/>
              <w:right w:val="nil"/>
            </w:tcBorders>
            <w:shd w:val="clear" w:color="auto" w:fill="AB2328"/>
            <w:textDirection w:val="btLr"/>
            <w:vAlign w:val="bottom"/>
            <w:hideMark/>
          </w:tcPr>
          <w:p w14:paraId="6A892173" w14:textId="383E025D"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xml:space="preserve">Net Expenditure/ </w:t>
            </w:r>
            <w:r w:rsidR="003C3D4B">
              <w:rPr>
                <w:rFonts w:ascii="Calibri" w:eastAsia="Times New Roman" w:hAnsi="Calibri" w:cs="Calibri"/>
                <w:b/>
                <w:bCs/>
                <w:color w:val="FFFFFF"/>
                <w:lang w:eastAsia="en-GB"/>
              </w:rPr>
              <w:t>(</w:t>
            </w:r>
            <w:r w:rsidRPr="001B3957">
              <w:rPr>
                <w:rFonts w:ascii="Calibri" w:eastAsia="Times New Roman" w:hAnsi="Calibri" w:cs="Calibri"/>
                <w:b/>
                <w:bCs/>
                <w:color w:val="FFFFFF"/>
                <w:lang w:eastAsia="en-GB"/>
              </w:rPr>
              <w:t>Income</w:t>
            </w:r>
            <w:r w:rsidR="003C3D4B">
              <w:rPr>
                <w:rFonts w:ascii="Calibri" w:eastAsia="Times New Roman" w:hAnsi="Calibri" w:cs="Calibri"/>
                <w:b/>
                <w:bCs/>
                <w:color w:val="FFFFFF"/>
                <w:lang w:eastAsia="en-GB"/>
              </w:rPr>
              <w:t>)</w:t>
            </w:r>
          </w:p>
        </w:tc>
        <w:tc>
          <w:tcPr>
            <w:tcW w:w="1498" w:type="pct"/>
            <w:tcBorders>
              <w:top w:val="nil"/>
              <w:left w:val="nil"/>
              <w:bottom w:val="nil"/>
              <w:right w:val="nil"/>
            </w:tcBorders>
            <w:shd w:val="clear" w:color="auto" w:fill="AB2328"/>
            <w:noWrap/>
            <w:vAlign w:val="center"/>
            <w:hideMark/>
          </w:tcPr>
          <w:p w14:paraId="29D53263"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w:t>
            </w:r>
          </w:p>
        </w:tc>
        <w:tc>
          <w:tcPr>
            <w:tcW w:w="385" w:type="pct"/>
            <w:tcBorders>
              <w:top w:val="nil"/>
              <w:left w:val="nil"/>
              <w:bottom w:val="nil"/>
              <w:right w:val="nil"/>
            </w:tcBorders>
            <w:shd w:val="clear" w:color="auto" w:fill="AB2328"/>
            <w:textDirection w:val="btLr"/>
            <w:vAlign w:val="center"/>
            <w:hideMark/>
          </w:tcPr>
          <w:p w14:paraId="72FAD23C" w14:textId="77777777" w:rsidR="001B3957" w:rsidRPr="001B3957" w:rsidRDefault="001B3957" w:rsidP="001B3957">
            <w:pPr>
              <w:spacing w:line="240" w:lineRule="auto"/>
              <w:jc w:val="center"/>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Note Ref</w:t>
            </w:r>
          </w:p>
        </w:tc>
        <w:tc>
          <w:tcPr>
            <w:tcW w:w="531" w:type="pct"/>
            <w:tcBorders>
              <w:top w:val="nil"/>
              <w:left w:val="nil"/>
              <w:bottom w:val="nil"/>
              <w:right w:val="nil"/>
            </w:tcBorders>
            <w:shd w:val="clear" w:color="auto" w:fill="AB2328"/>
            <w:textDirection w:val="btLr"/>
            <w:vAlign w:val="bottom"/>
            <w:hideMark/>
          </w:tcPr>
          <w:p w14:paraId="1B603292"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Gross Expenditure</w:t>
            </w:r>
          </w:p>
        </w:tc>
        <w:tc>
          <w:tcPr>
            <w:tcW w:w="562" w:type="pct"/>
            <w:tcBorders>
              <w:top w:val="nil"/>
              <w:left w:val="nil"/>
              <w:bottom w:val="nil"/>
              <w:right w:val="nil"/>
            </w:tcBorders>
            <w:shd w:val="clear" w:color="auto" w:fill="AB2328"/>
            <w:noWrap/>
            <w:textDirection w:val="btLr"/>
            <w:vAlign w:val="bottom"/>
            <w:hideMark/>
          </w:tcPr>
          <w:p w14:paraId="5480DEBC"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Gross Income</w:t>
            </w:r>
          </w:p>
        </w:tc>
        <w:tc>
          <w:tcPr>
            <w:tcW w:w="475" w:type="pct"/>
            <w:tcBorders>
              <w:top w:val="nil"/>
              <w:left w:val="nil"/>
              <w:bottom w:val="nil"/>
              <w:right w:val="nil"/>
            </w:tcBorders>
            <w:shd w:val="clear" w:color="auto" w:fill="AB2328"/>
            <w:textDirection w:val="btLr"/>
            <w:vAlign w:val="bottom"/>
            <w:hideMark/>
          </w:tcPr>
          <w:p w14:paraId="6EEDA803" w14:textId="2D115447" w:rsidR="001B3957" w:rsidRPr="001B3957" w:rsidRDefault="31633EEA" w:rsidP="001B3957">
            <w:pPr>
              <w:spacing w:line="240" w:lineRule="auto"/>
              <w:jc w:val="right"/>
              <w:rPr>
                <w:rFonts w:ascii="Calibri" w:eastAsia="Times New Roman" w:hAnsi="Calibri" w:cs="Calibri"/>
                <w:b/>
                <w:bCs/>
                <w:color w:val="FFFFFF"/>
                <w:lang w:eastAsia="en-GB"/>
              </w:rPr>
            </w:pPr>
            <w:r w:rsidRPr="6C31340A">
              <w:rPr>
                <w:rFonts w:ascii="Calibri" w:eastAsia="Times New Roman" w:hAnsi="Calibri" w:cs="Calibri"/>
                <w:b/>
                <w:bCs/>
                <w:color w:val="FFFFFF" w:themeColor="background1"/>
                <w:lang w:eastAsia="en-GB"/>
              </w:rPr>
              <w:t xml:space="preserve">Net Expenditure/ </w:t>
            </w:r>
            <w:r w:rsidR="6A3B38D8" w:rsidRPr="6C31340A">
              <w:rPr>
                <w:rFonts w:ascii="Calibri" w:eastAsia="Times New Roman" w:hAnsi="Calibri" w:cs="Calibri"/>
                <w:b/>
                <w:bCs/>
                <w:color w:val="FFFFFF" w:themeColor="background1"/>
                <w:lang w:eastAsia="en-GB"/>
              </w:rPr>
              <w:t>(</w:t>
            </w:r>
            <w:r w:rsidRPr="6C31340A">
              <w:rPr>
                <w:rFonts w:ascii="Calibri" w:eastAsia="Times New Roman" w:hAnsi="Calibri" w:cs="Calibri"/>
                <w:b/>
                <w:bCs/>
                <w:color w:val="FFFFFF" w:themeColor="background1"/>
                <w:lang w:eastAsia="en-GB"/>
              </w:rPr>
              <w:t>Incom</w:t>
            </w:r>
            <w:r w:rsidR="7B3D7813" w:rsidRPr="6C31340A">
              <w:rPr>
                <w:rFonts w:ascii="Calibri" w:eastAsia="Times New Roman" w:hAnsi="Calibri" w:cs="Calibri"/>
                <w:b/>
                <w:bCs/>
                <w:color w:val="FFFFFF" w:themeColor="background1"/>
                <w:lang w:eastAsia="en-GB"/>
              </w:rPr>
              <w:t>e</w:t>
            </w:r>
            <w:r w:rsidRPr="6C31340A">
              <w:rPr>
                <w:rFonts w:ascii="Calibri" w:eastAsia="Times New Roman" w:hAnsi="Calibri" w:cs="Calibri"/>
                <w:b/>
                <w:bCs/>
                <w:color w:val="FFFFFF" w:themeColor="background1"/>
                <w:lang w:eastAsia="en-GB"/>
              </w:rPr>
              <w:t>)</w:t>
            </w:r>
          </w:p>
        </w:tc>
      </w:tr>
      <w:tr w:rsidR="001B3957" w:rsidRPr="001B3957" w14:paraId="2507278F" w14:textId="77777777" w:rsidTr="004A4ABA">
        <w:trPr>
          <w:trHeight w:val="300"/>
        </w:trPr>
        <w:tc>
          <w:tcPr>
            <w:tcW w:w="520" w:type="pct"/>
            <w:tcBorders>
              <w:top w:val="nil"/>
              <w:left w:val="nil"/>
              <w:bottom w:val="nil"/>
              <w:right w:val="nil"/>
            </w:tcBorders>
            <w:shd w:val="clear" w:color="auto" w:fill="AB2328"/>
            <w:noWrap/>
            <w:vAlign w:val="center"/>
            <w:hideMark/>
          </w:tcPr>
          <w:p w14:paraId="5282CB71"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c>
          <w:tcPr>
            <w:tcW w:w="464" w:type="pct"/>
            <w:tcBorders>
              <w:top w:val="nil"/>
              <w:left w:val="nil"/>
              <w:bottom w:val="nil"/>
              <w:right w:val="nil"/>
            </w:tcBorders>
            <w:shd w:val="clear" w:color="auto" w:fill="AB2328"/>
            <w:noWrap/>
            <w:vAlign w:val="center"/>
            <w:hideMark/>
          </w:tcPr>
          <w:p w14:paraId="7EC39500"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c>
          <w:tcPr>
            <w:tcW w:w="565" w:type="pct"/>
            <w:tcBorders>
              <w:top w:val="nil"/>
              <w:left w:val="nil"/>
              <w:bottom w:val="nil"/>
              <w:right w:val="nil"/>
            </w:tcBorders>
            <w:shd w:val="clear" w:color="auto" w:fill="AB2328"/>
            <w:noWrap/>
            <w:vAlign w:val="center"/>
            <w:hideMark/>
          </w:tcPr>
          <w:p w14:paraId="303810DF"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c>
          <w:tcPr>
            <w:tcW w:w="1498" w:type="pct"/>
            <w:tcBorders>
              <w:top w:val="nil"/>
              <w:left w:val="nil"/>
              <w:bottom w:val="nil"/>
              <w:right w:val="nil"/>
            </w:tcBorders>
            <w:shd w:val="clear" w:color="auto" w:fill="AB2328"/>
            <w:textDirection w:val="btLr"/>
            <w:vAlign w:val="bottom"/>
            <w:hideMark/>
          </w:tcPr>
          <w:p w14:paraId="71EBF5D4"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w:t>
            </w:r>
          </w:p>
        </w:tc>
        <w:tc>
          <w:tcPr>
            <w:tcW w:w="385" w:type="pct"/>
            <w:tcBorders>
              <w:top w:val="nil"/>
              <w:left w:val="nil"/>
              <w:bottom w:val="nil"/>
              <w:right w:val="nil"/>
            </w:tcBorders>
            <w:shd w:val="clear" w:color="auto" w:fill="AB2328"/>
            <w:textDirection w:val="btLr"/>
            <w:vAlign w:val="bottom"/>
            <w:hideMark/>
          </w:tcPr>
          <w:p w14:paraId="0442B669"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 </w:t>
            </w:r>
          </w:p>
        </w:tc>
        <w:tc>
          <w:tcPr>
            <w:tcW w:w="531" w:type="pct"/>
            <w:tcBorders>
              <w:top w:val="nil"/>
              <w:left w:val="nil"/>
              <w:bottom w:val="nil"/>
              <w:right w:val="nil"/>
            </w:tcBorders>
            <w:shd w:val="clear" w:color="auto" w:fill="AB2328"/>
            <w:noWrap/>
            <w:vAlign w:val="center"/>
            <w:hideMark/>
          </w:tcPr>
          <w:p w14:paraId="0E5C9F4F"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c>
          <w:tcPr>
            <w:tcW w:w="562" w:type="pct"/>
            <w:tcBorders>
              <w:top w:val="nil"/>
              <w:left w:val="nil"/>
              <w:bottom w:val="nil"/>
              <w:right w:val="nil"/>
            </w:tcBorders>
            <w:shd w:val="clear" w:color="auto" w:fill="AB2328"/>
            <w:noWrap/>
            <w:vAlign w:val="center"/>
            <w:hideMark/>
          </w:tcPr>
          <w:p w14:paraId="12583FEA"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c>
          <w:tcPr>
            <w:tcW w:w="475" w:type="pct"/>
            <w:tcBorders>
              <w:top w:val="nil"/>
              <w:left w:val="nil"/>
              <w:bottom w:val="nil"/>
              <w:right w:val="nil"/>
            </w:tcBorders>
            <w:shd w:val="clear" w:color="auto" w:fill="AB2328"/>
            <w:noWrap/>
            <w:vAlign w:val="center"/>
            <w:hideMark/>
          </w:tcPr>
          <w:p w14:paraId="5E98BFE9" w14:textId="77777777" w:rsidR="001B3957" w:rsidRPr="001B3957" w:rsidRDefault="001B3957" w:rsidP="001B3957">
            <w:pPr>
              <w:spacing w:line="240" w:lineRule="auto"/>
              <w:jc w:val="right"/>
              <w:rPr>
                <w:rFonts w:ascii="Calibri" w:eastAsia="Times New Roman" w:hAnsi="Calibri" w:cs="Calibri"/>
                <w:b/>
                <w:bCs/>
                <w:color w:val="FFFFFF"/>
                <w:lang w:eastAsia="en-GB"/>
              </w:rPr>
            </w:pPr>
            <w:r w:rsidRPr="001B3957">
              <w:rPr>
                <w:rFonts w:ascii="Calibri" w:eastAsia="Times New Roman" w:hAnsi="Calibri" w:cs="Calibri"/>
                <w:b/>
                <w:bCs/>
                <w:color w:val="FFFFFF"/>
                <w:lang w:eastAsia="en-GB"/>
              </w:rPr>
              <w:t>£000</w:t>
            </w:r>
          </w:p>
        </w:tc>
      </w:tr>
      <w:tr w:rsidR="001B3957" w:rsidRPr="001B3957" w14:paraId="1225DE4D" w14:textId="77777777" w:rsidTr="004A4ABA">
        <w:trPr>
          <w:trHeight w:val="450"/>
        </w:trPr>
        <w:tc>
          <w:tcPr>
            <w:tcW w:w="520" w:type="pct"/>
            <w:tcBorders>
              <w:top w:val="nil"/>
              <w:left w:val="nil"/>
              <w:bottom w:val="nil"/>
              <w:right w:val="nil"/>
            </w:tcBorders>
            <w:shd w:val="clear" w:color="auto" w:fill="FFFFFF" w:themeFill="background1"/>
            <w:noWrap/>
            <w:vAlign w:val="center"/>
            <w:hideMark/>
          </w:tcPr>
          <w:p w14:paraId="1E857197" w14:textId="77777777" w:rsidR="001B3957" w:rsidRPr="001B3957" w:rsidRDefault="6635E815" w:rsidP="5A995008">
            <w:pPr>
              <w:spacing w:line="240" w:lineRule="auto"/>
              <w:jc w:val="right"/>
              <w:rPr>
                <w:rFonts w:ascii="Calibri" w:eastAsia="Times New Roman" w:hAnsi="Calibri" w:cs="Calibri"/>
                <w:color w:val="000000" w:themeColor="text1"/>
                <w:lang w:eastAsia="en-GB"/>
              </w:rPr>
            </w:pPr>
            <w:r w:rsidRPr="5A995008">
              <w:rPr>
                <w:rFonts w:ascii="Calibri" w:eastAsia="Times New Roman" w:hAnsi="Calibri" w:cs="Calibri"/>
                <w:color w:val="000000" w:themeColor="text1"/>
                <w:lang w:eastAsia="en-GB"/>
              </w:rPr>
              <w:t>31,554</w:t>
            </w:r>
          </w:p>
        </w:tc>
        <w:tc>
          <w:tcPr>
            <w:tcW w:w="464" w:type="pct"/>
            <w:tcBorders>
              <w:top w:val="nil"/>
              <w:left w:val="nil"/>
              <w:bottom w:val="nil"/>
              <w:right w:val="nil"/>
            </w:tcBorders>
            <w:shd w:val="clear" w:color="auto" w:fill="FFFFFF" w:themeFill="background1"/>
            <w:noWrap/>
            <w:vAlign w:val="center"/>
            <w:hideMark/>
          </w:tcPr>
          <w:p w14:paraId="00638321"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(7,632)</w:t>
            </w:r>
          </w:p>
        </w:tc>
        <w:tc>
          <w:tcPr>
            <w:tcW w:w="565" w:type="pct"/>
            <w:tcBorders>
              <w:top w:val="nil"/>
              <w:left w:val="nil"/>
              <w:bottom w:val="nil"/>
              <w:right w:val="nil"/>
            </w:tcBorders>
            <w:shd w:val="clear" w:color="auto" w:fill="FFFFFF" w:themeFill="background1"/>
            <w:noWrap/>
            <w:vAlign w:val="center"/>
            <w:hideMark/>
          </w:tcPr>
          <w:p w14:paraId="04AA313B"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23,922</w:t>
            </w:r>
          </w:p>
        </w:tc>
        <w:tc>
          <w:tcPr>
            <w:tcW w:w="1498" w:type="pct"/>
            <w:tcBorders>
              <w:top w:val="nil"/>
              <w:left w:val="nil"/>
              <w:bottom w:val="nil"/>
              <w:right w:val="nil"/>
            </w:tcBorders>
            <w:shd w:val="clear" w:color="auto" w:fill="FFFFFF" w:themeFill="background1"/>
            <w:noWrap/>
            <w:vAlign w:val="center"/>
            <w:hideMark/>
          </w:tcPr>
          <w:p w14:paraId="102F464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Fire and Rescue Services</w:t>
            </w:r>
          </w:p>
        </w:tc>
        <w:tc>
          <w:tcPr>
            <w:tcW w:w="385" w:type="pct"/>
            <w:tcBorders>
              <w:top w:val="nil"/>
              <w:left w:val="nil"/>
              <w:bottom w:val="nil"/>
              <w:right w:val="nil"/>
            </w:tcBorders>
            <w:shd w:val="clear" w:color="auto" w:fill="FFFFFF" w:themeFill="background1"/>
            <w:noWrap/>
            <w:vAlign w:val="center"/>
            <w:hideMark/>
          </w:tcPr>
          <w:p w14:paraId="00A8E416"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31" w:type="pct"/>
            <w:tcBorders>
              <w:top w:val="nil"/>
              <w:left w:val="nil"/>
              <w:bottom w:val="nil"/>
              <w:right w:val="nil"/>
            </w:tcBorders>
            <w:shd w:val="clear" w:color="auto" w:fill="FFE1E1"/>
            <w:noWrap/>
            <w:vAlign w:val="center"/>
            <w:hideMark/>
          </w:tcPr>
          <w:p w14:paraId="6A42C0B2" w14:textId="00243D49" w:rsidR="001B3957" w:rsidRPr="001B3957" w:rsidRDefault="31633EEA" w:rsidP="001B3957">
            <w:pPr>
              <w:spacing w:line="240" w:lineRule="auto"/>
              <w:jc w:val="right"/>
              <w:rPr>
                <w:rFonts w:ascii="Calibri" w:eastAsia="Times New Roman" w:hAnsi="Calibri" w:cs="Calibri"/>
                <w:color w:val="000000"/>
                <w:lang w:eastAsia="en-GB"/>
              </w:rPr>
            </w:pPr>
            <w:r w:rsidRPr="6C31340A">
              <w:rPr>
                <w:rFonts w:ascii="Calibri" w:eastAsia="Times New Roman" w:hAnsi="Calibri" w:cs="Calibri"/>
                <w:color w:val="000000" w:themeColor="text1"/>
                <w:lang w:eastAsia="en-GB"/>
              </w:rPr>
              <w:t>33,</w:t>
            </w:r>
            <w:r w:rsidR="5C42006A" w:rsidRPr="6C31340A">
              <w:rPr>
                <w:rFonts w:ascii="Calibri" w:eastAsia="Times New Roman" w:hAnsi="Calibri" w:cs="Calibri"/>
                <w:color w:val="000000" w:themeColor="text1"/>
                <w:lang w:eastAsia="en-GB"/>
              </w:rPr>
              <w:t>340</w:t>
            </w:r>
          </w:p>
        </w:tc>
        <w:tc>
          <w:tcPr>
            <w:tcW w:w="562" w:type="pct"/>
            <w:tcBorders>
              <w:top w:val="nil"/>
              <w:left w:val="nil"/>
              <w:bottom w:val="nil"/>
              <w:right w:val="nil"/>
            </w:tcBorders>
            <w:shd w:val="clear" w:color="auto" w:fill="FFE1E1"/>
            <w:noWrap/>
            <w:vAlign w:val="center"/>
            <w:hideMark/>
          </w:tcPr>
          <w:p w14:paraId="1DE764AA"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(8,112)</w:t>
            </w:r>
          </w:p>
        </w:tc>
        <w:tc>
          <w:tcPr>
            <w:tcW w:w="475" w:type="pct"/>
            <w:tcBorders>
              <w:top w:val="nil"/>
              <w:left w:val="nil"/>
              <w:bottom w:val="nil"/>
              <w:right w:val="nil"/>
            </w:tcBorders>
            <w:shd w:val="clear" w:color="auto" w:fill="FFE1E1"/>
            <w:noWrap/>
            <w:vAlign w:val="center"/>
            <w:hideMark/>
          </w:tcPr>
          <w:p w14:paraId="510D9BFB" w14:textId="63A76A74" w:rsidR="001B3957" w:rsidRPr="001B3957" w:rsidRDefault="31633EEA" w:rsidP="001B3957">
            <w:pPr>
              <w:spacing w:line="240" w:lineRule="auto"/>
              <w:jc w:val="right"/>
              <w:rPr>
                <w:rFonts w:ascii="Calibri" w:eastAsia="Times New Roman" w:hAnsi="Calibri" w:cs="Calibri"/>
                <w:lang w:eastAsia="en-GB"/>
              </w:rPr>
            </w:pPr>
            <w:r w:rsidRPr="6C31340A">
              <w:rPr>
                <w:rFonts w:ascii="Calibri" w:eastAsia="Times New Roman" w:hAnsi="Calibri" w:cs="Calibri"/>
                <w:lang w:eastAsia="en-GB"/>
              </w:rPr>
              <w:t>25,</w:t>
            </w:r>
            <w:r w:rsidR="46876B72" w:rsidRPr="6C31340A">
              <w:rPr>
                <w:rFonts w:ascii="Calibri" w:eastAsia="Times New Roman" w:hAnsi="Calibri" w:cs="Calibri"/>
                <w:lang w:eastAsia="en-GB"/>
              </w:rPr>
              <w:t>228</w:t>
            </w:r>
          </w:p>
        </w:tc>
      </w:tr>
      <w:tr w:rsidR="001B3957" w:rsidRPr="001B3957" w14:paraId="37145FB7" w14:textId="77777777" w:rsidTr="004A4ABA">
        <w:trPr>
          <w:trHeight w:val="495"/>
        </w:trPr>
        <w:tc>
          <w:tcPr>
            <w:tcW w:w="520" w:type="pct"/>
            <w:tcBorders>
              <w:top w:val="single" w:sz="4" w:space="0" w:color="auto"/>
              <w:left w:val="nil"/>
              <w:bottom w:val="single" w:sz="4" w:space="0" w:color="auto"/>
              <w:right w:val="nil"/>
            </w:tcBorders>
            <w:shd w:val="clear" w:color="auto" w:fill="FFFFFF" w:themeFill="background1"/>
            <w:noWrap/>
            <w:vAlign w:val="center"/>
            <w:hideMark/>
          </w:tcPr>
          <w:p w14:paraId="51CDFBF3"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31,554</w:t>
            </w:r>
          </w:p>
        </w:tc>
        <w:tc>
          <w:tcPr>
            <w:tcW w:w="464" w:type="pct"/>
            <w:tcBorders>
              <w:top w:val="single" w:sz="4" w:space="0" w:color="auto"/>
              <w:left w:val="nil"/>
              <w:bottom w:val="single" w:sz="4" w:space="0" w:color="auto"/>
              <w:right w:val="nil"/>
            </w:tcBorders>
            <w:shd w:val="clear" w:color="auto" w:fill="FFFFFF" w:themeFill="background1"/>
            <w:noWrap/>
            <w:vAlign w:val="center"/>
            <w:hideMark/>
          </w:tcPr>
          <w:p w14:paraId="66477A28"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(7,632)</w:t>
            </w:r>
          </w:p>
        </w:tc>
        <w:tc>
          <w:tcPr>
            <w:tcW w:w="565" w:type="pct"/>
            <w:tcBorders>
              <w:top w:val="single" w:sz="4" w:space="0" w:color="auto"/>
              <w:left w:val="nil"/>
              <w:bottom w:val="single" w:sz="4" w:space="0" w:color="auto"/>
              <w:right w:val="nil"/>
            </w:tcBorders>
            <w:shd w:val="clear" w:color="auto" w:fill="FFFFFF" w:themeFill="background1"/>
            <w:noWrap/>
            <w:vAlign w:val="center"/>
            <w:hideMark/>
          </w:tcPr>
          <w:p w14:paraId="5F264B69"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23,922</w:t>
            </w:r>
          </w:p>
        </w:tc>
        <w:tc>
          <w:tcPr>
            <w:tcW w:w="1498" w:type="pct"/>
            <w:tcBorders>
              <w:top w:val="single" w:sz="4" w:space="0" w:color="auto"/>
              <w:left w:val="nil"/>
              <w:bottom w:val="single" w:sz="4" w:space="0" w:color="auto"/>
              <w:right w:val="nil"/>
            </w:tcBorders>
            <w:shd w:val="clear" w:color="auto" w:fill="FFFFFF" w:themeFill="background1"/>
            <w:noWrap/>
            <w:vAlign w:val="center"/>
            <w:hideMark/>
          </w:tcPr>
          <w:p w14:paraId="5B27F726" w14:textId="77777777" w:rsidR="001B3957" w:rsidRPr="001B3957" w:rsidRDefault="001B3957" w:rsidP="001B3957">
            <w:pPr>
              <w:spacing w:line="240" w:lineRule="auto"/>
              <w:jc w:val="right"/>
              <w:rPr>
                <w:rFonts w:ascii="Calibri" w:eastAsia="Times New Roman" w:hAnsi="Calibri" w:cs="Calibri"/>
                <w:b/>
                <w:bCs/>
                <w:color w:val="000000"/>
                <w:lang w:eastAsia="en-GB"/>
              </w:rPr>
            </w:pPr>
            <w:r w:rsidRPr="001B3957">
              <w:rPr>
                <w:rFonts w:ascii="Calibri" w:eastAsia="Times New Roman" w:hAnsi="Calibri" w:cs="Calibri"/>
                <w:b/>
                <w:bCs/>
                <w:color w:val="000000"/>
                <w:lang w:eastAsia="en-GB"/>
              </w:rPr>
              <w:t>Cost of Services</w:t>
            </w:r>
          </w:p>
        </w:tc>
        <w:tc>
          <w:tcPr>
            <w:tcW w:w="385" w:type="pct"/>
            <w:tcBorders>
              <w:top w:val="single" w:sz="4" w:space="0" w:color="auto"/>
              <w:left w:val="nil"/>
              <w:bottom w:val="single" w:sz="4" w:space="0" w:color="auto"/>
              <w:right w:val="nil"/>
            </w:tcBorders>
            <w:shd w:val="clear" w:color="auto" w:fill="FFFFFF" w:themeFill="background1"/>
            <w:noWrap/>
            <w:vAlign w:val="center"/>
            <w:hideMark/>
          </w:tcPr>
          <w:p w14:paraId="27415E3F" w14:textId="77777777" w:rsidR="001B3957" w:rsidRPr="001B3957" w:rsidRDefault="001B3957" w:rsidP="001B3957">
            <w:pPr>
              <w:spacing w:line="240" w:lineRule="auto"/>
              <w:jc w:val="right"/>
              <w:rPr>
                <w:rFonts w:ascii="Calibri" w:eastAsia="Times New Roman" w:hAnsi="Calibri" w:cs="Calibri"/>
                <w:b/>
                <w:bCs/>
                <w:color w:val="000000"/>
                <w:lang w:eastAsia="en-GB"/>
              </w:rPr>
            </w:pPr>
            <w:r w:rsidRPr="001B3957">
              <w:rPr>
                <w:rFonts w:ascii="Calibri" w:eastAsia="Times New Roman" w:hAnsi="Calibri" w:cs="Calibri"/>
                <w:b/>
                <w:bCs/>
                <w:color w:val="000000"/>
                <w:lang w:eastAsia="en-GB"/>
              </w:rPr>
              <w:t> </w:t>
            </w:r>
          </w:p>
        </w:tc>
        <w:tc>
          <w:tcPr>
            <w:tcW w:w="531" w:type="pct"/>
            <w:tcBorders>
              <w:top w:val="single" w:sz="4" w:space="0" w:color="auto"/>
              <w:left w:val="nil"/>
              <w:bottom w:val="single" w:sz="4" w:space="0" w:color="auto"/>
              <w:right w:val="nil"/>
            </w:tcBorders>
            <w:shd w:val="clear" w:color="auto" w:fill="FFE1E1"/>
            <w:noWrap/>
            <w:vAlign w:val="center"/>
            <w:hideMark/>
          </w:tcPr>
          <w:p w14:paraId="11C970E1" w14:textId="1FBDDADD" w:rsidR="001B3957" w:rsidRPr="001B3957" w:rsidRDefault="31633EEA" w:rsidP="001B3957">
            <w:pPr>
              <w:spacing w:line="240" w:lineRule="auto"/>
              <w:jc w:val="right"/>
              <w:rPr>
                <w:rFonts w:ascii="Calibri" w:eastAsia="Times New Roman" w:hAnsi="Calibri" w:cs="Calibri"/>
                <w:b/>
                <w:bCs/>
                <w:lang w:eastAsia="en-GB"/>
              </w:rPr>
            </w:pPr>
            <w:r w:rsidRPr="6C31340A">
              <w:rPr>
                <w:rFonts w:ascii="Calibri" w:eastAsia="Times New Roman" w:hAnsi="Calibri" w:cs="Calibri"/>
                <w:b/>
                <w:bCs/>
                <w:lang w:eastAsia="en-GB"/>
              </w:rPr>
              <w:t>33,</w:t>
            </w:r>
            <w:r w:rsidR="7F157740" w:rsidRPr="6C31340A">
              <w:rPr>
                <w:rFonts w:ascii="Calibri" w:eastAsia="Times New Roman" w:hAnsi="Calibri" w:cs="Calibri"/>
                <w:b/>
                <w:bCs/>
                <w:lang w:eastAsia="en-GB"/>
              </w:rPr>
              <w:t>340</w:t>
            </w:r>
          </w:p>
        </w:tc>
        <w:tc>
          <w:tcPr>
            <w:tcW w:w="562" w:type="pct"/>
            <w:tcBorders>
              <w:top w:val="single" w:sz="4" w:space="0" w:color="auto"/>
              <w:left w:val="nil"/>
              <w:bottom w:val="single" w:sz="4" w:space="0" w:color="auto"/>
              <w:right w:val="nil"/>
            </w:tcBorders>
            <w:shd w:val="clear" w:color="auto" w:fill="FFE1E1"/>
            <w:noWrap/>
            <w:vAlign w:val="center"/>
            <w:hideMark/>
          </w:tcPr>
          <w:p w14:paraId="77FC20FB"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(8,112)</w:t>
            </w:r>
          </w:p>
        </w:tc>
        <w:tc>
          <w:tcPr>
            <w:tcW w:w="475" w:type="pct"/>
            <w:tcBorders>
              <w:top w:val="single" w:sz="4" w:space="0" w:color="auto"/>
              <w:left w:val="nil"/>
              <w:bottom w:val="single" w:sz="4" w:space="0" w:color="auto"/>
              <w:right w:val="nil"/>
            </w:tcBorders>
            <w:shd w:val="clear" w:color="auto" w:fill="FFE1E1"/>
            <w:noWrap/>
            <w:vAlign w:val="center"/>
            <w:hideMark/>
          </w:tcPr>
          <w:p w14:paraId="1E8A34B2" w14:textId="7874E628" w:rsidR="001B3957" w:rsidRPr="001B3957" w:rsidRDefault="31633EEA" w:rsidP="001B3957">
            <w:pPr>
              <w:spacing w:line="240" w:lineRule="auto"/>
              <w:jc w:val="right"/>
              <w:rPr>
                <w:rFonts w:ascii="Calibri" w:eastAsia="Times New Roman" w:hAnsi="Calibri" w:cs="Calibri"/>
                <w:b/>
                <w:bCs/>
                <w:lang w:eastAsia="en-GB"/>
              </w:rPr>
            </w:pPr>
            <w:r w:rsidRPr="6C31340A">
              <w:rPr>
                <w:rFonts w:ascii="Calibri" w:eastAsia="Times New Roman" w:hAnsi="Calibri" w:cs="Calibri"/>
                <w:b/>
                <w:bCs/>
                <w:lang w:eastAsia="en-GB"/>
              </w:rPr>
              <w:t>25,</w:t>
            </w:r>
            <w:r w:rsidR="4FB44079" w:rsidRPr="6C31340A">
              <w:rPr>
                <w:rFonts w:ascii="Calibri" w:eastAsia="Times New Roman" w:hAnsi="Calibri" w:cs="Calibri"/>
                <w:b/>
                <w:bCs/>
                <w:lang w:eastAsia="en-GB"/>
              </w:rPr>
              <w:t>228</w:t>
            </w:r>
          </w:p>
        </w:tc>
      </w:tr>
      <w:tr w:rsidR="001B3957" w:rsidRPr="001B3957" w14:paraId="33FAE935" w14:textId="77777777" w:rsidTr="004A4ABA">
        <w:trPr>
          <w:trHeight w:val="600"/>
        </w:trPr>
        <w:tc>
          <w:tcPr>
            <w:tcW w:w="520" w:type="pct"/>
            <w:tcBorders>
              <w:top w:val="nil"/>
              <w:left w:val="nil"/>
              <w:bottom w:val="nil"/>
              <w:right w:val="nil"/>
            </w:tcBorders>
            <w:shd w:val="clear" w:color="auto" w:fill="FFFFFF" w:themeFill="background1"/>
            <w:noWrap/>
            <w:vAlign w:val="center"/>
            <w:hideMark/>
          </w:tcPr>
          <w:p w14:paraId="23A8BB29"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75</w:t>
            </w:r>
          </w:p>
        </w:tc>
        <w:tc>
          <w:tcPr>
            <w:tcW w:w="464" w:type="pct"/>
            <w:tcBorders>
              <w:top w:val="nil"/>
              <w:left w:val="nil"/>
              <w:bottom w:val="nil"/>
              <w:right w:val="nil"/>
            </w:tcBorders>
            <w:shd w:val="clear" w:color="auto" w:fill="FFFFFF" w:themeFill="background1"/>
            <w:noWrap/>
            <w:vAlign w:val="center"/>
            <w:hideMark/>
          </w:tcPr>
          <w:p w14:paraId="1B20D8E8"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(91)</w:t>
            </w:r>
          </w:p>
        </w:tc>
        <w:tc>
          <w:tcPr>
            <w:tcW w:w="565" w:type="pct"/>
            <w:tcBorders>
              <w:top w:val="nil"/>
              <w:left w:val="nil"/>
              <w:bottom w:val="nil"/>
              <w:right w:val="nil"/>
            </w:tcBorders>
            <w:shd w:val="clear" w:color="auto" w:fill="FFFFFF" w:themeFill="background1"/>
            <w:noWrap/>
            <w:vAlign w:val="center"/>
            <w:hideMark/>
          </w:tcPr>
          <w:p w14:paraId="562DFAEC"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(16)</w:t>
            </w:r>
          </w:p>
        </w:tc>
        <w:tc>
          <w:tcPr>
            <w:tcW w:w="1498" w:type="pct"/>
            <w:tcBorders>
              <w:top w:val="nil"/>
              <w:left w:val="nil"/>
              <w:bottom w:val="nil"/>
              <w:right w:val="nil"/>
            </w:tcBorders>
            <w:shd w:val="clear" w:color="auto" w:fill="FFFFFF" w:themeFill="background1"/>
            <w:vAlign w:val="center"/>
            <w:hideMark/>
          </w:tcPr>
          <w:p w14:paraId="3D0003E1"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Other Operating Expenditure</w:t>
            </w:r>
          </w:p>
        </w:tc>
        <w:tc>
          <w:tcPr>
            <w:tcW w:w="385" w:type="pct"/>
            <w:tcBorders>
              <w:top w:val="nil"/>
              <w:left w:val="nil"/>
              <w:bottom w:val="nil"/>
              <w:right w:val="nil"/>
            </w:tcBorders>
            <w:shd w:val="clear" w:color="auto" w:fill="FFFFFF" w:themeFill="background1"/>
            <w:vAlign w:val="center"/>
            <w:hideMark/>
          </w:tcPr>
          <w:p w14:paraId="44A1A7E7" w14:textId="77777777" w:rsidR="001B3957" w:rsidRPr="001B3957" w:rsidRDefault="001B3957" w:rsidP="001B3957">
            <w:pPr>
              <w:spacing w:line="240" w:lineRule="auto"/>
              <w:jc w:val="center"/>
              <w:rPr>
                <w:rFonts w:ascii="Calibri" w:eastAsia="Times New Roman" w:hAnsi="Calibri" w:cs="Calibri"/>
                <w:color w:val="000000"/>
                <w:lang w:eastAsia="en-GB"/>
              </w:rPr>
            </w:pPr>
            <w:r w:rsidRPr="001B3957">
              <w:rPr>
                <w:rFonts w:ascii="Calibri" w:eastAsia="Times New Roman" w:hAnsi="Calibri" w:cs="Calibri"/>
                <w:color w:val="000000"/>
                <w:lang w:eastAsia="en-GB"/>
              </w:rPr>
              <w:t>7</w:t>
            </w:r>
          </w:p>
        </w:tc>
        <w:tc>
          <w:tcPr>
            <w:tcW w:w="531" w:type="pct"/>
            <w:tcBorders>
              <w:top w:val="nil"/>
              <w:left w:val="nil"/>
              <w:bottom w:val="nil"/>
              <w:right w:val="nil"/>
            </w:tcBorders>
            <w:shd w:val="clear" w:color="auto" w:fill="FFE1E1"/>
            <w:noWrap/>
            <w:vAlign w:val="center"/>
            <w:hideMark/>
          </w:tcPr>
          <w:p w14:paraId="08B3289B" w14:textId="178E71B1" w:rsidR="001B3957" w:rsidRPr="001B3957" w:rsidRDefault="00DF5D13" w:rsidP="001B3957">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240</w:t>
            </w:r>
          </w:p>
        </w:tc>
        <w:tc>
          <w:tcPr>
            <w:tcW w:w="562" w:type="pct"/>
            <w:tcBorders>
              <w:top w:val="nil"/>
              <w:left w:val="nil"/>
              <w:bottom w:val="nil"/>
              <w:right w:val="nil"/>
            </w:tcBorders>
            <w:shd w:val="clear" w:color="auto" w:fill="FFE1E1"/>
            <w:noWrap/>
            <w:vAlign w:val="center"/>
            <w:hideMark/>
          </w:tcPr>
          <w:p w14:paraId="5C29740F" w14:textId="1D31B246" w:rsidR="001B3957" w:rsidRPr="001B3957" w:rsidRDefault="002A54B1" w:rsidP="001B3957">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475" w:type="pct"/>
            <w:tcBorders>
              <w:top w:val="nil"/>
              <w:left w:val="nil"/>
              <w:bottom w:val="nil"/>
              <w:right w:val="nil"/>
            </w:tcBorders>
            <w:shd w:val="clear" w:color="auto" w:fill="FFE1E1"/>
            <w:noWrap/>
            <w:vAlign w:val="center"/>
            <w:hideMark/>
          </w:tcPr>
          <w:p w14:paraId="3D5654AB" w14:textId="79F47E38" w:rsidR="001B3957" w:rsidRPr="001B3957" w:rsidRDefault="001B3957" w:rsidP="001B3957">
            <w:pPr>
              <w:spacing w:line="240" w:lineRule="auto"/>
              <w:jc w:val="right"/>
              <w:rPr>
                <w:rFonts w:ascii="Calibri" w:eastAsia="Times New Roman" w:hAnsi="Calibri" w:cs="Calibri"/>
                <w:lang w:eastAsia="en-GB"/>
              </w:rPr>
            </w:pPr>
            <w:r w:rsidRPr="6EBD39B1">
              <w:rPr>
                <w:rFonts w:ascii="Calibri" w:eastAsia="Times New Roman" w:hAnsi="Calibri" w:cs="Calibri"/>
                <w:lang w:eastAsia="en-GB"/>
              </w:rPr>
              <w:t>24</w:t>
            </w:r>
            <w:r w:rsidR="006778D6">
              <w:rPr>
                <w:rFonts w:ascii="Calibri" w:eastAsia="Times New Roman" w:hAnsi="Calibri" w:cs="Calibri"/>
                <w:lang w:eastAsia="en-GB"/>
              </w:rPr>
              <w:t>0</w:t>
            </w:r>
          </w:p>
        </w:tc>
      </w:tr>
      <w:tr w:rsidR="001B3957" w:rsidRPr="001B3957" w14:paraId="71B705F9" w14:textId="77777777" w:rsidTr="004A4ABA">
        <w:trPr>
          <w:trHeight w:val="600"/>
        </w:trPr>
        <w:tc>
          <w:tcPr>
            <w:tcW w:w="520" w:type="pct"/>
            <w:tcBorders>
              <w:top w:val="nil"/>
              <w:left w:val="nil"/>
              <w:bottom w:val="nil"/>
              <w:right w:val="nil"/>
            </w:tcBorders>
            <w:shd w:val="clear" w:color="auto" w:fill="FFFFFF" w:themeFill="background1"/>
            <w:noWrap/>
            <w:vAlign w:val="center"/>
            <w:hideMark/>
          </w:tcPr>
          <w:p w14:paraId="3BD15BDD"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11,031</w:t>
            </w:r>
          </w:p>
        </w:tc>
        <w:tc>
          <w:tcPr>
            <w:tcW w:w="464" w:type="pct"/>
            <w:tcBorders>
              <w:top w:val="nil"/>
              <w:left w:val="nil"/>
              <w:bottom w:val="nil"/>
              <w:right w:val="nil"/>
            </w:tcBorders>
            <w:shd w:val="clear" w:color="auto" w:fill="FFFFFF" w:themeFill="background1"/>
            <w:noWrap/>
            <w:vAlign w:val="center"/>
            <w:hideMark/>
          </w:tcPr>
          <w:p w14:paraId="69BDFD4E"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(238)</w:t>
            </w:r>
          </w:p>
        </w:tc>
        <w:tc>
          <w:tcPr>
            <w:tcW w:w="565" w:type="pct"/>
            <w:tcBorders>
              <w:top w:val="nil"/>
              <w:left w:val="nil"/>
              <w:bottom w:val="nil"/>
              <w:right w:val="nil"/>
            </w:tcBorders>
            <w:shd w:val="clear" w:color="auto" w:fill="FFFFFF" w:themeFill="background1"/>
            <w:noWrap/>
            <w:vAlign w:val="center"/>
            <w:hideMark/>
          </w:tcPr>
          <w:p w14:paraId="38AB993D"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10,793</w:t>
            </w:r>
          </w:p>
        </w:tc>
        <w:tc>
          <w:tcPr>
            <w:tcW w:w="1498" w:type="pct"/>
            <w:tcBorders>
              <w:top w:val="nil"/>
              <w:left w:val="nil"/>
              <w:bottom w:val="nil"/>
              <w:right w:val="nil"/>
            </w:tcBorders>
            <w:shd w:val="clear" w:color="auto" w:fill="FFFFFF" w:themeFill="background1"/>
            <w:vAlign w:val="center"/>
            <w:hideMark/>
          </w:tcPr>
          <w:p w14:paraId="2A229553"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Financing and Investment Income\Expenditure</w:t>
            </w:r>
          </w:p>
        </w:tc>
        <w:tc>
          <w:tcPr>
            <w:tcW w:w="385" w:type="pct"/>
            <w:tcBorders>
              <w:top w:val="nil"/>
              <w:left w:val="nil"/>
              <w:bottom w:val="nil"/>
              <w:right w:val="nil"/>
            </w:tcBorders>
            <w:shd w:val="clear" w:color="auto" w:fill="FFFFFF" w:themeFill="background1"/>
            <w:vAlign w:val="center"/>
            <w:hideMark/>
          </w:tcPr>
          <w:p w14:paraId="0BC754AB" w14:textId="77777777" w:rsidR="001B3957" w:rsidRPr="001B3957" w:rsidRDefault="001B3957" w:rsidP="001B3957">
            <w:pPr>
              <w:spacing w:line="240" w:lineRule="auto"/>
              <w:jc w:val="center"/>
              <w:rPr>
                <w:rFonts w:ascii="Calibri" w:eastAsia="Times New Roman" w:hAnsi="Calibri" w:cs="Calibri"/>
                <w:color w:val="000000"/>
                <w:lang w:eastAsia="en-GB"/>
              </w:rPr>
            </w:pPr>
            <w:r w:rsidRPr="001B3957">
              <w:rPr>
                <w:rFonts w:ascii="Calibri" w:eastAsia="Times New Roman" w:hAnsi="Calibri" w:cs="Calibri"/>
                <w:color w:val="000000"/>
                <w:lang w:eastAsia="en-GB"/>
              </w:rPr>
              <w:t>8</w:t>
            </w:r>
          </w:p>
        </w:tc>
        <w:tc>
          <w:tcPr>
            <w:tcW w:w="531" w:type="pct"/>
            <w:tcBorders>
              <w:top w:val="nil"/>
              <w:left w:val="nil"/>
              <w:bottom w:val="nil"/>
              <w:right w:val="nil"/>
            </w:tcBorders>
            <w:shd w:val="clear" w:color="auto" w:fill="FFE1E1"/>
            <w:noWrap/>
            <w:vAlign w:val="center"/>
            <w:hideMark/>
          </w:tcPr>
          <w:p w14:paraId="7907CA7B" w14:textId="2E169B32" w:rsidR="001B3957" w:rsidRPr="001B3957" w:rsidRDefault="6CA7751D" w:rsidP="001B3957">
            <w:pPr>
              <w:spacing w:line="240" w:lineRule="auto"/>
              <w:jc w:val="right"/>
              <w:rPr>
                <w:rFonts w:ascii="Calibri" w:eastAsia="Times New Roman" w:hAnsi="Calibri" w:cs="Calibri"/>
                <w:color w:val="000000"/>
                <w:lang w:eastAsia="en-GB"/>
              </w:rPr>
            </w:pPr>
            <w:r w:rsidRPr="5A995008">
              <w:rPr>
                <w:rFonts w:ascii="Calibri" w:eastAsia="Times New Roman" w:hAnsi="Calibri" w:cs="Calibri"/>
                <w:color w:val="000000" w:themeColor="text1"/>
                <w:lang w:eastAsia="en-GB"/>
              </w:rPr>
              <w:t xml:space="preserve">        </w:t>
            </w:r>
            <w:r w:rsidRPr="004A4ABA">
              <w:rPr>
                <w:rFonts w:ascii="Calibri" w:eastAsia="Times New Roman" w:hAnsi="Calibri" w:cs="Calibri"/>
                <w:color w:val="000000" w:themeColor="text1"/>
                <w:lang w:eastAsia="en-GB"/>
              </w:rPr>
              <w:t>11,5</w:t>
            </w:r>
            <w:r w:rsidR="3F0A00D8" w:rsidRPr="004A4ABA">
              <w:rPr>
                <w:rFonts w:ascii="Calibri" w:eastAsia="Times New Roman" w:hAnsi="Calibri" w:cs="Calibri"/>
                <w:color w:val="000000" w:themeColor="text1"/>
                <w:lang w:eastAsia="en-GB"/>
              </w:rPr>
              <w:t>14</w:t>
            </w:r>
            <w:r w:rsidRPr="5A995008">
              <w:rPr>
                <w:rFonts w:ascii="Calibri" w:eastAsia="Times New Roman" w:hAnsi="Calibri" w:cs="Calibri"/>
                <w:color w:val="000000" w:themeColor="text1"/>
                <w:lang w:eastAsia="en-GB"/>
              </w:rPr>
              <w:t xml:space="preserve"> </w:t>
            </w:r>
          </w:p>
        </w:tc>
        <w:tc>
          <w:tcPr>
            <w:tcW w:w="562" w:type="pct"/>
            <w:tcBorders>
              <w:top w:val="nil"/>
              <w:left w:val="nil"/>
              <w:bottom w:val="nil"/>
              <w:right w:val="nil"/>
            </w:tcBorders>
            <w:shd w:val="clear" w:color="auto" w:fill="FFE1E1"/>
            <w:noWrap/>
            <w:vAlign w:val="center"/>
            <w:hideMark/>
          </w:tcPr>
          <w:p w14:paraId="3AEFD0E3"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(389)</w:t>
            </w:r>
          </w:p>
        </w:tc>
        <w:tc>
          <w:tcPr>
            <w:tcW w:w="475" w:type="pct"/>
            <w:tcBorders>
              <w:top w:val="nil"/>
              <w:left w:val="nil"/>
              <w:bottom w:val="nil"/>
              <w:right w:val="nil"/>
            </w:tcBorders>
            <w:shd w:val="clear" w:color="auto" w:fill="FFE1E1"/>
            <w:noWrap/>
            <w:vAlign w:val="center"/>
            <w:hideMark/>
          </w:tcPr>
          <w:p w14:paraId="1D2D6637" w14:textId="5C567DA9"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11,1</w:t>
            </w:r>
            <w:r w:rsidR="00FD6598">
              <w:rPr>
                <w:rFonts w:ascii="Calibri" w:eastAsia="Times New Roman" w:hAnsi="Calibri" w:cs="Calibri"/>
                <w:lang w:eastAsia="en-GB"/>
              </w:rPr>
              <w:t>25</w:t>
            </w:r>
          </w:p>
        </w:tc>
      </w:tr>
      <w:tr w:rsidR="001B3957" w:rsidRPr="001B3957" w14:paraId="63F61CFA" w14:textId="77777777" w:rsidTr="004A4ABA">
        <w:trPr>
          <w:trHeight w:val="600"/>
        </w:trPr>
        <w:tc>
          <w:tcPr>
            <w:tcW w:w="520" w:type="pct"/>
            <w:tcBorders>
              <w:top w:val="nil"/>
              <w:left w:val="nil"/>
              <w:bottom w:val="nil"/>
              <w:right w:val="nil"/>
            </w:tcBorders>
            <w:shd w:val="clear" w:color="auto" w:fill="FFFFFF" w:themeFill="background1"/>
            <w:noWrap/>
            <w:vAlign w:val="center"/>
            <w:hideMark/>
          </w:tcPr>
          <w:p w14:paraId="156D11ED"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 xml:space="preserve">                -   </w:t>
            </w:r>
          </w:p>
        </w:tc>
        <w:tc>
          <w:tcPr>
            <w:tcW w:w="464" w:type="pct"/>
            <w:tcBorders>
              <w:top w:val="nil"/>
              <w:left w:val="nil"/>
              <w:bottom w:val="nil"/>
              <w:right w:val="nil"/>
            </w:tcBorders>
            <w:shd w:val="clear" w:color="auto" w:fill="FFFFFF" w:themeFill="background1"/>
            <w:noWrap/>
            <w:vAlign w:val="center"/>
            <w:hideMark/>
          </w:tcPr>
          <w:p w14:paraId="14557D4D"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(29,827)</w:t>
            </w:r>
          </w:p>
        </w:tc>
        <w:tc>
          <w:tcPr>
            <w:tcW w:w="565" w:type="pct"/>
            <w:tcBorders>
              <w:top w:val="nil"/>
              <w:left w:val="nil"/>
              <w:bottom w:val="nil"/>
              <w:right w:val="nil"/>
            </w:tcBorders>
            <w:shd w:val="clear" w:color="auto" w:fill="FFFFFF" w:themeFill="background1"/>
            <w:noWrap/>
            <w:vAlign w:val="center"/>
            <w:hideMark/>
          </w:tcPr>
          <w:p w14:paraId="2EB4C266"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(29,827)</w:t>
            </w:r>
          </w:p>
        </w:tc>
        <w:tc>
          <w:tcPr>
            <w:tcW w:w="1498" w:type="pct"/>
            <w:tcBorders>
              <w:top w:val="nil"/>
              <w:left w:val="nil"/>
              <w:bottom w:val="nil"/>
              <w:right w:val="nil"/>
            </w:tcBorders>
            <w:shd w:val="clear" w:color="auto" w:fill="FFFFFF" w:themeFill="background1"/>
            <w:vAlign w:val="center"/>
            <w:hideMark/>
          </w:tcPr>
          <w:p w14:paraId="67928B35"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Taxation and Non Specific Grant Income</w:t>
            </w:r>
          </w:p>
        </w:tc>
        <w:tc>
          <w:tcPr>
            <w:tcW w:w="385" w:type="pct"/>
            <w:tcBorders>
              <w:top w:val="nil"/>
              <w:left w:val="nil"/>
              <w:bottom w:val="nil"/>
              <w:right w:val="nil"/>
            </w:tcBorders>
            <w:vAlign w:val="center"/>
            <w:hideMark/>
          </w:tcPr>
          <w:p w14:paraId="7BF36D61" w14:textId="77777777" w:rsidR="001B3957" w:rsidRPr="001B3957" w:rsidRDefault="001B3957" w:rsidP="001B3957">
            <w:pPr>
              <w:spacing w:line="240" w:lineRule="auto"/>
              <w:jc w:val="center"/>
              <w:rPr>
                <w:rFonts w:ascii="Calibri" w:eastAsia="Times New Roman" w:hAnsi="Calibri" w:cs="Calibri"/>
                <w:color w:val="000000"/>
                <w:lang w:eastAsia="en-GB"/>
              </w:rPr>
            </w:pPr>
            <w:r w:rsidRPr="001B3957">
              <w:rPr>
                <w:rFonts w:ascii="Calibri" w:eastAsia="Times New Roman" w:hAnsi="Calibri" w:cs="Calibri"/>
                <w:color w:val="000000"/>
                <w:lang w:eastAsia="en-GB"/>
              </w:rPr>
              <w:t>9</w:t>
            </w:r>
          </w:p>
        </w:tc>
        <w:tc>
          <w:tcPr>
            <w:tcW w:w="531" w:type="pct"/>
            <w:tcBorders>
              <w:top w:val="nil"/>
              <w:left w:val="nil"/>
              <w:bottom w:val="nil"/>
              <w:right w:val="nil"/>
            </w:tcBorders>
            <w:shd w:val="clear" w:color="auto" w:fill="FFE1E1"/>
            <w:noWrap/>
            <w:vAlign w:val="center"/>
            <w:hideMark/>
          </w:tcPr>
          <w:p w14:paraId="44B82F7A" w14:textId="23416793" w:rsidR="001B3957" w:rsidRPr="001B3957" w:rsidRDefault="31633EEA" w:rsidP="001B3957">
            <w:pPr>
              <w:spacing w:line="240" w:lineRule="auto"/>
              <w:jc w:val="right"/>
              <w:rPr>
                <w:rFonts w:ascii="Calibri" w:eastAsia="Times New Roman" w:hAnsi="Calibri" w:cs="Calibri"/>
                <w:color w:val="000000"/>
                <w:lang w:eastAsia="en-GB"/>
              </w:rPr>
            </w:pPr>
            <w:r w:rsidRPr="6C31340A">
              <w:rPr>
                <w:rFonts w:ascii="Calibri" w:eastAsia="Times New Roman" w:hAnsi="Calibri" w:cs="Calibri"/>
                <w:color w:val="000000" w:themeColor="text1"/>
                <w:lang w:eastAsia="en-GB"/>
              </w:rPr>
              <w:t xml:space="preserve">              </w:t>
            </w:r>
            <w:r w:rsidR="62DF9AD9" w:rsidRPr="6C31340A">
              <w:rPr>
                <w:rFonts w:ascii="Calibri" w:eastAsia="Times New Roman" w:hAnsi="Calibri" w:cs="Calibri"/>
                <w:color w:val="000000" w:themeColor="text1"/>
                <w:lang w:eastAsia="en-GB"/>
              </w:rPr>
              <w:t xml:space="preserve">  </w:t>
            </w:r>
            <w:r w:rsidRPr="6C31340A">
              <w:rPr>
                <w:rFonts w:ascii="Calibri" w:eastAsia="Times New Roman" w:hAnsi="Calibri" w:cs="Calibri"/>
                <w:color w:val="000000" w:themeColor="text1"/>
                <w:lang w:eastAsia="en-GB"/>
              </w:rPr>
              <w:t xml:space="preserve"> -   </w:t>
            </w:r>
          </w:p>
        </w:tc>
        <w:tc>
          <w:tcPr>
            <w:tcW w:w="562" w:type="pct"/>
            <w:tcBorders>
              <w:top w:val="nil"/>
              <w:left w:val="nil"/>
              <w:bottom w:val="nil"/>
              <w:right w:val="nil"/>
            </w:tcBorders>
            <w:shd w:val="clear" w:color="auto" w:fill="FFE1E1"/>
            <w:noWrap/>
            <w:vAlign w:val="center"/>
            <w:hideMark/>
          </w:tcPr>
          <w:p w14:paraId="6902444B" w14:textId="77777777" w:rsidR="001B3957" w:rsidRPr="001B3957" w:rsidRDefault="001B3957" w:rsidP="001B3957">
            <w:pPr>
              <w:spacing w:line="240" w:lineRule="auto"/>
              <w:jc w:val="right"/>
              <w:rPr>
                <w:rFonts w:ascii="Calibri" w:eastAsia="Times New Roman" w:hAnsi="Calibri" w:cs="Calibri"/>
                <w:color w:val="000000"/>
                <w:lang w:eastAsia="en-GB"/>
              </w:rPr>
            </w:pPr>
            <w:r w:rsidRPr="001B3957">
              <w:rPr>
                <w:rFonts w:ascii="Calibri" w:eastAsia="Times New Roman" w:hAnsi="Calibri" w:cs="Calibri"/>
                <w:color w:val="000000"/>
                <w:lang w:eastAsia="en-GB"/>
              </w:rPr>
              <w:t>(32,297)</w:t>
            </w:r>
          </w:p>
        </w:tc>
        <w:tc>
          <w:tcPr>
            <w:tcW w:w="475" w:type="pct"/>
            <w:tcBorders>
              <w:top w:val="nil"/>
              <w:left w:val="nil"/>
              <w:bottom w:val="nil"/>
              <w:right w:val="nil"/>
            </w:tcBorders>
            <w:shd w:val="clear" w:color="auto" w:fill="FFE1E1"/>
            <w:noWrap/>
            <w:vAlign w:val="center"/>
            <w:hideMark/>
          </w:tcPr>
          <w:p w14:paraId="1702DD72"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(32,297)</w:t>
            </w:r>
          </w:p>
        </w:tc>
      </w:tr>
      <w:tr w:rsidR="001B3957" w:rsidRPr="001B3957" w14:paraId="1E643B4E" w14:textId="77777777" w:rsidTr="004A4ABA">
        <w:trPr>
          <w:trHeight w:val="600"/>
        </w:trPr>
        <w:tc>
          <w:tcPr>
            <w:tcW w:w="520" w:type="pct"/>
            <w:tcBorders>
              <w:top w:val="single" w:sz="4" w:space="0" w:color="auto"/>
              <w:left w:val="nil"/>
              <w:bottom w:val="single" w:sz="4" w:space="0" w:color="auto"/>
              <w:right w:val="nil"/>
            </w:tcBorders>
            <w:shd w:val="clear" w:color="auto" w:fill="FFFFFF" w:themeFill="background1"/>
            <w:noWrap/>
            <w:vAlign w:val="center"/>
            <w:hideMark/>
          </w:tcPr>
          <w:p w14:paraId="73C2965B"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464" w:type="pct"/>
            <w:tcBorders>
              <w:top w:val="single" w:sz="4" w:space="0" w:color="auto"/>
              <w:left w:val="nil"/>
              <w:bottom w:val="single" w:sz="4" w:space="0" w:color="auto"/>
              <w:right w:val="nil"/>
            </w:tcBorders>
            <w:shd w:val="clear" w:color="auto" w:fill="FFFFFF" w:themeFill="background1"/>
            <w:noWrap/>
            <w:vAlign w:val="center"/>
            <w:hideMark/>
          </w:tcPr>
          <w:p w14:paraId="0B0F24B6"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65" w:type="pct"/>
            <w:tcBorders>
              <w:top w:val="single" w:sz="4" w:space="0" w:color="auto"/>
              <w:left w:val="nil"/>
              <w:bottom w:val="single" w:sz="4" w:space="0" w:color="auto"/>
              <w:right w:val="nil"/>
            </w:tcBorders>
            <w:shd w:val="clear" w:color="auto" w:fill="FFFFFF" w:themeFill="background1"/>
            <w:noWrap/>
            <w:vAlign w:val="center"/>
            <w:hideMark/>
          </w:tcPr>
          <w:p w14:paraId="5F001323"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4,872</w:t>
            </w:r>
          </w:p>
        </w:tc>
        <w:tc>
          <w:tcPr>
            <w:tcW w:w="1498" w:type="pct"/>
            <w:tcBorders>
              <w:top w:val="single" w:sz="4" w:space="0" w:color="auto"/>
              <w:left w:val="nil"/>
              <w:bottom w:val="single" w:sz="4" w:space="0" w:color="auto"/>
              <w:right w:val="nil"/>
            </w:tcBorders>
            <w:shd w:val="clear" w:color="auto" w:fill="FFFFFF" w:themeFill="background1"/>
            <w:vAlign w:val="center"/>
            <w:hideMark/>
          </w:tcPr>
          <w:p w14:paraId="20EB0853" w14:textId="4A3C9D71" w:rsidR="001B3957" w:rsidRPr="001B3957" w:rsidRDefault="001B3957" w:rsidP="001B3957">
            <w:pPr>
              <w:spacing w:line="240" w:lineRule="auto"/>
              <w:jc w:val="right"/>
              <w:rPr>
                <w:rFonts w:ascii="Calibri" w:eastAsia="Times New Roman" w:hAnsi="Calibri" w:cs="Calibri"/>
                <w:b/>
                <w:bCs/>
                <w:color w:val="000000"/>
                <w:lang w:eastAsia="en-GB"/>
              </w:rPr>
            </w:pPr>
            <w:r w:rsidRPr="001B3957">
              <w:rPr>
                <w:rFonts w:ascii="Calibri" w:eastAsia="Times New Roman" w:hAnsi="Calibri" w:cs="Calibri"/>
                <w:b/>
                <w:bCs/>
                <w:color w:val="000000"/>
                <w:lang w:eastAsia="en-GB"/>
              </w:rPr>
              <w:t>Deficit on Provision of Services</w:t>
            </w:r>
          </w:p>
        </w:tc>
        <w:tc>
          <w:tcPr>
            <w:tcW w:w="385" w:type="pct"/>
            <w:tcBorders>
              <w:top w:val="single" w:sz="4" w:space="0" w:color="auto"/>
              <w:left w:val="nil"/>
              <w:bottom w:val="single" w:sz="4" w:space="0" w:color="auto"/>
              <w:right w:val="nil"/>
            </w:tcBorders>
            <w:shd w:val="clear" w:color="auto" w:fill="FFFFFF" w:themeFill="background1"/>
            <w:noWrap/>
            <w:vAlign w:val="center"/>
            <w:hideMark/>
          </w:tcPr>
          <w:p w14:paraId="73AB0D20" w14:textId="77777777" w:rsidR="001B3957" w:rsidRPr="001B3957" w:rsidRDefault="001B3957" w:rsidP="001B3957">
            <w:pPr>
              <w:spacing w:line="240" w:lineRule="auto"/>
              <w:jc w:val="center"/>
              <w:rPr>
                <w:rFonts w:ascii="Calibri" w:eastAsia="Times New Roman" w:hAnsi="Calibri" w:cs="Calibri"/>
                <w:b/>
                <w:bCs/>
                <w:color w:val="000000"/>
                <w:lang w:eastAsia="en-GB"/>
              </w:rPr>
            </w:pPr>
            <w:r w:rsidRPr="001B3957">
              <w:rPr>
                <w:rFonts w:ascii="Calibri" w:eastAsia="Times New Roman" w:hAnsi="Calibri" w:cs="Calibri"/>
                <w:b/>
                <w:bCs/>
                <w:color w:val="000000"/>
                <w:lang w:eastAsia="en-GB"/>
              </w:rPr>
              <w:t> </w:t>
            </w:r>
          </w:p>
        </w:tc>
        <w:tc>
          <w:tcPr>
            <w:tcW w:w="531" w:type="pct"/>
            <w:tcBorders>
              <w:top w:val="single" w:sz="4" w:space="0" w:color="auto"/>
              <w:left w:val="nil"/>
              <w:bottom w:val="single" w:sz="4" w:space="0" w:color="auto"/>
              <w:right w:val="nil"/>
            </w:tcBorders>
            <w:shd w:val="clear" w:color="auto" w:fill="FFE1E1"/>
            <w:noWrap/>
            <w:vAlign w:val="center"/>
            <w:hideMark/>
          </w:tcPr>
          <w:p w14:paraId="04236E94"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62" w:type="pct"/>
            <w:tcBorders>
              <w:top w:val="single" w:sz="4" w:space="0" w:color="auto"/>
              <w:left w:val="nil"/>
              <w:bottom w:val="single" w:sz="4" w:space="0" w:color="auto"/>
              <w:right w:val="nil"/>
            </w:tcBorders>
            <w:shd w:val="clear" w:color="auto" w:fill="FFE1E1"/>
            <w:noWrap/>
            <w:vAlign w:val="center"/>
            <w:hideMark/>
          </w:tcPr>
          <w:p w14:paraId="5E55D13F"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475" w:type="pct"/>
            <w:tcBorders>
              <w:top w:val="single" w:sz="4" w:space="0" w:color="auto"/>
              <w:left w:val="nil"/>
              <w:bottom w:val="single" w:sz="4" w:space="0" w:color="auto"/>
              <w:right w:val="nil"/>
            </w:tcBorders>
            <w:shd w:val="clear" w:color="auto" w:fill="FFE1E1"/>
            <w:noWrap/>
            <w:vAlign w:val="center"/>
            <w:hideMark/>
          </w:tcPr>
          <w:p w14:paraId="1D49418B" w14:textId="6AC7968A" w:rsidR="001B3957" w:rsidRPr="001B3957" w:rsidRDefault="31633EEA" w:rsidP="001B3957">
            <w:pPr>
              <w:spacing w:line="240" w:lineRule="auto"/>
              <w:jc w:val="right"/>
              <w:rPr>
                <w:rFonts w:ascii="Calibri" w:eastAsia="Times New Roman" w:hAnsi="Calibri" w:cs="Calibri"/>
                <w:b/>
                <w:bCs/>
                <w:lang w:eastAsia="en-GB"/>
              </w:rPr>
            </w:pPr>
            <w:r w:rsidRPr="6C31340A">
              <w:rPr>
                <w:rFonts w:ascii="Calibri" w:eastAsia="Times New Roman" w:hAnsi="Calibri" w:cs="Calibri"/>
                <w:b/>
                <w:bCs/>
                <w:lang w:eastAsia="en-GB"/>
              </w:rPr>
              <w:t>4,</w:t>
            </w:r>
            <w:r w:rsidR="348B61E1" w:rsidRPr="6C31340A">
              <w:rPr>
                <w:rFonts w:ascii="Calibri" w:eastAsia="Times New Roman" w:hAnsi="Calibri" w:cs="Calibri"/>
                <w:b/>
                <w:bCs/>
                <w:lang w:eastAsia="en-GB"/>
              </w:rPr>
              <w:t>296</w:t>
            </w:r>
          </w:p>
        </w:tc>
      </w:tr>
      <w:tr w:rsidR="001B3957" w:rsidRPr="001B3957" w14:paraId="0C13C5BF" w14:textId="77777777" w:rsidTr="004A4ABA">
        <w:trPr>
          <w:trHeight w:val="600"/>
        </w:trPr>
        <w:tc>
          <w:tcPr>
            <w:tcW w:w="520" w:type="pct"/>
            <w:tcBorders>
              <w:top w:val="nil"/>
              <w:left w:val="nil"/>
              <w:bottom w:val="nil"/>
              <w:right w:val="nil"/>
            </w:tcBorders>
            <w:shd w:val="clear" w:color="auto" w:fill="FFFFFF" w:themeFill="background1"/>
            <w:vAlign w:val="center"/>
            <w:hideMark/>
          </w:tcPr>
          <w:p w14:paraId="0643CF98"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464" w:type="pct"/>
            <w:tcBorders>
              <w:top w:val="nil"/>
              <w:left w:val="nil"/>
              <w:bottom w:val="nil"/>
              <w:right w:val="nil"/>
            </w:tcBorders>
            <w:shd w:val="clear" w:color="auto" w:fill="FFFFFF" w:themeFill="background1"/>
            <w:vAlign w:val="center"/>
            <w:hideMark/>
          </w:tcPr>
          <w:p w14:paraId="727FACCB"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65" w:type="pct"/>
            <w:tcBorders>
              <w:top w:val="nil"/>
              <w:left w:val="nil"/>
              <w:bottom w:val="nil"/>
              <w:right w:val="nil"/>
            </w:tcBorders>
            <w:shd w:val="clear" w:color="auto" w:fill="FFFFFF" w:themeFill="background1"/>
            <w:vAlign w:val="center"/>
            <w:hideMark/>
          </w:tcPr>
          <w:p w14:paraId="2714D8E4"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(2,233)</w:t>
            </w:r>
          </w:p>
        </w:tc>
        <w:tc>
          <w:tcPr>
            <w:tcW w:w="1498" w:type="pct"/>
            <w:tcBorders>
              <w:top w:val="nil"/>
              <w:left w:val="nil"/>
              <w:bottom w:val="nil"/>
              <w:right w:val="nil"/>
            </w:tcBorders>
            <w:shd w:val="clear" w:color="auto" w:fill="FFFFFF" w:themeFill="background1"/>
            <w:vAlign w:val="center"/>
            <w:hideMark/>
          </w:tcPr>
          <w:p w14:paraId="65D16117"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xml:space="preserve">(Surplus) or deficit on revaluation of </w:t>
            </w:r>
            <w:proofErr w:type="gramStart"/>
            <w:r w:rsidRPr="001B3957">
              <w:rPr>
                <w:rFonts w:ascii="Calibri" w:eastAsia="Times New Roman" w:hAnsi="Calibri" w:cs="Calibri"/>
                <w:lang w:eastAsia="en-GB"/>
              </w:rPr>
              <w:t>non current</w:t>
            </w:r>
            <w:proofErr w:type="gramEnd"/>
            <w:r w:rsidRPr="001B3957">
              <w:rPr>
                <w:rFonts w:ascii="Calibri" w:eastAsia="Times New Roman" w:hAnsi="Calibri" w:cs="Calibri"/>
                <w:lang w:eastAsia="en-GB"/>
              </w:rPr>
              <w:t xml:space="preserve"> assets</w:t>
            </w:r>
          </w:p>
        </w:tc>
        <w:tc>
          <w:tcPr>
            <w:tcW w:w="385" w:type="pct"/>
            <w:tcBorders>
              <w:top w:val="nil"/>
              <w:left w:val="nil"/>
              <w:bottom w:val="nil"/>
              <w:right w:val="nil"/>
            </w:tcBorders>
            <w:shd w:val="clear" w:color="auto" w:fill="FFFFFF" w:themeFill="background1"/>
            <w:vAlign w:val="center"/>
            <w:hideMark/>
          </w:tcPr>
          <w:p w14:paraId="2C86AD63" w14:textId="45356B3E" w:rsidR="001B3957" w:rsidRPr="001B3957" w:rsidRDefault="001B3957" w:rsidP="001B3957">
            <w:pPr>
              <w:spacing w:line="240" w:lineRule="auto"/>
              <w:jc w:val="center"/>
              <w:rPr>
                <w:rFonts w:ascii="Calibri" w:eastAsia="Times New Roman" w:hAnsi="Calibri" w:cs="Calibri"/>
                <w:lang w:eastAsia="en-GB"/>
              </w:rPr>
            </w:pPr>
            <w:r w:rsidRPr="001B3957">
              <w:rPr>
                <w:rFonts w:ascii="Calibri" w:eastAsia="Times New Roman" w:hAnsi="Calibri" w:cs="Calibri"/>
                <w:lang w:eastAsia="en-GB"/>
              </w:rPr>
              <w:t>18</w:t>
            </w:r>
            <w:r w:rsidR="00F35F98">
              <w:rPr>
                <w:rFonts w:ascii="Calibri" w:eastAsia="Times New Roman" w:hAnsi="Calibri" w:cs="Calibri"/>
                <w:lang w:eastAsia="en-GB"/>
              </w:rPr>
              <w:t>/</w:t>
            </w:r>
            <w:r w:rsidRPr="001B3957">
              <w:rPr>
                <w:rFonts w:ascii="Calibri" w:eastAsia="Times New Roman" w:hAnsi="Calibri" w:cs="Calibri"/>
                <w:lang w:eastAsia="en-GB"/>
              </w:rPr>
              <w:t>19</w:t>
            </w:r>
          </w:p>
        </w:tc>
        <w:tc>
          <w:tcPr>
            <w:tcW w:w="531" w:type="pct"/>
            <w:tcBorders>
              <w:top w:val="nil"/>
              <w:left w:val="nil"/>
              <w:bottom w:val="nil"/>
              <w:right w:val="nil"/>
            </w:tcBorders>
            <w:shd w:val="clear" w:color="auto" w:fill="FFFFFF" w:themeFill="background1"/>
            <w:vAlign w:val="center"/>
            <w:hideMark/>
          </w:tcPr>
          <w:p w14:paraId="45B6765F"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vAlign w:val="center"/>
            <w:hideMark/>
          </w:tcPr>
          <w:p w14:paraId="03E7F853"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nil"/>
              <w:left w:val="nil"/>
              <w:bottom w:val="nil"/>
              <w:right w:val="nil"/>
            </w:tcBorders>
            <w:shd w:val="clear" w:color="auto" w:fill="FFE1E1"/>
            <w:vAlign w:val="center"/>
            <w:hideMark/>
          </w:tcPr>
          <w:p w14:paraId="752E4B83" w14:textId="4C0E255A" w:rsidR="001B3957" w:rsidRPr="001B3957" w:rsidRDefault="645EC0B2" w:rsidP="001B3957">
            <w:pPr>
              <w:spacing w:line="240" w:lineRule="auto"/>
              <w:jc w:val="right"/>
              <w:rPr>
                <w:rFonts w:ascii="Calibri" w:eastAsia="Times New Roman" w:hAnsi="Calibri" w:cs="Calibri"/>
                <w:lang w:eastAsia="en-GB"/>
              </w:rPr>
            </w:pPr>
            <w:r w:rsidRPr="6C31340A">
              <w:rPr>
                <w:rFonts w:ascii="Calibri" w:eastAsia="Times New Roman" w:hAnsi="Calibri" w:cs="Calibri"/>
                <w:lang w:eastAsia="en-GB"/>
              </w:rPr>
              <w:t>688</w:t>
            </w:r>
          </w:p>
        </w:tc>
      </w:tr>
      <w:tr w:rsidR="001B3957" w:rsidRPr="001B3957" w14:paraId="6B349413" w14:textId="77777777" w:rsidTr="004A4ABA">
        <w:trPr>
          <w:trHeight w:val="600"/>
        </w:trPr>
        <w:tc>
          <w:tcPr>
            <w:tcW w:w="520" w:type="pct"/>
            <w:tcBorders>
              <w:top w:val="nil"/>
              <w:left w:val="nil"/>
              <w:bottom w:val="nil"/>
              <w:right w:val="nil"/>
            </w:tcBorders>
            <w:shd w:val="clear" w:color="auto" w:fill="FFFFFF" w:themeFill="background1"/>
            <w:vAlign w:val="center"/>
            <w:hideMark/>
          </w:tcPr>
          <w:p w14:paraId="6D95EC41"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464" w:type="pct"/>
            <w:tcBorders>
              <w:top w:val="nil"/>
              <w:left w:val="nil"/>
              <w:bottom w:val="nil"/>
              <w:right w:val="nil"/>
            </w:tcBorders>
            <w:shd w:val="clear" w:color="auto" w:fill="FFFFFF" w:themeFill="background1"/>
            <w:vAlign w:val="center"/>
            <w:hideMark/>
          </w:tcPr>
          <w:p w14:paraId="2B955879"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65" w:type="pct"/>
            <w:tcBorders>
              <w:top w:val="nil"/>
              <w:left w:val="nil"/>
              <w:bottom w:val="nil"/>
              <w:right w:val="nil"/>
            </w:tcBorders>
            <w:shd w:val="clear" w:color="auto" w:fill="FFFFFF" w:themeFill="background1"/>
            <w:vAlign w:val="center"/>
            <w:hideMark/>
          </w:tcPr>
          <w:p w14:paraId="1B6FF24D"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(1,539)</w:t>
            </w:r>
          </w:p>
        </w:tc>
        <w:tc>
          <w:tcPr>
            <w:tcW w:w="1498" w:type="pct"/>
            <w:tcBorders>
              <w:top w:val="nil"/>
              <w:left w:val="nil"/>
              <w:bottom w:val="nil"/>
              <w:right w:val="nil"/>
            </w:tcBorders>
            <w:shd w:val="clear" w:color="auto" w:fill="FFFFFF" w:themeFill="background1"/>
            <w:vAlign w:val="center"/>
            <w:hideMark/>
          </w:tcPr>
          <w:p w14:paraId="30AF2D5E" w14:textId="5666B5B5"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Remeasurements of the net defined benefit (asset)</w:t>
            </w:r>
          </w:p>
        </w:tc>
        <w:tc>
          <w:tcPr>
            <w:tcW w:w="385" w:type="pct"/>
            <w:tcBorders>
              <w:top w:val="nil"/>
              <w:left w:val="nil"/>
              <w:bottom w:val="nil"/>
              <w:right w:val="nil"/>
            </w:tcBorders>
            <w:shd w:val="clear" w:color="auto" w:fill="FFFFFF" w:themeFill="background1"/>
            <w:vAlign w:val="center"/>
            <w:hideMark/>
          </w:tcPr>
          <w:p w14:paraId="4B6C4E3B" w14:textId="77777777" w:rsidR="001B3957" w:rsidRPr="001B3957" w:rsidRDefault="001B3957" w:rsidP="001B3957">
            <w:pPr>
              <w:spacing w:line="240" w:lineRule="auto"/>
              <w:jc w:val="center"/>
              <w:rPr>
                <w:rFonts w:ascii="Calibri" w:eastAsia="Times New Roman" w:hAnsi="Calibri" w:cs="Calibri"/>
                <w:lang w:eastAsia="en-GB"/>
              </w:rPr>
            </w:pPr>
            <w:r w:rsidRPr="001B3957">
              <w:rPr>
                <w:rFonts w:ascii="Calibri" w:eastAsia="Times New Roman" w:hAnsi="Calibri" w:cs="Calibri"/>
                <w:lang w:eastAsia="en-GB"/>
              </w:rPr>
              <w:t>37</w:t>
            </w:r>
          </w:p>
        </w:tc>
        <w:tc>
          <w:tcPr>
            <w:tcW w:w="531" w:type="pct"/>
            <w:tcBorders>
              <w:top w:val="nil"/>
              <w:left w:val="nil"/>
              <w:bottom w:val="nil"/>
              <w:right w:val="nil"/>
            </w:tcBorders>
            <w:shd w:val="clear" w:color="auto" w:fill="FFFFFF" w:themeFill="background1"/>
            <w:vAlign w:val="center"/>
            <w:hideMark/>
          </w:tcPr>
          <w:p w14:paraId="15021A88"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vAlign w:val="center"/>
            <w:hideMark/>
          </w:tcPr>
          <w:p w14:paraId="0CC098D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nil"/>
              <w:left w:val="nil"/>
              <w:bottom w:val="nil"/>
              <w:right w:val="nil"/>
            </w:tcBorders>
            <w:shd w:val="clear" w:color="auto" w:fill="FFE1E1"/>
            <w:vAlign w:val="center"/>
            <w:hideMark/>
          </w:tcPr>
          <w:p w14:paraId="53B53EBC" w14:textId="718A976A"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(25,993)</w:t>
            </w:r>
          </w:p>
        </w:tc>
      </w:tr>
      <w:tr w:rsidR="001B3957" w:rsidRPr="001B3957" w14:paraId="0462EB67" w14:textId="77777777" w:rsidTr="004A4ABA">
        <w:trPr>
          <w:trHeight w:val="300"/>
        </w:trPr>
        <w:tc>
          <w:tcPr>
            <w:tcW w:w="520" w:type="pct"/>
            <w:tcBorders>
              <w:top w:val="nil"/>
              <w:left w:val="nil"/>
              <w:bottom w:val="nil"/>
              <w:right w:val="nil"/>
            </w:tcBorders>
            <w:shd w:val="clear" w:color="auto" w:fill="FFFFFF" w:themeFill="background1"/>
            <w:noWrap/>
            <w:vAlign w:val="center"/>
            <w:hideMark/>
          </w:tcPr>
          <w:p w14:paraId="5B219EAD"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64" w:type="pct"/>
            <w:tcBorders>
              <w:top w:val="nil"/>
              <w:left w:val="nil"/>
              <w:bottom w:val="nil"/>
              <w:right w:val="nil"/>
            </w:tcBorders>
            <w:shd w:val="clear" w:color="auto" w:fill="FFFFFF" w:themeFill="background1"/>
            <w:noWrap/>
            <w:vAlign w:val="center"/>
            <w:hideMark/>
          </w:tcPr>
          <w:p w14:paraId="33D143C4"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5" w:type="pct"/>
            <w:tcBorders>
              <w:top w:val="nil"/>
              <w:left w:val="nil"/>
              <w:bottom w:val="nil"/>
              <w:right w:val="nil"/>
            </w:tcBorders>
            <w:shd w:val="clear" w:color="auto" w:fill="FFFFFF" w:themeFill="background1"/>
            <w:noWrap/>
            <w:vAlign w:val="center"/>
            <w:hideMark/>
          </w:tcPr>
          <w:p w14:paraId="7E2185C6"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1498" w:type="pct"/>
            <w:tcBorders>
              <w:top w:val="nil"/>
              <w:left w:val="nil"/>
              <w:bottom w:val="nil"/>
              <w:right w:val="nil"/>
            </w:tcBorders>
            <w:shd w:val="clear" w:color="auto" w:fill="FFFFFF" w:themeFill="background1"/>
            <w:noWrap/>
            <w:vAlign w:val="center"/>
            <w:hideMark/>
          </w:tcPr>
          <w:p w14:paraId="6715F962"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385" w:type="pct"/>
            <w:tcBorders>
              <w:top w:val="nil"/>
              <w:left w:val="nil"/>
              <w:bottom w:val="nil"/>
              <w:right w:val="nil"/>
            </w:tcBorders>
            <w:shd w:val="clear" w:color="auto" w:fill="FFFFFF" w:themeFill="background1"/>
            <w:noWrap/>
            <w:vAlign w:val="center"/>
            <w:hideMark/>
          </w:tcPr>
          <w:p w14:paraId="510D1990"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31" w:type="pct"/>
            <w:tcBorders>
              <w:top w:val="nil"/>
              <w:left w:val="nil"/>
              <w:bottom w:val="nil"/>
              <w:right w:val="nil"/>
            </w:tcBorders>
            <w:shd w:val="clear" w:color="auto" w:fill="FFFFFF" w:themeFill="background1"/>
            <w:noWrap/>
            <w:vAlign w:val="center"/>
            <w:hideMark/>
          </w:tcPr>
          <w:p w14:paraId="7E9A97E7"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noWrap/>
            <w:vAlign w:val="center"/>
            <w:hideMark/>
          </w:tcPr>
          <w:p w14:paraId="0BC27D05"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nil"/>
              <w:left w:val="nil"/>
              <w:bottom w:val="nil"/>
              <w:right w:val="nil"/>
            </w:tcBorders>
            <w:shd w:val="clear" w:color="auto" w:fill="FFE1E1"/>
            <w:noWrap/>
            <w:vAlign w:val="center"/>
            <w:hideMark/>
          </w:tcPr>
          <w:p w14:paraId="3F42E549"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r>
      <w:tr w:rsidR="001B3957" w:rsidRPr="001B3957" w14:paraId="5ECE897B" w14:textId="77777777" w:rsidTr="004A4ABA">
        <w:trPr>
          <w:trHeight w:val="600"/>
        </w:trPr>
        <w:tc>
          <w:tcPr>
            <w:tcW w:w="520" w:type="pct"/>
            <w:tcBorders>
              <w:top w:val="nil"/>
              <w:left w:val="nil"/>
              <w:bottom w:val="nil"/>
              <w:right w:val="nil"/>
            </w:tcBorders>
            <w:shd w:val="clear" w:color="auto" w:fill="FFFFFF" w:themeFill="background1"/>
            <w:noWrap/>
            <w:vAlign w:val="center"/>
            <w:hideMark/>
          </w:tcPr>
          <w:p w14:paraId="61ED85A3"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64" w:type="pct"/>
            <w:tcBorders>
              <w:top w:val="nil"/>
              <w:left w:val="nil"/>
              <w:bottom w:val="nil"/>
              <w:right w:val="nil"/>
            </w:tcBorders>
            <w:shd w:val="clear" w:color="auto" w:fill="FFFFFF" w:themeFill="background1"/>
            <w:noWrap/>
            <w:vAlign w:val="center"/>
            <w:hideMark/>
          </w:tcPr>
          <w:p w14:paraId="702CB965"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5" w:type="pct"/>
            <w:tcBorders>
              <w:top w:val="single" w:sz="4" w:space="0" w:color="auto"/>
              <w:left w:val="nil"/>
              <w:bottom w:val="single" w:sz="4" w:space="0" w:color="auto"/>
              <w:right w:val="nil"/>
            </w:tcBorders>
            <w:shd w:val="clear" w:color="auto" w:fill="FFFFFF" w:themeFill="background1"/>
            <w:noWrap/>
            <w:vAlign w:val="center"/>
            <w:hideMark/>
          </w:tcPr>
          <w:p w14:paraId="7ED14934"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(3,772)</w:t>
            </w:r>
          </w:p>
        </w:tc>
        <w:tc>
          <w:tcPr>
            <w:tcW w:w="1498" w:type="pct"/>
            <w:tcBorders>
              <w:top w:val="nil"/>
              <w:left w:val="nil"/>
              <w:bottom w:val="nil"/>
              <w:right w:val="nil"/>
            </w:tcBorders>
            <w:shd w:val="clear" w:color="auto" w:fill="FFFFFF" w:themeFill="background1"/>
            <w:vAlign w:val="center"/>
            <w:hideMark/>
          </w:tcPr>
          <w:p w14:paraId="3DF25749"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Other Comprehensive Income and Expenditure</w:t>
            </w:r>
          </w:p>
        </w:tc>
        <w:tc>
          <w:tcPr>
            <w:tcW w:w="385" w:type="pct"/>
            <w:tcBorders>
              <w:top w:val="nil"/>
              <w:left w:val="nil"/>
              <w:bottom w:val="nil"/>
              <w:right w:val="nil"/>
            </w:tcBorders>
            <w:shd w:val="clear" w:color="auto" w:fill="FFFFFF" w:themeFill="background1"/>
            <w:vAlign w:val="center"/>
            <w:hideMark/>
          </w:tcPr>
          <w:p w14:paraId="150B6E0E"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31" w:type="pct"/>
            <w:tcBorders>
              <w:top w:val="nil"/>
              <w:left w:val="nil"/>
              <w:bottom w:val="nil"/>
              <w:right w:val="nil"/>
            </w:tcBorders>
            <w:shd w:val="clear" w:color="auto" w:fill="FFFFFF" w:themeFill="background1"/>
            <w:noWrap/>
            <w:vAlign w:val="center"/>
            <w:hideMark/>
          </w:tcPr>
          <w:p w14:paraId="7289BD17"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noWrap/>
            <w:vAlign w:val="center"/>
            <w:hideMark/>
          </w:tcPr>
          <w:p w14:paraId="2928096D"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single" w:sz="4" w:space="0" w:color="auto"/>
              <w:left w:val="nil"/>
              <w:bottom w:val="single" w:sz="4" w:space="0" w:color="auto"/>
              <w:right w:val="nil"/>
            </w:tcBorders>
            <w:shd w:val="clear" w:color="auto" w:fill="FFE1E1"/>
            <w:noWrap/>
            <w:vAlign w:val="center"/>
            <w:hideMark/>
          </w:tcPr>
          <w:p w14:paraId="7FFE6DFD" w14:textId="00437FD9" w:rsidR="001B3957" w:rsidRPr="001B3957" w:rsidRDefault="31633EEA" w:rsidP="001B3957">
            <w:pPr>
              <w:spacing w:line="240" w:lineRule="auto"/>
              <w:jc w:val="right"/>
              <w:rPr>
                <w:rFonts w:ascii="Calibri" w:eastAsia="Times New Roman" w:hAnsi="Calibri" w:cs="Calibri"/>
                <w:b/>
                <w:bCs/>
                <w:lang w:eastAsia="en-GB"/>
              </w:rPr>
            </w:pPr>
            <w:r w:rsidRPr="6C31340A">
              <w:rPr>
                <w:rFonts w:ascii="Calibri" w:eastAsia="Times New Roman" w:hAnsi="Calibri" w:cs="Calibri"/>
                <w:b/>
                <w:bCs/>
                <w:lang w:eastAsia="en-GB"/>
              </w:rPr>
              <w:t>(25,</w:t>
            </w:r>
            <w:r w:rsidR="7EFAA28B" w:rsidRPr="6C31340A">
              <w:rPr>
                <w:rFonts w:ascii="Calibri" w:eastAsia="Times New Roman" w:hAnsi="Calibri" w:cs="Calibri"/>
                <w:b/>
                <w:bCs/>
                <w:lang w:eastAsia="en-GB"/>
              </w:rPr>
              <w:t>305)</w:t>
            </w:r>
          </w:p>
        </w:tc>
      </w:tr>
      <w:tr w:rsidR="001B3957" w:rsidRPr="001B3957" w14:paraId="6F13C685" w14:textId="77777777" w:rsidTr="004A4ABA">
        <w:trPr>
          <w:trHeight w:val="300"/>
        </w:trPr>
        <w:tc>
          <w:tcPr>
            <w:tcW w:w="520" w:type="pct"/>
            <w:tcBorders>
              <w:top w:val="nil"/>
              <w:left w:val="nil"/>
              <w:bottom w:val="nil"/>
              <w:right w:val="nil"/>
            </w:tcBorders>
            <w:shd w:val="clear" w:color="auto" w:fill="FFFFFF" w:themeFill="background1"/>
            <w:noWrap/>
            <w:vAlign w:val="center"/>
            <w:hideMark/>
          </w:tcPr>
          <w:p w14:paraId="347D1637"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64" w:type="pct"/>
            <w:tcBorders>
              <w:top w:val="nil"/>
              <w:left w:val="nil"/>
              <w:bottom w:val="nil"/>
              <w:right w:val="nil"/>
            </w:tcBorders>
            <w:shd w:val="clear" w:color="auto" w:fill="FFFFFF" w:themeFill="background1"/>
            <w:noWrap/>
            <w:vAlign w:val="center"/>
            <w:hideMark/>
          </w:tcPr>
          <w:p w14:paraId="3DCA105A"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5" w:type="pct"/>
            <w:tcBorders>
              <w:top w:val="nil"/>
              <w:left w:val="nil"/>
              <w:bottom w:val="nil"/>
              <w:right w:val="nil"/>
            </w:tcBorders>
            <w:shd w:val="clear" w:color="auto" w:fill="FFFFFF" w:themeFill="background1"/>
            <w:noWrap/>
            <w:vAlign w:val="center"/>
            <w:hideMark/>
          </w:tcPr>
          <w:p w14:paraId="0BE21468"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1498" w:type="pct"/>
            <w:tcBorders>
              <w:top w:val="nil"/>
              <w:left w:val="nil"/>
              <w:bottom w:val="nil"/>
              <w:right w:val="nil"/>
            </w:tcBorders>
            <w:shd w:val="clear" w:color="auto" w:fill="FFFFFF" w:themeFill="background1"/>
            <w:noWrap/>
            <w:vAlign w:val="center"/>
            <w:hideMark/>
          </w:tcPr>
          <w:p w14:paraId="7B3586BC"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385" w:type="pct"/>
            <w:tcBorders>
              <w:top w:val="nil"/>
              <w:left w:val="nil"/>
              <w:bottom w:val="nil"/>
              <w:right w:val="nil"/>
            </w:tcBorders>
            <w:shd w:val="clear" w:color="auto" w:fill="FFFFFF" w:themeFill="background1"/>
            <w:noWrap/>
            <w:vAlign w:val="center"/>
            <w:hideMark/>
          </w:tcPr>
          <w:p w14:paraId="4F7ED9E6"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31" w:type="pct"/>
            <w:tcBorders>
              <w:top w:val="nil"/>
              <w:left w:val="nil"/>
              <w:bottom w:val="nil"/>
              <w:right w:val="nil"/>
            </w:tcBorders>
            <w:shd w:val="clear" w:color="auto" w:fill="FFFFFF" w:themeFill="background1"/>
            <w:noWrap/>
            <w:vAlign w:val="center"/>
            <w:hideMark/>
          </w:tcPr>
          <w:p w14:paraId="507A3348"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noWrap/>
            <w:vAlign w:val="center"/>
            <w:hideMark/>
          </w:tcPr>
          <w:p w14:paraId="7B0E2C1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nil"/>
              <w:left w:val="nil"/>
              <w:bottom w:val="nil"/>
              <w:right w:val="nil"/>
            </w:tcBorders>
            <w:shd w:val="clear" w:color="auto" w:fill="FFE1E1"/>
            <w:noWrap/>
            <w:vAlign w:val="center"/>
            <w:hideMark/>
          </w:tcPr>
          <w:p w14:paraId="69BF685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r>
      <w:tr w:rsidR="001B3957" w:rsidRPr="001B3957" w14:paraId="072D6E73" w14:textId="77777777" w:rsidTr="004A4ABA">
        <w:trPr>
          <w:trHeight w:val="600"/>
        </w:trPr>
        <w:tc>
          <w:tcPr>
            <w:tcW w:w="520" w:type="pct"/>
            <w:tcBorders>
              <w:top w:val="nil"/>
              <w:left w:val="nil"/>
              <w:bottom w:val="nil"/>
              <w:right w:val="nil"/>
            </w:tcBorders>
            <w:shd w:val="clear" w:color="auto" w:fill="FFFFFF" w:themeFill="background1"/>
            <w:noWrap/>
            <w:vAlign w:val="center"/>
            <w:hideMark/>
          </w:tcPr>
          <w:p w14:paraId="64B3DD7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64" w:type="pct"/>
            <w:tcBorders>
              <w:top w:val="nil"/>
              <w:left w:val="nil"/>
              <w:bottom w:val="nil"/>
              <w:right w:val="nil"/>
            </w:tcBorders>
            <w:shd w:val="clear" w:color="auto" w:fill="FFFFFF" w:themeFill="background1"/>
            <w:noWrap/>
            <w:vAlign w:val="center"/>
            <w:hideMark/>
          </w:tcPr>
          <w:p w14:paraId="63450A4E"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5" w:type="pct"/>
            <w:tcBorders>
              <w:top w:val="single" w:sz="4" w:space="0" w:color="auto"/>
              <w:left w:val="nil"/>
              <w:bottom w:val="single" w:sz="4" w:space="0" w:color="auto"/>
              <w:right w:val="nil"/>
            </w:tcBorders>
            <w:shd w:val="clear" w:color="auto" w:fill="FFFFFF" w:themeFill="background1"/>
            <w:noWrap/>
            <w:vAlign w:val="center"/>
            <w:hideMark/>
          </w:tcPr>
          <w:p w14:paraId="6AA942E0"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1,100</w:t>
            </w:r>
          </w:p>
        </w:tc>
        <w:tc>
          <w:tcPr>
            <w:tcW w:w="1498" w:type="pct"/>
            <w:tcBorders>
              <w:top w:val="nil"/>
              <w:left w:val="nil"/>
              <w:bottom w:val="nil"/>
              <w:right w:val="nil"/>
            </w:tcBorders>
            <w:shd w:val="clear" w:color="auto" w:fill="FFFFFF" w:themeFill="background1"/>
            <w:vAlign w:val="center"/>
            <w:hideMark/>
          </w:tcPr>
          <w:p w14:paraId="7A7784D5" w14:textId="035ED049"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xml:space="preserve">Total Comprehensive </w:t>
            </w:r>
            <w:r w:rsidR="00DF4297">
              <w:rPr>
                <w:rFonts w:ascii="Calibri" w:eastAsia="Times New Roman" w:hAnsi="Calibri" w:cs="Calibri"/>
                <w:b/>
                <w:bCs/>
                <w:lang w:eastAsia="en-GB"/>
              </w:rPr>
              <w:t>(</w:t>
            </w:r>
            <w:r w:rsidRPr="001B3957">
              <w:rPr>
                <w:rFonts w:ascii="Calibri" w:eastAsia="Times New Roman" w:hAnsi="Calibri" w:cs="Calibri"/>
                <w:b/>
                <w:bCs/>
                <w:lang w:eastAsia="en-GB"/>
              </w:rPr>
              <w:t>Income) and Expenditure</w:t>
            </w:r>
          </w:p>
        </w:tc>
        <w:tc>
          <w:tcPr>
            <w:tcW w:w="385" w:type="pct"/>
            <w:tcBorders>
              <w:top w:val="nil"/>
              <w:left w:val="nil"/>
              <w:bottom w:val="nil"/>
              <w:right w:val="nil"/>
            </w:tcBorders>
            <w:shd w:val="clear" w:color="auto" w:fill="FFFFFF" w:themeFill="background1"/>
            <w:vAlign w:val="center"/>
            <w:hideMark/>
          </w:tcPr>
          <w:p w14:paraId="562FCA13" w14:textId="77777777"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 </w:t>
            </w:r>
          </w:p>
        </w:tc>
        <w:tc>
          <w:tcPr>
            <w:tcW w:w="531" w:type="pct"/>
            <w:tcBorders>
              <w:top w:val="nil"/>
              <w:left w:val="nil"/>
              <w:bottom w:val="nil"/>
              <w:right w:val="nil"/>
            </w:tcBorders>
            <w:shd w:val="clear" w:color="auto" w:fill="FFFFFF" w:themeFill="background1"/>
            <w:noWrap/>
            <w:vAlign w:val="center"/>
            <w:hideMark/>
          </w:tcPr>
          <w:p w14:paraId="02682DEC"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562" w:type="pct"/>
            <w:tcBorders>
              <w:top w:val="nil"/>
              <w:left w:val="nil"/>
              <w:bottom w:val="nil"/>
              <w:right w:val="nil"/>
            </w:tcBorders>
            <w:shd w:val="clear" w:color="auto" w:fill="FFFFFF" w:themeFill="background1"/>
            <w:noWrap/>
            <w:vAlign w:val="center"/>
            <w:hideMark/>
          </w:tcPr>
          <w:p w14:paraId="71B6633D" w14:textId="77777777" w:rsidR="001B3957" w:rsidRPr="001B3957" w:rsidRDefault="001B3957" w:rsidP="001B3957">
            <w:pPr>
              <w:spacing w:line="240" w:lineRule="auto"/>
              <w:jc w:val="right"/>
              <w:rPr>
                <w:rFonts w:ascii="Calibri" w:eastAsia="Times New Roman" w:hAnsi="Calibri" w:cs="Calibri"/>
                <w:lang w:eastAsia="en-GB"/>
              </w:rPr>
            </w:pPr>
            <w:r w:rsidRPr="001B3957">
              <w:rPr>
                <w:rFonts w:ascii="Calibri" w:eastAsia="Times New Roman" w:hAnsi="Calibri" w:cs="Calibri"/>
                <w:lang w:eastAsia="en-GB"/>
              </w:rPr>
              <w:t> </w:t>
            </w:r>
          </w:p>
        </w:tc>
        <w:tc>
          <w:tcPr>
            <w:tcW w:w="475" w:type="pct"/>
            <w:tcBorders>
              <w:top w:val="single" w:sz="4" w:space="0" w:color="auto"/>
              <w:left w:val="nil"/>
              <w:bottom w:val="single" w:sz="4" w:space="0" w:color="auto"/>
              <w:right w:val="nil"/>
            </w:tcBorders>
            <w:shd w:val="clear" w:color="auto" w:fill="FFE1E1"/>
            <w:noWrap/>
            <w:vAlign w:val="center"/>
            <w:hideMark/>
          </w:tcPr>
          <w:p w14:paraId="7D0A1751" w14:textId="4A7C7095" w:rsidR="001B3957" w:rsidRPr="001B3957" w:rsidRDefault="001B3957" w:rsidP="001B3957">
            <w:pPr>
              <w:spacing w:line="240" w:lineRule="auto"/>
              <w:jc w:val="right"/>
              <w:rPr>
                <w:rFonts w:ascii="Calibri" w:eastAsia="Times New Roman" w:hAnsi="Calibri" w:cs="Calibri"/>
                <w:b/>
                <w:bCs/>
                <w:lang w:eastAsia="en-GB"/>
              </w:rPr>
            </w:pPr>
            <w:r w:rsidRPr="001B3957">
              <w:rPr>
                <w:rFonts w:ascii="Calibri" w:eastAsia="Times New Roman" w:hAnsi="Calibri" w:cs="Calibri"/>
                <w:b/>
                <w:bCs/>
                <w:lang w:eastAsia="en-GB"/>
              </w:rPr>
              <w:t>(2</w:t>
            </w:r>
            <w:r w:rsidR="00BA64A6">
              <w:rPr>
                <w:rFonts w:ascii="Calibri" w:eastAsia="Times New Roman" w:hAnsi="Calibri" w:cs="Calibri"/>
                <w:b/>
                <w:bCs/>
                <w:lang w:eastAsia="en-GB"/>
              </w:rPr>
              <w:t>1</w:t>
            </w:r>
            <w:r w:rsidRPr="001B3957">
              <w:rPr>
                <w:rFonts w:ascii="Calibri" w:eastAsia="Times New Roman" w:hAnsi="Calibri" w:cs="Calibri"/>
                <w:b/>
                <w:bCs/>
                <w:lang w:eastAsia="en-GB"/>
              </w:rPr>
              <w:t>,</w:t>
            </w:r>
            <w:r w:rsidR="00BA64A6">
              <w:rPr>
                <w:rFonts w:ascii="Calibri" w:eastAsia="Times New Roman" w:hAnsi="Calibri" w:cs="Calibri"/>
                <w:b/>
                <w:bCs/>
                <w:lang w:eastAsia="en-GB"/>
              </w:rPr>
              <w:t>00</w:t>
            </w:r>
            <w:r w:rsidR="00FD6598">
              <w:rPr>
                <w:rFonts w:ascii="Calibri" w:eastAsia="Times New Roman" w:hAnsi="Calibri" w:cs="Calibri"/>
                <w:b/>
                <w:bCs/>
                <w:lang w:eastAsia="en-GB"/>
              </w:rPr>
              <w:t>9</w:t>
            </w:r>
            <w:r w:rsidRPr="001B3957">
              <w:rPr>
                <w:rFonts w:ascii="Calibri" w:eastAsia="Times New Roman" w:hAnsi="Calibri" w:cs="Calibri"/>
                <w:b/>
                <w:bCs/>
                <w:lang w:eastAsia="en-GB"/>
              </w:rPr>
              <w:t>)</w:t>
            </w:r>
          </w:p>
        </w:tc>
      </w:tr>
    </w:tbl>
    <w:p w14:paraId="6C06A4E8" w14:textId="468B5D7B" w:rsidR="0043353C" w:rsidRDefault="0043353C" w:rsidP="00A57018">
      <w:pPr>
        <w:pStyle w:val="Default"/>
        <w:rPr>
          <w:rFonts w:asciiTheme="minorHAnsi" w:hAnsiTheme="minorHAnsi"/>
          <w:noProof/>
          <w:color w:val="auto"/>
          <w:lang w:eastAsia="en-GB"/>
        </w:rPr>
      </w:pPr>
    </w:p>
    <w:p w14:paraId="23C3027D" w14:textId="77777777" w:rsidR="0043353C" w:rsidRDefault="0043353C" w:rsidP="00DF4B5D">
      <w:pPr>
        <w:pStyle w:val="Default"/>
        <w:jc w:val="center"/>
        <w:rPr>
          <w:rFonts w:asciiTheme="minorHAnsi" w:hAnsiTheme="minorHAnsi"/>
          <w:noProof/>
          <w:color w:val="auto"/>
          <w:lang w:eastAsia="en-GB"/>
        </w:rPr>
      </w:pPr>
    </w:p>
    <w:p w14:paraId="2C6E733A" w14:textId="6E59B9E8" w:rsidR="00D86DF3" w:rsidRPr="007F07C2" w:rsidRDefault="00D86DF3" w:rsidP="000A435A">
      <w:pPr>
        <w:spacing w:after="160"/>
        <w:jc w:val="left"/>
        <w:rPr>
          <w:noProof/>
          <w:lang w:eastAsia="en-GB"/>
        </w:rPr>
      </w:pPr>
      <w:r w:rsidRPr="007F07C2">
        <w:rPr>
          <w:lang w:eastAsia="en-GB"/>
        </w:rPr>
        <w:br w:type="page"/>
      </w:r>
    </w:p>
    <w:p w14:paraId="24473477" w14:textId="635D1058" w:rsidR="00103626" w:rsidRPr="00927E96" w:rsidRDefault="006F2E9F" w:rsidP="00927E96">
      <w:pPr>
        <w:pStyle w:val="VAHeading"/>
      </w:pPr>
      <w:r w:rsidRPr="00927E96">
        <w:lastRenderedPageBreak/>
        <w:t xml:space="preserve">Movement In Reserves Statement </w:t>
      </w:r>
    </w:p>
    <w:p w14:paraId="27C19609" w14:textId="3A10AAAE" w:rsidR="002D7485" w:rsidRPr="006A4726" w:rsidRDefault="005B5944" w:rsidP="002A1ADD">
      <w:pPr>
        <w:pStyle w:val="VAHeadingLevel2"/>
      </w:pPr>
      <w:r w:rsidRPr="006A4726">
        <w:t xml:space="preserve">For </w:t>
      </w:r>
      <w:r w:rsidR="006F2E9F" w:rsidRPr="006A4726">
        <w:t>t</w:t>
      </w:r>
      <w:r w:rsidRPr="006A4726">
        <w:t>he Year Ending 31</w:t>
      </w:r>
      <w:r w:rsidRPr="006A4726">
        <w:rPr>
          <w:vertAlign w:val="superscript"/>
        </w:rPr>
        <w:t>st</w:t>
      </w:r>
      <w:r w:rsidRPr="006A4726">
        <w:t xml:space="preserve"> </w:t>
      </w:r>
      <w:r w:rsidR="004F5BD2" w:rsidRPr="006A4726">
        <w:t xml:space="preserve">March </w:t>
      </w:r>
      <w:r w:rsidRPr="006A4726">
        <w:t>202</w:t>
      </w:r>
      <w:r w:rsidR="00673AB0" w:rsidRPr="006A4726">
        <w:t>5</w:t>
      </w:r>
    </w:p>
    <w:p w14:paraId="61CBC7B6" w14:textId="77385114" w:rsidR="006C17C4" w:rsidRDefault="006C17C4" w:rsidP="002A1ADD">
      <w:pPr>
        <w:pStyle w:val="VAHeadingLevel2"/>
        <w:rPr>
          <w:rFonts w:eastAsiaTheme="minorHAnsi"/>
        </w:rPr>
      </w:pPr>
    </w:p>
    <w:tbl>
      <w:tblPr>
        <w:tblW w:w="10527" w:type="dxa"/>
        <w:tblLook w:val="04A0" w:firstRow="1" w:lastRow="0" w:firstColumn="1" w:lastColumn="0" w:noHBand="0" w:noVBand="1"/>
      </w:tblPr>
      <w:tblGrid>
        <w:gridCol w:w="3330"/>
        <w:gridCol w:w="1135"/>
        <w:gridCol w:w="945"/>
        <w:gridCol w:w="816"/>
        <w:gridCol w:w="903"/>
        <w:gridCol w:w="795"/>
        <w:gridCol w:w="885"/>
        <w:gridCol w:w="900"/>
        <w:gridCol w:w="818"/>
      </w:tblGrid>
      <w:tr w:rsidR="000A6C4A" w:rsidRPr="000A6C4A" w14:paraId="77B339F4" w14:textId="77777777" w:rsidTr="5A995008">
        <w:trPr>
          <w:trHeight w:val="675"/>
        </w:trPr>
        <w:tc>
          <w:tcPr>
            <w:tcW w:w="3330" w:type="dxa"/>
            <w:tcBorders>
              <w:top w:val="nil"/>
              <w:left w:val="nil"/>
              <w:bottom w:val="nil"/>
              <w:right w:val="nil"/>
            </w:tcBorders>
            <w:shd w:val="clear" w:color="auto" w:fill="FFFFFF" w:themeFill="background1"/>
            <w:noWrap/>
            <w:vAlign w:val="bottom"/>
            <w:hideMark/>
          </w:tcPr>
          <w:p w14:paraId="2FC129DF"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AB2328"/>
            <w:hideMark/>
          </w:tcPr>
          <w:p w14:paraId="20700D28" w14:textId="77777777" w:rsidR="000A6C4A" w:rsidRPr="000A6C4A" w:rsidRDefault="2B9FB9B1" w:rsidP="000A6C4A">
            <w:pPr>
              <w:spacing w:line="240" w:lineRule="auto"/>
              <w:jc w:val="right"/>
              <w:rPr>
                <w:rFonts w:ascii="Calibri" w:eastAsia="Times New Roman" w:hAnsi="Calibri" w:cs="Calibri"/>
                <w:b/>
                <w:bCs/>
                <w:color w:val="FFFFFF"/>
                <w:sz w:val="16"/>
                <w:szCs w:val="16"/>
                <w:lang w:eastAsia="en-GB"/>
              </w:rPr>
            </w:pPr>
            <w:r w:rsidRPr="5A995008">
              <w:rPr>
                <w:rFonts w:ascii="Calibri" w:eastAsia="Times New Roman" w:hAnsi="Calibri" w:cs="Calibri"/>
                <w:b/>
                <w:bCs/>
                <w:color w:val="FFFFFF" w:themeColor="background1"/>
                <w:sz w:val="16"/>
                <w:szCs w:val="16"/>
                <w:lang w:eastAsia="en-GB"/>
              </w:rPr>
              <w:t>Non Earmarked Reserves</w:t>
            </w:r>
          </w:p>
        </w:tc>
        <w:tc>
          <w:tcPr>
            <w:tcW w:w="945" w:type="dxa"/>
            <w:tcBorders>
              <w:top w:val="nil"/>
              <w:left w:val="nil"/>
              <w:bottom w:val="nil"/>
              <w:right w:val="nil"/>
            </w:tcBorders>
            <w:shd w:val="clear" w:color="auto" w:fill="AB2328"/>
            <w:hideMark/>
          </w:tcPr>
          <w:p w14:paraId="05B57367"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Earmarked Reserves</w:t>
            </w:r>
          </w:p>
        </w:tc>
        <w:tc>
          <w:tcPr>
            <w:tcW w:w="816" w:type="dxa"/>
            <w:tcBorders>
              <w:top w:val="nil"/>
              <w:left w:val="nil"/>
              <w:bottom w:val="nil"/>
              <w:right w:val="nil"/>
            </w:tcBorders>
            <w:shd w:val="clear" w:color="auto" w:fill="AB2328"/>
            <w:hideMark/>
          </w:tcPr>
          <w:p w14:paraId="1D18EEEB"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General Fund Reserves</w:t>
            </w:r>
          </w:p>
        </w:tc>
        <w:tc>
          <w:tcPr>
            <w:tcW w:w="903" w:type="dxa"/>
            <w:tcBorders>
              <w:top w:val="nil"/>
              <w:left w:val="nil"/>
              <w:bottom w:val="nil"/>
              <w:right w:val="nil"/>
            </w:tcBorders>
            <w:shd w:val="clear" w:color="auto" w:fill="AB2328"/>
            <w:hideMark/>
          </w:tcPr>
          <w:p w14:paraId="60925F32"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Capital Grants Unapplied</w:t>
            </w:r>
          </w:p>
        </w:tc>
        <w:tc>
          <w:tcPr>
            <w:tcW w:w="795" w:type="dxa"/>
            <w:tcBorders>
              <w:top w:val="nil"/>
              <w:left w:val="nil"/>
              <w:bottom w:val="nil"/>
              <w:right w:val="nil"/>
            </w:tcBorders>
            <w:shd w:val="clear" w:color="auto" w:fill="AB2328"/>
            <w:hideMark/>
          </w:tcPr>
          <w:p w14:paraId="6A5AF959"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Capital Receipts Reserve</w:t>
            </w:r>
          </w:p>
        </w:tc>
        <w:tc>
          <w:tcPr>
            <w:tcW w:w="885" w:type="dxa"/>
            <w:tcBorders>
              <w:top w:val="nil"/>
              <w:left w:val="nil"/>
              <w:bottom w:val="nil"/>
              <w:right w:val="nil"/>
            </w:tcBorders>
            <w:shd w:val="clear" w:color="auto" w:fill="AB2328"/>
            <w:hideMark/>
          </w:tcPr>
          <w:p w14:paraId="3F1CB2A9"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Usable Reserves Total</w:t>
            </w:r>
          </w:p>
        </w:tc>
        <w:tc>
          <w:tcPr>
            <w:tcW w:w="900" w:type="dxa"/>
            <w:tcBorders>
              <w:top w:val="nil"/>
              <w:left w:val="nil"/>
              <w:bottom w:val="nil"/>
              <w:right w:val="nil"/>
            </w:tcBorders>
            <w:shd w:val="clear" w:color="auto" w:fill="AB2328"/>
            <w:hideMark/>
          </w:tcPr>
          <w:p w14:paraId="4AFEC361"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Unusable Reserves Total</w:t>
            </w:r>
          </w:p>
        </w:tc>
        <w:tc>
          <w:tcPr>
            <w:tcW w:w="818" w:type="dxa"/>
            <w:tcBorders>
              <w:top w:val="nil"/>
              <w:left w:val="nil"/>
              <w:bottom w:val="nil"/>
              <w:right w:val="nil"/>
            </w:tcBorders>
            <w:shd w:val="clear" w:color="auto" w:fill="AB2328"/>
            <w:hideMark/>
          </w:tcPr>
          <w:p w14:paraId="2A9A2CBE"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Reserves Total</w:t>
            </w:r>
          </w:p>
        </w:tc>
      </w:tr>
      <w:tr w:rsidR="000A6C4A" w:rsidRPr="000A6C4A" w14:paraId="56A94F90" w14:textId="77777777" w:rsidTr="5A995008">
        <w:trPr>
          <w:trHeight w:val="300"/>
        </w:trPr>
        <w:tc>
          <w:tcPr>
            <w:tcW w:w="3330" w:type="dxa"/>
            <w:tcBorders>
              <w:top w:val="nil"/>
              <w:left w:val="nil"/>
              <w:bottom w:val="nil"/>
              <w:right w:val="nil"/>
            </w:tcBorders>
            <w:shd w:val="clear" w:color="auto" w:fill="FFFFFF" w:themeFill="background1"/>
            <w:noWrap/>
            <w:vAlign w:val="bottom"/>
            <w:hideMark/>
          </w:tcPr>
          <w:p w14:paraId="31C34A0A"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AB2328"/>
            <w:noWrap/>
            <w:hideMark/>
          </w:tcPr>
          <w:p w14:paraId="2BFC39FA"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945" w:type="dxa"/>
            <w:tcBorders>
              <w:top w:val="nil"/>
              <w:left w:val="nil"/>
              <w:bottom w:val="nil"/>
              <w:right w:val="nil"/>
            </w:tcBorders>
            <w:shd w:val="clear" w:color="auto" w:fill="AB2328"/>
            <w:noWrap/>
            <w:hideMark/>
          </w:tcPr>
          <w:p w14:paraId="0648E538"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816" w:type="dxa"/>
            <w:tcBorders>
              <w:top w:val="nil"/>
              <w:left w:val="nil"/>
              <w:bottom w:val="nil"/>
              <w:right w:val="nil"/>
            </w:tcBorders>
            <w:shd w:val="clear" w:color="auto" w:fill="AB2328"/>
            <w:noWrap/>
            <w:hideMark/>
          </w:tcPr>
          <w:p w14:paraId="358E4E11"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903" w:type="dxa"/>
            <w:tcBorders>
              <w:top w:val="nil"/>
              <w:left w:val="nil"/>
              <w:bottom w:val="nil"/>
              <w:right w:val="nil"/>
            </w:tcBorders>
            <w:shd w:val="clear" w:color="auto" w:fill="AB2328"/>
            <w:noWrap/>
            <w:hideMark/>
          </w:tcPr>
          <w:p w14:paraId="2F55A8E9"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795" w:type="dxa"/>
            <w:tcBorders>
              <w:top w:val="nil"/>
              <w:left w:val="nil"/>
              <w:bottom w:val="nil"/>
              <w:right w:val="nil"/>
            </w:tcBorders>
            <w:shd w:val="clear" w:color="auto" w:fill="AB2328"/>
            <w:noWrap/>
            <w:hideMark/>
          </w:tcPr>
          <w:p w14:paraId="043DB81B"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885" w:type="dxa"/>
            <w:tcBorders>
              <w:top w:val="nil"/>
              <w:left w:val="nil"/>
              <w:bottom w:val="nil"/>
              <w:right w:val="nil"/>
            </w:tcBorders>
            <w:shd w:val="clear" w:color="auto" w:fill="AB2328"/>
            <w:noWrap/>
            <w:hideMark/>
          </w:tcPr>
          <w:p w14:paraId="4ECCA5E5"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900" w:type="dxa"/>
            <w:tcBorders>
              <w:top w:val="nil"/>
              <w:left w:val="nil"/>
              <w:bottom w:val="nil"/>
              <w:right w:val="nil"/>
            </w:tcBorders>
            <w:shd w:val="clear" w:color="auto" w:fill="AB2328"/>
            <w:noWrap/>
            <w:hideMark/>
          </w:tcPr>
          <w:p w14:paraId="1C0523FA"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c>
          <w:tcPr>
            <w:tcW w:w="818" w:type="dxa"/>
            <w:tcBorders>
              <w:top w:val="nil"/>
              <w:left w:val="nil"/>
              <w:bottom w:val="nil"/>
              <w:right w:val="nil"/>
            </w:tcBorders>
            <w:shd w:val="clear" w:color="auto" w:fill="AB2328"/>
            <w:noWrap/>
            <w:hideMark/>
          </w:tcPr>
          <w:p w14:paraId="0C41E2DF" w14:textId="77777777" w:rsidR="000A6C4A" w:rsidRPr="000A6C4A" w:rsidRDefault="000A6C4A" w:rsidP="000A6C4A">
            <w:pPr>
              <w:spacing w:line="240" w:lineRule="auto"/>
              <w:jc w:val="right"/>
              <w:rPr>
                <w:rFonts w:ascii="Calibri" w:eastAsia="Times New Roman" w:hAnsi="Calibri" w:cs="Calibri"/>
                <w:b/>
                <w:bCs/>
                <w:color w:val="FFFFFF"/>
                <w:sz w:val="16"/>
                <w:szCs w:val="16"/>
                <w:lang w:eastAsia="en-GB"/>
              </w:rPr>
            </w:pPr>
            <w:r w:rsidRPr="000A6C4A">
              <w:rPr>
                <w:rFonts w:ascii="Calibri" w:eastAsia="Times New Roman" w:hAnsi="Calibri" w:cs="Calibri"/>
                <w:b/>
                <w:bCs/>
                <w:color w:val="FFFFFF"/>
                <w:sz w:val="16"/>
                <w:szCs w:val="16"/>
                <w:lang w:eastAsia="en-GB"/>
              </w:rPr>
              <w:t>£000</w:t>
            </w:r>
          </w:p>
        </w:tc>
      </w:tr>
      <w:tr w:rsidR="000A6C4A" w:rsidRPr="000A6C4A" w14:paraId="24EAE1BD" w14:textId="77777777" w:rsidTr="5A995008">
        <w:trPr>
          <w:trHeight w:val="240"/>
        </w:trPr>
        <w:tc>
          <w:tcPr>
            <w:tcW w:w="3330" w:type="dxa"/>
            <w:tcBorders>
              <w:top w:val="nil"/>
              <w:left w:val="nil"/>
              <w:bottom w:val="nil"/>
              <w:right w:val="nil"/>
            </w:tcBorders>
            <w:shd w:val="clear" w:color="auto" w:fill="FFFFFF" w:themeFill="background1"/>
            <w:noWrap/>
            <w:vAlign w:val="bottom"/>
            <w:hideMark/>
          </w:tcPr>
          <w:p w14:paraId="385E3D40"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xml:space="preserve">Balance </w:t>
            </w:r>
            <w:proofErr w:type="gramStart"/>
            <w:r w:rsidRPr="000A6C4A">
              <w:rPr>
                <w:rFonts w:ascii="Calibri" w:eastAsia="Times New Roman" w:hAnsi="Calibri" w:cs="Calibri"/>
                <w:b/>
                <w:bCs/>
                <w:color w:val="000000"/>
                <w:sz w:val="16"/>
                <w:szCs w:val="16"/>
                <w:lang w:eastAsia="en-GB"/>
              </w:rPr>
              <w:t>at</w:t>
            </w:r>
            <w:proofErr w:type="gramEnd"/>
            <w:r w:rsidRPr="000A6C4A">
              <w:rPr>
                <w:rFonts w:ascii="Calibri" w:eastAsia="Times New Roman" w:hAnsi="Calibri" w:cs="Calibri"/>
                <w:b/>
                <w:bCs/>
                <w:color w:val="000000"/>
                <w:sz w:val="16"/>
                <w:szCs w:val="16"/>
                <w:lang w:eastAsia="en-GB"/>
              </w:rPr>
              <w:t xml:space="preserve"> 31st March 2023</w:t>
            </w:r>
          </w:p>
        </w:tc>
        <w:tc>
          <w:tcPr>
            <w:tcW w:w="1135" w:type="dxa"/>
            <w:tcBorders>
              <w:top w:val="nil"/>
              <w:left w:val="nil"/>
              <w:bottom w:val="nil"/>
              <w:right w:val="nil"/>
            </w:tcBorders>
            <w:shd w:val="clear" w:color="auto" w:fill="FFFFFF" w:themeFill="background1"/>
            <w:noWrap/>
            <w:hideMark/>
          </w:tcPr>
          <w:p w14:paraId="12609659"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(2,000)</w:t>
            </w:r>
          </w:p>
        </w:tc>
        <w:tc>
          <w:tcPr>
            <w:tcW w:w="945" w:type="dxa"/>
            <w:tcBorders>
              <w:top w:val="nil"/>
              <w:left w:val="nil"/>
              <w:bottom w:val="nil"/>
              <w:right w:val="nil"/>
            </w:tcBorders>
            <w:shd w:val="clear" w:color="auto" w:fill="FFFFFF" w:themeFill="background1"/>
            <w:noWrap/>
            <w:hideMark/>
          </w:tcPr>
          <w:p w14:paraId="1E747C7F"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(2,035)</w:t>
            </w:r>
          </w:p>
        </w:tc>
        <w:tc>
          <w:tcPr>
            <w:tcW w:w="816" w:type="dxa"/>
            <w:tcBorders>
              <w:top w:val="nil"/>
              <w:left w:val="nil"/>
              <w:bottom w:val="nil"/>
              <w:right w:val="nil"/>
            </w:tcBorders>
            <w:shd w:val="clear" w:color="auto" w:fill="FFE1E1"/>
            <w:noWrap/>
            <w:hideMark/>
          </w:tcPr>
          <w:p w14:paraId="75D8D565"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(4,035)</w:t>
            </w:r>
          </w:p>
        </w:tc>
        <w:tc>
          <w:tcPr>
            <w:tcW w:w="903" w:type="dxa"/>
            <w:tcBorders>
              <w:top w:val="nil"/>
              <w:left w:val="nil"/>
              <w:bottom w:val="nil"/>
              <w:right w:val="nil"/>
            </w:tcBorders>
            <w:shd w:val="clear" w:color="auto" w:fill="FFFFFF" w:themeFill="background1"/>
            <w:noWrap/>
            <w:hideMark/>
          </w:tcPr>
          <w:p w14:paraId="1A7F8BEA"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(418)</w:t>
            </w:r>
          </w:p>
        </w:tc>
        <w:tc>
          <w:tcPr>
            <w:tcW w:w="795" w:type="dxa"/>
            <w:tcBorders>
              <w:top w:val="nil"/>
              <w:left w:val="nil"/>
              <w:bottom w:val="nil"/>
              <w:right w:val="nil"/>
            </w:tcBorders>
            <w:shd w:val="clear" w:color="auto" w:fill="FFFFFF" w:themeFill="background1"/>
            <w:noWrap/>
            <w:hideMark/>
          </w:tcPr>
          <w:p w14:paraId="2A274C2D" w14:textId="5378A0C6"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885" w:type="dxa"/>
            <w:tcBorders>
              <w:top w:val="nil"/>
              <w:left w:val="nil"/>
              <w:bottom w:val="nil"/>
              <w:right w:val="nil"/>
            </w:tcBorders>
            <w:shd w:val="clear" w:color="auto" w:fill="FFE1E1"/>
            <w:noWrap/>
            <w:hideMark/>
          </w:tcPr>
          <w:p w14:paraId="40A22EB8"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(4,453)</w:t>
            </w:r>
          </w:p>
        </w:tc>
        <w:tc>
          <w:tcPr>
            <w:tcW w:w="900" w:type="dxa"/>
            <w:tcBorders>
              <w:top w:val="nil"/>
              <w:left w:val="nil"/>
              <w:bottom w:val="nil"/>
              <w:right w:val="nil"/>
            </w:tcBorders>
            <w:shd w:val="clear" w:color="auto" w:fill="FFFFFF" w:themeFill="background1"/>
            <w:noWrap/>
            <w:hideMark/>
          </w:tcPr>
          <w:p w14:paraId="28E7108D"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202,173</w:t>
            </w:r>
          </w:p>
        </w:tc>
        <w:tc>
          <w:tcPr>
            <w:tcW w:w="818" w:type="dxa"/>
            <w:tcBorders>
              <w:top w:val="nil"/>
              <w:left w:val="nil"/>
              <w:bottom w:val="nil"/>
              <w:right w:val="nil"/>
            </w:tcBorders>
            <w:shd w:val="clear" w:color="auto" w:fill="FFE1E1"/>
            <w:noWrap/>
            <w:hideMark/>
          </w:tcPr>
          <w:p w14:paraId="4372C48B"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197,720</w:t>
            </w:r>
          </w:p>
        </w:tc>
      </w:tr>
      <w:tr w:rsidR="000A6C4A" w:rsidRPr="000A6C4A" w14:paraId="1C934A44" w14:textId="77777777" w:rsidTr="5A995008">
        <w:trPr>
          <w:trHeight w:val="102"/>
        </w:trPr>
        <w:tc>
          <w:tcPr>
            <w:tcW w:w="3330" w:type="dxa"/>
            <w:tcBorders>
              <w:top w:val="nil"/>
              <w:left w:val="nil"/>
              <w:bottom w:val="nil"/>
              <w:right w:val="nil"/>
            </w:tcBorders>
            <w:shd w:val="clear" w:color="auto" w:fill="FFFFFF" w:themeFill="background1"/>
            <w:noWrap/>
            <w:vAlign w:val="bottom"/>
            <w:hideMark/>
          </w:tcPr>
          <w:p w14:paraId="61E2CFF2"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55507145" w14:textId="55BCABC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0A1655A9" w14:textId="42163DE4"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15E0F5F6" w14:textId="6A513CC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72488F5E" w14:textId="499670AB"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64B10168" w14:textId="2B6D350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758FE126" w14:textId="179900E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2BBD5E00" w14:textId="63C454D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1ACBEEC2" w14:textId="7DF79B6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2378F99B"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5994D89C"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Movement in Reserves for 2023/24</w:t>
            </w:r>
          </w:p>
        </w:tc>
        <w:tc>
          <w:tcPr>
            <w:tcW w:w="1135" w:type="dxa"/>
            <w:tcBorders>
              <w:top w:val="nil"/>
              <w:left w:val="nil"/>
              <w:bottom w:val="nil"/>
              <w:right w:val="nil"/>
            </w:tcBorders>
            <w:shd w:val="clear" w:color="auto" w:fill="FFFFFF" w:themeFill="background1"/>
            <w:noWrap/>
            <w:hideMark/>
          </w:tcPr>
          <w:p w14:paraId="3E46C492" w14:textId="1F120D26"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3BEFDE18" w14:textId="128F23FA"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6" w:type="dxa"/>
            <w:tcBorders>
              <w:top w:val="nil"/>
              <w:left w:val="nil"/>
              <w:bottom w:val="nil"/>
              <w:right w:val="nil"/>
            </w:tcBorders>
            <w:shd w:val="clear" w:color="auto" w:fill="FFE1E1"/>
            <w:noWrap/>
            <w:hideMark/>
          </w:tcPr>
          <w:p w14:paraId="7C281C60" w14:textId="1863F801"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29D59107" w14:textId="4E2DEB18"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012980A7" w14:textId="52A0E26A"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85" w:type="dxa"/>
            <w:tcBorders>
              <w:top w:val="nil"/>
              <w:left w:val="nil"/>
              <w:bottom w:val="nil"/>
              <w:right w:val="nil"/>
            </w:tcBorders>
            <w:shd w:val="clear" w:color="auto" w:fill="FFE1E1"/>
            <w:noWrap/>
            <w:hideMark/>
          </w:tcPr>
          <w:p w14:paraId="3039489B" w14:textId="011AEF8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20A33628" w14:textId="0163BA8E"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8" w:type="dxa"/>
            <w:tcBorders>
              <w:top w:val="nil"/>
              <w:left w:val="nil"/>
              <w:bottom w:val="nil"/>
              <w:right w:val="nil"/>
            </w:tcBorders>
            <w:shd w:val="clear" w:color="auto" w:fill="FFE1E1"/>
            <w:noWrap/>
            <w:hideMark/>
          </w:tcPr>
          <w:p w14:paraId="30616553" w14:textId="69F88904"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r>
      <w:tr w:rsidR="000A6C4A" w:rsidRPr="000A6C4A" w14:paraId="3A53C328"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730C8656"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428A7D54" w14:textId="7EAD42F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55F6C6EC" w14:textId="57EEED86"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773A298B" w14:textId="041B07D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0D58A339" w14:textId="1C07CA7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1C7A8093" w14:textId="71EF4CDC"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22A34A17" w14:textId="04648A0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6D5E2128" w14:textId="200F52C2"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4F2ADC57" w14:textId="06E6A2C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6703E1CA"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3A72AF4C"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Total comprehensive income and expenditure</w:t>
            </w:r>
          </w:p>
        </w:tc>
        <w:tc>
          <w:tcPr>
            <w:tcW w:w="1135" w:type="dxa"/>
            <w:tcBorders>
              <w:top w:val="nil"/>
              <w:left w:val="nil"/>
              <w:bottom w:val="nil"/>
              <w:right w:val="nil"/>
            </w:tcBorders>
            <w:shd w:val="clear" w:color="auto" w:fill="FFFFFF" w:themeFill="background1"/>
            <w:noWrap/>
            <w:hideMark/>
          </w:tcPr>
          <w:p w14:paraId="5CBBC150"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4,872</w:t>
            </w:r>
          </w:p>
        </w:tc>
        <w:tc>
          <w:tcPr>
            <w:tcW w:w="945" w:type="dxa"/>
            <w:tcBorders>
              <w:top w:val="nil"/>
              <w:left w:val="nil"/>
              <w:bottom w:val="nil"/>
              <w:right w:val="nil"/>
            </w:tcBorders>
            <w:shd w:val="clear" w:color="auto" w:fill="FFFFFF" w:themeFill="background1"/>
            <w:noWrap/>
            <w:hideMark/>
          </w:tcPr>
          <w:p w14:paraId="29F3F793" w14:textId="43388A02"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16" w:type="dxa"/>
            <w:tcBorders>
              <w:top w:val="nil"/>
              <w:left w:val="nil"/>
              <w:bottom w:val="nil"/>
              <w:right w:val="nil"/>
            </w:tcBorders>
            <w:shd w:val="clear" w:color="auto" w:fill="FFE1E1"/>
            <w:noWrap/>
            <w:hideMark/>
          </w:tcPr>
          <w:p w14:paraId="0F6D9042"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4,872</w:t>
            </w:r>
          </w:p>
        </w:tc>
        <w:tc>
          <w:tcPr>
            <w:tcW w:w="903" w:type="dxa"/>
            <w:tcBorders>
              <w:top w:val="nil"/>
              <w:left w:val="nil"/>
              <w:bottom w:val="nil"/>
              <w:right w:val="nil"/>
            </w:tcBorders>
            <w:shd w:val="clear" w:color="auto" w:fill="FFFFFF" w:themeFill="background1"/>
            <w:noWrap/>
            <w:hideMark/>
          </w:tcPr>
          <w:p w14:paraId="7943DCE2" w14:textId="5EAE2A84"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3B7DD10C" w14:textId="146F7D9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85" w:type="dxa"/>
            <w:tcBorders>
              <w:top w:val="nil"/>
              <w:left w:val="nil"/>
              <w:bottom w:val="nil"/>
              <w:right w:val="nil"/>
            </w:tcBorders>
            <w:shd w:val="clear" w:color="auto" w:fill="FFE1E1"/>
            <w:noWrap/>
            <w:hideMark/>
          </w:tcPr>
          <w:p w14:paraId="64C99871"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4,872</w:t>
            </w:r>
          </w:p>
        </w:tc>
        <w:tc>
          <w:tcPr>
            <w:tcW w:w="900" w:type="dxa"/>
            <w:tcBorders>
              <w:top w:val="nil"/>
              <w:left w:val="nil"/>
              <w:bottom w:val="nil"/>
              <w:right w:val="nil"/>
            </w:tcBorders>
            <w:shd w:val="clear" w:color="auto" w:fill="FFFFFF" w:themeFill="background1"/>
            <w:noWrap/>
            <w:hideMark/>
          </w:tcPr>
          <w:p w14:paraId="24EA1426"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(3,772)</w:t>
            </w:r>
          </w:p>
        </w:tc>
        <w:tc>
          <w:tcPr>
            <w:tcW w:w="818" w:type="dxa"/>
            <w:tcBorders>
              <w:top w:val="nil"/>
              <w:left w:val="nil"/>
              <w:bottom w:val="nil"/>
              <w:right w:val="nil"/>
            </w:tcBorders>
            <w:shd w:val="clear" w:color="auto" w:fill="FFE1E1"/>
            <w:noWrap/>
            <w:hideMark/>
          </w:tcPr>
          <w:p w14:paraId="4313BB43"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1,100</w:t>
            </w:r>
          </w:p>
        </w:tc>
      </w:tr>
      <w:tr w:rsidR="000A6C4A" w:rsidRPr="000A6C4A" w14:paraId="5B2B1F0E" w14:textId="77777777" w:rsidTr="5A995008">
        <w:trPr>
          <w:trHeight w:val="102"/>
        </w:trPr>
        <w:tc>
          <w:tcPr>
            <w:tcW w:w="3330" w:type="dxa"/>
            <w:tcBorders>
              <w:top w:val="nil"/>
              <w:left w:val="nil"/>
              <w:bottom w:val="nil"/>
              <w:right w:val="nil"/>
            </w:tcBorders>
            <w:shd w:val="clear" w:color="auto" w:fill="FFFFFF" w:themeFill="background1"/>
            <w:noWrap/>
            <w:vAlign w:val="bottom"/>
            <w:hideMark/>
          </w:tcPr>
          <w:p w14:paraId="1AF9E42B"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7FB2FAAB" w14:textId="1431A7E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1047630B" w14:textId="50031C8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1DAF4649" w14:textId="226AA8E2"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68281537" w14:textId="70DDBC44"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64C2CFBF" w14:textId="058C789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20A8BA64" w14:textId="78F9E98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0403464E" w14:textId="2680C93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0CACC5C0" w14:textId="35B52A4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7E9E34FA" w14:textId="77777777" w:rsidTr="5A995008">
        <w:trPr>
          <w:trHeight w:val="600"/>
        </w:trPr>
        <w:tc>
          <w:tcPr>
            <w:tcW w:w="3330" w:type="dxa"/>
            <w:tcBorders>
              <w:top w:val="nil"/>
              <w:left w:val="nil"/>
              <w:bottom w:val="nil"/>
              <w:right w:val="nil"/>
            </w:tcBorders>
            <w:shd w:val="clear" w:color="auto" w:fill="FFFFFF" w:themeFill="background1"/>
            <w:vAlign w:val="bottom"/>
            <w:hideMark/>
          </w:tcPr>
          <w:p w14:paraId="205340CB"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Adjustments between accounting and funding basis under regulations (note 6)</w:t>
            </w:r>
          </w:p>
        </w:tc>
        <w:tc>
          <w:tcPr>
            <w:tcW w:w="1135" w:type="dxa"/>
            <w:tcBorders>
              <w:top w:val="nil"/>
              <w:left w:val="nil"/>
              <w:bottom w:val="nil"/>
              <w:right w:val="nil"/>
            </w:tcBorders>
            <w:shd w:val="clear" w:color="auto" w:fill="FFFFFF" w:themeFill="background1"/>
            <w:noWrap/>
            <w:hideMark/>
          </w:tcPr>
          <w:p w14:paraId="34E96405"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(5,497)</w:t>
            </w:r>
          </w:p>
        </w:tc>
        <w:tc>
          <w:tcPr>
            <w:tcW w:w="945" w:type="dxa"/>
            <w:tcBorders>
              <w:top w:val="nil"/>
              <w:left w:val="nil"/>
              <w:bottom w:val="nil"/>
              <w:right w:val="nil"/>
            </w:tcBorders>
            <w:shd w:val="clear" w:color="auto" w:fill="FFFFFF" w:themeFill="background1"/>
            <w:noWrap/>
            <w:hideMark/>
          </w:tcPr>
          <w:p w14:paraId="78AED719" w14:textId="194BA69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34</w:t>
            </w:r>
          </w:p>
        </w:tc>
        <w:tc>
          <w:tcPr>
            <w:tcW w:w="816" w:type="dxa"/>
            <w:tcBorders>
              <w:top w:val="nil"/>
              <w:left w:val="nil"/>
              <w:bottom w:val="nil"/>
              <w:right w:val="nil"/>
            </w:tcBorders>
            <w:shd w:val="clear" w:color="auto" w:fill="FFE1E1"/>
            <w:noWrap/>
            <w:hideMark/>
          </w:tcPr>
          <w:p w14:paraId="667EDEA1"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(5,463)</w:t>
            </w:r>
          </w:p>
        </w:tc>
        <w:tc>
          <w:tcPr>
            <w:tcW w:w="903" w:type="dxa"/>
            <w:tcBorders>
              <w:top w:val="nil"/>
              <w:left w:val="nil"/>
              <w:bottom w:val="nil"/>
              <w:right w:val="nil"/>
            </w:tcBorders>
            <w:shd w:val="clear" w:color="auto" w:fill="FFFFFF" w:themeFill="background1"/>
            <w:noWrap/>
            <w:hideMark/>
          </w:tcPr>
          <w:p w14:paraId="2C2FACC4" w14:textId="3E89AE0E"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3C03B2B8" w14:textId="38DAA09E"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85" w:type="dxa"/>
            <w:tcBorders>
              <w:top w:val="nil"/>
              <w:left w:val="nil"/>
              <w:bottom w:val="nil"/>
              <w:right w:val="nil"/>
            </w:tcBorders>
            <w:shd w:val="clear" w:color="auto" w:fill="FFE1E1"/>
            <w:noWrap/>
            <w:hideMark/>
          </w:tcPr>
          <w:p w14:paraId="74EC1CAD"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(5,463)</w:t>
            </w:r>
          </w:p>
        </w:tc>
        <w:tc>
          <w:tcPr>
            <w:tcW w:w="900" w:type="dxa"/>
            <w:tcBorders>
              <w:top w:val="nil"/>
              <w:left w:val="nil"/>
              <w:bottom w:val="nil"/>
              <w:right w:val="nil"/>
            </w:tcBorders>
            <w:shd w:val="clear" w:color="auto" w:fill="FFFFFF" w:themeFill="background1"/>
            <w:noWrap/>
            <w:hideMark/>
          </w:tcPr>
          <w:p w14:paraId="2114FEE7"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5,463</w:t>
            </w:r>
          </w:p>
        </w:tc>
        <w:tc>
          <w:tcPr>
            <w:tcW w:w="818" w:type="dxa"/>
            <w:tcBorders>
              <w:top w:val="nil"/>
              <w:left w:val="nil"/>
              <w:bottom w:val="nil"/>
              <w:right w:val="nil"/>
            </w:tcBorders>
            <w:shd w:val="clear" w:color="auto" w:fill="FFE1E1"/>
            <w:noWrap/>
            <w:hideMark/>
          </w:tcPr>
          <w:p w14:paraId="3D83A6AE" w14:textId="4B724BC5"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r>
      <w:tr w:rsidR="000A6C4A" w:rsidRPr="000A6C4A" w14:paraId="096C969F"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16635DDF"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7D150202" w14:textId="7AD1911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29FB0A4D" w14:textId="54B7247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1EC70451" w14:textId="10FF13F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53FD50D2" w14:textId="24AECF8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38126760" w14:textId="615CB9EC"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3514949C" w14:textId="3D5575F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7195EA21" w14:textId="129A64E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1F43DC71" w14:textId="481E07A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585ABB24"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25DB14C0"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Transfer to Earmarked Reserves</w:t>
            </w:r>
          </w:p>
        </w:tc>
        <w:tc>
          <w:tcPr>
            <w:tcW w:w="1135" w:type="dxa"/>
            <w:tcBorders>
              <w:top w:val="nil"/>
              <w:left w:val="nil"/>
              <w:bottom w:val="nil"/>
              <w:right w:val="nil"/>
            </w:tcBorders>
            <w:shd w:val="clear" w:color="auto" w:fill="FFFFFF" w:themeFill="background1"/>
            <w:noWrap/>
            <w:hideMark/>
          </w:tcPr>
          <w:p w14:paraId="60B7CC0F" w14:textId="722A40D5"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625</w:t>
            </w:r>
          </w:p>
        </w:tc>
        <w:tc>
          <w:tcPr>
            <w:tcW w:w="945" w:type="dxa"/>
            <w:tcBorders>
              <w:top w:val="nil"/>
              <w:left w:val="nil"/>
              <w:bottom w:val="nil"/>
              <w:right w:val="nil"/>
            </w:tcBorders>
            <w:shd w:val="clear" w:color="auto" w:fill="FFFFFF" w:themeFill="background1"/>
            <w:noWrap/>
            <w:hideMark/>
          </w:tcPr>
          <w:p w14:paraId="061C5224" w14:textId="5A06186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(625)</w:t>
            </w:r>
          </w:p>
        </w:tc>
        <w:tc>
          <w:tcPr>
            <w:tcW w:w="816" w:type="dxa"/>
            <w:tcBorders>
              <w:top w:val="nil"/>
              <w:left w:val="nil"/>
              <w:bottom w:val="nil"/>
              <w:right w:val="nil"/>
            </w:tcBorders>
            <w:shd w:val="clear" w:color="auto" w:fill="FFE1E1"/>
            <w:noWrap/>
            <w:hideMark/>
          </w:tcPr>
          <w:p w14:paraId="0787D7C5" w14:textId="399DC1B9"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903" w:type="dxa"/>
            <w:tcBorders>
              <w:top w:val="nil"/>
              <w:left w:val="nil"/>
              <w:bottom w:val="nil"/>
              <w:right w:val="nil"/>
            </w:tcBorders>
            <w:shd w:val="clear" w:color="auto" w:fill="FFFFFF" w:themeFill="background1"/>
            <w:noWrap/>
            <w:hideMark/>
          </w:tcPr>
          <w:p w14:paraId="016D45E3" w14:textId="327BC815"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581EB41C" w14:textId="0DE5752A"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85" w:type="dxa"/>
            <w:tcBorders>
              <w:top w:val="nil"/>
              <w:left w:val="nil"/>
              <w:bottom w:val="nil"/>
              <w:right w:val="nil"/>
            </w:tcBorders>
            <w:shd w:val="clear" w:color="auto" w:fill="FFE1E1"/>
            <w:noWrap/>
            <w:hideMark/>
          </w:tcPr>
          <w:p w14:paraId="2CF07B2E" w14:textId="60A8C5CF"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900" w:type="dxa"/>
            <w:tcBorders>
              <w:top w:val="nil"/>
              <w:left w:val="nil"/>
              <w:bottom w:val="nil"/>
              <w:right w:val="nil"/>
            </w:tcBorders>
            <w:shd w:val="clear" w:color="auto" w:fill="FFFFFF" w:themeFill="background1"/>
            <w:noWrap/>
            <w:hideMark/>
          </w:tcPr>
          <w:p w14:paraId="20B24CF5" w14:textId="788464DA"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18" w:type="dxa"/>
            <w:tcBorders>
              <w:top w:val="nil"/>
              <w:left w:val="nil"/>
              <w:bottom w:val="nil"/>
              <w:right w:val="nil"/>
            </w:tcBorders>
            <w:shd w:val="clear" w:color="auto" w:fill="FFE1E1"/>
            <w:noWrap/>
            <w:hideMark/>
          </w:tcPr>
          <w:p w14:paraId="733F2426" w14:textId="3827287B"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r>
      <w:tr w:rsidR="000A6C4A" w:rsidRPr="000A6C4A" w14:paraId="6091BE4A"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2BCA3F4D"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08EB440B" w14:textId="5148C1E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449E1005" w14:textId="6F43EF9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7ED9683A" w14:textId="1C4A8B6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75808628" w14:textId="72D2E6D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5EA7ADEE" w14:textId="1FEE28E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61C877F9" w14:textId="0EA3463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62AF769A" w14:textId="28CA475C"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0065E869" w14:textId="73206CE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5FA1D2DB"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523DF4ED"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(Increase)/Decrease in 2023/24</w:t>
            </w:r>
          </w:p>
        </w:tc>
        <w:tc>
          <w:tcPr>
            <w:tcW w:w="1135" w:type="dxa"/>
            <w:tcBorders>
              <w:top w:val="single" w:sz="4" w:space="0" w:color="auto"/>
              <w:left w:val="nil"/>
              <w:bottom w:val="nil"/>
              <w:right w:val="nil"/>
            </w:tcBorders>
            <w:shd w:val="clear" w:color="auto" w:fill="FFFFFF" w:themeFill="background1"/>
            <w:noWrap/>
            <w:hideMark/>
          </w:tcPr>
          <w:p w14:paraId="2DE9FA5F" w14:textId="7DBC2472"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945" w:type="dxa"/>
            <w:tcBorders>
              <w:top w:val="single" w:sz="4" w:space="0" w:color="auto"/>
              <w:left w:val="nil"/>
              <w:bottom w:val="nil"/>
              <w:right w:val="nil"/>
            </w:tcBorders>
            <w:shd w:val="clear" w:color="auto" w:fill="FFFFFF" w:themeFill="background1"/>
            <w:noWrap/>
            <w:hideMark/>
          </w:tcPr>
          <w:p w14:paraId="0436D2ED" w14:textId="35CF1743"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(591)</w:t>
            </w:r>
          </w:p>
        </w:tc>
        <w:tc>
          <w:tcPr>
            <w:tcW w:w="816" w:type="dxa"/>
            <w:tcBorders>
              <w:top w:val="single" w:sz="4" w:space="0" w:color="auto"/>
              <w:left w:val="nil"/>
              <w:bottom w:val="nil"/>
              <w:right w:val="nil"/>
            </w:tcBorders>
            <w:shd w:val="clear" w:color="auto" w:fill="FFE1E1"/>
            <w:noWrap/>
            <w:hideMark/>
          </w:tcPr>
          <w:p w14:paraId="46467B5B" w14:textId="64BC23E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(591)</w:t>
            </w:r>
          </w:p>
        </w:tc>
        <w:tc>
          <w:tcPr>
            <w:tcW w:w="903" w:type="dxa"/>
            <w:tcBorders>
              <w:top w:val="single" w:sz="4" w:space="0" w:color="auto"/>
              <w:left w:val="nil"/>
              <w:bottom w:val="nil"/>
              <w:right w:val="nil"/>
            </w:tcBorders>
            <w:shd w:val="clear" w:color="auto" w:fill="FFFFFF" w:themeFill="background1"/>
            <w:noWrap/>
            <w:hideMark/>
          </w:tcPr>
          <w:p w14:paraId="18F720D0" w14:textId="257A8DCB"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795" w:type="dxa"/>
            <w:tcBorders>
              <w:top w:val="single" w:sz="4" w:space="0" w:color="auto"/>
              <w:left w:val="nil"/>
              <w:bottom w:val="nil"/>
              <w:right w:val="nil"/>
            </w:tcBorders>
            <w:shd w:val="clear" w:color="auto" w:fill="FFFFFF" w:themeFill="background1"/>
            <w:noWrap/>
            <w:hideMark/>
          </w:tcPr>
          <w:p w14:paraId="5BB27B5E" w14:textId="7B7D2AEF"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885" w:type="dxa"/>
            <w:tcBorders>
              <w:top w:val="single" w:sz="4" w:space="0" w:color="auto"/>
              <w:left w:val="nil"/>
              <w:bottom w:val="nil"/>
              <w:right w:val="nil"/>
            </w:tcBorders>
            <w:shd w:val="clear" w:color="auto" w:fill="FFE1E1"/>
            <w:noWrap/>
            <w:hideMark/>
          </w:tcPr>
          <w:p w14:paraId="69339AA4"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(591)</w:t>
            </w:r>
          </w:p>
        </w:tc>
        <w:tc>
          <w:tcPr>
            <w:tcW w:w="900" w:type="dxa"/>
            <w:tcBorders>
              <w:top w:val="single" w:sz="4" w:space="0" w:color="auto"/>
              <w:left w:val="nil"/>
              <w:bottom w:val="nil"/>
              <w:right w:val="nil"/>
            </w:tcBorders>
            <w:shd w:val="clear" w:color="auto" w:fill="FFFFFF" w:themeFill="background1"/>
            <w:noWrap/>
            <w:hideMark/>
          </w:tcPr>
          <w:p w14:paraId="7BC06914"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1,691</w:t>
            </w:r>
          </w:p>
        </w:tc>
        <w:tc>
          <w:tcPr>
            <w:tcW w:w="818" w:type="dxa"/>
            <w:tcBorders>
              <w:top w:val="single" w:sz="4" w:space="0" w:color="auto"/>
              <w:left w:val="nil"/>
              <w:bottom w:val="nil"/>
              <w:right w:val="nil"/>
            </w:tcBorders>
            <w:shd w:val="clear" w:color="auto" w:fill="FFE1E1"/>
            <w:noWrap/>
            <w:hideMark/>
          </w:tcPr>
          <w:p w14:paraId="1F8C2CDD"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1,100</w:t>
            </w:r>
          </w:p>
        </w:tc>
      </w:tr>
      <w:tr w:rsidR="000A6C4A" w:rsidRPr="000A6C4A" w14:paraId="108AEFC2"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5E22FAB7"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7EF9328A" w14:textId="0BE518A6"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3914E633" w14:textId="6EEF5BA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71CFF4FC" w14:textId="6F9C6DE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51F66C2B" w14:textId="5F3165E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75A09AF0" w14:textId="051E215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2D64E9EA" w14:textId="6FF0B2DB"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136E923F" w14:textId="000A6FA0"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8" w:type="dxa"/>
            <w:tcBorders>
              <w:top w:val="nil"/>
              <w:left w:val="nil"/>
              <w:bottom w:val="nil"/>
              <w:right w:val="nil"/>
            </w:tcBorders>
            <w:shd w:val="clear" w:color="auto" w:fill="FFE1E1"/>
            <w:noWrap/>
            <w:hideMark/>
          </w:tcPr>
          <w:p w14:paraId="13ED455E" w14:textId="2B690E8A"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r>
      <w:tr w:rsidR="000A6C4A" w:rsidRPr="000A6C4A" w14:paraId="1FB3FC79"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3D1C9954"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xml:space="preserve">Balance carried forward </w:t>
            </w:r>
            <w:proofErr w:type="gramStart"/>
            <w:r w:rsidRPr="000A6C4A">
              <w:rPr>
                <w:rFonts w:ascii="Calibri" w:eastAsia="Times New Roman" w:hAnsi="Calibri" w:cs="Calibri"/>
                <w:b/>
                <w:bCs/>
                <w:color w:val="000000"/>
                <w:sz w:val="16"/>
                <w:szCs w:val="16"/>
                <w:lang w:eastAsia="en-GB"/>
              </w:rPr>
              <w:t>at</w:t>
            </w:r>
            <w:proofErr w:type="gramEnd"/>
            <w:r w:rsidRPr="000A6C4A">
              <w:rPr>
                <w:rFonts w:ascii="Calibri" w:eastAsia="Times New Roman" w:hAnsi="Calibri" w:cs="Calibri"/>
                <w:b/>
                <w:bCs/>
                <w:color w:val="000000"/>
                <w:sz w:val="16"/>
                <w:szCs w:val="16"/>
                <w:lang w:eastAsia="en-GB"/>
              </w:rPr>
              <w:t xml:space="preserve"> 31 March 2024</w:t>
            </w:r>
          </w:p>
        </w:tc>
        <w:tc>
          <w:tcPr>
            <w:tcW w:w="1135" w:type="dxa"/>
            <w:tcBorders>
              <w:top w:val="single" w:sz="4" w:space="0" w:color="000000" w:themeColor="text1"/>
              <w:left w:val="nil"/>
              <w:bottom w:val="single" w:sz="4" w:space="0" w:color="000000" w:themeColor="text1"/>
              <w:right w:val="nil"/>
            </w:tcBorders>
            <w:shd w:val="clear" w:color="auto" w:fill="FFFFFF" w:themeFill="background1"/>
            <w:noWrap/>
            <w:hideMark/>
          </w:tcPr>
          <w:p w14:paraId="0D32F9AB"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(2,000)</w:t>
            </w:r>
          </w:p>
        </w:tc>
        <w:tc>
          <w:tcPr>
            <w:tcW w:w="945" w:type="dxa"/>
            <w:tcBorders>
              <w:top w:val="single" w:sz="4" w:space="0" w:color="000000" w:themeColor="text1"/>
              <w:left w:val="nil"/>
              <w:bottom w:val="single" w:sz="4" w:space="0" w:color="000000" w:themeColor="text1"/>
              <w:right w:val="nil"/>
            </w:tcBorders>
            <w:shd w:val="clear" w:color="auto" w:fill="FFFFFF" w:themeFill="background1"/>
            <w:noWrap/>
            <w:hideMark/>
          </w:tcPr>
          <w:p w14:paraId="77A0D9E7"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(2,626)</w:t>
            </w:r>
          </w:p>
        </w:tc>
        <w:tc>
          <w:tcPr>
            <w:tcW w:w="816" w:type="dxa"/>
            <w:tcBorders>
              <w:top w:val="single" w:sz="4" w:space="0" w:color="000000" w:themeColor="text1"/>
              <w:left w:val="nil"/>
              <w:bottom w:val="single" w:sz="4" w:space="0" w:color="000000" w:themeColor="text1"/>
              <w:right w:val="nil"/>
            </w:tcBorders>
            <w:shd w:val="clear" w:color="auto" w:fill="FFE1E1"/>
            <w:noWrap/>
            <w:hideMark/>
          </w:tcPr>
          <w:p w14:paraId="70D46960"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(4,626)</w:t>
            </w:r>
          </w:p>
        </w:tc>
        <w:tc>
          <w:tcPr>
            <w:tcW w:w="903" w:type="dxa"/>
            <w:tcBorders>
              <w:top w:val="single" w:sz="4" w:space="0" w:color="000000" w:themeColor="text1"/>
              <w:left w:val="nil"/>
              <w:bottom w:val="single" w:sz="4" w:space="0" w:color="000000" w:themeColor="text1"/>
              <w:right w:val="nil"/>
            </w:tcBorders>
            <w:shd w:val="clear" w:color="auto" w:fill="FFFFFF" w:themeFill="background1"/>
            <w:noWrap/>
            <w:hideMark/>
          </w:tcPr>
          <w:p w14:paraId="1FDB8ED3"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(418)</w:t>
            </w:r>
          </w:p>
        </w:tc>
        <w:tc>
          <w:tcPr>
            <w:tcW w:w="795" w:type="dxa"/>
            <w:tcBorders>
              <w:top w:val="single" w:sz="4" w:space="0" w:color="000000" w:themeColor="text1"/>
              <w:left w:val="nil"/>
              <w:bottom w:val="single" w:sz="4" w:space="0" w:color="000000" w:themeColor="text1"/>
              <w:right w:val="nil"/>
            </w:tcBorders>
            <w:shd w:val="clear" w:color="auto" w:fill="FFFFFF" w:themeFill="background1"/>
            <w:noWrap/>
            <w:hideMark/>
          </w:tcPr>
          <w:p w14:paraId="4502ED60" w14:textId="04C6B518"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885" w:type="dxa"/>
            <w:tcBorders>
              <w:top w:val="single" w:sz="4" w:space="0" w:color="000000" w:themeColor="text1"/>
              <w:left w:val="nil"/>
              <w:bottom w:val="single" w:sz="4" w:space="0" w:color="000000" w:themeColor="text1"/>
              <w:right w:val="nil"/>
            </w:tcBorders>
            <w:shd w:val="clear" w:color="auto" w:fill="FFE1E1"/>
            <w:noWrap/>
            <w:hideMark/>
          </w:tcPr>
          <w:p w14:paraId="1C59429C"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(5,044)</w:t>
            </w:r>
          </w:p>
        </w:tc>
        <w:tc>
          <w:tcPr>
            <w:tcW w:w="900" w:type="dxa"/>
            <w:tcBorders>
              <w:top w:val="single" w:sz="4" w:space="0" w:color="000000" w:themeColor="text1"/>
              <w:left w:val="nil"/>
              <w:bottom w:val="single" w:sz="4" w:space="0" w:color="000000" w:themeColor="text1"/>
              <w:right w:val="nil"/>
            </w:tcBorders>
            <w:shd w:val="clear" w:color="auto" w:fill="FFFFFF" w:themeFill="background1"/>
            <w:noWrap/>
            <w:hideMark/>
          </w:tcPr>
          <w:p w14:paraId="275D2022"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203,864</w:t>
            </w:r>
          </w:p>
        </w:tc>
        <w:tc>
          <w:tcPr>
            <w:tcW w:w="818" w:type="dxa"/>
            <w:tcBorders>
              <w:top w:val="single" w:sz="4" w:space="0" w:color="000000" w:themeColor="text1"/>
              <w:left w:val="nil"/>
              <w:bottom w:val="single" w:sz="4" w:space="0" w:color="000000" w:themeColor="text1"/>
              <w:right w:val="nil"/>
            </w:tcBorders>
            <w:shd w:val="clear" w:color="auto" w:fill="FFE1E1"/>
            <w:noWrap/>
            <w:hideMark/>
          </w:tcPr>
          <w:p w14:paraId="3AA67A70"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198,820</w:t>
            </w:r>
          </w:p>
        </w:tc>
      </w:tr>
      <w:tr w:rsidR="000A6C4A" w:rsidRPr="000A6C4A" w14:paraId="1AFC75BB"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56E96301"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52880E48" w14:textId="561DFCDC"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4898AFBB" w14:textId="577A650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6" w:type="dxa"/>
            <w:tcBorders>
              <w:top w:val="nil"/>
              <w:left w:val="nil"/>
              <w:bottom w:val="nil"/>
              <w:right w:val="nil"/>
            </w:tcBorders>
            <w:shd w:val="clear" w:color="auto" w:fill="FFFFFF" w:themeFill="background1"/>
            <w:noWrap/>
            <w:hideMark/>
          </w:tcPr>
          <w:p w14:paraId="249A6F07" w14:textId="0D82A6F8"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53A22E11" w14:textId="684C415F"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0FCE29CE" w14:textId="5074CC14"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85" w:type="dxa"/>
            <w:tcBorders>
              <w:top w:val="nil"/>
              <w:left w:val="nil"/>
              <w:bottom w:val="nil"/>
              <w:right w:val="nil"/>
            </w:tcBorders>
            <w:shd w:val="clear" w:color="auto" w:fill="FFFFFF" w:themeFill="background1"/>
            <w:noWrap/>
            <w:hideMark/>
          </w:tcPr>
          <w:p w14:paraId="73267F54" w14:textId="2BC5EAB1"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26EF9BE6" w14:textId="62C95074"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8" w:type="dxa"/>
            <w:tcBorders>
              <w:top w:val="nil"/>
              <w:left w:val="nil"/>
              <w:bottom w:val="nil"/>
              <w:right w:val="nil"/>
            </w:tcBorders>
            <w:shd w:val="clear" w:color="auto" w:fill="FFFFFF" w:themeFill="background1"/>
            <w:noWrap/>
            <w:hideMark/>
          </w:tcPr>
          <w:p w14:paraId="513C8D10" w14:textId="60206F45"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r>
      <w:tr w:rsidR="000A6C4A" w:rsidRPr="000A6C4A" w14:paraId="0E5326FD" w14:textId="77777777" w:rsidTr="5A995008">
        <w:trPr>
          <w:trHeight w:val="240"/>
        </w:trPr>
        <w:tc>
          <w:tcPr>
            <w:tcW w:w="3330" w:type="dxa"/>
            <w:tcBorders>
              <w:top w:val="nil"/>
              <w:left w:val="nil"/>
              <w:bottom w:val="nil"/>
              <w:right w:val="nil"/>
            </w:tcBorders>
            <w:shd w:val="clear" w:color="auto" w:fill="FFFFFF" w:themeFill="background1"/>
            <w:noWrap/>
            <w:vAlign w:val="bottom"/>
            <w:hideMark/>
          </w:tcPr>
          <w:p w14:paraId="623D5562"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66017142" w14:textId="575990F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6062D6F4" w14:textId="221A5674"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FFFF" w:themeFill="background1"/>
            <w:noWrap/>
            <w:hideMark/>
          </w:tcPr>
          <w:p w14:paraId="4ADD30A6" w14:textId="67735F0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22A01A43" w14:textId="5010926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731C3A87" w14:textId="26CDB95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FFFF" w:themeFill="background1"/>
            <w:noWrap/>
            <w:hideMark/>
          </w:tcPr>
          <w:p w14:paraId="1CFE441B" w14:textId="3D4AEC82"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61878B69" w14:textId="7E6004C6"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8" w:type="dxa"/>
            <w:tcBorders>
              <w:top w:val="nil"/>
              <w:left w:val="nil"/>
              <w:bottom w:val="nil"/>
              <w:right w:val="nil"/>
            </w:tcBorders>
            <w:shd w:val="clear" w:color="auto" w:fill="FFFFFF" w:themeFill="background1"/>
            <w:noWrap/>
            <w:hideMark/>
          </w:tcPr>
          <w:p w14:paraId="27FC1F8D" w14:textId="44A4200F"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r>
      <w:tr w:rsidR="000A6C4A" w:rsidRPr="000A6C4A" w14:paraId="6069E725"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270B6552"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Movement in Reserves during 2024/25</w:t>
            </w:r>
          </w:p>
        </w:tc>
        <w:tc>
          <w:tcPr>
            <w:tcW w:w="1135" w:type="dxa"/>
            <w:tcBorders>
              <w:top w:val="nil"/>
              <w:left w:val="nil"/>
              <w:bottom w:val="nil"/>
              <w:right w:val="nil"/>
            </w:tcBorders>
            <w:shd w:val="clear" w:color="auto" w:fill="FFFFFF" w:themeFill="background1"/>
            <w:noWrap/>
            <w:hideMark/>
          </w:tcPr>
          <w:p w14:paraId="7B3AB11C" w14:textId="676EAA4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15A97377" w14:textId="1B88376C"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FFFF" w:themeFill="background1"/>
            <w:noWrap/>
            <w:hideMark/>
          </w:tcPr>
          <w:p w14:paraId="20BF4C1D" w14:textId="53C2EFD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65D7AAA2" w14:textId="7878017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1DB9E83D" w14:textId="2EDE185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FFFF" w:themeFill="background1"/>
            <w:noWrap/>
            <w:hideMark/>
          </w:tcPr>
          <w:p w14:paraId="000F2868" w14:textId="1957914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608DD2C1" w14:textId="4F6E017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FFFF" w:themeFill="background1"/>
            <w:noWrap/>
            <w:hideMark/>
          </w:tcPr>
          <w:p w14:paraId="3BDB2010" w14:textId="4A3A87B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4D60D277"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59D54E68"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672DCF0F" w14:textId="4276849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636D6623" w14:textId="57C9D61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FFFF" w:themeFill="background1"/>
            <w:noWrap/>
            <w:hideMark/>
          </w:tcPr>
          <w:p w14:paraId="76F437EF" w14:textId="752741D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1212C942" w14:textId="7E16B1BE"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75BF9F26" w14:textId="47ADCCF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FFFF" w:themeFill="background1"/>
            <w:noWrap/>
            <w:hideMark/>
          </w:tcPr>
          <w:p w14:paraId="53495B28" w14:textId="719D252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403AEC2A" w14:textId="34A81C72"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FFFF" w:themeFill="background1"/>
            <w:noWrap/>
            <w:hideMark/>
          </w:tcPr>
          <w:p w14:paraId="2F82F0E8" w14:textId="305806E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5F07560C"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1677056F"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xml:space="preserve">Total comprehensive income and expenditure </w:t>
            </w:r>
          </w:p>
        </w:tc>
        <w:tc>
          <w:tcPr>
            <w:tcW w:w="1135" w:type="dxa"/>
            <w:tcBorders>
              <w:top w:val="nil"/>
              <w:left w:val="nil"/>
              <w:bottom w:val="nil"/>
              <w:right w:val="nil"/>
            </w:tcBorders>
            <w:shd w:val="clear" w:color="auto" w:fill="FFFFFF" w:themeFill="background1"/>
            <w:noWrap/>
            <w:hideMark/>
          </w:tcPr>
          <w:p w14:paraId="6F1843DF"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4,296</w:t>
            </w:r>
          </w:p>
        </w:tc>
        <w:tc>
          <w:tcPr>
            <w:tcW w:w="945" w:type="dxa"/>
            <w:tcBorders>
              <w:top w:val="nil"/>
              <w:left w:val="nil"/>
              <w:bottom w:val="nil"/>
              <w:right w:val="nil"/>
            </w:tcBorders>
            <w:shd w:val="clear" w:color="auto" w:fill="FFFFFF" w:themeFill="background1"/>
            <w:noWrap/>
            <w:hideMark/>
          </w:tcPr>
          <w:p w14:paraId="10F0A5F8" w14:textId="46CF6DA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16" w:type="dxa"/>
            <w:tcBorders>
              <w:top w:val="nil"/>
              <w:left w:val="nil"/>
              <w:bottom w:val="nil"/>
              <w:right w:val="nil"/>
            </w:tcBorders>
            <w:shd w:val="clear" w:color="auto" w:fill="FFE1E1"/>
            <w:noWrap/>
            <w:hideMark/>
          </w:tcPr>
          <w:p w14:paraId="7B1BDA8E"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4,296</w:t>
            </w:r>
          </w:p>
        </w:tc>
        <w:tc>
          <w:tcPr>
            <w:tcW w:w="903" w:type="dxa"/>
            <w:tcBorders>
              <w:top w:val="nil"/>
              <w:left w:val="nil"/>
              <w:bottom w:val="nil"/>
              <w:right w:val="nil"/>
            </w:tcBorders>
            <w:shd w:val="clear" w:color="auto" w:fill="FFFFFF" w:themeFill="background1"/>
            <w:noWrap/>
            <w:hideMark/>
          </w:tcPr>
          <w:p w14:paraId="769C7404" w14:textId="20F4E16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6B1BB629" w14:textId="294B5795"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85" w:type="dxa"/>
            <w:tcBorders>
              <w:top w:val="nil"/>
              <w:left w:val="nil"/>
              <w:bottom w:val="nil"/>
              <w:right w:val="nil"/>
            </w:tcBorders>
            <w:shd w:val="clear" w:color="auto" w:fill="FFE1E1"/>
            <w:noWrap/>
            <w:hideMark/>
          </w:tcPr>
          <w:p w14:paraId="212834B6"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4,296</w:t>
            </w:r>
          </w:p>
        </w:tc>
        <w:tc>
          <w:tcPr>
            <w:tcW w:w="900" w:type="dxa"/>
            <w:tcBorders>
              <w:top w:val="nil"/>
              <w:left w:val="nil"/>
              <w:bottom w:val="nil"/>
              <w:right w:val="nil"/>
            </w:tcBorders>
            <w:shd w:val="clear" w:color="auto" w:fill="FFFFFF" w:themeFill="background1"/>
            <w:noWrap/>
            <w:hideMark/>
          </w:tcPr>
          <w:p w14:paraId="1E7B00A9"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(25,305)</w:t>
            </w:r>
          </w:p>
        </w:tc>
        <w:tc>
          <w:tcPr>
            <w:tcW w:w="818" w:type="dxa"/>
            <w:tcBorders>
              <w:top w:val="nil"/>
              <w:left w:val="nil"/>
              <w:bottom w:val="nil"/>
              <w:right w:val="nil"/>
            </w:tcBorders>
            <w:shd w:val="clear" w:color="auto" w:fill="FFE1E1"/>
            <w:noWrap/>
            <w:hideMark/>
          </w:tcPr>
          <w:p w14:paraId="6FD5255D"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(21,009)</w:t>
            </w:r>
          </w:p>
        </w:tc>
      </w:tr>
      <w:tr w:rsidR="000A6C4A" w:rsidRPr="000A6C4A" w14:paraId="11854330"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377CEE8A"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4ED7F85A" w14:textId="4A6BBDB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4E5F74D4" w14:textId="225A772B"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3F11C494" w14:textId="039A63F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27AF3A42" w14:textId="54FAEA0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085ABD50" w14:textId="38F0F7D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1C1D568B" w14:textId="0F5FEEA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2C8DD9FB" w14:textId="6E52914B"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58F03099" w14:textId="709CDF4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14C969DD" w14:textId="77777777" w:rsidTr="5A995008">
        <w:trPr>
          <w:trHeight w:val="612"/>
        </w:trPr>
        <w:tc>
          <w:tcPr>
            <w:tcW w:w="3330" w:type="dxa"/>
            <w:tcBorders>
              <w:top w:val="nil"/>
              <w:left w:val="nil"/>
              <w:bottom w:val="nil"/>
              <w:right w:val="nil"/>
            </w:tcBorders>
            <w:shd w:val="clear" w:color="auto" w:fill="FFFFFF" w:themeFill="background1"/>
            <w:vAlign w:val="bottom"/>
            <w:hideMark/>
          </w:tcPr>
          <w:p w14:paraId="406F479A"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Adjustments between accounting and funding basis under regulations (note 6)</w:t>
            </w:r>
          </w:p>
        </w:tc>
        <w:tc>
          <w:tcPr>
            <w:tcW w:w="1135" w:type="dxa"/>
            <w:tcBorders>
              <w:top w:val="nil"/>
              <w:left w:val="nil"/>
              <w:bottom w:val="nil"/>
              <w:right w:val="nil"/>
            </w:tcBorders>
            <w:shd w:val="clear" w:color="auto" w:fill="FFFFFF" w:themeFill="background1"/>
            <w:noWrap/>
            <w:hideMark/>
          </w:tcPr>
          <w:p w14:paraId="081ABD82"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(4,359)</w:t>
            </w:r>
          </w:p>
        </w:tc>
        <w:tc>
          <w:tcPr>
            <w:tcW w:w="945" w:type="dxa"/>
            <w:tcBorders>
              <w:top w:val="nil"/>
              <w:left w:val="nil"/>
              <w:bottom w:val="nil"/>
              <w:right w:val="nil"/>
            </w:tcBorders>
            <w:shd w:val="clear" w:color="auto" w:fill="FFFFFF" w:themeFill="background1"/>
            <w:noWrap/>
            <w:hideMark/>
          </w:tcPr>
          <w:p w14:paraId="04E4E08C" w14:textId="15F6A64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16" w:type="dxa"/>
            <w:tcBorders>
              <w:top w:val="nil"/>
              <w:left w:val="nil"/>
              <w:bottom w:val="nil"/>
              <w:right w:val="nil"/>
            </w:tcBorders>
            <w:shd w:val="clear" w:color="auto" w:fill="FFE1E1"/>
            <w:noWrap/>
            <w:hideMark/>
          </w:tcPr>
          <w:p w14:paraId="5B8716CD"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(4,359)</w:t>
            </w:r>
          </w:p>
        </w:tc>
        <w:tc>
          <w:tcPr>
            <w:tcW w:w="903" w:type="dxa"/>
            <w:tcBorders>
              <w:top w:val="nil"/>
              <w:left w:val="nil"/>
              <w:bottom w:val="nil"/>
              <w:right w:val="nil"/>
            </w:tcBorders>
            <w:shd w:val="clear" w:color="auto" w:fill="FFFFFF" w:themeFill="background1"/>
            <w:noWrap/>
            <w:hideMark/>
          </w:tcPr>
          <w:p w14:paraId="68829C4C" w14:textId="1BE5ABE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75B30A0A"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(2,107)</w:t>
            </w:r>
          </w:p>
        </w:tc>
        <w:tc>
          <w:tcPr>
            <w:tcW w:w="885" w:type="dxa"/>
            <w:tcBorders>
              <w:top w:val="nil"/>
              <w:left w:val="nil"/>
              <w:bottom w:val="nil"/>
              <w:right w:val="nil"/>
            </w:tcBorders>
            <w:shd w:val="clear" w:color="auto" w:fill="FFE1E1"/>
            <w:noWrap/>
            <w:hideMark/>
          </w:tcPr>
          <w:p w14:paraId="70951A31"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(6,466)</w:t>
            </w:r>
          </w:p>
        </w:tc>
        <w:tc>
          <w:tcPr>
            <w:tcW w:w="900" w:type="dxa"/>
            <w:tcBorders>
              <w:top w:val="nil"/>
              <w:left w:val="nil"/>
              <w:bottom w:val="nil"/>
              <w:right w:val="nil"/>
            </w:tcBorders>
            <w:shd w:val="clear" w:color="auto" w:fill="FFFFFF" w:themeFill="background1"/>
            <w:noWrap/>
            <w:hideMark/>
          </w:tcPr>
          <w:p w14:paraId="231AADAF"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6,466</w:t>
            </w:r>
          </w:p>
        </w:tc>
        <w:tc>
          <w:tcPr>
            <w:tcW w:w="818" w:type="dxa"/>
            <w:tcBorders>
              <w:top w:val="nil"/>
              <w:left w:val="nil"/>
              <w:bottom w:val="nil"/>
              <w:right w:val="nil"/>
            </w:tcBorders>
            <w:shd w:val="clear" w:color="auto" w:fill="FFE1E1"/>
            <w:noWrap/>
            <w:hideMark/>
          </w:tcPr>
          <w:p w14:paraId="5185CAFF" w14:textId="0FBBE3A6"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r>
      <w:tr w:rsidR="000A6C4A" w:rsidRPr="000A6C4A" w14:paraId="2D4C112C"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0DEEF2DE"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22E7EF3D" w14:textId="3619038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36D1C0AA" w14:textId="78A898D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27D91ADE" w14:textId="76FD8C82"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4EE879B5" w14:textId="78044DD6"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47920466" w14:textId="582AF943"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47BF8942" w14:textId="03A9563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1A017867" w14:textId="125C108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4574CF93" w14:textId="70F3FC5D"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37A53104"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5A3B857F"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Transfer to Earmarked Reserves</w:t>
            </w:r>
          </w:p>
        </w:tc>
        <w:tc>
          <w:tcPr>
            <w:tcW w:w="1135" w:type="dxa"/>
            <w:tcBorders>
              <w:top w:val="nil"/>
              <w:left w:val="nil"/>
              <w:bottom w:val="nil"/>
              <w:right w:val="nil"/>
            </w:tcBorders>
            <w:shd w:val="clear" w:color="auto" w:fill="FFFFFF" w:themeFill="background1"/>
            <w:noWrap/>
            <w:hideMark/>
          </w:tcPr>
          <w:p w14:paraId="387D420A"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63</w:t>
            </w:r>
          </w:p>
        </w:tc>
        <w:tc>
          <w:tcPr>
            <w:tcW w:w="945" w:type="dxa"/>
            <w:tcBorders>
              <w:top w:val="nil"/>
              <w:left w:val="nil"/>
              <w:bottom w:val="nil"/>
              <w:right w:val="nil"/>
            </w:tcBorders>
            <w:shd w:val="clear" w:color="auto" w:fill="FFFFFF" w:themeFill="background1"/>
            <w:noWrap/>
            <w:hideMark/>
          </w:tcPr>
          <w:p w14:paraId="385B3880" w14:textId="77777777"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(63)</w:t>
            </w:r>
          </w:p>
        </w:tc>
        <w:tc>
          <w:tcPr>
            <w:tcW w:w="816" w:type="dxa"/>
            <w:tcBorders>
              <w:top w:val="nil"/>
              <w:left w:val="nil"/>
              <w:bottom w:val="nil"/>
              <w:right w:val="nil"/>
            </w:tcBorders>
            <w:shd w:val="clear" w:color="auto" w:fill="FFE1E1"/>
            <w:noWrap/>
            <w:hideMark/>
          </w:tcPr>
          <w:p w14:paraId="1E934930" w14:textId="4415F87E"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903" w:type="dxa"/>
            <w:tcBorders>
              <w:top w:val="nil"/>
              <w:left w:val="nil"/>
              <w:bottom w:val="nil"/>
              <w:right w:val="nil"/>
            </w:tcBorders>
            <w:shd w:val="clear" w:color="auto" w:fill="FFFFFF" w:themeFill="background1"/>
            <w:noWrap/>
            <w:hideMark/>
          </w:tcPr>
          <w:p w14:paraId="136B833E" w14:textId="617A178F"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795" w:type="dxa"/>
            <w:tcBorders>
              <w:top w:val="nil"/>
              <w:left w:val="nil"/>
              <w:bottom w:val="nil"/>
              <w:right w:val="nil"/>
            </w:tcBorders>
            <w:shd w:val="clear" w:color="auto" w:fill="FFFFFF" w:themeFill="background1"/>
            <w:noWrap/>
            <w:hideMark/>
          </w:tcPr>
          <w:p w14:paraId="1E969BF8" w14:textId="6344C270"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85" w:type="dxa"/>
            <w:tcBorders>
              <w:top w:val="nil"/>
              <w:left w:val="nil"/>
              <w:bottom w:val="nil"/>
              <w:right w:val="nil"/>
            </w:tcBorders>
            <w:shd w:val="clear" w:color="auto" w:fill="FFE1E1"/>
            <w:noWrap/>
            <w:hideMark/>
          </w:tcPr>
          <w:p w14:paraId="12EA46A6" w14:textId="5209A075"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900" w:type="dxa"/>
            <w:tcBorders>
              <w:top w:val="nil"/>
              <w:left w:val="nil"/>
              <w:bottom w:val="nil"/>
              <w:right w:val="nil"/>
            </w:tcBorders>
            <w:shd w:val="clear" w:color="auto" w:fill="FFFFFF" w:themeFill="background1"/>
            <w:noWrap/>
            <w:hideMark/>
          </w:tcPr>
          <w:p w14:paraId="40A501B5" w14:textId="5DDC8A70"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c>
          <w:tcPr>
            <w:tcW w:w="818" w:type="dxa"/>
            <w:tcBorders>
              <w:top w:val="nil"/>
              <w:left w:val="nil"/>
              <w:bottom w:val="nil"/>
              <w:right w:val="nil"/>
            </w:tcBorders>
            <w:shd w:val="clear" w:color="auto" w:fill="FFE1E1"/>
            <w:noWrap/>
            <w:hideMark/>
          </w:tcPr>
          <w:p w14:paraId="153F4776" w14:textId="59033249" w:rsidR="000A6C4A" w:rsidRPr="000A6C4A" w:rsidRDefault="000A6C4A" w:rsidP="00E25AA3">
            <w:pPr>
              <w:spacing w:line="240" w:lineRule="auto"/>
              <w:jc w:val="righ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w:t>
            </w:r>
          </w:p>
        </w:tc>
      </w:tr>
      <w:tr w:rsidR="000A6C4A" w:rsidRPr="000A6C4A" w14:paraId="4E81753B"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5756344D"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2121639D" w14:textId="6AAD04B1"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18F73842" w14:textId="0A99E2E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5F35F49F" w14:textId="4CA28146"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33F65DE4" w14:textId="11462D9A"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0D7CBD69" w14:textId="4C50383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057B26DC" w14:textId="3C8AB7C8"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608E84DC" w14:textId="30B946E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8" w:type="dxa"/>
            <w:tcBorders>
              <w:top w:val="nil"/>
              <w:left w:val="nil"/>
              <w:bottom w:val="nil"/>
              <w:right w:val="nil"/>
            </w:tcBorders>
            <w:shd w:val="clear" w:color="auto" w:fill="FFE1E1"/>
            <w:noWrap/>
            <w:hideMark/>
          </w:tcPr>
          <w:p w14:paraId="568BDBF0" w14:textId="4EE1DE30" w:rsidR="000A6C4A" w:rsidRPr="000A6C4A" w:rsidRDefault="000A6C4A" w:rsidP="00E25AA3">
            <w:pPr>
              <w:spacing w:line="240" w:lineRule="auto"/>
              <w:jc w:val="right"/>
              <w:rPr>
                <w:rFonts w:ascii="Calibri" w:eastAsia="Times New Roman" w:hAnsi="Calibri" w:cs="Calibri"/>
                <w:color w:val="000000"/>
                <w:sz w:val="16"/>
                <w:szCs w:val="16"/>
                <w:lang w:eastAsia="en-GB"/>
              </w:rPr>
            </w:pPr>
          </w:p>
        </w:tc>
      </w:tr>
      <w:tr w:rsidR="000A6C4A" w:rsidRPr="000A6C4A" w14:paraId="270C2157"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577B399D"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(Increase)/Decrease in 2024/25</w:t>
            </w:r>
          </w:p>
        </w:tc>
        <w:tc>
          <w:tcPr>
            <w:tcW w:w="1135" w:type="dxa"/>
            <w:tcBorders>
              <w:top w:val="single" w:sz="4" w:space="0" w:color="auto"/>
              <w:left w:val="nil"/>
              <w:bottom w:val="nil"/>
              <w:right w:val="nil"/>
            </w:tcBorders>
            <w:shd w:val="clear" w:color="auto" w:fill="FFFFFF" w:themeFill="background1"/>
            <w:noWrap/>
            <w:hideMark/>
          </w:tcPr>
          <w:p w14:paraId="2D5E2C6E" w14:textId="3FC8653D"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945" w:type="dxa"/>
            <w:tcBorders>
              <w:top w:val="single" w:sz="4" w:space="0" w:color="auto"/>
              <w:left w:val="nil"/>
              <w:bottom w:val="nil"/>
              <w:right w:val="nil"/>
            </w:tcBorders>
            <w:shd w:val="clear" w:color="auto" w:fill="FFFFFF" w:themeFill="background1"/>
            <w:noWrap/>
            <w:hideMark/>
          </w:tcPr>
          <w:p w14:paraId="10DB3D1F"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(63)</w:t>
            </w:r>
          </w:p>
        </w:tc>
        <w:tc>
          <w:tcPr>
            <w:tcW w:w="816" w:type="dxa"/>
            <w:tcBorders>
              <w:top w:val="single" w:sz="4" w:space="0" w:color="auto"/>
              <w:left w:val="nil"/>
              <w:bottom w:val="nil"/>
              <w:right w:val="nil"/>
            </w:tcBorders>
            <w:shd w:val="clear" w:color="auto" w:fill="FFE1E1"/>
            <w:noWrap/>
            <w:hideMark/>
          </w:tcPr>
          <w:p w14:paraId="45C49AD7"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(63)</w:t>
            </w:r>
          </w:p>
        </w:tc>
        <w:tc>
          <w:tcPr>
            <w:tcW w:w="903" w:type="dxa"/>
            <w:tcBorders>
              <w:top w:val="single" w:sz="4" w:space="0" w:color="auto"/>
              <w:left w:val="nil"/>
              <w:bottom w:val="nil"/>
              <w:right w:val="nil"/>
            </w:tcBorders>
            <w:shd w:val="clear" w:color="auto" w:fill="FFFFFF" w:themeFill="background1"/>
            <w:noWrap/>
            <w:hideMark/>
          </w:tcPr>
          <w:p w14:paraId="2274F603" w14:textId="15FCF7D1"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w:t>
            </w:r>
          </w:p>
        </w:tc>
        <w:tc>
          <w:tcPr>
            <w:tcW w:w="795" w:type="dxa"/>
            <w:tcBorders>
              <w:top w:val="single" w:sz="4" w:space="0" w:color="auto"/>
              <w:left w:val="nil"/>
              <w:bottom w:val="nil"/>
              <w:right w:val="nil"/>
            </w:tcBorders>
            <w:shd w:val="clear" w:color="auto" w:fill="FFFFFF" w:themeFill="background1"/>
            <w:noWrap/>
            <w:hideMark/>
          </w:tcPr>
          <w:p w14:paraId="7C0E84A3"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(2,107)</w:t>
            </w:r>
          </w:p>
        </w:tc>
        <w:tc>
          <w:tcPr>
            <w:tcW w:w="885" w:type="dxa"/>
            <w:tcBorders>
              <w:top w:val="single" w:sz="4" w:space="0" w:color="auto"/>
              <w:left w:val="nil"/>
              <w:bottom w:val="nil"/>
              <w:right w:val="nil"/>
            </w:tcBorders>
            <w:shd w:val="clear" w:color="auto" w:fill="FFE1E1"/>
            <w:noWrap/>
            <w:hideMark/>
          </w:tcPr>
          <w:p w14:paraId="54036038"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(2,170)</w:t>
            </w:r>
          </w:p>
        </w:tc>
        <w:tc>
          <w:tcPr>
            <w:tcW w:w="900" w:type="dxa"/>
            <w:tcBorders>
              <w:top w:val="single" w:sz="4" w:space="0" w:color="auto"/>
              <w:left w:val="nil"/>
              <w:bottom w:val="nil"/>
              <w:right w:val="nil"/>
            </w:tcBorders>
            <w:shd w:val="clear" w:color="auto" w:fill="FFFFFF" w:themeFill="background1"/>
            <w:noWrap/>
            <w:hideMark/>
          </w:tcPr>
          <w:p w14:paraId="208F19B0"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(18,839)</w:t>
            </w:r>
          </w:p>
        </w:tc>
        <w:tc>
          <w:tcPr>
            <w:tcW w:w="818" w:type="dxa"/>
            <w:tcBorders>
              <w:top w:val="single" w:sz="4" w:space="0" w:color="auto"/>
              <w:left w:val="nil"/>
              <w:bottom w:val="nil"/>
              <w:right w:val="nil"/>
            </w:tcBorders>
            <w:shd w:val="clear" w:color="auto" w:fill="FFE1E1"/>
            <w:noWrap/>
            <w:hideMark/>
          </w:tcPr>
          <w:p w14:paraId="2CD94A82"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(21,009)</w:t>
            </w:r>
          </w:p>
        </w:tc>
      </w:tr>
      <w:tr w:rsidR="000A6C4A" w:rsidRPr="000A6C4A" w14:paraId="431B43AD" w14:textId="77777777" w:rsidTr="5A995008">
        <w:trPr>
          <w:trHeight w:val="102"/>
        </w:trPr>
        <w:tc>
          <w:tcPr>
            <w:tcW w:w="3330" w:type="dxa"/>
            <w:tcBorders>
              <w:top w:val="nil"/>
              <w:left w:val="nil"/>
              <w:bottom w:val="nil"/>
              <w:right w:val="nil"/>
            </w:tcBorders>
            <w:shd w:val="clear" w:color="auto" w:fill="FFFFFF" w:themeFill="background1"/>
            <w:vAlign w:val="bottom"/>
            <w:hideMark/>
          </w:tcPr>
          <w:p w14:paraId="1767BE5B" w14:textId="77777777" w:rsidR="000A6C4A" w:rsidRPr="000A6C4A" w:rsidRDefault="000A6C4A" w:rsidP="000A6C4A">
            <w:pPr>
              <w:spacing w:line="240" w:lineRule="auto"/>
              <w:jc w:val="left"/>
              <w:rPr>
                <w:rFonts w:ascii="Calibri" w:eastAsia="Times New Roman" w:hAnsi="Calibri" w:cs="Calibri"/>
                <w:color w:val="000000"/>
                <w:sz w:val="16"/>
                <w:szCs w:val="16"/>
                <w:lang w:eastAsia="en-GB"/>
              </w:rPr>
            </w:pPr>
            <w:r w:rsidRPr="000A6C4A">
              <w:rPr>
                <w:rFonts w:ascii="Calibri" w:eastAsia="Times New Roman" w:hAnsi="Calibri" w:cs="Calibri"/>
                <w:color w:val="000000"/>
                <w:sz w:val="16"/>
                <w:szCs w:val="16"/>
                <w:lang w:eastAsia="en-GB"/>
              </w:rPr>
              <w:t> </w:t>
            </w:r>
          </w:p>
        </w:tc>
        <w:tc>
          <w:tcPr>
            <w:tcW w:w="1135" w:type="dxa"/>
            <w:tcBorders>
              <w:top w:val="nil"/>
              <w:left w:val="nil"/>
              <w:bottom w:val="nil"/>
              <w:right w:val="nil"/>
            </w:tcBorders>
            <w:shd w:val="clear" w:color="auto" w:fill="FFFFFF" w:themeFill="background1"/>
            <w:noWrap/>
            <w:hideMark/>
          </w:tcPr>
          <w:p w14:paraId="01FE61EF" w14:textId="24BBBC0F"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45" w:type="dxa"/>
            <w:tcBorders>
              <w:top w:val="nil"/>
              <w:left w:val="nil"/>
              <w:bottom w:val="nil"/>
              <w:right w:val="nil"/>
            </w:tcBorders>
            <w:shd w:val="clear" w:color="auto" w:fill="FFFFFF" w:themeFill="background1"/>
            <w:noWrap/>
            <w:hideMark/>
          </w:tcPr>
          <w:p w14:paraId="16FFBC22" w14:textId="512A4897"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16" w:type="dxa"/>
            <w:tcBorders>
              <w:top w:val="nil"/>
              <w:left w:val="nil"/>
              <w:bottom w:val="nil"/>
              <w:right w:val="nil"/>
            </w:tcBorders>
            <w:shd w:val="clear" w:color="auto" w:fill="FFE1E1"/>
            <w:noWrap/>
            <w:hideMark/>
          </w:tcPr>
          <w:p w14:paraId="6BE12191" w14:textId="5E2FAB16"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903" w:type="dxa"/>
            <w:tcBorders>
              <w:top w:val="nil"/>
              <w:left w:val="nil"/>
              <w:bottom w:val="nil"/>
              <w:right w:val="nil"/>
            </w:tcBorders>
            <w:shd w:val="clear" w:color="auto" w:fill="FFFFFF" w:themeFill="background1"/>
            <w:noWrap/>
            <w:hideMark/>
          </w:tcPr>
          <w:p w14:paraId="36D1B7E1" w14:textId="65C349D9"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795" w:type="dxa"/>
            <w:tcBorders>
              <w:top w:val="nil"/>
              <w:left w:val="nil"/>
              <w:bottom w:val="nil"/>
              <w:right w:val="nil"/>
            </w:tcBorders>
            <w:shd w:val="clear" w:color="auto" w:fill="FFFFFF" w:themeFill="background1"/>
            <w:noWrap/>
            <w:hideMark/>
          </w:tcPr>
          <w:p w14:paraId="2688047D" w14:textId="0FF50864" w:rsidR="000A6C4A" w:rsidRPr="000A6C4A" w:rsidRDefault="000A6C4A" w:rsidP="00E25AA3">
            <w:pPr>
              <w:spacing w:line="240" w:lineRule="auto"/>
              <w:jc w:val="right"/>
              <w:rPr>
                <w:rFonts w:ascii="Calibri" w:eastAsia="Times New Roman" w:hAnsi="Calibri" w:cs="Calibri"/>
                <w:color w:val="000000"/>
                <w:sz w:val="16"/>
                <w:szCs w:val="16"/>
                <w:lang w:eastAsia="en-GB"/>
              </w:rPr>
            </w:pPr>
          </w:p>
        </w:tc>
        <w:tc>
          <w:tcPr>
            <w:tcW w:w="885" w:type="dxa"/>
            <w:tcBorders>
              <w:top w:val="nil"/>
              <w:left w:val="nil"/>
              <w:bottom w:val="nil"/>
              <w:right w:val="nil"/>
            </w:tcBorders>
            <w:shd w:val="clear" w:color="auto" w:fill="FFE1E1"/>
            <w:noWrap/>
            <w:hideMark/>
          </w:tcPr>
          <w:p w14:paraId="4B20E968" w14:textId="464F8FC9"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900" w:type="dxa"/>
            <w:tcBorders>
              <w:top w:val="nil"/>
              <w:left w:val="nil"/>
              <w:bottom w:val="nil"/>
              <w:right w:val="nil"/>
            </w:tcBorders>
            <w:shd w:val="clear" w:color="auto" w:fill="FFFFFF" w:themeFill="background1"/>
            <w:noWrap/>
            <w:hideMark/>
          </w:tcPr>
          <w:p w14:paraId="48A704E3" w14:textId="754BF958"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c>
          <w:tcPr>
            <w:tcW w:w="818" w:type="dxa"/>
            <w:tcBorders>
              <w:top w:val="nil"/>
              <w:left w:val="nil"/>
              <w:bottom w:val="nil"/>
              <w:right w:val="nil"/>
            </w:tcBorders>
            <w:shd w:val="clear" w:color="auto" w:fill="FFE1E1"/>
            <w:noWrap/>
            <w:hideMark/>
          </w:tcPr>
          <w:p w14:paraId="4A734497" w14:textId="7EA99150" w:rsidR="000A6C4A" w:rsidRPr="000A6C4A" w:rsidRDefault="000A6C4A" w:rsidP="00E25AA3">
            <w:pPr>
              <w:spacing w:line="240" w:lineRule="auto"/>
              <w:jc w:val="right"/>
              <w:rPr>
                <w:rFonts w:ascii="Calibri" w:eastAsia="Times New Roman" w:hAnsi="Calibri" w:cs="Calibri"/>
                <w:b/>
                <w:bCs/>
                <w:color w:val="000000"/>
                <w:sz w:val="16"/>
                <w:szCs w:val="16"/>
                <w:lang w:eastAsia="en-GB"/>
              </w:rPr>
            </w:pPr>
          </w:p>
        </w:tc>
      </w:tr>
      <w:tr w:rsidR="000A6C4A" w:rsidRPr="000A6C4A" w14:paraId="1537704E" w14:textId="77777777" w:rsidTr="5A995008">
        <w:trPr>
          <w:trHeight w:val="240"/>
        </w:trPr>
        <w:tc>
          <w:tcPr>
            <w:tcW w:w="3330" w:type="dxa"/>
            <w:tcBorders>
              <w:top w:val="nil"/>
              <w:left w:val="nil"/>
              <w:bottom w:val="nil"/>
              <w:right w:val="nil"/>
            </w:tcBorders>
            <w:shd w:val="clear" w:color="auto" w:fill="FFFFFF" w:themeFill="background1"/>
            <w:vAlign w:val="bottom"/>
            <w:hideMark/>
          </w:tcPr>
          <w:p w14:paraId="08001021" w14:textId="77777777" w:rsidR="000A6C4A" w:rsidRPr="000A6C4A" w:rsidRDefault="000A6C4A" w:rsidP="000A6C4A">
            <w:pPr>
              <w:spacing w:line="240" w:lineRule="auto"/>
              <w:jc w:val="lef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 xml:space="preserve">Balance carried forward </w:t>
            </w:r>
            <w:proofErr w:type="gramStart"/>
            <w:r w:rsidRPr="000A6C4A">
              <w:rPr>
                <w:rFonts w:ascii="Calibri" w:eastAsia="Times New Roman" w:hAnsi="Calibri" w:cs="Calibri"/>
                <w:b/>
                <w:bCs/>
                <w:color w:val="000000"/>
                <w:sz w:val="16"/>
                <w:szCs w:val="16"/>
                <w:lang w:eastAsia="en-GB"/>
              </w:rPr>
              <w:t>at</w:t>
            </w:r>
            <w:proofErr w:type="gramEnd"/>
            <w:r w:rsidRPr="000A6C4A">
              <w:rPr>
                <w:rFonts w:ascii="Calibri" w:eastAsia="Times New Roman" w:hAnsi="Calibri" w:cs="Calibri"/>
                <w:b/>
                <w:bCs/>
                <w:color w:val="000000"/>
                <w:sz w:val="16"/>
                <w:szCs w:val="16"/>
                <w:lang w:eastAsia="en-GB"/>
              </w:rPr>
              <w:t xml:space="preserve"> 31 March 2025</w:t>
            </w:r>
          </w:p>
        </w:tc>
        <w:tc>
          <w:tcPr>
            <w:tcW w:w="1135" w:type="dxa"/>
            <w:tcBorders>
              <w:top w:val="single" w:sz="4" w:space="0" w:color="000000" w:themeColor="text1"/>
              <w:left w:val="nil"/>
              <w:bottom w:val="single" w:sz="4" w:space="0" w:color="000000" w:themeColor="text1"/>
              <w:right w:val="nil"/>
            </w:tcBorders>
            <w:shd w:val="clear" w:color="auto" w:fill="FFFFFF" w:themeFill="background1"/>
            <w:noWrap/>
            <w:hideMark/>
          </w:tcPr>
          <w:p w14:paraId="05777205"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(2,000)</w:t>
            </w:r>
          </w:p>
        </w:tc>
        <w:tc>
          <w:tcPr>
            <w:tcW w:w="945" w:type="dxa"/>
            <w:tcBorders>
              <w:top w:val="single" w:sz="4" w:space="0" w:color="000000" w:themeColor="text1"/>
              <w:left w:val="nil"/>
              <w:bottom w:val="single" w:sz="4" w:space="0" w:color="000000" w:themeColor="text1"/>
              <w:right w:val="nil"/>
            </w:tcBorders>
            <w:shd w:val="clear" w:color="auto" w:fill="FFFFFF" w:themeFill="background1"/>
            <w:noWrap/>
            <w:hideMark/>
          </w:tcPr>
          <w:p w14:paraId="525DEDDA"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(2,689)</w:t>
            </w:r>
          </w:p>
        </w:tc>
        <w:tc>
          <w:tcPr>
            <w:tcW w:w="816" w:type="dxa"/>
            <w:tcBorders>
              <w:top w:val="single" w:sz="4" w:space="0" w:color="000000" w:themeColor="text1"/>
              <w:left w:val="nil"/>
              <w:bottom w:val="single" w:sz="4" w:space="0" w:color="000000" w:themeColor="text1"/>
              <w:right w:val="nil"/>
            </w:tcBorders>
            <w:shd w:val="clear" w:color="auto" w:fill="FFE1E1"/>
            <w:noWrap/>
            <w:hideMark/>
          </w:tcPr>
          <w:p w14:paraId="787A9B55"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(4,689)</w:t>
            </w:r>
          </w:p>
        </w:tc>
        <w:tc>
          <w:tcPr>
            <w:tcW w:w="903" w:type="dxa"/>
            <w:tcBorders>
              <w:top w:val="single" w:sz="4" w:space="0" w:color="000000" w:themeColor="text1"/>
              <w:left w:val="nil"/>
              <w:bottom w:val="single" w:sz="4" w:space="0" w:color="000000" w:themeColor="text1"/>
              <w:right w:val="nil"/>
            </w:tcBorders>
            <w:shd w:val="clear" w:color="auto" w:fill="FFFFFF" w:themeFill="background1"/>
            <w:noWrap/>
            <w:hideMark/>
          </w:tcPr>
          <w:p w14:paraId="12A6159A"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(418)</w:t>
            </w:r>
          </w:p>
        </w:tc>
        <w:tc>
          <w:tcPr>
            <w:tcW w:w="795" w:type="dxa"/>
            <w:tcBorders>
              <w:top w:val="single" w:sz="4" w:space="0" w:color="000000" w:themeColor="text1"/>
              <w:left w:val="nil"/>
              <w:bottom w:val="single" w:sz="4" w:space="0" w:color="000000" w:themeColor="text1"/>
              <w:right w:val="nil"/>
            </w:tcBorders>
            <w:shd w:val="clear" w:color="auto" w:fill="FFFFFF" w:themeFill="background1"/>
            <w:noWrap/>
            <w:hideMark/>
          </w:tcPr>
          <w:p w14:paraId="08976308"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(2,107)</w:t>
            </w:r>
          </w:p>
        </w:tc>
        <w:tc>
          <w:tcPr>
            <w:tcW w:w="885" w:type="dxa"/>
            <w:tcBorders>
              <w:top w:val="single" w:sz="4" w:space="0" w:color="000000" w:themeColor="text1"/>
              <w:left w:val="nil"/>
              <w:bottom w:val="single" w:sz="4" w:space="0" w:color="000000" w:themeColor="text1"/>
              <w:right w:val="nil"/>
            </w:tcBorders>
            <w:shd w:val="clear" w:color="auto" w:fill="FFE1E1"/>
            <w:noWrap/>
            <w:hideMark/>
          </w:tcPr>
          <w:p w14:paraId="32BED238"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(7,214)</w:t>
            </w:r>
          </w:p>
        </w:tc>
        <w:tc>
          <w:tcPr>
            <w:tcW w:w="900" w:type="dxa"/>
            <w:tcBorders>
              <w:top w:val="single" w:sz="4" w:space="0" w:color="000000" w:themeColor="text1"/>
              <w:left w:val="nil"/>
              <w:bottom w:val="single" w:sz="4" w:space="0" w:color="000000" w:themeColor="text1"/>
              <w:right w:val="nil"/>
            </w:tcBorders>
            <w:shd w:val="clear" w:color="auto" w:fill="FFFFFF" w:themeFill="background1"/>
            <w:noWrap/>
            <w:hideMark/>
          </w:tcPr>
          <w:p w14:paraId="5D937D8B"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185,025</w:t>
            </w:r>
          </w:p>
        </w:tc>
        <w:tc>
          <w:tcPr>
            <w:tcW w:w="818" w:type="dxa"/>
            <w:tcBorders>
              <w:top w:val="single" w:sz="4" w:space="0" w:color="000000" w:themeColor="text1"/>
              <w:left w:val="nil"/>
              <w:bottom w:val="single" w:sz="4" w:space="0" w:color="000000" w:themeColor="text1"/>
              <w:right w:val="nil"/>
            </w:tcBorders>
            <w:shd w:val="clear" w:color="auto" w:fill="FFE1E1"/>
            <w:noWrap/>
            <w:hideMark/>
          </w:tcPr>
          <w:p w14:paraId="7E44171B" w14:textId="77777777" w:rsidR="000A6C4A" w:rsidRPr="000A6C4A" w:rsidRDefault="000A6C4A" w:rsidP="00E25AA3">
            <w:pPr>
              <w:spacing w:line="240" w:lineRule="auto"/>
              <w:jc w:val="right"/>
              <w:rPr>
                <w:rFonts w:ascii="Calibri" w:eastAsia="Times New Roman" w:hAnsi="Calibri" w:cs="Calibri"/>
                <w:b/>
                <w:bCs/>
                <w:color w:val="000000"/>
                <w:sz w:val="16"/>
                <w:szCs w:val="16"/>
                <w:lang w:eastAsia="en-GB"/>
              </w:rPr>
            </w:pPr>
            <w:r w:rsidRPr="000A6C4A">
              <w:rPr>
                <w:rFonts w:ascii="Calibri" w:eastAsia="Times New Roman" w:hAnsi="Calibri" w:cs="Calibri"/>
                <w:b/>
                <w:bCs/>
                <w:color w:val="000000"/>
                <w:sz w:val="16"/>
                <w:szCs w:val="16"/>
                <w:lang w:eastAsia="en-GB"/>
              </w:rPr>
              <w:t>177,811</w:t>
            </w:r>
          </w:p>
        </w:tc>
      </w:tr>
    </w:tbl>
    <w:p w14:paraId="164B69B5" w14:textId="231EFF63" w:rsidR="00F8582E" w:rsidRDefault="00F8582E" w:rsidP="002A1ADD">
      <w:pPr>
        <w:pStyle w:val="VAHeadingLevel2"/>
        <w:rPr>
          <w:rFonts w:eastAsiaTheme="minorHAnsi"/>
        </w:rPr>
      </w:pPr>
    </w:p>
    <w:p w14:paraId="5130A0C9" w14:textId="3363D4E2" w:rsidR="00E24D1D" w:rsidRPr="00635F47" w:rsidRDefault="00E24D1D" w:rsidP="002A1ADD">
      <w:pPr>
        <w:pStyle w:val="VAHeadingLevel2"/>
      </w:pPr>
    </w:p>
    <w:p w14:paraId="2B137D2A" w14:textId="77777777" w:rsidR="00A57018" w:rsidRDefault="00A57018" w:rsidP="0079406E">
      <w:pPr>
        <w:pStyle w:val="Default"/>
        <w:rPr>
          <w:rFonts w:asciiTheme="minorHAnsi" w:hAnsiTheme="minorHAnsi"/>
          <w:color w:val="auto"/>
        </w:rPr>
      </w:pPr>
    </w:p>
    <w:p w14:paraId="17B1F82A" w14:textId="77777777" w:rsidR="00014F9F" w:rsidRDefault="00014F9F" w:rsidP="0079406E">
      <w:pPr>
        <w:pStyle w:val="Default"/>
        <w:rPr>
          <w:rFonts w:asciiTheme="minorHAnsi" w:hAnsiTheme="minorHAnsi" w:cstheme="minorHAnsi"/>
          <w:b/>
          <w:bCs/>
          <w:color w:val="auto"/>
          <w:sz w:val="28"/>
          <w:szCs w:val="28"/>
        </w:rPr>
      </w:pPr>
    </w:p>
    <w:p w14:paraId="4BD0225D" w14:textId="77777777" w:rsidR="00014F9F" w:rsidRDefault="00014F9F" w:rsidP="0079406E">
      <w:pPr>
        <w:pStyle w:val="Default"/>
        <w:rPr>
          <w:rFonts w:asciiTheme="minorHAnsi" w:hAnsiTheme="minorHAnsi" w:cstheme="minorHAnsi"/>
          <w:b/>
          <w:bCs/>
          <w:color w:val="auto"/>
          <w:sz w:val="28"/>
          <w:szCs w:val="28"/>
        </w:rPr>
      </w:pPr>
    </w:p>
    <w:p w14:paraId="799C956B" w14:textId="77777777" w:rsidR="00014F9F" w:rsidRDefault="00014F9F" w:rsidP="0079406E">
      <w:pPr>
        <w:pStyle w:val="Default"/>
        <w:rPr>
          <w:rFonts w:asciiTheme="minorHAnsi" w:hAnsiTheme="minorHAnsi" w:cstheme="minorHAnsi"/>
          <w:b/>
          <w:bCs/>
          <w:color w:val="auto"/>
          <w:sz w:val="28"/>
          <w:szCs w:val="28"/>
        </w:rPr>
      </w:pPr>
    </w:p>
    <w:p w14:paraId="64BAE09A" w14:textId="77777777" w:rsidR="0097063E" w:rsidRDefault="0097063E" w:rsidP="00A6442F">
      <w:pPr>
        <w:sectPr w:rsidR="0097063E" w:rsidSect="00CC5717">
          <w:type w:val="continuous"/>
          <w:pgSz w:w="11906" w:h="16838"/>
          <w:pgMar w:top="851" w:right="680" w:bottom="851" w:left="851" w:header="680" w:footer="0" w:gutter="0"/>
          <w:cols w:space="708"/>
          <w:docGrid w:linePitch="360"/>
        </w:sectPr>
      </w:pPr>
    </w:p>
    <w:p w14:paraId="75752398" w14:textId="7BC16159" w:rsidR="00103626" w:rsidRPr="00927E96" w:rsidRDefault="006F2E9F" w:rsidP="00927E96">
      <w:pPr>
        <w:pStyle w:val="VAHeading"/>
      </w:pPr>
      <w:r w:rsidRPr="00927E96">
        <w:lastRenderedPageBreak/>
        <w:t xml:space="preserve">Balance Sheet </w:t>
      </w:r>
    </w:p>
    <w:p w14:paraId="29E36E8A" w14:textId="7655014B" w:rsidR="00B93B94" w:rsidRPr="006A4726" w:rsidRDefault="002E48DD" w:rsidP="002A1ADD">
      <w:pPr>
        <w:pStyle w:val="VAHeadingLevel2"/>
      </w:pPr>
      <w:r w:rsidRPr="006A4726">
        <w:t>A</w:t>
      </w:r>
      <w:r w:rsidR="006F2E9F" w:rsidRPr="006A4726">
        <w:t>s</w:t>
      </w:r>
      <w:r w:rsidRPr="006A4726">
        <w:t xml:space="preserve"> </w:t>
      </w:r>
      <w:proofErr w:type="gramStart"/>
      <w:r w:rsidR="006F2E9F" w:rsidRPr="006A4726">
        <w:t>at</w:t>
      </w:r>
      <w:proofErr w:type="gramEnd"/>
      <w:r w:rsidRPr="006A4726">
        <w:t xml:space="preserve"> 31</w:t>
      </w:r>
      <w:r w:rsidR="00135BE7" w:rsidRPr="006A4726">
        <w:rPr>
          <w:vertAlign w:val="superscript"/>
        </w:rPr>
        <w:t>st</w:t>
      </w:r>
      <w:r w:rsidRPr="006A4726">
        <w:t xml:space="preserve"> March 20</w:t>
      </w:r>
      <w:r w:rsidR="004F5BD2" w:rsidRPr="006A4726">
        <w:t>2</w:t>
      </w:r>
      <w:r w:rsidR="00673AB0" w:rsidRPr="006A4726">
        <w:t>5</w:t>
      </w:r>
    </w:p>
    <w:p w14:paraId="1CA9D40C" w14:textId="77777777" w:rsidR="00CC6C56" w:rsidRDefault="00CC6C56" w:rsidP="002A1ADD">
      <w:pPr>
        <w:pStyle w:val="VAHeadingLevel2"/>
      </w:pPr>
    </w:p>
    <w:tbl>
      <w:tblPr>
        <w:tblW w:w="5000" w:type="pct"/>
        <w:tblLook w:val="04A0" w:firstRow="1" w:lastRow="0" w:firstColumn="1" w:lastColumn="0" w:noHBand="0" w:noVBand="1"/>
      </w:tblPr>
      <w:tblGrid>
        <w:gridCol w:w="2292"/>
        <w:gridCol w:w="378"/>
        <w:gridCol w:w="4281"/>
        <w:gridCol w:w="1187"/>
        <w:gridCol w:w="2237"/>
      </w:tblGrid>
      <w:tr w:rsidR="00CC6C56" w:rsidRPr="00CC6C56" w14:paraId="470ED59A" w14:textId="77777777" w:rsidTr="6C31340A">
        <w:trPr>
          <w:trHeight w:val="315"/>
        </w:trPr>
        <w:tc>
          <w:tcPr>
            <w:tcW w:w="1105" w:type="pct"/>
            <w:tcBorders>
              <w:top w:val="nil"/>
              <w:left w:val="nil"/>
              <w:bottom w:val="nil"/>
              <w:right w:val="nil"/>
            </w:tcBorders>
            <w:shd w:val="clear" w:color="auto" w:fill="AB2328"/>
            <w:noWrap/>
            <w:vAlign w:val="bottom"/>
            <w:hideMark/>
          </w:tcPr>
          <w:p w14:paraId="5F902228" w14:textId="77777777" w:rsidR="00CC6C56" w:rsidRPr="00CC6C56" w:rsidRDefault="00CC6C56" w:rsidP="00CC6C56">
            <w:pPr>
              <w:spacing w:line="240" w:lineRule="auto"/>
              <w:jc w:val="righ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31 March 2024</w:t>
            </w:r>
          </w:p>
        </w:tc>
        <w:tc>
          <w:tcPr>
            <w:tcW w:w="182" w:type="pct"/>
            <w:tcBorders>
              <w:top w:val="nil"/>
              <w:left w:val="nil"/>
              <w:bottom w:val="nil"/>
              <w:right w:val="nil"/>
            </w:tcBorders>
            <w:shd w:val="clear" w:color="auto" w:fill="AB2328"/>
            <w:noWrap/>
            <w:vAlign w:val="bottom"/>
            <w:hideMark/>
          </w:tcPr>
          <w:p w14:paraId="377B51EA" w14:textId="77777777" w:rsidR="00CC6C56" w:rsidRPr="00CC6C56" w:rsidRDefault="00CC6C56" w:rsidP="00CC6C56">
            <w:pPr>
              <w:spacing w:line="240" w:lineRule="auto"/>
              <w:jc w:val="lef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 </w:t>
            </w:r>
          </w:p>
        </w:tc>
        <w:tc>
          <w:tcPr>
            <w:tcW w:w="2063" w:type="pct"/>
            <w:tcBorders>
              <w:top w:val="nil"/>
              <w:left w:val="nil"/>
              <w:bottom w:val="nil"/>
              <w:right w:val="nil"/>
            </w:tcBorders>
            <w:shd w:val="clear" w:color="auto" w:fill="AB2328"/>
            <w:noWrap/>
            <w:vAlign w:val="bottom"/>
            <w:hideMark/>
          </w:tcPr>
          <w:p w14:paraId="110261BE" w14:textId="77777777" w:rsidR="00CC6C56" w:rsidRPr="00CC6C56" w:rsidRDefault="00CC6C56" w:rsidP="00CC6C56">
            <w:pPr>
              <w:spacing w:line="240" w:lineRule="auto"/>
              <w:jc w:val="lef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 </w:t>
            </w:r>
          </w:p>
        </w:tc>
        <w:tc>
          <w:tcPr>
            <w:tcW w:w="572" w:type="pct"/>
            <w:tcBorders>
              <w:top w:val="nil"/>
              <w:left w:val="nil"/>
              <w:bottom w:val="nil"/>
              <w:right w:val="nil"/>
            </w:tcBorders>
            <w:shd w:val="clear" w:color="auto" w:fill="AB2328"/>
            <w:noWrap/>
            <w:vAlign w:val="bottom"/>
            <w:hideMark/>
          </w:tcPr>
          <w:p w14:paraId="236C606F" w14:textId="77777777" w:rsidR="00CC6C56" w:rsidRPr="00CC6C56" w:rsidRDefault="00CC6C56" w:rsidP="00CC6C56">
            <w:pPr>
              <w:spacing w:line="240" w:lineRule="auto"/>
              <w:jc w:val="center"/>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 </w:t>
            </w:r>
          </w:p>
        </w:tc>
        <w:tc>
          <w:tcPr>
            <w:tcW w:w="1078" w:type="pct"/>
            <w:tcBorders>
              <w:top w:val="nil"/>
              <w:left w:val="nil"/>
              <w:bottom w:val="nil"/>
              <w:right w:val="nil"/>
            </w:tcBorders>
            <w:shd w:val="clear" w:color="auto" w:fill="AB2328"/>
            <w:noWrap/>
            <w:vAlign w:val="bottom"/>
            <w:hideMark/>
          </w:tcPr>
          <w:p w14:paraId="0FBC54D3" w14:textId="77777777" w:rsidR="00CC6C56" w:rsidRPr="00CC6C56" w:rsidRDefault="00CC6C56" w:rsidP="00CC6C56">
            <w:pPr>
              <w:spacing w:line="240" w:lineRule="auto"/>
              <w:jc w:val="righ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31 March 2025</w:t>
            </w:r>
          </w:p>
        </w:tc>
      </w:tr>
      <w:tr w:rsidR="00CC6C56" w:rsidRPr="00CC6C56" w14:paraId="461AEA47" w14:textId="77777777" w:rsidTr="6C31340A">
        <w:trPr>
          <w:trHeight w:val="315"/>
        </w:trPr>
        <w:tc>
          <w:tcPr>
            <w:tcW w:w="1105" w:type="pct"/>
            <w:tcBorders>
              <w:top w:val="nil"/>
              <w:left w:val="nil"/>
              <w:bottom w:val="nil"/>
              <w:right w:val="nil"/>
            </w:tcBorders>
            <w:shd w:val="clear" w:color="auto" w:fill="AB2328"/>
            <w:noWrap/>
            <w:vAlign w:val="bottom"/>
            <w:hideMark/>
          </w:tcPr>
          <w:p w14:paraId="1F256291" w14:textId="77777777" w:rsidR="00CC6C56" w:rsidRPr="00CC6C56" w:rsidRDefault="00CC6C56" w:rsidP="00CC6C56">
            <w:pPr>
              <w:spacing w:line="240" w:lineRule="auto"/>
              <w:jc w:val="righ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£000</w:t>
            </w:r>
          </w:p>
        </w:tc>
        <w:tc>
          <w:tcPr>
            <w:tcW w:w="182" w:type="pct"/>
            <w:tcBorders>
              <w:top w:val="nil"/>
              <w:left w:val="nil"/>
              <w:bottom w:val="nil"/>
              <w:right w:val="nil"/>
            </w:tcBorders>
            <w:shd w:val="clear" w:color="auto" w:fill="AB2328"/>
            <w:noWrap/>
            <w:vAlign w:val="bottom"/>
            <w:hideMark/>
          </w:tcPr>
          <w:p w14:paraId="7843248C" w14:textId="77777777" w:rsidR="00CC6C56" w:rsidRPr="00CC6C56" w:rsidRDefault="00CC6C56" w:rsidP="00CC6C56">
            <w:pPr>
              <w:spacing w:line="240" w:lineRule="auto"/>
              <w:jc w:val="righ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 </w:t>
            </w:r>
          </w:p>
        </w:tc>
        <w:tc>
          <w:tcPr>
            <w:tcW w:w="2063" w:type="pct"/>
            <w:tcBorders>
              <w:top w:val="nil"/>
              <w:left w:val="nil"/>
              <w:bottom w:val="nil"/>
              <w:right w:val="nil"/>
            </w:tcBorders>
            <w:shd w:val="clear" w:color="auto" w:fill="AB2328"/>
            <w:noWrap/>
            <w:vAlign w:val="bottom"/>
            <w:hideMark/>
          </w:tcPr>
          <w:p w14:paraId="42DE00D3" w14:textId="77777777" w:rsidR="00CC6C56" w:rsidRPr="00CC6C56" w:rsidRDefault="00CC6C56" w:rsidP="00CC6C56">
            <w:pPr>
              <w:spacing w:line="240" w:lineRule="auto"/>
              <w:jc w:val="lef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 </w:t>
            </w:r>
          </w:p>
        </w:tc>
        <w:tc>
          <w:tcPr>
            <w:tcW w:w="572" w:type="pct"/>
            <w:tcBorders>
              <w:top w:val="nil"/>
              <w:left w:val="nil"/>
              <w:bottom w:val="nil"/>
              <w:right w:val="nil"/>
            </w:tcBorders>
            <w:shd w:val="clear" w:color="auto" w:fill="AB2328"/>
            <w:noWrap/>
            <w:vAlign w:val="bottom"/>
            <w:hideMark/>
          </w:tcPr>
          <w:p w14:paraId="59D28321" w14:textId="77777777" w:rsidR="00CC6C56" w:rsidRPr="00CC6C56" w:rsidRDefault="00CC6C56" w:rsidP="00CC6C56">
            <w:pPr>
              <w:spacing w:line="240" w:lineRule="auto"/>
              <w:jc w:val="right"/>
              <w:rPr>
                <w:rFonts w:ascii="Calibri" w:eastAsia="Times New Roman" w:hAnsi="Calibri" w:cs="Calibri"/>
                <w:b/>
                <w:bCs/>
                <w:color w:val="FFFFFF"/>
                <w:sz w:val="18"/>
                <w:szCs w:val="18"/>
                <w:lang w:eastAsia="en-GB"/>
              </w:rPr>
            </w:pPr>
            <w:r w:rsidRPr="00CC6C56">
              <w:rPr>
                <w:rFonts w:ascii="Calibri" w:eastAsia="Times New Roman" w:hAnsi="Calibri" w:cs="Calibri"/>
                <w:b/>
                <w:bCs/>
                <w:color w:val="FFFFFF"/>
                <w:sz w:val="18"/>
                <w:szCs w:val="18"/>
                <w:lang w:eastAsia="en-GB"/>
              </w:rPr>
              <w:t>Notes</w:t>
            </w:r>
          </w:p>
        </w:tc>
        <w:tc>
          <w:tcPr>
            <w:tcW w:w="1078" w:type="pct"/>
            <w:tcBorders>
              <w:top w:val="nil"/>
              <w:left w:val="nil"/>
              <w:bottom w:val="nil"/>
              <w:right w:val="nil"/>
            </w:tcBorders>
            <w:shd w:val="clear" w:color="auto" w:fill="AB2328"/>
            <w:noWrap/>
            <w:vAlign w:val="bottom"/>
            <w:hideMark/>
          </w:tcPr>
          <w:p w14:paraId="7BFD7914" w14:textId="77777777" w:rsidR="00CC6C56" w:rsidRPr="00CC6C56" w:rsidRDefault="00CC6C56" w:rsidP="00CC6C56">
            <w:pPr>
              <w:spacing w:line="240" w:lineRule="auto"/>
              <w:jc w:val="right"/>
              <w:rPr>
                <w:rFonts w:ascii="Calibri" w:eastAsia="Times New Roman" w:hAnsi="Calibri" w:cs="Calibri"/>
                <w:b/>
                <w:bCs/>
                <w:color w:val="FFFFFF"/>
                <w:lang w:eastAsia="en-GB"/>
              </w:rPr>
            </w:pPr>
            <w:r w:rsidRPr="00CC6C56">
              <w:rPr>
                <w:rFonts w:ascii="Calibri" w:eastAsia="Times New Roman" w:hAnsi="Calibri" w:cs="Calibri"/>
                <w:b/>
                <w:bCs/>
                <w:color w:val="FFFFFF"/>
                <w:lang w:eastAsia="en-GB"/>
              </w:rPr>
              <w:t>£000</w:t>
            </w:r>
          </w:p>
        </w:tc>
      </w:tr>
      <w:tr w:rsidR="00CC6C56" w:rsidRPr="00CC6C56" w14:paraId="6114FFC1"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119A82EF" w14:textId="1A9FECDC"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47,469</w:t>
            </w:r>
          </w:p>
        </w:tc>
        <w:tc>
          <w:tcPr>
            <w:tcW w:w="182" w:type="pct"/>
            <w:tcBorders>
              <w:top w:val="nil"/>
              <w:left w:val="nil"/>
              <w:bottom w:val="nil"/>
              <w:right w:val="nil"/>
            </w:tcBorders>
            <w:shd w:val="clear" w:color="auto" w:fill="FFFFFF" w:themeFill="background1"/>
            <w:noWrap/>
            <w:vAlign w:val="bottom"/>
            <w:hideMark/>
          </w:tcPr>
          <w:p w14:paraId="6F9DB5D5"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10559043"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Property, Plant and Equipment</w:t>
            </w:r>
          </w:p>
        </w:tc>
        <w:tc>
          <w:tcPr>
            <w:tcW w:w="572" w:type="pct"/>
            <w:tcBorders>
              <w:top w:val="nil"/>
              <w:left w:val="nil"/>
              <w:bottom w:val="nil"/>
              <w:right w:val="nil"/>
            </w:tcBorders>
            <w:shd w:val="clear" w:color="auto" w:fill="FFFFFF" w:themeFill="background1"/>
            <w:noWrap/>
            <w:vAlign w:val="bottom"/>
            <w:hideMark/>
          </w:tcPr>
          <w:p w14:paraId="3D8C12C3"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18</w:t>
            </w:r>
          </w:p>
        </w:tc>
        <w:tc>
          <w:tcPr>
            <w:tcW w:w="1078" w:type="pct"/>
            <w:tcBorders>
              <w:top w:val="nil"/>
              <w:left w:val="nil"/>
              <w:bottom w:val="nil"/>
              <w:right w:val="nil"/>
            </w:tcBorders>
            <w:shd w:val="clear" w:color="auto" w:fill="FFE1E1"/>
            <w:noWrap/>
            <w:vAlign w:val="bottom"/>
            <w:hideMark/>
          </w:tcPr>
          <w:p w14:paraId="41B89410"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47,245</w:t>
            </w:r>
          </w:p>
        </w:tc>
      </w:tr>
      <w:tr w:rsidR="00596B6F" w:rsidRPr="00CC6C56" w14:paraId="2A3A6AA3" w14:textId="77777777" w:rsidTr="6C31340A">
        <w:trPr>
          <w:trHeight w:val="315"/>
        </w:trPr>
        <w:tc>
          <w:tcPr>
            <w:tcW w:w="1105" w:type="pct"/>
            <w:tcBorders>
              <w:top w:val="nil"/>
              <w:left w:val="nil"/>
              <w:bottom w:val="nil"/>
              <w:right w:val="nil"/>
            </w:tcBorders>
            <w:shd w:val="clear" w:color="auto" w:fill="FFFFFF" w:themeFill="background1"/>
            <w:noWrap/>
            <w:vAlign w:val="bottom"/>
          </w:tcPr>
          <w:p w14:paraId="5B2DF7B6" w14:textId="49D22D99" w:rsidR="00596B6F" w:rsidRPr="00CC6C56" w:rsidRDefault="00596B6F"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w:t>
            </w:r>
          </w:p>
        </w:tc>
        <w:tc>
          <w:tcPr>
            <w:tcW w:w="182" w:type="pct"/>
            <w:tcBorders>
              <w:top w:val="nil"/>
              <w:left w:val="nil"/>
              <w:bottom w:val="nil"/>
              <w:right w:val="nil"/>
            </w:tcBorders>
            <w:shd w:val="clear" w:color="auto" w:fill="FFFFFF" w:themeFill="background1"/>
            <w:noWrap/>
            <w:vAlign w:val="bottom"/>
          </w:tcPr>
          <w:p w14:paraId="0D84D74A" w14:textId="77777777" w:rsidR="00596B6F" w:rsidRPr="00CC6C56" w:rsidRDefault="00596B6F" w:rsidP="00CC6C56">
            <w:pPr>
              <w:spacing w:line="240" w:lineRule="auto"/>
              <w:jc w:val="left"/>
              <w:rPr>
                <w:rFonts w:ascii="Calibri" w:eastAsia="Times New Roman" w:hAnsi="Calibri" w:cs="Calibri"/>
                <w:lang w:eastAsia="en-GB"/>
              </w:rPr>
            </w:pPr>
          </w:p>
        </w:tc>
        <w:tc>
          <w:tcPr>
            <w:tcW w:w="2063" w:type="pct"/>
            <w:tcBorders>
              <w:top w:val="nil"/>
              <w:left w:val="nil"/>
              <w:bottom w:val="nil"/>
              <w:right w:val="nil"/>
            </w:tcBorders>
            <w:shd w:val="clear" w:color="auto" w:fill="FFFFFF" w:themeFill="background1"/>
            <w:noWrap/>
            <w:vAlign w:val="bottom"/>
          </w:tcPr>
          <w:p w14:paraId="3C43E103" w14:textId="511F344D" w:rsidR="00596B6F" w:rsidRPr="00CC6C56" w:rsidRDefault="667C51B6" w:rsidP="00CC6C56">
            <w:pPr>
              <w:spacing w:line="240" w:lineRule="auto"/>
              <w:jc w:val="left"/>
              <w:rPr>
                <w:rFonts w:ascii="Calibri" w:eastAsia="Times New Roman" w:hAnsi="Calibri" w:cs="Calibri"/>
                <w:lang w:eastAsia="en-GB"/>
              </w:rPr>
            </w:pPr>
            <w:r w:rsidRPr="6C31340A">
              <w:rPr>
                <w:rFonts w:ascii="Calibri" w:eastAsia="Times New Roman" w:hAnsi="Calibri" w:cs="Calibri"/>
                <w:lang w:eastAsia="en-GB"/>
              </w:rPr>
              <w:t>Right of use assets</w:t>
            </w:r>
          </w:p>
        </w:tc>
        <w:tc>
          <w:tcPr>
            <w:tcW w:w="572" w:type="pct"/>
            <w:tcBorders>
              <w:top w:val="nil"/>
              <w:left w:val="nil"/>
              <w:bottom w:val="nil"/>
              <w:right w:val="nil"/>
            </w:tcBorders>
            <w:shd w:val="clear" w:color="auto" w:fill="FFFFFF" w:themeFill="background1"/>
            <w:noWrap/>
            <w:vAlign w:val="bottom"/>
          </w:tcPr>
          <w:p w14:paraId="131C1399" w14:textId="4F641870" w:rsidR="00596B6F" w:rsidRPr="00CC6C56" w:rsidRDefault="00596B6F" w:rsidP="00CC6C56">
            <w:pPr>
              <w:spacing w:line="240" w:lineRule="auto"/>
              <w:jc w:val="right"/>
              <w:rPr>
                <w:rFonts w:ascii="Calibri" w:eastAsia="Times New Roman" w:hAnsi="Calibri" w:cs="Calibri"/>
                <w:sz w:val="16"/>
                <w:szCs w:val="16"/>
                <w:lang w:eastAsia="en-GB"/>
              </w:rPr>
            </w:pPr>
            <w:r>
              <w:rPr>
                <w:rFonts w:ascii="Calibri" w:eastAsia="Times New Roman" w:hAnsi="Calibri" w:cs="Calibri"/>
                <w:sz w:val="16"/>
                <w:szCs w:val="16"/>
                <w:lang w:eastAsia="en-GB"/>
              </w:rPr>
              <w:t>22</w:t>
            </w:r>
          </w:p>
        </w:tc>
        <w:tc>
          <w:tcPr>
            <w:tcW w:w="1078" w:type="pct"/>
            <w:tcBorders>
              <w:top w:val="nil"/>
              <w:left w:val="nil"/>
              <w:bottom w:val="nil"/>
              <w:right w:val="nil"/>
            </w:tcBorders>
            <w:shd w:val="clear" w:color="auto" w:fill="FFE1E1"/>
            <w:noWrap/>
            <w:vAlign w:val="bottom"/>
          </w:tcPr>
          <w:p w14:paraId="37289073" w14:textId="17D8D0B8" w:rsidR="00596B6F" w:rsidRPr="00CC6C56" w:rsidRDefault="000B1E5C"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3</w:t>
            </w:r>
            <w:r w:rsidR="00B4580D">
              <w:rPr>
                <w:rFonts w:ascii="Calibri" w:eastAsia="Times New Roman" w:hAnsi="Calibri" w:cs="Calibri"/>
                <w:lang w:eastAsia="en-GB"/>
              </w:rPr>
              <w:t>08</w:t>
            </w:r>
          </w:p>
        </w:tc>
      </w:tr>
      <w:tr w:rsidR="00CC6C56" w:rsidRPr="00CC6C56" w14:paraId="36B05BCD"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7DA47610"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47,469</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295233AF"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51957B64"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Long Term Assets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6EAB9BB8"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4881CD5E" w14:textId="12ED2F7C"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47,</w:t>
            </w:r>
            <w:r w:rsidR="00B74411">
              <w:rPr>
                <w:rFonts w:ascii="Calibri" w:eastAsia="Times New Roman" w:hAnsi="Calibri" w:cs="Calibri"/>
                <w:b/>
                <w:bCs/>
                <w:lang w:eastAsia="en-GB"/>
              </w:rPr>
              <w:t>5</w:t>
            </w:r>
            <w:r w:rsidR="00E75F91">
              <w:rPr>
                <w:rFonts w:ascii="Calibri" w:eastAsia="Times New Roman" w:hAnsi="Calibri" w:cs="Calibri"/>
                <w:b/>
                <w:bCs/>
                <w:lang w:eastAsia="en-GB"/>
              </w:rPr>
              <w:t>53</w:t>
            </w:r>
          </w:p>
        </w:tc>
      </w:tr>
      <w:tr w:rsidR="00CC6C56" w:rsidRPr="00CC6C56" w14:paraId="6187BDC4"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26BE9A58"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344</w:t>
            </w:r>
          </w:p>
        </w:tc>
        <w:tc>
          <w:tcPr>
            <w:tcW w:w="182" w:type="pct"/>
            <w:tcBorders>
              <w:top w:val="nil"/>
              <w:left w:val="nil"/>
              <w:bottom w:val="nil"/>
              <w:right w:val="nil"/>
            </w:tcBorders>
            <w:shd w:val="clear" w:color="auto" w:fill="FFFFFF" w:themeFill="background1"/>
            <w:noWrap/>
            <w:vAlign w:val="bottom"/>
            <w:hideMark/>
          </w:tcPr>
          <w:p w14:paraId="7933F7C2"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59B4CCDA"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Inventories</w:t>
            </w:r>
          </w:p>
        </w:tc>
        <w:tc>
          <w:tcPr>
            <w:tcW w:w="572" w:type="pct"/>
            <w:tcBorders>
              <w:top w:val="nil"/>
              <w:left w:val="nil"/>
              <w:bottom w:val="nil"/>
              <w:right w:val="nil"/>
            </w:tcBorders>
            <w:shd w:val="clear" w:color="auto" w:fill="FFFFFF" w:themeFill="background1"/>
            <w:noWrap/>
            <w:vAlign w:val="bottom"/>
            <w:hideMark/>
          </w:tcPr>
          <w:p w14:paraId="0823BF4F"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27</w:t>
            </w:r>
          </w:p>
        </w:tc>
        <w:tc>
          <w:tcPr>
            <w:tcW w:w="1078" w:type="pct"/>
            <w:tcBorders>
              <w:top w:val="nil"/>
              <w:left w:val="nil"/>
              <w:bottom w:val="nil"/>
              <w:right w:val="nil"/>
            </w:tcBorders>
            <w:shd w:val="clear" w:color="auto" w:fill="FFE1E1"/>
            <w:noWrap/>
            <w:vAlign w:val="bottom"/>
            <w:hideMark/>
          </w:tcPr>
          <w:p w14:paraId="5E6EF3B1"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449</w:t>
            </w:r>
          </w:p>
        </w:tc>
      </w:tr>
      <w:tr w:rsidR="00CC6C56" w:rsidRPr="00CC6C56" w14:paraId="220E4969"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2F87FAB2"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3,811</w:t>
            </w:r>
          </w:p>
        </w:tc>
        <w:tc>
          <w:tcPr>
            <w:tcW w:w="182" w:type="pct"/>
            <w:tcBorders>
              <w:top w:val="nil"/>
              <w:left w:val="nil"/>
              <w:bottom w:val="nil"/>
              <w:right w:val="nil"/>
            </w:tcBorders>
            <w:shd w:val="clear" w:color="auto" w:fill="FFFFFF" w:themeFill="background1"/>
            <w:noWrap/>
            <w:vAlign w:val="bottom"/>
            <w:hideMark/>
          </w:tcPr>
          <w:p w14:paraId="0EA94720"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0F1A3C8B"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Short Term Debtors</w:t>
            </w:r>
          </w:p>
        </w:tc>
        <w:tc>
          <w:tcPr>
            <w:tcW w:w="572" w:type="pct"/>
            <w:tcBorders>
              <w:top w:val="nil"/>
              <w:left w:val="nil"/>
              <w:bottom w:val="nil"/>
              <w:right w:val="nil"/>
            </w:tcBorders>
            <w:shd w:val="clear" w:color="auto" w:fill="FFFFFF" w:themeFill="background1"/>
            <w:noWrap/>
            <w:vAlign w:val="bottom"/>
            <w:hideMark/>
          </w:tcPr>
          <w:p w14:paraId="7C915086"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26</w:t>
            </w:r>
          </w:p>
        </w:tc>
        <w:tc>
          <w:tcPr>
            <w:tcW w:w="1078" w:type="pct"/>
            <w:tcBorders>
              <w:top w:val="nil"/>
              <w:left w:val="nil"/>
              <w:bottom w:val="nil"/>
              <w:right w:val="nil"/>
            </w:tcBorders>
            <w:shd w:val="clear" w:color="auto" w:fill="FFE1E1"/>
            <w:noWrap/>
            <w:vAlign w:val="bottom"/>
            <w:hideMark/>
          </w:tcPr>
          <w:p w14:paraId="6DCB0F13" w14:textId="6EB5F04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7,27</w:t>
            </w:r>
            <w:r w:rsidR="00B4580D">
              <w:rPr>
                <w:rFonts w:ascii="Calibri" w:eastAsia="Times New Roman" w:hAnsi="Calibri" w:cs="Calibri"/>
                <w:lang w:eastAsia="en-GB"/>
              </w:rPr>
              <w:t>6</w:t>
            </w:r>
          </w:p>
        </w:tc>
      </w:tr>
      <w:tr w:rsidR="00CC6C56" w:rsidRPr="00CC6C56" w14:paraId="12D70E1F"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1922FE37"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10</w:t>
            </w:r>
          </w:p>
        </w:tc>
        <w:tc>
          <w:tcPr>
            <w:tcW w:w="182" w:type="pct"/>
            <w:tcBorders>
              <w:top w:val="nil"/>
              <w:left w:val="nil"/>
              <w:bottom w:val="nil"/>
              <w:right w:val="nil"/>
            </w:tcBorders>
            <w:shd w:val="clear" w:color="auto" w:fill="FFFFFF" w:themeFill="background1"/>
            <w:noWrap/>
            <w:vAlign w:val="bottom"/>
            <w:hideMark/>
          </w:tcPr>
          <w:p w14:paraId="6E7F38E1"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21B5F2B9"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Short Term Investments</w:t>
            </w:r>
          </w:p>
        </w:tc>
        <w:tc>
          <w:tcPr>
            <w:tcW w:w="572" w:type="pct"/>
            <w:tcBorders>
              <w:top w:val="nil"/>
              <w:left w:val="nil"/>
              <w:bottom w:val="nil"/>
              <w:right w:val="nil"/>
            </w:tcBorders>
            <w:shd w:val="clear" w:color="auto" w:fill="FFFFFF" w:themeFill="background1"/>
            <w:noWrap/>
            <w:vAlign w:val="bottom"/>
            <w:hideMark/>
          </w:tcPr>
          <w:p w14:paraId="5C2D54BC"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33</w:t>
            </w:r>
          </w:p>
        </w:tc>
        <w:tc>
          <w:tcPr>
            <w:tcW w:w="1078" w:type="pct"/>
            <w:tcBorders>
              <w:top w:val="nil"/>
              <w:left w:val="nil"/>
              <w:bottom w:val="nil"/>
              <w:right w:val="nil"/>
            </w:tcBorders>
            <w:shd w:val="clear" w:color="auto" w:fill="FFE1E1"/>
            <w:noWrap/>
            <w:vAlign w:val="bottom"/>
            <w:hideMark/>
          </w:tcPr>
          <w:p w14:paraId="52188C9C"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2,001</w:t>
            </w:r>
          </w:p>
        </w:tc>
      </w:tr>
      <w:tr w:rsidR="00CC6C56" w:rsidRPr="00CC6C56" w14:paraId="021C79B0"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5F457FBF"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3,500</w:t>
            </w:r>
          </w:p>
        </w:tc>
        <w:tc>
          <w:tcPr>
            <w:tcW w:w="182" w:type="pct"/>
            <w:tcBorders>
              <w:top w:val="nil"/>
              <w:left w:val="nil"/>
              <w:bottom w:val="nil"/>
              <w:right w:val="nil"/>
            </w:tcBorders>
            <w:shd w:val="clear" w:color="auto" w:fill="FFFFFF" w:themeFill="background1"/>
            <w:noWrap/>
            <w:vAlign w:val="bottom"/>
            <w:hideMark/>
          </w:tcPr>
          <w:p w14:paraId="08429CFB"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7E8CED72"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Asset Held for Sale</w:t>
            </w:r>
          </w:p>
        </w:tc>
        <w:tc>
          <w:tcPr>
            <w:tcW w:w="572" w:type="pct"/>
            <w:tcBorders>
              <w:top w:val="nil"/>
              <w:left w:val="nil"/>
              <w:bottom w:val="nil"/>
              <w:right w:val="nil"/>
            </w:tcBorders>
            <w:shd w:val="clear" w:color="auto" w:fill="FFFFFF" w:themeFill="background1"/>
            <w:noWrap/>
            <w:vAlign w:val="bottom"/>
            <w:hideMark/>
          </w:tcPr>
          <w:p w14:paraId="7F7E2B51"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20</w:t>
            </w:r>
          </w:p>
        </w:tc>
        <w:tc>
          <w:tcPr>
            <w:tcW w:w="1078" w:type="pct"/>
            <w:tcBorders>
              <w:top w:val="nil"/>
              <w:left w:val="nil"/>
              <w:bottom w:val="nil"/>
              <w:right w:val="nil"/>
            </w:tcBorders>
            <w:shd w:val="clear" w:color="auto" w:fill="FFE1E1"/>
            <w:noWrap/>
            <w:hideMark/>
          </w:tcPr>
          <w:p w14:paraId="2650BAD6" w14:textId="77777777" w:rsidR="00CC6C56" w:rsidRPr="00CC6C56" w:rsidRDefault="00CC6C56" w:rsidP="00CC6C56">
            <w:pPr>
              <w:spacing w:line="240" w:lineRule="auto"/>
              <w:jc w:val="right"/>
              <w:rPr>
                <w:rFonts w:ascii="Calibri" w:eastAsia="Times New Roman" w:hAnsi="Calibri" w:cs="Calibri"/>
                <w:color w:val="000000"/>
                <w:lang w:eastAsia="en-GB"/>
              </w:rPr>
            </w:pPr>
            <w:r w:rsidRPr="00CC6C56">
              <w:rPr>
                <w:rFonts w:ascii="Calibri" w:eastAsia="Times New Roman" w:hAnsi="Calibri" w:cs="Calibri"/>
                <w:color w:val="000000"/>
                <w:lang w:eastAsia="en-GB"/>
              </w:rPr>
              <w:t>-</w:t>
            </w:r>
          </w:p>
        </w:tc>
      </w:tr>
      <w:tr w:rsidR="00CC6C56" w:rsidRPr="00CC6C56" w14:paraId="756041D4"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19751587"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2,344</w:t>
            </w:r>
          </w:p>
        </w:tc>
        <w:tc>
          <w:tcPr>
            <w:tcW w:w="182" w:type="pct"/>
            <w:tcBorders>
              <w:top w:val="nil"/>
              <w:left w:val="nil"/>
              <w:bottom w:val="nil"/>
              <w:right w:val="nil"/>
            </w:tcBorders>
            <w:shd w:val="clear" w:color="auto" w:fill="FFFFFF" w:themeFill="background1"/>
            <w:noWrap/>
            <w:vAlign w:val="bottom"/>
            <w:hideMark/>
          </w:tcPr>
          <w:p w14:paraId="3BC7A58D"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7526E3F7"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Cash and Cash Equivalents</w:t>
            </w:r>
          </w:p>
        </w:tc>
        <w:tc>
          <w:tcPr>
            <w:tcW w:w="572" w:type="pct"/>
            <w:tcBorders>
              <w:top w:val="nil"/>
              <w:left w:val="nil"/>
              <w:bottom w:val="nil"/>
              <w:right w:val="nil"/>
            </w:tcBorders>
            <w:shd w:val="clear" w:color="auto" w:fill="FFFFFF" w:themeFill="background1"/>
            <w:noWrap/>
            <w:vAlign w:val="bottom"/>
            <w:hideMark/>
          </w:tcPr>
          <w:p w14:paraId="70048173"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33</w:t>
            </w:r>
          </w:p>
        </w:tc>
        <w:tc>
          <w:tcPr>
            <w:tcW w:w="1078" w:type="pct"/>
            <w:tcBorders>
              <w:top w:val="nil"/>
              <w:left w:val="nil"/>
              <w:bottom w:val="nil"/>
              <w:right w:val="nil"/>
            </w:tcBorders>
            <w:shd w:val="clear" w:color="auto" w:fill="FFE1E1"/>
            <w:noWrap/>
            <w:vAlign w:val="bottom"/>
            <w:hideMark/>
          </w:tcPr>
          <w:p w14:paraId="77E70964" w14:textId="1ADF4841"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3,60</w:t>
            </w:r>
            <w:r w:rsidR="003B121C">
              <w:rPr>
                <w:rFonts w:ascii="Calibri" w:eastAsia="Times New Roman" w:hAnsi="Calibri" w:cs="Calibri"/>
                <w:lang w:eastAsia="en-GB"/>
              </w:rPr>
              <w:t>6</w:t>
            </w:r>
          </w:p>
        </w:tc>
      </w:tr>
      <w:tr w:rsidR="00CC6C56" w:rsidRPr="00CC6C56" w14:paraId="7E7A096B"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08CA4FA4"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10,009</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545DF02A"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32D34DD4"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Current Assets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6F5D9E4C"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758EB31B"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13,332</w:t>
            </w:r>
          </w:p>
        </w:tc>
      </w:tr>
      <w:tr w:rsidR="00CC6C56" w:rsidRPr="00CC6C56" w14:paraId="3E675A0B"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2AC83C64" w14:textId="3B88BFD2"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w:t>
            </w:r>
            <w:r w:rsidR="0019506C">
              <w:rPr>
                <w:rFonts w:ascii="Calibri" w:eastAsia="Times New Roman" w:hAnsi="Calibri" w:cs="Calibri"/>
                <w:lang w:eastAsia="en-GB"/>
              </w:rPr>
              <w:t>6</w:t>
            </w:r>
            <w:r w:rsidRPr="00CC6C56">
              <w:rPr>
                <w:rFonts w:ascii="Calibri" w:eastAsia="Times New Roman" w:hAnsi="Calibri" w:cs="Calibri"/>
                <w:lang w:eastAsia="en-GB"/>
              </w:rPr>
              <w:t>,</w:t>
            </w:r>
            <w:r w:rsidR="0019506C">
              <w:rPr>
                <w:rFonts w:ascii="Calibri" w:eastAsia="Times New Roman" w:hAnsi="Calibri" w:cs="Calibri"/>
                <w:lang w:eastAsia="en-GB"/>
              </w:rPr>
              <w:t>225</w:t>
            </w:r>
            <w:r w:rsidRPr="00CC6C56">
              <w:rPr>
                <w:rFonts w:ascii="Calibri" w:eastAsia="Times New Roman" w:hAnsi="Calibri" w:cs="Calibri"/>
                <w:lang w:eastAsia="en-GB"/>
              </w:rPr>
              <w:t>)</w:t>
            </w:r>
          </w:p>
        </w:tc>
        <w:tc>
          <w:tcPr>
            <w:tcW w:w="182" w:type="pct"/>
            <w:tcBorders>
              <w:top w:val="nil"/>
              <w:left w:val="nil"/>
              <w:bottom w:val="nil"/>
              <w:right w:val="nil"/>
            </w:tcBorders>
            <w:shd w:val="clear" w:color="auto" w:fill="FFFFFF" w:themeFill="background1"/>
            <w:noWrap/>
            <w:vAlign w:val="bottom"/>
            <w:hideMark/>
          </w:tcPr>
          <w:p w14:paraId="5EC19F2B"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45042277"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Short Term Creditors</w:t>
            </w:r>
          </w:p>
        </w:tc>
        <w:tc>
          <w:tcPr>
            <w:tcW w:w="572" w:type="pct"/>
            <w:tcBorders>
              <w:top w:val="nil"/>
              <w:left w:val="nil"/>
              <w:bottom w:val="nil"/>
              <w:right w:val="nil"/>
            </w:tcBorders>
            <w:shd w:val="clear" w:color="auto" w:fill="FFFFFF" w:themeFill="background1"/>
            <w:noWrap/>
            <w:vAlign w:val="bottom"/>
            <w:hideMark/>
          </w:tcPr>
          <w:p w14:paraId="4AAB1402"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29</w:t>
            </w:r>
          </w:p>
        </w:tc>
        <w:tc>
          <w:tcPr>
            <w:tcW w:w="1078" w:type="pct"/>
            <w:tcBorders>
              <w:top w:val="nil"/>
              <w:left w:val="nil"/>
              <w:bottom w:val="nil"/>
              <w:right w:val="nil"/>
            </w:tcBorders>
            <w:shd w:val="clear" w:color="auto" w:fill="FFE1E1"/>
            <w:noWrap/>
            <w:vAlign w:val="bottom"/>
            <w:hideMark/>
          </w:tcPr>
          <w:p w14:paraId="202B7655" w14:textId="576DA5FB"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w:t>
            </w:r>
            <w:r w:rsidR="00645F9E">
              <w:rPr>
                <w:rFonts w:ascii="Calibri" w:eastAsia="Times New Roman" w:hAnsi="Calibri" w:cs="Calibri"/>
                <w:lang w:eastAsia="en-GB"/>
              </w:rPr>
              <w:t>7</w:t>
            </w:r>
            <w:r w:rsidRPr="00CC6C56">
              <w:rPr>
                <w:rFonts w:ascii="Calibri" w:eastAsia="Times New Roman" w:hAnsi="Calibri" w:cs="Calibri"/>
                <w:lang w:eastAsia="en-GB"/>
              </w:rPr>
              <w:t>,</w:t>
            </w:r>
            <w:r w:rsidR="00645F9E">
              <w:rPr>
                <w:rFonts w:ascii="Calibri" w:eastAsia="Times New Roman" w:hAnsi="Calibri" w:cs="Calibri"/>
                <w:lang w:eastAsia="en-GB"/>
              </w:rPr>
              <w:t>277</w:t>
            </w:r>
            <w:r w:rsidRPr="00CC6C56">
              <w:rPr>
                <w:rFonts w:ascii="Calibri" w:eastAsia="Times New Roman" w:hAnsi="Calibri" w:cs="Calibri"/>
                <w:lang w:eastAsia="en-GB"/>
              </w:rPr>
              <w:t>)</w:t>
            </w:r>
          </w:p>
        </w:tc>
      </w:tr>
      <w:tr w:rsidR="00456A3C" w:rsidRPr="00CC6C56" w14:paraId="166C56BA" w14:textId="77777777" w:rsidTr="6C31340A">
        <w:trPr>
          <w:trHeight w:val="315"/>
        </w:trPr>
        <w:tc>
          <w:tcPr>
            <w:tcW w:w="1105" w:type="pct"/>
            <w:tcBorders>
              <w:top w:val="nil"/>
              <w:left w:val="nil"/>
              <w:bottom w:val="nil"/>
              <w:right w:val="nil"/>
            </w:tcBorders>
            <w:shd w:val="clear" w:color="auto" w:fill="FFFFFF" w:themeFill="background1"/>
            <w:noWrap/>
            <w:vAlign w:val="bottom"/>
          </w:tcPr>
          <w:p w14:paraId="00DFA2D8" w14:textId="3B5AFDAA" w:rsidR="00456A3C" w:rsidRPr="00CC6C56" w:rsidRDefault="00505FE1"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(954)</w:t>
            </w:r>
          </w:p>
        </w:tc>
        <w:tc>
          <w:tcPr>
            <w:tcW w:w="182" w:type="pct"/>
            <w:tcBorders>
              <w:top w:val="nil"/>
              <w:left w:val="nil"/>
              <w:bottom w:val="nil"/>
              <w:right w:val="nil"/>
            </w:tcBorders>
            <w:shd w:val="clear" w:color="auto" w:fill="FFFFFF" w:themeFill="background1"/>
            <w:noWrap/>
            <w:vAlign w:val="bottom"/>
          </w:tcPr>
          <w:p w14:paraId="1E76DA7D" w14:textId="77777777" w:rsidR="00456A3C" w:rsidRPr="00CC6C56" w:rsidRDefault="00456A3C" w:rsidP="00CC6C56">
            <w:pPr>
              <w:spacing w:line="240" w:lineRule="auto"/>
              <w:jc w:val="left"/>
              <w:rPr>
                <w:rFonts w:ascii="Calibri" w:eastAsia="Times New Roman" w:hAnsi="Calibri" w:cs="Calibri"/>
                <w:lang w:eastAsia="en-GB"/>
              </w:rPr>
            </w:pPr>
          </w:p>
        </w:tc>
        <w:tc>
          <w:tcPr>
            <w:tcW w:w="2063" w:type="pct"/>
            <w:tcBorders>
              <w:top w:val="nil"/>
              <w:left w:val="nil"/>
              <w:bottom w:val="nil"/>
              <w:right w:val="nil"/>
            </w:tcBorders>
            <w:shd w:val="clear" w:color="auto" w:fill="FFFFFF" w:themeFill="background1"/>
            <w:noWrap/>
            <w:vAlign w:val="bottom"/>
          </w:tcPr>
          <w:p w14:paraId="50A8B2B8" w14:textId="50177713" w:rsidR="00456A3C" w:rsidRPr="00CC6C56" w:rsidRDefault="00456A3C" w:rsidP="00CC6C56">
            <w:pPr>
              <w:spacing w:line="240" w:lineRule="auto"/>
              <w:jc w:val="left"/>
              <w:rPr>
                <w:rFonts w:ascii="Calibri" w:eastAsia="Times New Roman" w:hAnsi="Calibri" w:cs="Calibri"/>
                <w:lang w:eastAsia="en-GB"/>
              </w:rPr>
            </w:pPr>
            <w:r>
              <w:rPr>
                <w:rFonts w:ascii="Calibri" w:eastAsia="Times New Roman" w:hAnsi="Calibri" w:cs="Calibri"/>
                <w:lang w:eastAsia="en-GB"/>
              </w:rPr>
              <w:t>Grants Received in Advance</w:t>
            </w:r>
          </w:p>
        </w:tc>
        <w:tc>
          <w:tcPr>
            <w:tcW w:w="572" w:type="pct"/>
            <w:tcBorders>
              <w:top w:val="nil"/>
              <w:left w:val="nil"/>
              <w:bottom w:val="nil"/>
              <w:right w:val="nil"/>
            </w:tcBorders>
            <w:shd w:val="clear" w:color="auto" w:fill="FFFFFF" w:themeFill="background1"/>
            <w:noWrap/>
            <w:vAlign w:val="bottom"/>
          </w:tcPr>
          <w:p w14:paraId="72DD22DB" w14:textId="5592E842" w:rsidR="00456A3C" w:rsidRPr="00CC6C56" w:rsidRDefault="00D127EC" w:rsidP="00CC6C56">
            <w:pPr>
              <w:spacing w:line="240" w:lineRule="auto"/>
              <w:jc w:val="right"/>
              <w:rPr>
                <w:rFonts w:ascii="Calibri" w:eastAsia="Times New Roman" w:hAnsi="Calibri" w:cs="Calibri"/>
                <w:sz w:val="16"/>
                <w:szCs w:val="16"/>
                <w:lang w:eastAsia="en-GB"/>
              </w:rPr>
            </w:pPr>
            <w:r>
              <w:rPr>
                <w:rFonts w:ascii="Calibri" w:eastAsia="Times New Roman" w:hAnsi="Calibri" w:cs="Calibri"/>
                <w:sz w:val="16"/>
                <w:szCs w:val="16"/>
                <w:lang w:eastAsia="en-GB"/>
              </w:rPr>
              <w:t>14.1</w:t>
            </w:r>
          </w:p>
        </w:tc>
        <w:tc>
          <w:tcPr>
            <w:tcW w:w="1078" w:type="pct"/>
            <w:tcBorders>
              <w:top w:val="nil"/>
              <w:left w:val="nil"/>
              <w:bottom w:val="nil"/>
              <w:right w:val="nil"/>
            </w:tcBorders>
            <w:shd w:val="clear" w:color="auto" w:fill="FFE1E1"/>
            <w:noWrap/>
            <w:vAlign w:val="bottom"/>
          </w:tcPr>
          <w:p w14:paraId="288F2432" w14:textId="1A9CD9C9" w:rsidR="00456A3C" w:rsidRPr="00CC6C56" w:rsidRDefault="00527A5D"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(5,556)</w:t>
            </w:r>
          </w:p>
        </w:tc>
      </w:tr>
      <w:tr w:rsidR="001125B9" w:rsidRPr="00CC6C56" w14:paraId="5E1803DD" w14:textId="77777777" w:rsidTr="6C31340A">
        <w:trPr>
          <w:trHeight w:val="315"/>
        </w:trPr>
        <w:tc>
          <w:tcPr>
            <w:tcW w:w="1105" w:type="pct"/>
            <w:tcBorders>
              <w:top w:val="nil"/>
              <w:left w:val="nil"/>
              <w:bottom w:val="nil"/>
              <w:right w:val="nil"/>
            </w:tcBorders>
            <w:shd w:val="clear" w:color="auto" w:fill="FFFFFF" w:themeFill="background1"/>
            <w:noWrap/>
            <w:vAlign w:val="bottom"/>
          </w:tcPr>
          <w:p w14:paraId="74FEB3D0" w14:textId="6CC6A9FB" w:rsidR="001125B9" w:rsidRDefault="00C706B8"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w:t>
            </w:r>
          </w:p>
        </w:tc>
        <w:tc>
          <w:tcPr>
            <w:tcW w:w="182" w:type="pct"/>
            <w:tcBorders>
              <w:top w:val="nil"/>
              <w:left w:val="nil"/>
              <w:bottom w:val="nil"/>
              <w:right w:val="nil"/>
            </w:tcBorders>
            <w:shd w:val="clear" w:color="auto" w:fill="FFFFFF" w:themeFill="background1"/>
            <w:noWrap/>
            <w:vAlign w:val="bottom"/>
          </w:tcPr>
          <w:p w14:paraId="6A451757" w14:textId="77777777" w:rsidR="001125B9" w:rsidRPr="00CC6C56" w:rsidRDefault="001125B9" w:rsidP="00CC6C56">
            <w:pPr>
              <w:spacing w:line="240" w:lineRule="auto"/>
              <w:jc w:val="left"/>
              <w:rPr>
                <w:rFonts w:ascii="Calibri" w:eastAsia="Times New Roman" w:hAnsi="Calibri" w:cs="Calibri"/>
                <w:lang w:eastAsia="en-GB"/>
              </w:rPr>
            </w:pPr>
          </w:p>
        </w:tc>
        <w:tc>
          <w:tcPr>
            <w:tcW w:w="2063" w:type="pct"/>
            <w:tcBorders>
              <w:top w:val="nil"/>
              <w:left w:val="nil"/>
              <w:bottom w:val="nil"/>
              <w:right w:val="nil"/>
            </w:tcBorders>
            <w:shd w:val="clear" w:color="auto" w:fill="FFFFFF" w:themeFill="background1"/>
            <w:noWrap/>
            <w:vAlign w:val="bottom"/>
          </w:tcPr>
          <w:p w14:paraId="779D4A48" w14:textId="71F311D2" w:rsidR="001125B9" w:rsidRDefault="40B33694" w:rsidP="00CC6C56">
            <w:pPr>
              <w:spacing w:line="240" w:lineRule="auto"/>
              <w:jc w:val="left"/>
              <w:rPr>
                <w:rFonts w:ascii="Calibri" w:eastAsia="Times New Roman" w:hAnsi="Calibri" w:cs="Calibri"/>
                <w:lang w:eastAsia="en-GB"/>
              </w:rPr>
            </w:pPr>
            <w:r w:rsidRPr="6C31340A">
              <w:rPr>
                <w:rFonts w:ascii="Calibri" w:eastAsia="Times New Roman" w:hAnsi="Calibri" w:cs="Calibri"/>
                <w:lang w:eastAsia="en-GB"/>
              </w:rPr>
              <w:t>Short Term Lease Liabilities</w:t>
            </w:r>
          </w:p>
        </w:tc>
        <w:tc>
          <w:tcPr>
            <w:tcW w:w="572" w:type="pct"/>
            <w:tcBorders>
              <w:top w:val="nil"/>
              <w:left w:val="nil"/>
              <w:bottom w:val="nil"/>
              <w:right w:val="nil"/>
            </w:tcBorders>
            <w:shd w:val="clear" w:color="auto" w:fill="FFFFFF" w:themeFill="background1"/>
            <w:noWrap/>
            <w:vAlign w:val="bottom"/>
          </w:tcPr>
          <w:p w14:paraId="683798A6" w14:textId="18BF79BE" w:rsidR="001125B9" w:rsidRDefault="0064401B" w:rsidP="00CC6C56">
            <w:pPr>
              <w:spacing w:line="240" w:lineRule="auto"/>
              <w:jc w:val="right"/>
              <w:rPr>
                <w:rFonts w:ascii="Calibri" w:eastAsia="Times New Roman" w:hAnsi="Calibri" w:cs="Calibri"/>
                <w:sz w:val="16"/>
                <w:szCs w:val="16"/>
                <w:lang w:eastAsia="en-GB"/>
              </w:rPr>
            </w:pPr>
            <w:r>
              <w:rPr>
                <w:rFonts w:ascii="Calibri" w:eastAsia="Times New Roman" w:hAnsi="Calibri" w:cs="Calibri"/>
                <w:sz w:val="16"/>
                <w:szCs w:val="16"/>
                <w:lang w:eastAsia="en-GB"/>
              </w:rPr>
              <w:t>29</w:t>
            </w:r>
          </w:p>
        </w:tc>
        <w:tc>
          <w:tcPr>
            <w:tcW w:w="1078" w:type="pct"/>
            <w:tcBorders>
              <w:top w:val="nil"/>
              <w:left w:val="nil"/>
              <w:bottom w:val="nil"/>
              <w:right w:val="nil"/>
            </w:tcBorders>
            <w:shd w:val="clear" w:color="auto" w:fill="FFE1E1"/>
            <w:noWrap/>
            <w:vAlign w:val="bottom"/>
          </w:tcPr>
          <w:p w14:paraId="37E8191B" w14:textId="46963CBC" w:rsidR="001125B9" w:rsidRDefault="006E042B"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w:t>
            </w:r>
            <w:r w:rsidR="003B121C">
              <w:rPr>
                <w:rFonts w:ascii="Calibri" w:eastAsia="Times New Roman" w:hAnsi="Calibri" w:cs="Calibri"/>
                <w:lang w:eastAsia="en-GB"/>
              </w:rPr>
              <w:t>39</w:t>
            </w:r>
            <w:r>
              <w:rPr>
                <w:rFonts w:ascii="Calibri" w:eastAsia="Times New Roman" w:hAnsi="Calibri" w:cs="Calibri"/>
                <w:lang w:eastAsia="en-GB"/>
              </w:rPr>
              <w:t>)</w:t>
            </w:r>
          </w:p>
        </w:tc>
      </w:tr>
      <w:tr w:rsidR="00CC6C56" w:rsidRPr="00CC6C56" w14:paraId="6D7FB73A"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1DF6368F"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(178)</w:t>
            </w:r>
          </w:p>
        </w:tc>
        <w:tc>
          <w:tcPr>
            <w:tcW w:w="182" w:type="pct"/>
            <w:tcBorders>
              <w:top w:val="nil"/>
              <w:left w:val="nil"/>
              <w:bottom w:val="nil"/>
              <w:right w:val="nil"/>
            </w:tcBorders>
            <w:shd w:val="clear" w:color="auto" w:fill="FFFFFF" w:themeFill="background1"/>
            <w:noWrap/>
            <w:vAlign w:val="bottom"/>
            <w:hideMark/>
          </w:tcPr>
          <w:p w14:paraId="0997C845"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1EEABB03"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Provisions</w:t>
            </w:r>
          </w:p>
        </w:tc>
        <w:tc>
          <w:tcPr>
            <w:tcW w:w="572" w:type="pct"/>
            <w:tcBorders>
              <w:top w:val="nil"/>
              <w:left w:val="nil"/>
              <w:bottom w:val="nil"/>
              <w:right w:val="nil"/>
            </w:tcBorders>
            <w:shd w:val="clear" w:color="auto" w:fill="FFFFFF" w:themeFill="background1"/>
            <w:noWrap/>
            <w:vAlign w:val="bottom"/>
            <w:hideMark/>
          </w:tcPr>
          <w:p w14:paraId="2E15218E"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28</w:t>
            </w:r>
          </w:p>
        </w:tc>
        <w:tc>
          <w:tcPr>
            <w:tcW w:w="1078" w:type="pct"/>
            <w:tcBorders>
              <w:top w:val="nil"/>
              <w:left w:val="nil"/>
              <w:bottom w:val="nil"/>
              <w:right w:val="nil"/>
            </w:tcBorders>
            <w:shd w:val="clear" w:color="auto" w:fill="FFE1E1"/>
            <w:noWrap/>
            <w:vAlign w:val="bottom"/>
            <w:hideMark/>
          </w:tcPr>
          <w:p w14:paraId="7BB518A7"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(293)</w:t>
            </w:r>
          </w:p>
        </w:tc>
      </w:tr>
      <w:tr w:rsidR="00CC6C56" w:rsidRPr="00CC6C56" w14:paraId="4AFF66B1"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57A50FF3"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(7,357)</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7261BC0F"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2A788309"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Current Liabilities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6C47C636"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188BEC92" w14:textId="21D8A4D2"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(13,</w:t>
            </w:r>
            <w:r w:rsidR="003B121C">
              <w:rPr>
                <w:rFonts w:ascii="Calibri" w:eastAsia="Times New Roman" w:hAnsi="Calibri" w:cs="Calibri"/>
                <w:b/>
                <w:bCs/>
                <w:lang w:eastAsia="en-GB"/>
              </w:rPr>
              <w:t>165</w:t>
            </w:r>
            <w:r w:rsidRPr="00CC6C56">
              <w:rPr>
                <w:rFonts w:ascii="Calibri" w:eastAsia="Times New Roman" w:hAnsi="Calibri" w:cs="Calibri"/>
                <w:b/>
                <w:bCs/>
                <w:lang w:eastAsia="en-GB"/>
              </w:rPr>
              <w:t>)</w:t>
            </w:r>
          </w:p>
        </w:tc>
      </w:tr>
      <w:tr w:rsidR="00CC6C56" w:rsidRPr="00CC6C56" w14:paraId="44BF5301"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43138358"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(3,060)</w:t>
            </w:r>
          </w:p>
        </w:tc>
        <w:tc>
          <w:tcPr>
            <w:tcW w:w="182" w:type="pct"/>
            <w:tcBorders>
              <w:top w:val="nil"/>
              <w:left w:val="nil"/>
              <w:bottom w:val="nil"/>
              <w:right w:val="nil"/>
            </w:tcBorders>
            <w:shd w:val="clear" w:color="auto" w:fill="FFFFFF" w:themeFill="background1"/>
            <w:noWrap/>
            <w:vAlign w:val="bottom"/>
            <w:hideMark/>
          </w:tcPr>
          <w:p w14:paraId="5EA2A826"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2119AA33"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Long Term Borrowing</w:t>
            </w:r>
          </w:p>
        </w:tc>
        <w:tc>
          <w:tcPr>
            <w:tcW w:w="572" w:type="pct"/>
            <w:tcBorders>
              <w:top w:val="nil"/>
              <w:left w:val="nil"/>
              <w:bottom w:val="nil"/>
              <w:right w:val="nil"/>
            </w:tcBorders>
            <w:shd w:val="clear" w:color="auto" w:fill="FFFFFF" w:themeFill="background1"/>
            <w:noWrap/>
            <w:vAlign w:val="bottom"/>
            <w:hideMark/>
          </w:tcPr>
          <w:p w14:paraId="70A32BAF"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42</w:t>
            </w:r>
          </w:p>
        </w:tc>
        <w:tc>
          <w:tcPr>
            <w:tcW w:w="1078" w:type="pct"/>
            <w:tcBorders>
              <w:top w:val="nil"/>
              <w:left w:val="nil"/>
              <w:bottom w:val="nil"/>
              <w:right w:val="nil"/>
            </w:tcBorders>
            <w:shd w:val="clear" w:color="auto" w:fill="FFE1E1"/>
            <w:noWrap/>
            <w:vAlign w:val="bottom"/>
            <w:hideMark/>
          </w:tcPr>
          <w:p w14:paraId="3ECFCB84"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(2,977)</w:t>
            </w:r>
          </w:p>
        </w:tc>
      </w:tr>
      <w:tr w:rsidR="00FE7E6E" w:rsidRPr="00CC6C56" w14:paraId="317A40AC" w14:textId="77777777" w:rsidTr="6C31340A">
        <w:trPr>
          <w:trHeight w:val="315"/>
        </w:trPr>
        <w:tc>
          <w:tcPr>
            <w:tcW w:w="1105" w:type="pct"/>
            <w:tcBorders>
              <w:top w:val="nil"/>
              <w:left w:val="nil"/>
              <w:bottom w:val="nil"/>
              <w:right w:val="nil"/>
            </w:tcBorders>
            <w:shd w:val="clear" w:color="auto" w:fill="FFFFFF" w:themeFill="background1"/>
            <w:noWrap/>
            <w:vAlign w:val="bottom"/>
          </w:tcPr>
          <w:p w14:paraId="2B930EDD" w14:textId="0ECBDA37" w:rsidR="00FE7E6E" w:rsidRPr="00CC6C56" w:rsidRDefault="00014E45"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w:t>
            </w:r>
          </w:p>
        </w:tc>
        <w:tc>
          <w:tcPr>
            <w:tcW w:w="182" w:type="pct"/>
            <w:tcBorders>
              <w:top w:val="nil"/>
              <w:left w:val="nil"/>
              <w:bottom w:val="nil"/>
              <w:right w:val="nil"/>
            </w:tcBorders>
            <w:shd w:val="clear" w:color="auto" w:fill="FFFFFF" w:themeFill="background1"/>
            <w:noWrap/>
            <w:vAlign w:val="bottom"/>
          </w:tcPr>
          <w:p w14:paraId="43AE0834" w14:textId="77777777" w:rsidR="00FE7E6E" w:rsidRPr="00CC6C56" w:rsidRDefault="00FE7E6E" w:rsidP="00CC6C56">
            <w:pPr>
              <w:spacing w:line="240" w:lineRule="auto"/>
              <w:jc w:val="left"/>
              <w:rPr>
                <w:rFonts w:ascii="Calibri" w:eastAsia="Times New Roman" w:hAnsi="Calibri" w:cs="Calibri"/>
                <w:lang w:eastAsia="en-GB"/>
              </w:rPr>
            </w:pPr>
          </w:p>
        </w:tc>
        <w:tc>
          <w:tcPr>
            <w:tcW w:w="2063" w:type="pct"/>
            <w:tcBorders>
              <w:top w:val="nil"/>
              <w:left w:val="nil"/>
              <w:bottom w:val="nil"/>
              <w:right w:val="nil"/>
            </w:tcBorders>
            <w:shd w:val="clear" w:color="auto" w:fill="FFFFFF" w:themeFill="background1"/>
            <w:noWrap/>
            <w:vAlign w:val="bottom"/>
          </w:tcPr>
          <w:p w14:paraId="067D9D84" w14:textId="67120861" w:rsidR="00FE7E6E" w:rsidRPr="00CC6C56" w:rsidRDefault="7966DFB5" w:rsidP="00CC6C56">
            <w:pPr>
              <w:spacing w:line="240" w:lineRule="auto"/>
              <w:jc w:val="left"/>
              <w:rPr>
                <w:rFonts w:ascii="Calibri" w:eastAsia="Times New Roman" w:hAnsi="Calibri" w:cs="Calibri"/>
                <w:lang w:eastAsia="en-GB"/>
              </w:rPr>
            </w:pPr>
            <w:r w:rsidRPr="6C31340A">
              <w:rPr>
                <w:rFonts w:ascii="Calibri" w:eastAsia="Times New Roman" w:hAnsi="Calibri" w:cs="Calibri"/>
                <w:lang w:eastAsia="en-GB"/>
              </w:rPr>
              <w:t>Long Term Lease Liabilities</w:t>
            </w:r>
          </w:p>
        </w:tc>
        <w:tc>
          <w:tcPr>
            <w:tcW w:w="572" w:type="pct"/>
            <w:tcBorders>
              <w:top w:val="nil"/>
              <w:left w:val="nil"/>
              <w:bottom w:val="nil"/>
              <w:right w:val="nil"/>
            </w:tcBorders>
            <w:shd w:val="clear" w:color="auto" w:fill="FFFFFF" w:themeFill="background1"/>
            <w:noWrap/>
            <w:vAlign w:val="bottom"/>
          </w:tcPr>
          <w:p w14:paraId="1C1096A4" w14:textId="3EA1A96C" w:rsidR="00FE7E6E" w:rsidRPr="00CC6C56" w:rsidRDefault="00014E45" w:rsidP="00CC6C56">
            <w:pPr>
              <w:spacing w:line="240" w:lineRule="auto"/>
              <w:jc w:val="right"/>
              <w:rPr>
                <w:rFonts w:ascii="Calibri" w:eastAsia="Times New Roman" w:hAnsi="Calibri" w:cs="Calibri"/>
                <w:sz w:val="16"/>
                <w:szCs w:val="16"/>
                <w:lang w:eastAsia="en-GB"/>
              </w:rPr>
            </w:pPr>
            <w:r>
              <w:rPr>
                <w:rFonts w:ascii="Calibri" w:eastAsia="Times New Roman" w:hAnsi="Calibri" w:cs="Calibri"/>
                <w:sz w:val="16"/>
                <w:szCs w:val="16"/>
                <w:lang w:eastAsia="en-GB"/>
              </w:rPr>
              <w:t>43</w:t>
            </w:r>
          </w:p>
        </w:tc>
        <w:tc>
          <w:tcPr>
            <w:tcW w:w="1078" w:type="pct"/>
            <w:tcBorders>
              <w:top w:val="nil"/>
              <w:left w:val="nil"/>
              <w:bottom w:val="nil"/>
              <w:right w:val="nil"/>
            </w:tcBorders>
            <w:shd w:val="clear" w:color="auto" w:fill="FFE1E1"/>
            <w:noWrap/>
            <w:vAlign w:val="bottom"/>
          </w:tcPr>
          <w:p w14:paraId="436FC235" w14:textId="63E59D4B" w:rsidR="00FE7E6E" w:rsidRPr="00CC6C56" w:rsidRDefault="00F56304" w:rsidP="00CC6C56">
            <w:pPr>
              <w:spacing w:line="240" w:lineRule="auto"/>
              <w:jc w:val="right"/>
              <w:rPr>
                <w:rFonts w:ascii="Calibri" w:eastAsia="Times New Roman" w:hAnsi="Calibri" w:cs="Calibri"/>
                <w:lang w:eastAsia="en-GB"/>
              </w:rPr>
            </w:pPr>
            <w:r>
              <w:rPr>
                <w:rFonts w:ascii="Calibri" w:eastAsia="Times New Roman" w:hAnsi="Calibri" w:cs="Calibri"/>
                <w:lang w:eastAsia="en-GB"/>
              </w:rPr>
              <w:t>(</w:t>
            </w:r>
            <w:r w:rsidR="003B121C">
              <w:rPr>
                <w:rFonts w:ascii="Calibri" w:eastAsia="Times New Roman" w:hAnsi="Calibri" w:cs="Calibri"/>
                <w:lang w:eastAsia="en-GB"/>
              </w:rPr>
              <w:t>84</w:t>
            </w:r>
            <w:r>
              <w:rPr>
                <w:rFonts w:ascii="Calibri" w:eastAsia="Times New Roman" w:hAnsi="Calibri" w:cs="Calibri"/>
                <w:lang w:eastAsia="en-GB"/>
              </w:rPr>
              <w:t>)</w:t>
            </w:r>
          </w:p>
        </w:tc>
      </w:tr>
      <w:tr w:rsidR="00CC6C56" w:rsidRPr="00CC6C56" w14:paraId="7B019FD9"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7AE03536"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(245,881)</w:t>
            </w:r>
          </w:p>
        </w:tc>
        <w:tc>
          <w:tcPr>
            <w:tcW w:w="182" w:type="pct"/>
            <w:tcBorders>
              <w:top w:val="nil"/>
              <w:left w:val="nil"/>
              <w:bottom w:val="nil"/>
              <w:right w:val="nil"/>
            </w:tcBorders>
            <w:shd w:val="clear" w:color="auto" w:fill="FFFFFF" w:themeFill="background1"/>
            <w:noWrap/>
            <w:vAlign w:val="bottom"/>
            <w:hideMark/>
          </w:tcPr>
          <w:p w14:paraId="06664F62"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1E001255"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Other Long Term Liabilities</w:t>
            </w:r>
          </w:p>
        </w:tc>
        <w:tc>
          <w:tcPr>
            <w:tcW w:w="572" w:type="pct"/>
            <w:tcBorders>
              <w:top w:val="nil"/>
              <w:left w:val="nil"/>
              <w:bottom w:val="nil"/>
              <w:right w:val="nil"/>
            </w:tcBorders>
            <w:shd w:val="clear" w:color="auto" w:fill="FFFFFF" w:themeFill="background1"/>
            <w:noWrap/>
            <w:vAlign w:val="bottom"/>
            <w:hideMark/>
          </w:tcPr>
          <w:p w14:paraId="03CC1568"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43</w:t>
            </w:r>
          </w:p>
        </w:tc>
        <w:tc>
          <w:tcPr>
            <w:tcW w:w="1078" w:type="pct"/>
            <w:tcBorders>
              <w:top w:val="nil"/>
              <w:left w:val="nil"/>
              <w:bottom w:val="nil"/>
              <w:right w:val="nil"/>
            </w:tcBorders>
            <w:shd w:val="clear" w:color="auto" w:fill="FFE1E1"/>
            <w:noWrap/>
            <w:vAlign w:val="bottom"/>
            <w:hideMark/>
          </w:tcPr>
          <w:p w14:paraId="475DF80B"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(222,470)</w:t>
            </w:r>
          </w:p>
        </w:tc>
      </w:tr>
      <w:tr w:rsidR="00CC6C56" w:rsidRPr="00CC6C56" w14:paraId="5CD3E40A"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085E5094"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(248,941)</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25460446"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0A1EC85A"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Long Term Liabilities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59F8CCC8"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38D4F551" w14:textId="104F6D46"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(225,</w:t>
            </w:r>
            <w:r w:rsidR="003B121C">
              <w:rPr>
                <w:rFonts w:ascii="Calibri" w:eastAsia="Times New Roman" w:hAnsi="Calibri" w:cs="Calibri"/>
                <w:b/>
                <w:bCs/>
                <w:lang w:eastAsia="en-GB"/>
              </w:rPr>
              <w:t>531</w:t>
            </w:r>
            <w:r w:rsidRPr="00CC6C56">
              <w:rPr>
                <w:rFonts w:ascii="Calibri" w:eastAsia="Times New Roman" w:hAnsi="Calibri" w:cs="Calibri"/>
                <w:b/>
                <w:bCs/>
                <w:lang w:eastAsia="en-GB"/>
              </w:rPr>
              <w:t>)</w:t>
            </w:r>
          </w:p>
        </w:tc>
      </w:tr>
      <w:tr w:rsidR="00CC6C56" w:rsidRPr="00CC6C56" w14:paraId="5AA03AC2" w14:textId="77777777" w:rsidTr="6C31340A">
        <w:trPr>
          <w:trHeight w:val="435"/>
        </w:trPr>
        <w:tc>
          <w:tcPr>
            <w:tcW w:w="1105" w:type="pct"/>
            <w:tcBorders>
              <w:top w:val="nil"/>
              <w:left w:val="nil"/>
              <w:bottom w:val="nil"/>
              <w:right w:val="nil"/>
            </w:tcBorders>
            <w:shd w:val="clear" w:color="auto" w:fill="FFFFFF" w:themeFill="background1"/>
            <w:noWrap/>
            <w:vAlign w:val="bottom"/>
            <w:hideMark/>
          </w:tcPr>
          <w:p w14:paraId="47E035A4"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182" w:type="pct"/>
            <w:tcBorders>
              <w:top w:val="nil"/>
              <w:left w:val="nil"/>
              <w:bottom w:val="nil"/>
              <w:right w:val="nil"/>
            </w:tcBorders>
            <w:shd w:val="clear" w:color="auto" w:fill="FFFFFF" w:themeFill="background1"/>
            <w:noWrap/>
            <w:vAlign w:val="bottom"/>
            <w:hideMark/>
          </w:tcPr>
          <w:p w14:paraId="7F769E87"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nil"/>
              <w:left w:val="nil"/>
              <w:bottom w:val="nil"/>
              <w:right w:val="nil"/>
            </w:tcBorders>
            <w:shd w:val="clear" w:color="auto" w:fill="FFFFFF" w:themeFill="background1"/>
            <w:noWrap/>
            <w:vAlign w:val="bottom"/>
            <w:hideMark/>
          </w:tcPr>
          <w:p w14:paraId="04ACABF7"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572" w:type="pct"/>
            <w:tcBorders>
              <w:top w:val="nil"/>
              <w:left w:val="nil"/>
              <w:bottom w:val="nil"/>
              <w:right w:val="nil"/>
            </w:tcBorders>
            <w:shd w:val="clear" w:color="auto" w:fill="FFFFFF" w:themeFill="background1"/>
            <w:noWrap/>
            <w:vAlign w:val="bottom"/>
            <w:hideMark/>
          </w:tcPr>
          <w:p w14:paraId="6F4DCD36"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nil"/>
              <w:left w:val="nil"/>
              <w:bottom w:val="nil"/>
              <w:right w:val="nil"/>
            </w:tcBorders>
            <w:shd w:val="clear" w:color="auto" w:fill="FFE1E1"/>
            <w:noWrap/>
            <w:vAlign w:val="bottom"/>
            <w:hideMark/>
          </w:tcPr>
          <w:p w14:paraId="16C69073"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r>
      <w:tr w:rsidR="00CC6C56" w:rsidRPr="00CC6C56" w14:paraId="08C5FC54"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4FFAFA0B"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(198,820)</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6A576278"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356973B4"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Net Liabilities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29889FA0"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796091CA" w14:textId="00B5294E"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(177,</w:t>
            </w:r>
            <w:r w:rsidR="003B121C">
              <w:rPr>
                <w:rFonts w:ascii="Calibri" w:eastAsia="Times New Roman" w:hAnsi="Calibri" w:cs="Calibri"/>
                <w:b/>
                <w:bCs/>
                <w:lang w:eastAsia="en-GB"/>
              </w:rPr>
              <w:t>811</w:t>
            </w:r>
            <w:r w:rsidRPr="00CC6C56">
              <w:rPr>
                <w:rFonts w:ascii="Calibri" w:eastAsia="Times New Roman" w:hAnsi="Calibri" w:cs="Calibri"/>
                <w:b/>
                <w:bCs/>
                <w:lang w:eastAsia="en-GB"/>
              </w:rPr>
              <w:t>)</w:t>
            </w:r>
          </w:p>
        </w:tc>
      </w:tr>
      <w:tr w:rsidR="00CC6C56" w:rsidRPr="00CC6C56" w14:paraId="351F6FF5"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2E6DE56E"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color w:val="000000"/>
                <w:lang w:eastAsia="en-GB"/>
              </w:rPr>
              <w:t>(5,044)</w:t>
            </w:r>
          </w:p>
        </w:tc>
        <w:tc>
          <w:tcPr>
            <w:tcW w:w="182" w:type="pct"/>
            <w:tcBorders>
              <w:top w:val="nil"/>
              <w:left w:val="nil"/>
              <w:bottom w:val="nil"/>
              <w:right w:val="nil"/>
            </w:tcBorders>
            <w:shd w:val="clear" w:color="auto" w:fill="FFFFFF" w:themeFill="background1"/>
            <w:noWrap/>
            <w:vAlign w:val="bottom"/>
            <w:hideMark/>
          </w:tcPr>
          <w:p w14:paraId="4907684E"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3C394CC8"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Usable Reserves</w:t>
            </w:r>
          </w:p>
        </w:tc>
        <w:tc>
          <w:tcPr>
            <w:tcW w:w="572" w:type="pct"/>
            <w:tcBorders>
              <w:top w:val="nil"/>
              <w:left w:val="nil"/>
              <w:bottom w:val="nil"/>
              <w:right w:val="nil"/>
            </w:tcBorders>
            <w:shd w:val="clear" w:color="auto" w:fill="FFFFFF" w:themeFill="background1"/>
            <w:noWrap/>
            <w:vAlign w:val="bottom"/>
            <w:hideMark/>
          </w:tcPr>
          <w:p w14:paraId="7D436354"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16</w:t>
            </w:r>
          </w:p>
        </w:tc>
        <w:tc>
          <w:tcPr>
            <w:tcW w:w="1078" w:type="pct"/>
            <w:tcBorders>
              <w:top w:val="nil"/>
              <w:left w:val="nil"/>
              <w:bottom w:val="nil"/>
              <w:right w:val="nil"/>
            </w:tcBorders>
            <w:shd w:val="clear" w:color="auto" w:fill="FFE1E1"/>
            <w:noWrap/>
            <w:vAlign w:val="bottom"/>
            <w:hideMark/>
          </w:tcPr>
          <w:p w14:paraId="1D468315"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(7,214)</w:t>
            </w:r>
          </w:p>
        </w:tc>
      </w:tr>
      <w:tr w:rsidR="00CC6C56" w:rsidRPr="00CC6C56" w14:paraId="32D86A93" w14:textId="77777777" w:rsidTr="6C31340A">
        <w:trPr>
          <w:trHeight w:val="315"/>
        </w:trPr>
        <w:tc>
          <w:tcPr>
            <w:tcW w:w="1105" w:type="pct"/>
            <w:tcBorders>
              <w:top w:val="nil"/>
              <w:left w:val="nil"/>
              <w:bottom w:val="nil"/>
              <w:right w:val="nil"/>
            </w:tcBorders>
            <w:shd w:val="clear" w:color="auto" w:fill="FFFFFF" w:themeFill="background1"/>
            <w:noWrap/>
            <w:vAlign w:val="bottom"/>
            <w:hideMark/>
          </w:tcPr>
          <w:p w14:paraId="1216CDBE" w14:textId="77777777"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203,864</w:t>
            </w:r>
          </w:p>
        </w:tc>
        <w:tc>
          <w:tcPr>
            <w:tcW w:w="182" w:type="pct"/>
            <w:tcBorders>
              <w:top w:val="nil"/>
              <w:left w:val="nil"/>
              <w:bottom w:val="nil"/>
              <w:right w:val="nil"/>
            </w:tcBorders>
            <w:shd w:val="clear" w:color="auto" w:fill="FFFFFF" w:themeFill="background1"/>
            <w:noWrap/>
            <w:vAlign w:val="bottom"/>
            <w:hideMark/>
          </w:tcPr>
          <w:p w14:paraId="0FDFAD4C"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 </w:t>
            </w:r>
          </w:p>
        </w:tc>
        <w:tc>
          <w:tcPr>
            <w:tcW w:w="2063" w:type="pct"/>
            <w:tcBorders>
              <w:top w:val="nil"/>
              <w:left w:val="nil"/>
              <w:bottom w:val="nil"/>
              <w:right w:val="nil"/>
            </w:tcBorders>
            <w:shd w:val="clear" w:color="auto" w:fill="FFFFFF" w:themeFill="background1"/>
            <w:noWrap/>
            <w:vAlign w:val="bottom"/>
            <w:hideMark/>
          </w:tcPr>
          <w:p w14:paraId="1307E3BA" w14:textId="77777777" w:rsidR="00CC6C56" w:rsidRPr="00CC6C56" w:rsidRDefault="00CC6C56" w:rsidP="00CC6C56">
            <w:pPr>
              <w:spacing w:line="240" w:lineRule="auto"/>
              <w:jc w:val="left"/>
              <w:rPr>
                <w:rFonts w:ascii="Calibri" w:eastAsia="Times New Roman" w:hAnsi="Calibri" w:cs="Calibri"/>
                <w:lang w:eastAsia="en-GB"/>
              </w:rPr>
            </w:pPr>
            <w:r w:rsidRPr="00CC6C56">
              <w:rPr>
                <w:rFonts w:ascii="Calibri" w:eastAsia="Times New Roman" w:hAnsi="Calibri" w:cs="Calibri"/>
                <w:lang w:eastAsia="en-GB"/>
              </w:rPr>
              <w:t>Unusable Reserves</w:t>
            </w:r>
          </w:p>
        </w:tc>
        <w:tc>
          <w:tcPr>
            <w:tcW w:w="572" w:type="pct"/>
            <w:tcBorders>
              <w:top w:val="nil"/>
              <w:left w:val="nil"/>
              <w:bottom w:val="nil"/>
              <w:right w:val="nil"/>
            </w:tcBorders>
            <w:shd w:val="clear" w:color="auto" w:fill="FFFFFF" w:themeFill="background1"/>
            <w:noWrap/>
            <w:vAlign w:val="bottom"/>
            <w:hideMark/>
          </w:tcPr>
          <w:p w14:paraId="30B80301" w14:textId="77777777" w:rsidR="00CC6C56" w:rsidRPr="00CC6C56" w:rsidRDefault="00CC6C56" w:rsidP="00CC6C56">
            <w:pPr>
              <w:spacing w:line="240" w:lineRule="auto"/>
              <w:jc w:val="right"/>
              <w:rPr>
                <w:rFonts w:ascii="Calibri" w:eastAsia="Times New Roman" w:hAnsi="Calibri" w:cs="Calibri"/>
                <w:sz w:val="16"/>
                <w:szCs w:val="16"/>
                <w:lang w:eastAsia="en-GB"/>
              </w:rPr>
            </w:pPr>
            <w:r w:rsidRPr="00CC6C56">
              <w:rPr>
                <w:rFonts w:ascii="Calibri" w:eastAsia="Times New Roman" w:hAnsi="Calibri" w:cs="Calibri"/>
                <w:sz w:val="16"/>
                <w:szCs w:val="16"/>
                <w:lang w:eastAsia="en-GB"/>
              </w:rPr>
              <w:t>17</w:t>
            </w:r>
          </w:p>
        </w:tc>
        <w:tc>
          <w:tcPr>
            <w:tcW w:w="1078" w:type="pct"/>
            <w:tcBorders>
              <w:top w:val="nil"/>
              <w:left w:val="nil"/>
              <w:bottom w:val="nil"/>
              <w:right w:val="nil"/>
            </w:tcBorders>
            <w:shd w:val="clear" w:color="auto" w:fill="FFE1E1"/>
            <w:noWrap/>
            <w:vAlign w:val="bottom"/>
            <w:hideMark/>
          </w:tcPr>
          <w:p w14:paraId="1E580C31" w14:textId="7BF36BE1" w:rsidR="00CC6C56" w:rsidRPr="00CC6C56" w:rsidRDefault="00CC6C56" w:rsidP="00CC6C56">
            <w:pPr>
              <w:spacing w:line="240" w:lineRule="auto"/>
              <w:jc w:val="right"/>
              <w:rPr>
                <w:rFonts w:ascii="Calibri" w:eastAsia="Times New Roman" w:hAnsi="Calibri" w:cs="Calibri"/>
                <w:lang w:eastAsia="en-GB"/>
              </w:rPr>
            </w:pPr>
            <w:r w:rsidRPr="00CC6C56">
              <w:rPr>
                <w:rFonts w:ascii="Calibri" w:eastAsia="Times New Roman" w:hAnsi="Calibri" w:cs="Calibri"/>
                <w:lang w:eastAsia="en-GB"/>
              </w:rPr>
              <w:t>185,</w:t>
            </w:r>
            <w:r w:rsidR="003B121C">
              <w:rPr>
                <w:rFonts w:ascii="Calibri" w:eastAsia="Times New Roman" w:hAnsi="Calibri" w:cs="Calibri"/>
                <w:lang w:eastAsia="en-GB"/>
              </w:rPr>
              <w:t>025</w:t>
            </w:r>
          </w:p>
        </w:tc>
      </w:tr>
      <w:tr w:rsidR="00CC6C56" w:rsidRPr="00CC6C56" w14:paraId="5A52D4F9" w14:textId="77777777" w:rsidTr="6C31340A">
        <w:trPr>
          <w:trHeight w:val="315"/>
        </w:trPr>
        <w:tc>
          <w:tcPr>
            <w:tcW w:w="1105" w:type="pct"/>
            <w:tcBorders>
              <w:top w:val="single" w:sz="4" w:space="0" w:color="auto"/>
              <w:left w:val="nil"/>
              <w:bottom w:val="single" w:sz="4" w:space="0" w:color="auto"/>
              <w:right w:val="nil"/>
            </w:tcBorders>
            <w:shd w:val="clear" w:color="auto" w:fill="FFFFFF" w:themeFill="background1"/>
            <w:noWrap/>
            <w:vAlign w:val="bottom"/>
            <w:hideMark/>
          </w:tcPr>
          <w:p w14:paraId="337D5AC7" w14:textId="77777777"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198,820</w:t>
            </w:r>
          </w:p>
        </w:tc>
        <w:tc>
          <w:tcPr>
            <w:tcW w:w="182" w:type="pct"/>
            <w:tcBorders>
              <w:top w:val="single" w:sz="4" w:space="0" w:color="auto"/>
              <w:left w:val="nil"/>
              <w:bottom w:val="single" w:sz="4" w:space="0" w:color="auto"/>
              <w:right w:val="nil"/>
            </w:tcBorders>
            <w:shd w:val="clear" w:color="auto" w:fill="FFFFFF" w:themeFill="background1"/>
            <w:noWrap/>
            <w:vAlign w:val="bottom"/>
            <w:hideMark/>
          </w:tcPr>
          <w:p w14:paraId="6B1041CF"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 </w:t>
            </w:r>
          </w:p>
        </w:tc>
        <w:tc>
          <w:tcPr>
            <w:tcW w:w="2063" w:type="pct"/>
            <w:tcBorders>
              <w:top w:val="single" w:sz="4" w:space="0" w:color="auto"/>
              <w:left w:val="nil"/>
              <w:bottom w:val="single" w:sz="4" w:space="0" w:color="auto"/>
              <w:right w:val="nil"/>
            </w:tcBorders>
            <w:shd w:val="clear" w:color="auto" w:fill="FFFFFF" w:themeFill="background1"/>
            <w:noWrap/>
            <w:vAlign w:val="bottom"/>
            <w:hideMark/>
          </w:tcPr>
          <w:p w14:paraId="69B980E8" w14:textId="77777777" w:rsidR="00CC6C56" w:rsidRPr="00CC6C56" w:rsidRDefault="00CC6C56" w:rsidP="00CC6C56">
            <w:pPr>
              <w:spacing w:line="240" w:lineRule="auto"/>
              <w:jc w:val="left"/>
              <w:rPr>
                <w:rFonts w:ascii="Calibri" w:eastAsia="Times New Roman" w:hAnsi="Calibri" w:cs="Calibri"/>
                <w:b/>
                <w:bCs/>
                <w:lang w:eastAsia="en-GB"/>
              </w:rPr>
            </w:pPr>
            <w:r w:rsidRPr="00CC6C56">
              <w:rPr>
                <w:rFonts w:ascii="Calibri" w:eastAsia="Times New Roman" w:hAnsi="Calibri" w:cs="Calibri"/>
                <w:b/>
                <w:bCs/>
                <w:lang w:eastAsia="en-GB"/>
              </w:rPr>
              <w:t>Total Reserves</w:t>
            </w:r>
          </w:p>
        </w:tc>
        <w:tc>
          <w:tcPr>
            <w:tcW w:w="572" w:type="pct"/>
            <w:tcBorders>
              <w:top w:val="single" w:sz="4" w:space="0" w:color="auto"/>
              <w:left w:val="nil"/>
              <w:bottom w:val="single" w:sz="4" w:space="0" w:color="auto"/>
              <w:right w:val="nil"/>
            </w:tcBorders>
            <w:shd w:val="clear" w:color="auto" w:fill="FFFFFF" w:themeFill="background1"/>
            <w:noWrap/>
            <w:vAlign w:val="bottom"/>
            <w:hideMark/>
          </w:tcPr>
          <w:p w14:paraId="0C9334E7" w14:textId="77777777" w:rsidR="00CC6C56" w:rsidRPr="00CC6C56" w:rsidRDefault="00CC6C56" w:rsidP="00CC6C56">
            <w:pPr>
              <w:spacing w:line="240" w:lineRule="auto"/>
              <w:jc w:val="right"/>
              <w:rPr>
                <w:rFonts w:ascii="Calibri" w:eastAsia="Times New Roman" w:hAnsi="Calibri" w:cs="Calibri"/>
                <w:b/>
                <w:bCs/>
                <w:sz w:val="16"/>
                <w:szCs w:val="16"/>
                <w:lang w:eastAsia="en-GB"/>
              </w:rPr>
            </w:pPr>
            <w:r w:rsidRPr="00CC6C56">
              <w:rPr>
                <w:rFonts w:ascii="Calibri" w:eastAsia="Times New Roman" w:hAnsi="Calibri" w:cs="Calibri"/>
                <w:b/>
                <w:bCs/>
                <w:sz w:val="16"/>
                <w:szCs w:val="16"/>
                <w:lang w:eastAsia="en-GB"/>
              </w:rPr>
              <w:t> </w:t>
            </w:r>
          </w:p>
        </w:tc>
        <w:tc>
          <w:tcPr>
            <w:tcW w:w="1078" w:type="pct"/>
            <w:tcBorders>
              <w:top w:val="single" w:sz="4" w:space="0" w:color="auto"/>
              <w:left w:val="nil"/>
              <w:bottom w:val="single" w:sz="4" w:space="0" w:color="auto"/>
              <w:right w:val="nil"/>
            </w:tcBorders>
            <w:shd w:val="clear" w:color="auto" w:fill="FFE1E1"/>
            <w:noWrap/>
            <w:vAlign w:val="bottom"/>
            <w:hideMark/>
          </w:tcPr>
          <w:p w14:paraId="0661359F" w14:textId="685808F9" w:rsidR="00CC6C56" w:rsidRPr="00CC6C56" w:rsidRDefault="00CC6C56" w:rsidP="00CC6C56">
            <w:pPr>
              <w:spacing w:line="240" w:lineRule="auto"/>
              <w:jc w:val="right"/>
              <w:rPr>
                <w:rFonts w:ascii="Calibri" w:eastAsia="Times New Roman" w:hAnsi="Calibri" w:cs="Calibri"/>
                <w:b/>
                <w:bCs/>
                <w:lang w:eastAsia="en-GB"/>
              </w:rPr>
            </w:pPr>
            <w:r w:rsidRPr="00CC6C56">
              <w:rPr>
                <w:rFonts w:ascii="Calibri" w:eastAsia="Times New Roman" w:hAnsi="Calibri" w:cs="Calibri"/>
                <w:b/>
                <w:bCs/>
                <w:lang w:eastAsia="en-GB"/>
              </w:rPr>
              <w:t>177,</w:t>
            </w:r>
            <w:r w:rsidR="003B121C">
              <w:rPr>
                <w:rFonts w:ascii="Calibri" w:eastAsia="Times New Roman" w:hAnsi="Calibri" w:cs="Calibri"/>
                <w:b/>
                <w:bCs/>
                <w:lang w:eastAsia="en-GB"/>
              </w:rPr>
              <w:t>811</w:t>
            </w:r>
          </w:p>
        </w:tc>
      </w:tr>
    </w:tbl>
    <w:p w14:paraId="468EE71E" w14:textId="77777777" w:rsidR="00793E0E" w:rsidRPr="006A4726" w:rsidRDefault="00793E0E" w:rsidP="002A1ADD">
      <w:pPr>
        <w:pStyle w:val="VAHeadingLevel2"/>
      </w:pPr>
    </w:p>
    <w:tbl>
      <w:tblPr>
        <w:tblW w:w="5000" w:type="pct"/>
        <w:tblLook w:val="04A0" w:firstRow="1" w:lastRow="0" w:firstColumn="1" w:lastColumn="0" w:noHBand="0" w:noVBand="1"/>
      </w:tblPr>
      <w:tblGrid>
        <w:gridCol w:w="10375"/>
      </w:tblGrid>
      <w:tr w:rsidR="00DF3969" w:rsidRPr="00A57018" w14:paraId="0D43EEBA" w14:textId="77777777" w:rsidTr="00A75A22">
        <w:trPr>
          <w:trHeight w:val="310"/>
        </w:trPr>
        <w:tc>
          <w:tcPr>
            <w:tcW w:w="5000" w:type="pct"/>
            <w:tcBorders>
              <w:top w:val="nil"/>
              <w:left w:val="nil"/>
              <w:bottom w:val="nil"/>
              <w:right w:val="nil"/>
            </w:tcBorders>
            <w:shd w:val="clear" w:color="000000" w:fill="FFFFFF"/>
            <w:noWrap/>
            <w:vAlign w:val="bottom"/>
            <w:hideMark/>
          </w:tcPr>
          <w:p w14:paraId="4D4F10F3" w14:textId="2A6D897F" w:rsidR="00DF3969" w:rsidRDefault="00DF3969" w:rsidP="00DF3969">
            <w:pPr>
              <w:rPr>
                <w:lang w:eastAsia="en-GB"/>
              </w:rPr>
            </w:pPr>
            <w:r w:rsidRPr="00A57018">
              <w:rPr>
                <w:lang w:eastAsia="en-GB"/>
              </w:rPr>
              <w:t xml:space="preserve">Balance Sheet </w:t>
            </w:r>
            <w:r>
              <w:rPr>
                <w:lang w:eastAsia="en-GB"/>
              </w:rPr>
              <w:t>a</w:t>
            </w:r>
            <w:r w:rsidRPr="00A57018">
              <w:rPr>
                <w:lang w:eastAsia="en-GB"/>
              </w:rPr>
              <w:t xml:space="preserve">pproved for </w:t>
            </w:r>
            <w:r>
              <w:rPr>
                <w:lang w:eastAsia="en-GB"/>
              </w:rPr>
              <w:t>i</w:t>
            </w:r>
            <w:r w:rsidRPr="00A57018">
              <w:rPr>
                <w:lang w:eastAsia="en-GB"/>
              </w:rPr>
              <w:t>ssue</w:t>
            </w:r>
            <w:r w:rsidR="00656537">
              <w:rPr>
                <w:lang w:eastAsia="en-GB"/>
              </w:rPr>
              <w:t>.</w:t>
            </w:r>
          </w:p>
          <w:p w14:paraId="6D4A1D8E" w14:textId="77777777" w:rsidR="00DF3969" w:rsidRDefault="00DF3969" w:rsidP="00DF3969">
            <w:pPr>
              <w:rPr>
                <w:lang w:eastAsia="en-GB"/>
              </w:rPr>
            </w:pPr>
          </w:p>
          <w:p w14:paraId="07A37A6A" w14:textId="66050D1C" w:rsidR="008F2E58" w:rsidRDefault="00DF3969" w:rsidP="00DF3969">
            <w:pPr>
              <w:rPr>
                <w:lang w:eastAsia="en-GB"/>
              </w:rPr>
            </w:pPr>
            <w:r w:rsidRPr="00A57018">
              <w:rPr>
                <w:lang w:eastAsia="en-GB"/>
              </w:rPr>
              <w:t xml:space="preserve">Signed: </w:t>
            </w:r>
          </w:p>
          <w:p w14:paraId="75ED03D9" w14:textId="77777777" w:rsidR="00D43225" w:rsidRDefault="00D43225" w:rsidP="00DF3969">
            <w:pPr>
              <w:rPr>
                <w:b/>
                <w:bCs/>
                <w:noProof/>
              </w:rPr>
            </w:pPr>
          </w:p>
          <w:p w14:paraId="34E29CA7" w14:textId="20B9839C" w:rsidR="00DF3969" w:rsidRDefault="00DF3969" w:rsidP="00DF3969">
            <w:pPr>
              <w:rPr>
                <w:lang w:eastAsia="en-GB"/>
              </w:rPr>
            </w:pPr>
          </w:p>
          <w:p w14:paraId="2797F2CF" w14:textId="77777777" w:rsidR="00D43225" w:rsidRDefault="00D43225" w:rsidP="00DF3969">
            <w:pPr>
              <w:rPr>
                <w:lang w:eastAsia="en-GB"/>
              </w:rPr>
            </w:pPr>
          </w:p>
          <w:p w14:paraId="4B52215F" w14:textId="77777777" w:rsidR="00D43225" w:rsidRDefault="00D43225" w:rsidP="00DF3969">
            <w:pPr>
              <w:rPr>
                <w:lang w:eastAsia="en-GB"/>
              </w:rPr>
            </w:pPr>
          </w:p>
          <w:p w14:paraId="74A089BB" w14:textId="77777777" w:rsidR="00DF3969" w:rsidRPr="004158E4" w:rsidRDefault="00DF3969" w:rsidP="00DF3969">
            <w:pPr>
              <w:rPr>
                <w:b/>
                <w:bCs/>
                <w:lang w:eastAsia="en-GB"/>
              </w:rPr>
            </w:pPr>
            <w:r w:rsidRPr="004158E4">
              <w:rPr>
                <w:b/>
                <w:bCs/>
                <w:lang w:eastAsia="en-GB"/>
              </w:rPr>
              <w:t>Danielle Stone</w:t>
            </w:r>
          </w:p>
          <w:p w14:paraId="7D7504BE" w14:textId="4DD0CDAF" w:rsidR="00DF3969" w:rsidRPr="00A57018" w:rsidRDefault="00DF3969" w:rsidP="00DF3969">
            <w:pPr>
              <w:rPr>
                <w:lang w:eastAsia="en-GB"/>
              </w:rPr>
            </w:pPr>
            <w:r w:rsidRPr="004158E4">
              <w:rPr>
                <w:b/>
                <w:bCs/>
                <w:lang w:eastAsia="en-GB"/>
              </w:rPr>
              <w:t>Police, Fire and Crime Commissioner</w:t>
            </w:r>
          </w:p>
        </w:tc>
      </w:tr>
      <w:tr w:rsidR="00DF3969" w:rsidRPr="00A57018" w14:paraId="18E0DBAF" w14:textId="77777777" w:rsidTr="00A75A22">
        <w:trPr>
          <w:trHeight w:val="310"/>
        </w:trPr>
        <w:tc>
          <w:tcPr>
            <w:tcW w:w="5000" w:type="pct"/>
            <w:tcBorders>
              <w:top w:val="nil"/>
              <w:left w:val="nil"/>
              <w:bottom w:val="nil"/>
              <w:right w:val="nil"/>
            </w:tcBorders>
            <w:shd w:val="clear" w:color="000000" w:fill="FFFFFF"/>
            <w:noWrap/>
            <w:vAlign w:val="bottom"/>
            <w:hideMark/>
          </w:tcPr>
          <w:p w14:paraId="2416C719" w14:textId="63D32DDA" w:rsidR="00DF3969" w:rsidRPr="00A57018" w:rsidRDefault="00DF3969" w:rsidP="00DF3969">
            <w:pPr>
              <w:rPr>
                <w:lang w:eastAsia="en-GB"/>
              </w:rPr>
            </w:pPr>
            <w:r w:rsidRPr="00A57018">
              <w:rPr>
                <w:lang w:eastAsia="en-GB"/>
              </w:rPr>
              <w:t>Date:</w:t>
            </w:r>
            <w:r w:rsidR="00876823">
              <w:rPr>
                <w:lang w:eastAsia="en-GB"/>
              </w:rPr>
              <w:t xml:space="preserve"> 24/02/2026</w:t>
            </w:r>
          </w:p>
        </w:tc>
      </w:tr>
      <w:tr w:rsidR="00DF3969" w:rsidRPr="00A57018" w14:paraId="43CC9557" w14:textId="77777777" w:rsidTr="00A75A22">
        <w:trPr>
          <w:trHeight w:val="310"/>
        </w:trPr>
        <w:tc>
          <w:tcPr>
            <w:tcW w:w="5000" w:type="pct"/>
            <w:tcBorders>
              <w:top w:val="nil"/>
              <w:left w:val="nil"/>
              <w:bottom w:val="nil"/>
              <w:right w:val="nil"/>
            </w:tcBorders>
            <w:shd w:val="clear" w:color="000000" w:fill="FFFFFF"/>
            <w:noWrap/>
            <w:vAlign w:val="bottom"/>
            <w:hideMark/>
          </w:tcPr>
          <w:p w14:paraId="55D85277" w14:textId="77777777" w:rsidR="00DF3969" w:rsidRDefault="00DF3969" w:rsidP="00DF3969">
            <w:pPr>
              <w:rPr>
                <w:lang w:eastAsia="en-GB"/>
              </w:rPr>
            </w:pPr>
            <w:r w:rsidRPr="00A57018">
              <w:rPr>
                <w:lang w:eastAsia="en-GB"/>
              </w:rPr>
              <w:t> </w:t>
            </w:r>
          </w:p>
          <w:p w14:paraId="30F1B57F" w14:textId="77777777" w:rsidR="00DF3969" w:rsidRPr="00A57018" w:rsidRDefault="00DF3969" w:rsidP="00DF3969">
            <w:pPr>
              <w:rPr>
                <w:lang w:eastAsia="en-GB"/>
              </w:rPr>
            </w:pPr>
          </w:p>
        </w:tc>
      </w:tr>
      <w:tr w:rsidR="00DF3969" w:rsidRPr="00A57018" w14:paraId="3A49CD10" w14:textId="77777777" w:rsidTr="00A75A22">
        <w:trPr>
          <w:trHeight w:val="310"/>
        </w:trPr>
        <w:tc>
          <w:tcPr>
            <w:tcW w:w="5000" w:type="pct"/>
            <w:tcBorders>
              <w:top w:val="nil"/>
              <w:left w:val="nil"/>
              <w:bottom w:val="nil"/>
              <w:right w:val="nil"/>
            </w:tcBorders>
            <w:shd w:val="clear" w:color="000000" w:fill="FFFFFF"/>
            <w:noWrap/>
            <w:vAlign w:val="bottom"/>
            <w:hideMark/>
          </w:tcPr>
          <w:p w14:paraId="4A59DB2B" w14:textId="07FAC12E" w:rsidR="008F2E58" w:rsidRDefault="00DF3969" w:rsidP="00DF3969">
            <w:pPr>
              <w:rPr>
                <w:noProof/>
              </w:rPr>
            </w:pPr>
            <w:r w:rsidRPr="00A57018">
              <w:rPr>
                <w:lang w:eastAsia="en-GB"/>
              </w:rPr>
              <w:t> </w:t>
            </w:r>
          </w:p>
          <w:p w14:paraId="3E379791" w14:textId="77777777" w:rsidR="00D43225" w:rsidRDefault="00D43225" w:rsidP="00DF3969">
            <w:pPr>
              <w:rPr>
                <w:noProof/>
              </w:rPr>
            </w:pPr>
          </w:p>
          <w:p w14:paraId="5CACA546" w14:textId="77777777" w:rsidR="00D43225" w:rsidRDefault="00D43225" w:rsidP="00DF3969">
            <w:pPr>
              <w:rPr>
                <w:noProof/>
              </w:rPr>
            </w:pPr>
          </w:p>
          <w:p w14:paraId="1A89FA08" w14:textId="6C90EBF9" w:rsidR="008F2E58" w:rsidRPr="00A57018" w:rsidRDefault="008F2E58" w:rsidP="00DF3969">
            <w:pPr>
              <w:rPr>
                <w:lang w:eastAsia="en-GB"/>
              </w:rPr>
            </w:pPr>
          </w:p>
        </w:tc>
      </w:tr>
      <w:tr w:rsidR="00DF3969" w:rsidRPr="00A57018" w14:paraId="30B6DD7B" w14:textId="77777777" w:rsidTr="00A75A22">
        <w:trPr>
          <w:trHeight w:val="310"/>
        </w:trPr>
        <w:tc>
          <w:tcPr>
            <w:tcW w:w="5000" w:type="pct"/>
            <w:tcBorders>
              <w:top w:val="nil"/>
              <w:left w:val="nil"/>
              <w:bottom w:val="nil"/>
              <w:right w:val="nil"/>
            </w:tcBorders>
            <w:shd w:val="clear" w:color="000000" w:fill="FFFFFF"/>
            <w:noWrap/>
            <w:vAlign w:val="bottom"/>
            <w:hideMark/>
          </w:tcPr>
          <w:p w14:paraId="2915AADE" w14:textId="77777777" w:rsidR="00DF3969" w:rsidRPr="004158E4" w:rsidRDefault="00DF3969" w:rsidP="00DF3969">
            <w:pPr>
              <w:rPr>
                <w:b/>
                <w:bCs/>
                <w:lang w:eastAsia="en-GB"/>
              </w:rPr>
            </w:pPr>
            <w:r w:rsidRPr="004158E4">
              <w:rPr>
                <w:b/>
                <w:bCs/>
                <w:lang w:eastAsia="en-GB"/>
              </w:rPr>
              <w:t>Vaughan Ashcroft</w:t>
            </w:r>
          </w:p>
          <w:p w14:paraId="65DED5A4" w14:textId="3F48DEB1" w:rsidR="00DF3969" w:rsidRPr="00A57018" w:rsidRDefault="00DF3969" w:rsidP="00DF3969">
            <w:pPr>
              <w:rPr>
                <w:lang w:eastAsia="en-GB"/>
              </w:rPr>
            </w:pPr>
            <w:r w:rsidRPr="004158E4">
              <w:rPr>
                <w:b/>
                <w:bCs/>
                <w:lang w:eastAsia="en-GB"/>
              </w:rPr>
              <w:t>Chief Finance Officer &amp; s151 Officer</w:t>
            </w:r>
          </w:p>
        </w:tc>
      </w:tr>
      <w:tr w:rsidR="00DF3969" w:rsidRPr="004158E4" w14:paraId="39DFC1E9" w14:textId="77777777" w:rsidTr="00A75A22">
        <w:trPr>
          <w:trHeight w:val="310"/>
        </w:trPr>
        <w:tc>
          <w:tcPr>
            <w:tcW w:w="5000" w:type="pct"/>
            <w:tcBorders>
              <w:top w:val="nil"/>
              <w:left w:val="nil"/>
              <w:bottom w:val="nil"/>
              <w:right w:val="nil"/>
            </w:tcBorders>
            <w:shd w:val="clear" w:color="000000" w:fill="FFFFFF"/>
            <w:noWrap/>
            <w:vAlign w:val="bottom"/>
            <w:hideMark/>
          </w:tcPr>
          <w:p w14:paraId="725B768C" w14:textId="42134158" w:rsidR="00E33B92" w:rsidRPr="004158E4" w:rsidRDefault="00DF3969" w:rsidP="00A1434C">
            <w:pPr>
              <w:rPr>
                <w:b/>
                <w:bCs/>
                <w:lang w:eastAsia="en-GB"/>
              </w:rPr>
            </w:pPr>
            <w:r w:rsidRPr="00A57018">
              <w:rPr>
                <w:lang w:eastAsia="en-GB"/>
              </w:rPr>
              <w:t>Date:</w:t>
            </w:r>
            <w:r w:rsidR="00876823">
              <w:rPr>
                <w:lang w:eastAsia="en-GB"/>
              </w:rPr>
              <w:t xml:space="preserve"> 24/02/2026</w:t>
            </w:r>
          </w:p>
        </w:tc>
      </w:tr>
    </w:tbl>
    <w:p w14:paraId="47B941A1" w14:textId="26F58082" w:rsidR="00103626" w:rsidRPr="006A4726" w:rsidRDefault="00A35A0A" w:rsidP="00927E96">
      <w:pPr>
        <w:pStyle w:val="VAHeading"/>
      </w:pPr>
      <w:r w:rsidRPr="006A4726">
        <w:lastRenderedPageBreak/>
        <w:t xml:space="preserve">Cash Flow Statement </w:t>
      </w:r>
    </w:p>
    <w:p w14:paraId="08690427" w14:textId="702F3FD3" w:rsidR="002924B0" w:rsidRPr="006A4726" w:rsidRDefault="00A35A0A" w:rsidP="002A1ADD">
      <w:pPr>
        <w:pStyle w:val="VAHeadingLevel2"/>
      </w:pPr>
      <w:r w:rsidRPr="006A4726">
        <w:t xml:space="preserve">For the Year Ending </w:t>
      </w:r>
      <w:r w:rsidR="002E48DD" w:rsidRPr="006A4726">
        <w:t>31</w:t>
      </w:r>
      <w:r w:rsidR="00135BE7" w:rsidRPr="006A4726">
        <w:rPr>
          <w:vertAlign w:val="superscript"/>
        </w:rPr>
        <w:t>st</w:t>
      </w:r>
      <w:r w:rsidR="002E48DD" w:rsidRPr="006A4726">
        <w:t xml:space="preserve"> March 20</w:t>
      </w:r>
      <w:r w:rsidR="004F5BD2" w:rsidRPr="006A4726">
        <w:t>2</w:t>
      </w:r>
      <w:r w:rsidR="00EB1602" w:rsidRPr="006A4726">
        <w:t>5</w:t>
      </w:r>
    </w:p>
    <w:p w14:paraId="379D682C" w14:textId="58CD01C2" w:rsidR="00B93B94" w:rsidRPr="007F07C2" w:rsidRDefault="00B93B94" w:rsidP="00014F9F">
      <w:pPr>
        <w:pStyle w:val="Default"/>
        <w:jc w:val="center"/>
        <w:rPr>
          <w:rFonts w:asciiTheme="minorHAnsi" w:hAnsiTheme="minorHAnsi"/>
          <w:b/>
          <w:bCs/>
          <w:color w:val="auto"/>
          <w:sz w:val="28"/>
          <w:szCs w:val="28"/>
        </w:rPr>
      </w:pPr>
    </w:p>
    <w:tbl>
      <w:tblPr>
        <w:tblW w:w="5000" w:type="pct"/>
        <w:tblLook w:val="04A0" w:firstRow="1" w:lastRow="0" w:firstColumn="1" w:lastColumn="0" w:noHBand="0" w:noVBand="1"/>
      </w:tblPr>
      <w:tblGrid>
        <w:gridCol w:w="1593"/>
        <w:gridCol w:w="6765"/>
        <w:gridCol w:w="307"/>
        <w:gridCol w:w="1710"/>
      </w:tblGrid>
      <w:tr w:rsidR="00BE6F77" w:rsidRPr="00BE6F77" w14:paraId="480E34F3" w14:textId="77777777" w:rsidTr="4043F802">
        <w:trPr>
          <w:trHeight w:val="300"/>
        </w:trPr>
        <w:tc>
          <w:tcPr>
            <w:tcW w:w="768" w:type="pct"/>
            <w:tcBorders>
              <w:top w:val="nil"/>
              <w:left w:val="nil"/>
              <w:bottom w:val="nil"/>
              <w:right w:val="nil"/>
            </w:tcBorders>
            <w:shd w:val="clear" w:color="auto" w:fill="AB2328"/>
            <w:vAlign w:val="bottom"/>
            <w:hideMark/>
          </w:tcPr>
          <w:p w14:paraId="6C856C34" w14:textId="5FB9061F" w:rsidR="00BE6F77" w:rsidRPr="00BE6F77" w:rsidRDefault="4E40DCD6" w:rsidP="00BE6F77">
            <w:pPr>
              <w:spacing w:line="240" w:lineRule="auto"/>
              <w:jc w:val="right"/>
              <w:rPr>
                <w:rFonts w:ascii="Calibri" w:eastAsia="Times New Roman" w:hAnsi="Calibri" w:cs="Calibri"/>
                <w:b/>
                <w:bCs/>
                <w:color w:val="FFFFFF"/>
                <w:lang w:eastAsia="en-GB"/>
              </w:rPr>
            </w:pPr>
            <w:r w:rsidRPr="4043F802">
              <w:rPr>
                <w:rFonts w:ascii="Calibri" w:eastAsia="Times New Roman" w:hAnsi="Calibri" w:cs="Calibri"/>
                <w:b/>
                <w:bCs/>
                <w:color w:val="FFFFFF" w:themeColor="background1"/>
                <w:lang w:eastAsia="en-GB"/>
              </w:rPr>
              <w:t>2023/24</w:t>
            </w:r>
            <w:r w:rsidR="5D4E5B7C" w:rsidRPr="4043F802">
              <w:rPr>
                <w:rFonts w:ascii="Calibri" w:eastAsia="Times New Roman" w:hAnsi="Calibri" w:cs="Calibri"/>
                <w:b/>
                <w:bCs/>
                <w:color w:val="FFFFFF" w:themeColor="background1"/>
                <w:lang w:eastAsia="en-GB"/>
              </w:rPr>
              <w:t xml:space="preserve"> Restated</w:t>
            </w:r>
          </w:p>
        </w:tc>
        <w:tc>
          <w:tcPr>
            <w:tcW w:w="3260" w:type="pct"/>
            <w:tcBorders>
              <w:top w:val="nil"/>
              <w:left w:val="nil"/>
              <w:bottom w:val="nil"/>
              <w:right w:val="nil"/>
            </w:tcBorders>
            <w:shd w:val="clear" w:color="auto" w:fill="AB2328"/>
            <w:noWrap/>
            <w:vAlign w:val="center"/>
            <w:hideMark/>
          </w:tcPr>
          <w:p w14:paraId="55950944" w14:textId="3919AA81" w:rsidR="00BE6F77" w:rsidRPr="00BE6F77" w:rsidRDefault="00BE6F77" w:rsidP="00BE6F77">
            <w:pPr>
              <w:spacing w:line="240" w:lineRule="auto"/>
              <w:jc w:val="center"/>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Cash</w:t>
            </w:r>
            <w:r w:rsidR="00C437F9">
              <w:rPr>
                <w:rFonts w:ascii="Calibri" w:eastAsia="Times New Roman" w:hAnsi="Calibri" w:cs="Calibri"/>
                <w:b/>
                <w:bCs/>
                <w:color w:val="FFFFFF"/>
                <w:lang w:eastAsia="en-GB"/>
              </w:rPr>
              <w:t xml:space="preserve"> F</w:t>
            </w:r>
            <w:r w:rsidRPr="00BE6F77">
              <w:rPr>
                <w:rFonts w:ascii="Calibri" w:eastAsia="Times New Roman" w:hAnsi="Calibri" w:cs="Calibri"/>
                <w:b/>
                <w:bCs/>
                <w:color w:val="FFFFFF"/>
                <w:lang w:eastAsia="en-GB"/>
              </w:rPr>
              <w:t xml:space="preserve">low Statement </w:t>
            </w:r>
          </w:p>
        </w:tc>
        <w:tc>
          <w:tcPr>
            <w:tcW w:w="148" w:type="pct"/>
            <w:tcBorders>
              <w:top w:val="nil"/>
              <w:left w:val="nil"/>
              <w:bottom w:val="nil"/>
              <w:right w:val="nil"/>
            </w:tcBorders>
            <w:shd w:val="clear" w:color="auto" w:fill="AB2328"/>
            <w:hideMark/>
          </w:tcPr>
          <w:p w14:paraId="519151A4" w14:textId="77777777" w:rsidR="00BE6F77" w:rsidRPr="00BE6F77" w:rsidRDefault="00BE6F77" w:rsidP="00BE6F77">
            <w:pPr>
              <w:spacing w:line="240" w:lineRule="auto"/>
              <w:jc w:val="lef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 </w:t>
            </w:r>
          </w:p>
        </w:tc>
        <w:tc>
          <w:tcPr>
            <w:tcW w:w="824" w:type="pct"/>
            <w:tcBorders>
              <w:top w:val="nil"/>
              <w:left w:val="nil"/>
              <w:bottom w:val="nil"/>
              <w:right w:val="nil"/>
            </w:tcBorders>
            <w:shd w:val="clear" w:color="auto" w:fill="AB2328"/>
            <w:vAlign w:val="bottom"/>
            <w:hideMark/>
          </w:tcPr>
          <w:p w14:paraId="4EF5D58C" w14:textId="77777777" w:rsidR="00BE6F77" w:rsidRPr="00BE6F77" w:rsidRDefault="00BE6F77" w:rsidP="00BE6F77">
            <w:pPr>
              <w:spacing w:line="240" w:lineRule="auto"/>
              <w:jc w:val="righ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2024/25</w:t>
            </w:r>
          </w:p>
        </w:tc>
      </w:tr>
      <w:tr w:rsidR="00BE6F77" w:rsidRPr="00BE6F77" w14:paraId="209E82A8" w14:textId="77777777" w:rsidTr="4043F802">
        <w:trPr>
          <w:trHeight w:val="300"/>
        </w:trPr>
        <w:tc>
          <w:tcPr>
            <w:tcW w:w="768" w:type="pct"/>
            <w:tcBorders>
              <w:top w:val="nil"/>
              <w:left w:val="nil"/>
              <w:bottom w:val="nil"/>
              <w:right w:val="nil"/>
            </w:tcBorders>
            <w:shd w:val="clear" w:color="auto" w:fill="AB2328"/>
            <w:noWrap/>
            <w:vAlign w:val="bottom"/>
            <w:hideMark/>
          </w:tcPr>
          <w:p w14:paraId="641226FE" w14:textId="77777777" w:rsidR="00BE6F77" w:rsidRPr="00BE6F77" w:rsidRDefault="00BE6F77" w:rsidP="00BE6F77">
            <w:pPr>
              <w:spacing w:line="240" w:lineRule="auto"/>
              <w:jc w:val="righ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£000</w:t>
            </w:r>
          </w:p>
        </w:tc>
        <w:tc>
          <w:tcPr>
            <w:tcW w:w="3260" w:type="pct"/>
            <w:tcBorders>
              <w:top w:val="nil"/>
              <w:left w:val="nil"/>
              <w:bottom w:val="nil"/>
              <w:right w:val="nil"/>
            </w:tcBorders>
            <w:shd w:val="clear" w:color="auto" w:fill="AB2328"/>
            <w:noWrap/>
            <w:vAlign w:val="bottom"/>
            <w:hideMark/>
          </w:tcPr>
          <w:p w14:paraId="276EBA83" w14:textId="77777777" w:rsidR="00BE6F77" w:rsidRPr="00BE6F77" w:rsidRDefault="00BE6F77" w:rsidP="00BE6F77">
            <w:pPr>
              <w:spacing w:line="240" w:lineRule="auto"/>
              <w:jc w:val="lef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 </w:t>
            </w:r>
          </w:p>
        </w:tc>
        <w:tc>
          <w:tcPr>
            <w:tcW w:w="148" w:type="pct"/>
            <w:tcBorders>
              <w:top w:val="nil"/>
              <w:left w:val="nil"/>
              <w:bottom w:val="nil"/>
              <w:right w:val="nil"/>
            </w:tcBorders>
            <w:shd w:val="clear" w:color="auto" w:fill="AB2328"/>
            <w:noWrap/>
            <w:hideMark/>
          </w:tcPr>
          <w:p w14:paraId="5DF5FE11" w14:textId="77777777" w:rsidR="00BE6F77" w:rsidRPr="00BE6F77" w:rsidRDefault="00BE6F77" w:rsidP="00BE6F77">
            <w:pPr>
              <w:spacing w:line="240" w:lineRule="auto"/>
              <w:jc w:val="lef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 </w:t>
            </w:r>
          </w:p>
        </w:tc>
        <w:tc>
          <w:tcPr>
            <w:tcW w:w="824" w:type="pct"/>
            <w:tcBorders>
              <w:top w:val="nil"/>
              <w:left w:val="nil"/>
              <w:bottom w:val="nil"/>
              <w:right w:val="nil"/>
            </w:tcBorders>
            <w:shd w:val="clear" w:color="auto" w:fill="AB2328"/>
            <w:noWrap/>
            <w:vAlign w:val="bottom"/>
            <w:hideMark/>
          </w:tcPr>
          <w:p w14:paraId="4120C125" w14:textId="77777777" w:rsidR="00BE6F77" w:rsidRPr="00BE6F77" w:rsidRDefault="00BE6F77" w:rsidP="00BE6F77">
            <w:pPr>
              <w:spacing w:line="240" w:lineRule="auto"/>
              <w:jc w:val="right"/>
              <w:rPr>
                <w:rFonts w:ascii="Calibri" w:eastAsia="Times New Roman" w:hAnsi="Calibri" w:cs="Calibri"/>
                <w:b/>
                <w:bCs/>
                <w:color w:val="FFFFFF"/>
                <w:lang w:eastAsia="en-GB"/>
              </w:rPr>
            </w:pPr>
            <w:r w:rsidRPr="00BE6F77">
              <w:rPr>
                <w:rFonts w:ascii="Calibri" w:eastAsia="Times New Roman" w:hAnsi="Calibri" w:cs="Calibri"/>
                <w:b/>
                <w:bCs/>
                <w:color w:val="FFFFFF"/>
                <w:lang w:eastAsia="en-GB"/>
              </w:rPr>
              <w:t>£000</w:t>
            </w:r>
          </w:p>
        </w:tc>
      </w:tr>
      <w:tr w:rsidR="00BE6F77" w:rsidRPr="00BE6F77" w14:paraId="6031293E" w14:textId="77777777" w:rsidTr="4043F802">
        <w:trPr>
          <w:trHeight w:val="300"/>
        </w:trPr>
        <w:tc>
          <w:tcPr>
            <w:tcW w:w="768" w:type="pct"/>
            <w:tcBorders>
              <w:top w:val="single" w:sz="4" w:space="0" w:color="auto"/>
              <w:left w:val="nil"/>
              <w:bottom w:val="single" w:sz="4" w:space="0" w:color="auto"/>
              <w:right w:val="nil"/>
            </w:tcBorders>
            <w:shd w:val="clear" w:color="auto" w:fill="FFFFFF" w:themeFill="background1"/>
            <w:noWrap/>
            <w:vAlign w:val="bottom"/>
            <w:hideMark/>
          </w:tcPr>
          <w:p w14:paraId="2290A275" w14:textId="77777777"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(4,872)</w:t>
            </w:r>
          </w:p>
        </w:tc>
        <w:tc>
          <w:tcPr>
            <w:tcW w:w="3260" w:type="pct"/>
            <w:tcBorders>
              <w:top w:val="single" w:sz="4" w:space="0" w:color="auto"/>
              <w:left w:val="nil"/>
              <w:bottom w:val="single" w:sz="4" w:space="0" w:color="auto"/>
              <w:right w:val="nil"/>
            </w:tcBorders>
            <w:shd w:val="clear" w:color="auto" w:fill="FFFFFF" w:themeFill="background1"/>
            <w:noWrap/>
            <w:vAlign w:val="bottom"/>
            <w:hideMark/>
          </w:tcPr>
          <w:p w14:paraId="21B524AB" w14:textId="5ECC444E"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Net Deficit on the provision of services</w:t>
            </w:r>
          </w:p>
        </w:tc>
        <w:tc>
          <w:tcPr>
            <w:tcW w:w="148" w:type="pct"/>
            <w:tcBorders>
              <w:top w:val="single" w:sz="4" w:space="0" w:color="auto"/>
              <w:left w:val="nil"/>
              <w:bottom w:val="single" w:sz="4" w:space="0" w:color="auto"/>
              <w:right w:val="nil"/>
            </w:tcBorders>
            <w:shd w:val="clear" w:color="auto" w:fill="FFFFFF" w:themeFill="background1"/>
            <w:noWrap/>
            <w:hideMark/>
          </w:tcPr>
          <w:p w14:paraId="3D4C7682"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single" w:sz="4" w:space="0" w:color="auto"/>
              <w:left w:val="nil"/>
              <w:bottom w:val="single" w:sz="4" w:space="0" w:color="auto"/>
              <w:right w:val="nil"/>
            </w:tcBorders>
            <w:shd w:val="clear" w:color="auto" w:fill="FFE1E1"/>
            <w:noWrap/>
            <w:vAlign w:val="bottom"/>
            <w:hideMark/>
          </w:tcPr>
          <w:p w14:paraId="396B3085" w14:textId="2A387FE6"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(4,</w:t>
            </w:r>
            <w:r w:rsidR="00B67B38">
              <w:rPr>
                <w:rFonts w:ascii="Calibri" w:eastAsia="Times New Roman" w:hAnsi="Calibri" w:cs="Calibri"/>
                <w:b/>
                <w:bCs/>
                <w:lang w:eastAsia="en-GB"/>
              </w:rPr>
              <w:t>296</w:t>
            </w:r>
            <w:r w:rsidRPr="00BE6F77">
              <w:rPr>
                <w:rFonts w:ascii="Calibri" w:eastAsia="Times New Roman" w:hAnsi="Calibri" w:cs="Calibri"/>
                <w:b/>
                <w:bCs/>
                <w:lang w:eastAsia="en-GB"/>
              </w:rPr>
              <w:t>)</w:t>
            </w:r>
          </w:p>
        </w:tc>
      </w:tr>
      <w:tr w:rsidR="00BE6F77" w:rsidRPr="00BE6F77" w14:paraId="6E3D84E9"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6DE8A56A"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1,860</w:t>
            </w:r>
          </w:p>
        </w:tc>
        <w:tc>
          <w:tcPr>
            <w:tcW w:w="3260" w:type="pct"/>
            <w:tcBorders>
              <w:top w:val="nil"/>
              <w:left w:val="nil"/>
              <w:bottom w:val="nil"/>
              <w:right w:val="nil"/>
            </w:tcBorders>
            <w:shd w:val="clear" w:color="auto" w:fill="FFFFFF" w:themeFill="background1"/>
            <w:noWrap/>
            <w:vAlign w:val="bottom"/>
            <w:hideMark/>
          </w:tcPr>
          <w:p w14:paraId="111EB4FE"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Depreciation and Amortisation</w:t>
            </w:r>
          </w:p>
        </w:tc>
        <w:tc>
          <w:tcPr>
            <w:tcW w:w="148" w:type="pct"/>
            <w:tcBorders>
              <w:top w:val="nil"/>
              <w:left w:val="nil"/>
              <w:bottom w:val="nil"/>
              <w:right w:val="nil"/>
            </w:tcBorders>
            <w:shd w:val="clear" w:color="auto" w:fill="FFFFFF" w:themeFill="background1"/>
            <w:noWrap/>
            <w:vAlign w:val="bottom"/>
            <w:hideMark/>
          </w:tcPr>
          <w:p w14:paraId="621233E3"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6F5D6D78"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1,924</w:t>
            </w:r>
          </w:p>
        </w:tc>
      </w:tr>
      <w:tr w:rsidR="00BE6F77" w:rsidRPr="00BE6F77" w14:paraId="298A4546"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4920C346"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311</w:t>
            </w:r>
          </w:p>
        </w:tc>
        <w:tc>
          <w:tcPr>
            <w:tcW w:w="3260" w:type="pct"/>
            <w:tcBorders>
              <w:top w:val="nil"/>
              <w:left w:val="nil"/>
              <w:bottom w:val="nil"/>
              <w:right w:val="nil"/>
            </w:tcBorders>
            <w:shd w:val="clear" w:color="auto" w:fill="FFFFFF" w:themeFill="background1"/>
            <w:noWrap/>
            <w:vAlign w:val="bottom"/>
            <w:hideMark/>
          </w:tcPr>
          <w:p w14:paraId="08F02C2D"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Impairments and Upward Revaluations</w:t>
            </w:r>
          </w:p>
        </w:tc>
        <w:tc>
          <w:tcPr>
            <w:tcW w:w="148" w:type="pct"/>
            <w:tcBorders>
              <w:top w:val="nil"/>
              <w:left w:val="nil"/>
              <w:bottom w:val="nil"/>
              <w:right w:val="nil"/>
            </w:tcBorders>
            <w:shd w:val="clear" w:color="auto" w:fill="FFFFFF" w:themeFill="background1"/>
            <w:noWrap/>
            <w:vAlign w:val="bottom"/>
            <w:hideMark/>
          </w:tcPr>
          <w:p w14:paraId="00DB625D"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7B593D1C" w14:textId="0CC48215" w:rsidR="00BE6F77" w:rsidRPr="00BE6F77" w:rsidRDefault="00B67B38" w:rsidP="00BE6F77">
            <w:pPr>
              <w:spacing w:line="240" w:lineRule="auto"/>
              <w:jc w:val="right"/>
              <w:rPr>
                <w:rFonts w:ascii="Calibri" w:eastAsia="Times New Roman" w:hAnsi="Calibri" w:cs="Calibri"/>
                <w:lang w:eastAsia="en-GB"/>
              </w:rPr>
            </w:pPr>
            <w:r>
              <w:rPr>
                <w:rFonts w:ascii="Calibri" w:eastAsia="Times New Roman" w:hAnsi="Calibri" w:cs="Calibri"/>
                <w:lang w:eastAsia="en-GB"/>
              </w:rPr>
              <w:t>45</w:t>
            </w:r>
          </w:p>
        </w:tc>
      </w:tr>
      <w:tr w:rsidR="00BE6F77" w:rsidRPr="00BE6F77" w14:paraId="77B7824D"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3890553D"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1,117</w:t>
            </w:r>
          </w:p>
        </w:tc>
        <w:tc>
          <w:tcPr>
            <w:tcW w:w="3260" w:type="pct"/>
            <w:tcBorders>
              <w:top w:val="nil"/>
              <w:left w:val="nil"/>
              <w:bottom w:val="nil"/>
              <w:right w:val="nil"/>
            </w:tcBorders>
            <w:shd w:val="clear" w:color="auto" w:fill="FFFFFF" w:themeFill="background1"/>
            <w:noWrap/>
            <w:vAlign w:val="bottom"/>
            <w:hideMark/>
          </w:tcPr>
          <w:p w14:paraId="1422D197"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Increase/(Decrease) in Creditors and Provisions</w:t>
            </w:r>
          </w:p>
        </w:tc>
        <w:tc>
          <w:tcPr>
            <w:tcW w:w="148" w:type="pct"/>
            <w:tcBorders>
              <w:top w:val="nil"/>
              <w:left w:val="nil"/>
              <w:bottom w:val="nil"/>
              <w:right w:val="nil"/>
            </w:tcBorders>
            <w:shd w:val="clear" w:color="auto" w:fill="FFFFFF" w:themeFill="background1"/>
            <w:noWrap/>
            <w:vAlign w:val="bottom"/>
            <w:hideMark/>
          </w:tcPr>
          <w:p w14:paraId="16CF4BD3"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299C9972" w14:textId="4BE53651"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5,</w:t>
            </w:r>
            <w:r w:rsidR="00A75C59">
              <w:rPr>
                <w:rFonts w:ascii="Calibri" w:eastAsia="Times New Roman" w:hAnsi="Calibri" w:cs="Calibri"/>
                <w:lang w:eastAsia="en-GB"/>
              </w:rPr>
              <w:t>808</w:t>
            </w:r>
          </w:p>
        </w:tc>
      </w:tr>
      <w:tr w:rsidR="00BE6F77" w:rsidRPr="00BE6F77" w14:paraId="022C559E"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560EC6A6"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(1,571)</w:t>
            </w:r>
          </w:p>
        </w:tc>
        <w:tc>
          <w:tcPr>
            <w:tcW w:w="3260" w:type="pct"/>
            <w:tcBorders>
              <w:top w:val="nil"/>
              <w:left w:val="nil"/>
              <w:bottom w:val="nil"/>
              <w:right w:val="nil"/>
            </w:tcBorders>
            <w:shd w:val="clear" w:color="auto" w:fill="FFFFFF" w:themeFill="background1"/>
            <w:noWrap/>
            <w:vAlign w:val="bottom"/>
            <w:hideMark/>
          </w:tcPr>
          <w:p w14:paraId="0FE79FC1"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(Increase)/Decrease in Debtors</w:t>
            </w:r>
          </w:p>
        </w:tc>
        <w:tc>
          <w:tcPr>
            <w:tcW w:w="148" w:type="pct"/>
            <w:tcBorders>
              <w:top w:val="nil"/>
              <w:left w:val="nil"/>
              <w:bottom w:val="nil"/>
              <w:right w:val="nil"/>
            </w:tcBorders>
            <w:shd w:val="clear" w:color="auto" w:fill="FFFFFF" w:themeFill="background1"/>
            <w:noWrap/>
            <w:vAlign w:val="bottom"/>
            <w:hideMark/>
          </w:tcPr>
          <w:p w14:paraId="43E87399"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47A78F2C" w14:textId="30E25030" w:rsidR="00BE6F77" w:rsidRPr="00BE6F77" w:rsidRDefault="00BE6F77" w:rsidP="00BE6F77">
            <w:pPr>
              <w:spacing w:line="240" w:lineRule="auto"/>
              <w:jc w:val="right"/>
              <w:rPr>
                <w:rFonts w:ascii="Calibri" w:eastAsia="Times New Roman" w:hAnsi="Calibri" w:cs="Calibri"/>
                <w:lang w:eastAsia="en-GB"/>
              </w:rPr>
            </w:pPr>
            <w:r w:rsidRPr="03A4975C">
              <w:rPr>
                <w:rFonts w:ascii="Calibri" w:eastAsia="Times New Roman" w:hAnsi="Calibri" w:cs="Calibri"/>
                <w:lang w:eastAsia="en-GB"/>
              </w:rPr>
              <w:t>(3,46</w:t>
            </w:r>
            <w:r w:rsidR="0557E453" w:rsidRPr="03A4975C">
              <w:rPr>
                <w:rFonts w:ascii="Calibri" w:eastAsia="Times New Roman" w:hAnsi="Calibri" w:cs="Calibri"/>
                <w:lang w:eastAsia="en-GB"/>
              </w:rPr>
              <w:t>5</w:t>
            </w:r>
            <w:r w:rsidRPr="03A4975C">
              <w:rPr>
                <w:rFonts w:ascii="Calibri" w:eastAsia="Times New Roman" w:hAnsi="Calibri" w:cs="Calibri"/>
                <w:lang w:eastAsia="en-GB"/>
              </w:rPr>
              <w:t>)</w:t>
            </w:r>
          </w:p>
        </w:tc>
      </w:tr>
      <w:tr w:rsidR="00BE6F77" w:rsidRPr="00BE6F77" w14:paraId="588A98A9"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79DD3E93"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(80)</w:t>
            </w:r>
          </w:p>
        </w:tc>
        <w:tc>
          <w:tcPr>
            <w:tcW w:w="3260" w:type="pct"/>
            <w:tcBorders>
              <w:top w:val="nil"/>
              <w:left w:val="nil"/>
              <w:bottom w:val="nil"/>
              <w:right w:val="nil"/>
            </w:tcBorders>
            <w:shd w:val="clear" w:color="auto" w:fill="FFFFFF" w:themeFill="background1"/>
            <w:noWrap/>
            <w:vAlign w:val="bottom"/>
            <w:hideMark/>
          </w:tcPr>
          <w:p w14:paraId="37B685BE"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(Increase)/Decrease in Inventories</w:t>
            </w:r>
          </w:p>
        </w:tc>
        <w:tc>
          <w:tcPr>
            <w:tcW w:w="148" w:type="pct"/>
            <w:tcBorders>
              <w:top w:val="nil"/>
              <w:left w:val="nil"/>
              <w:bottom w:val="nil"/>
              <w:right w:val="nil"/>
            </w:tcBorders>
            <w:shd w:val="clear" w:color="auto" w:fill="FFFFFF" w:themeFill="background1"/>
            <w:noWrap/>
            <w:vAlign w:val="bottom"/>
            <w:hideMark/>
          </w:tcPr>
          <w:p w14:paraId="703589A3"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50EE1438"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(105)</w:t>
            </w:r>
          </w:p>
        </w:tc>
      </w:tr>
      <w:tr w:rsidR="00BE6F77" w:rsidRPr="00BE6F77" w14:paraId="4FF96673"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580F6FF2"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3,686</w:t>
            </w:r>
          </w:p>
        </w:tc>
        <w:tc>
          <w:tcPr>
            <w:tcW w:w="3260" w:type="pct"/>
            <w:tcBorders>
              <w:top w:val="nil"/>
              <w:left w:val="nil"/>
              <w:bottom w:val="nil"/>
              <w:right w:val="nil"/>
            </w:tcBorders>
            <w:shd w:val="clear" w:color="auto" w:fill="FFFFFF" w:themeFill="background1"/>
            <w:vAlign w:val="bottom"/>
            <w:hideMark/>
          </w:tcPr>
          <w:p w14:paraId="63468DF9"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Movement in Pension Liability (difference between employer's contributions paid and IAS19 adjustments)</w:t>
            </w:r>
          </w:p>
        </w:tc>
        <w:tc>
          <w:tcPr>
            <w:tcW w:w="148" w:type="pct"/>
            <w:tcBorders>
              <w:top w:val="nil"/>
              <w:left w:val="nil"/>
              <w:bottom w:val="nil"/>
              <w:right w:val="nil"/>
            </w:tcBorders>
            <w:shd w:val="clear" w:color="auto" w:fill="FFFFFF" w:themeFill="background1"/>
            <w:noWrap/>
            <w:vAlign w:val="bottom"/>
            <w:hideMark/>
          </w:tcPr>
          <w:p w14:paraId="24C17B5A"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2DA5E2C5"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2,582</w:t>
            </w:r>
          </w:p>
        </w:tc>
      </w:tr>
      <w:tr w:rsidR="00BE6F77" w:rsidRPr="00BE6F77" w14:paraId="7C1C7AE6"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2DDC1D2D"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80</w:t>
            </w:r>
          </w:p>
        </w:tc>
        <w:tc>
          <w:tcPr>
            <w:tcW w:w="3260" w:type="pct"/>
            <w:tcBorders>
              <w:top w:val="nil"/>
              <w:left w:val="nil"/>
              <w:bottom w:val="nil"/>
              <w:right w:val="nil"/>
            </w:tcBorders>
            <w:shd w:val="clear" w:color="auto" w:fill="FFFFFF" w:themeFill="background1"/>
            <w:noWrap/>
            <w:vAlign w:val="bottom"/>
            <w:hideMark/>
          </w:tcPr>
          <w:p w14:paraId="70580131"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(Increase)/Decrease on Derecognition of PPE Assets</w:t>
            </w:r>
          </w:p>
        </w:tc>
        <w:tc>
          <w:tcPr>
            <w:tcW w:w="148" w:type="pct"/>
            <w:tcBorders>
              <w:top w:val="nil"/>
              <w:left w:val="nil"/>
              <w:bottom w:val="nil"/>
              <w:right w:val="nil"/>
            </w:tcBorders>
            <w:shd w:val="clear" w:color="auto" w:fill="FFFFFF" w:themeFill="background1"/>
            <w:noWrap/>
            <w:vAlign w:val="bottom"/>
            <w:hideMark/>
          </w:tcPr>
          <w:p w14:paraId="7B329754"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5EE46C52"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w:t>
            </w:r>
          </w:p>
        </w:tc>
      </w:tr>
      <w:tr w:rsidR="00BE6F77" w:rsidRPr="00BE6F77" w14:paraId="608EE572"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6BA3C615"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w:t>
            </w:r>
          </w:p>
        </w:tc>
        <w:tc>
          <w:tcPr>
            <w:tcW w:w="3260" w:type="pct"/>
            <w:tcBorders>
              <w:top w:val="nil"/>
              <w:left w:val="nil"/>
              <w:bottom w:val="nil"/>
              <w:right w:val="nil"/>
            </w:tcBorders>
            <w:shd w:val="clear" w:color="auto" w:fill="FFFFFF" w:themeFill="background1"/>
            <w:noWrap/>
            <w:vAlign w:val="bottom"/>
            <w:hideMark/>
          </w:tcPr>
          <w:p w14:paraId="04F30FA4" w14:textId="02F7B40E" w:rsidR="00BE6F77" w:rsidRPr="00BE6F77" w:rsidRDefault="003031D2" w:rsidP="00BE6F77">
            <w:pPr>
              <w:spacing w:line="240" w:lineRule="auto"/>
              <w:jc w:val="left"/>
              <w:rPr>
                <w:rFonts w:ascii="Calibri" w:eastAsia="Times New Roman" w:hAnsi="Calibri" w:cs="Calibri"/>
                <w:lang w:eastAsia="en-GB"/>
              </w:rPr>
            </w:pPr>
            <w:r w:rsidRPr="003031D2">
              <w:rPr>
                <w:rFonts w:ascii="Calibri" w:eastAsia="Times New Roman" w:hAnsi="Calibri" w:cs="Calibri"/>
                <w:lang w:eastAsia="en-GB"/>
              </w:rPr>
              <w:t>(Profit)/Loss on disposal of Asset held for sale</w:t>
            </w:r>
          </w:p>
        </w:tc>
        <w:tc>
          <w:tcPr>
            <w:tcW w:w="148" w:type="pct"/>
            <w:tcBorders>
              <w:top w:val="nil"/>
              <w:left w:val="nil"/>
              <w:bottom w:val="nil"/>
              <w:right w:val="nil"/>
            </w:tcBorders>
            <w:shd w:val="clear" w:color="auto" w:fill="FFFFFF" w:themeFill="background1"/>
            <w:noWrap/>
            <w:vAlign w:val="bottom"/>
            <w:hideMark/>
          </w:tcPr>
          <w:p w14:paraId="7BABAB5D"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03DA161C"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240</w:t>
            </w:r>
          </w:p>
        </w:tc>
      </w:tr>
      <w:tr w:rsidR="00BE6F77" w:rsidRPr="00BE6F77" w14:paraId="5B3CE370" w14:textId="77777777" w:rsidTr="4043F802">
        <w:trPr>
          <w:trHeight w:val="300"/>
        </w:trPr>
        <w:tc>
          <w:tcPr>
            <w:tcW w:w="768" w:type="pct"/>
            <w:tcBorders>
              <w:top w:val="single" w:sz="4" w:space="0" w:color="auto"/>
              <w:left w:val="nil"/>
              <w:bottom w:val="single" w:sz="4" w:space="0" w:color="auto"/>
              <w:right w:val="nil"/>
            </w:tcBorders>
            <w:shd w:val="clear" w:color="auto" w:fill="FFFFFF" w:themeFill="background1"/>
            <w:noWrap/>
            <w:vAlign w:val="bottom"/>
            <w:hideMark/>
          </w:tcPr>
          <w:p w14:paraId="650525DF" w14:textId="77777777"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531</w:t>
            </w:r>
          </w:p>
        </w:tc>
        <w:tc>
          <w:tcPr>
            <w:tcW w:w="3260" w:type="pct"/>
            <w:tcBorders>
              <w:top w:val="single" w:sz="4" w:space="0" w:color="auto"/>
              <w:left w:val="nil"/>
              <w:bottom w:val="single" w:sz="4" w:space="0" w:color="auto"/>
              <w:right w:val="nil"/>
            </w:tcBorders>
            <w:shd w:val="clear" w:color="auto" w:fill="FFFFFF" w:themeFill="background1"/>
            <w:vAlign w:val="bottom"/>
            <w:hideMark/>
          </w:tcPr>
          <w:p w14:paraId="118AC597" w14:textId="4BD2D631"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Net cash</w:t>
            </w:r>
            <w:r w:rsidR="00D63A32">
              <w:rPr>
                <w:rFonts w:ascii="Calibri" w:eastAsia="Times New Roman" w:hAnsi="Calibri" w:cs="Calibri"/>
                <w:b/>
                <w:bCs/>
                <w:lang w:eastAsia="en-GB"/>
              </w:rPr>
              <w:t xml:space="preserve"> </w:t>
            </w:r>
            <w:r w:rsidRPr="00BE6F77">
              <w:rPr>
                <w:rFonts w:ascii="Calibri" w:eastAsia="Times New Roman" w:hAnsi="Calibri" w:cs="Calibri"/>
                <w:b/>
                <w:bCs/>
                <w:lang w:eastAsia="en-GB"/>
              </w:rPr>
              <w:t>flows from operating activities</w:t>
            </w:r>
          </w:p>
        </w:tc>
        <w:tc>
          <w:tcPr>
            <w:tcW w:w="148" w:type="pct"/>
            <w:tcBorders>
              <w:top w:val="single" w:sz="4" w:space="0" w:color="auto"/>
              <w:left w:val="nil"/>
              <w:bottom w:val="single" w:sz="4" w:space="0" w:color="auto"/>
              <w:right w:val="nil"/>
            </w:tcBorders>
            <w:shd w:val="clear" w:color="auto" w:fill="FFFFFF" w:themeFill="background1"/>
            <w:noWrap/>
            <w:vAlign w:val="bottom"/>
            <w:hideMark/>
          </w:tcPr>
          <w:p w14:paraId="13CAE2B6"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single" w:sz="4" w:space="0" w:color="auto"/>
              <w:left w:val="nil"/>
              <w:bottom w:val="single" w:sz="4" w:space="0" w:color="auto"/>
              <w:right w:val="nil"/>
            </w:tcBorders>
            <w:shd w:val="clear" w:color="auto" w:fill="FFE1E1"/>
            <w:noWrap/>
            <w:vAlign w:val="bottom"/>
            <w:hideMark/>
          </w:tcPr>
          <w:p w14:paraId="69682413" w14:textId="50698DDB"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2,</w:t>
            </w:r>
            <w:r w:rsidR="00A75C59">
              <w:rPr>
                <w:rFonts w:ascii="Calibri" w:eastAsia="Times New Roman" w:hAnsi="Calibri" w:cs="Calibri"/>
                <w:b/>
                <w:bCs/>
                <w:lang w:eastAsia="en-GB"/>
              </w:rPr>
              <w:t>733</w:t>
            </w:r>
          </w:p>
        </w:tc>
      </w:tr>
      <w:tr w:rsidR="00BE6F77" w:rsidRPr="00BE6F77" w14:paraId="1AB59413"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49EE272A"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w:t>
            </w:r>
          </w:p>
        </w:tc>
        <w:tc>
          <w:tcPr>
            <w:tcW w:w="3260" w:type="pct"/>
            <w:tcBorders>
              <w:top w:val="nil"/>
              <w:left w:val="nil"/>
              <w:bottom w:val="nil"/>
              <w:right w:val="nil"/>
            </w:tcBorders>
            <w:shd w:val="clear" w:color="auto" w:fill="FFFFFF" w:themeFill="background1"/>
            <w:vAlign w:val="bottom"/>
            <w:hideMark/>
          </w:tcPr>
          <w:p w14:paraId="50614A2D"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Proceeds from Sale of Assets</w:t>
            </w:r>
          </w:p>
        </w:tc>
        <w:tc>
          <w:tcPr>
            <w:tcW w:w="148" w:type="pct"/>
            <w:tcBorders>
              <w:top w:val="nil"/>
              <w:left w:val="nil"/>
              <w:bottom w:val="nil"/>
              <w:right w:val="nil"/>
            </w:tcBorders>
            <w:shd w:val="clear" w:color="auto" w:fill="FFFFFF" w:themeFill="background1"/>
            <w:noWrap/>
            <w:vAlign w:val="bottom"/>
            <w:hideMark/>
          </w:tcPr>
          <w:p w14:paraId="3F678AF9"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024B3825"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3,260</w:t>
            </w:r>
          </w:p>
        </w:tc>
      </w:tr>
      <w:tr w:rsidR="00BE6F77" w:rsidRPr="00BE6F77" w14:paraId="665D805E"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42FE4BF6"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(2,305)</w:t>
            </w:r>
          </w:p>
        </w:tc>
        <w:tc>
          <w:tcPr>
            <w:tcW w:w="3260" w:type="pct"/>
            <w:tcBorders>
              <w:top w:val="nil"/>
              <w:left w:val="nil"/>
              <w:bottom w:val="nil"/>
              <w:right w:val="nil"/>
            </w:tcBorders>
            <w:shd w:val="clear" w:color="auto" w:fill="FFFFFF" w:themeFill="background1"/>
            <w:vAlign w:val="bottom"/>
            <w:hideMark/>
          </w:tcPr>
          <w:p w14:paraId="30B4E98B" w14:textId="531CD7C1" w:rsidR="00BE6F77" w:rsidRPr="00BE6F77" w:rsidRDefault="00BE6F77" w:rsidP="00BE6F77">
            <w:pPr>
              <w:spacing w:line="240" w:lineRule="auto"/>
              <w:jc w:val="left"/>
              <w:rPr>
                <w:rFonts w:ascii="Calibri" w:eastAsia="Times New Roman" w:hAnsi="Calibri" w:cs="Calibri"/>
                <w:lang w:eastAsia="en-GB"/>
              </w:rPr>
            </w:pPr>
            <w:r w:rsidRPr="03A4975C">
              <w:rPr>
                <w:rFonts w:ascii="Calibri" w:eastAsia="Times New Roman" w:hAnsi="Calibri" w:cs="Calibri"/>
                <w:lang w:eastAsia="en-GB"/>
              </w:rPr>
              <w:t>Additions of PPE</w:t>
            </w:r>
            <w:r w:rsidR="77C66070" w:rsidRPr="03A4975C">
              <w:rPr>
                <w:rFonts w:ascii="Calibri" w:eastAsia="Times New Roman" w:hAnsi="Calibri" w:cs="Calibri"/>
                <w:lang w:eastAsia="en-GB"/>
              </w:rPr>
              <w:t xml:space="preserve"> and ROU</w:t>
            </w:r>
            <w:r w:rsidRPr="03A4975C">
              <w:rPr>
                <w:rFonts w:ascii="Calibri" w:eastAsia="Times New Roman" w:hAnsi="Calibri" w:cs="Calibri"/>
                <w:lang w:eastAsia="en-GB"/>
              </w:rPr>
              <w:t xml:space="preserve"> Assets</w:t>
            </w:r>
          </w:p>
        </w:tc>
        <w:tc>
          <w:tcPr>
            <w:tcW w:w="148" w:type="pct"/>
            <w:tcBorders>
              <w:top w:val="nil"/>
              <w:left w:val="nil"/>
              <w:bottom w:val="nil"/>
              <w:right w:val="nil"/>
            </w:tcBorders>
            <w:shd w:val="clear" w:color="auto" w:fill="FFFFFF" w:themeFill="background1"/>
            <w:noWrap/>
            <w:vAlign w:val="bottom"/>
            <w:hideMark/>
          </w:tcPr>
          <w:p w14:paraId="277056C9"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1BBE15F8" w14:textId="1C8FB29B"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(2,</w:t>
            </w:r>
            <w:r w:rsidR="00A75C59">
              <w:rPr>
                <w:rFonts w:ascii="Calibri" w:eastAsia="Times New Roman" w:hAnsi="Calibri" w:cs="Calibri"/>
                <w:lang w:eastAsia="en-GB"/>
              </w:rPr>
              <w:t>741</w:t>
            </w:r>
            <w:r w:rsidRPr="00BE6F77">
              <w:rPr>
                <w:rFonts w:ascii="Calibri" w:eastAsia="Times New Roman" w:hAnsi="Calibri" w:cs="Calibri"/>
                <w:lang w:eastAsia="en-GB"/>
              </w:rPr>
              <w:t>)</w:t>
            </w:r>
          </w:p>
        </w:tc>
      </w:tr>
      <w:tr w:rsidR="00BE6F77" w:rsidRPr="00BE6F77" w14:paraId="2DAF9FED" w14:textId="77777777" w:rsidTr="4043F802">
        <w:trPr>
          <w:trHeight w:val="300"/>
        </w:trPr>
        <w:tc>
          <w:tcPr>
            <w:tcW w:w="768" w:type="pct"/>
            <w:tcBorders>
              <w:top w:val="nil"/>
              <w:left w:val="nil"/>
              <w:bottom w:val="nil"/>
              <w:right w:val="nil"/>
            </w:tcBorders>
            <w:shd w:val="clear" w:color="auto" w:fill="FFFFFF" w:themeFill="background1"/>
            <w:noWrap/>
            <w:hideMark/>
          </w:tcPr>
          <w:p w14:paraId="2C12759C" w14:textId="5A453CFC" w:rsidR="00BE6F77" w:rsidRPr="00BE6F77" w:rsidRDefault="3AAE97FD" w:rsidP="00BE6F77">
            <w:pPr>
              <w:spacing w:line="240" w:lineRule="auto"/>
              <w:jc w:val="right"/>
              <w:rPr>
                <w:rFonts w:ascii="Calibri" w:eastAsia="Times New Roman" w:hAnsi="Calibri" w:cs="Calibri"/>
                <w:color w:val="000000"/>
                <w:lang w:eastAsia="en-GB"/>
              </w:rPr>
            </w:pPr>
            <w:r w:rsidRPr="2489FF24">
              <w:rPr>
                <w:rFonts w:ascii="Calibri" w:eastAsia="Times New Roman" w:hAnsi="Calibri" w:cs="Calibri"/>
                <w:color w:val="000000" w:themeColor="text1"/>
                <w:lang w:eastAsia="en-GB"/>
              </w:rPr>
              <w:t>5,</w:t>
            </w:r>
            <w:r w:rsidR="2119CCE6" w:rsidRPr="2489FF24">
              <w:rPr>
                <w:rFonts w:ascii="Calibri" w:eastAsia="Times New Roman" w:hAnsi="Calibri" w:cs="Calibri"/>
                <w:color w:val="000000" w:themeColor="text1"/>
                <w:lang w:eastAsia="en-GB"/>
              </w:rPr>
              <w:t>0</w:t>
            </w:r>
            <w:r w:rsidR="15C7892C" w:rsidRPr="2489FF24">
              <w:rPr>
                <w:rFonts w:ascii="Calibri" w:eastAsia="Times New Roman" w:hAnsi="Calibri" w:cs="Calibri"/>
                <w:color w:val="000000" w:themeColor="text1"/>
                <w:lang w:eastAsia="en-GB"/>
              </w:rPr>
              <w:t>0</w:t>
            </w:r>
            <w:r w:rsidR="1A29F4C8" w:rsidRPr="2489FF24">
              <w:rPr>
                <w:rFonts w:ascii="Calibri" w:eastAsia="Times New Roman" w:hAnsi="Calibri" w:cs="Calibri"/>
                <w:color w:val="000000" w:themeColor="text1"/>
                <w:lang w:eastAsia="en-GB"/>
              </w:rPr>
              <w:t>0*</w:t>
            </w:r>
            <w:r w:rsidR="525E4554" w:rsidRPr="2489FF24">
              <w:rPr>
                <w:rFonts w:ascii="Calibri" w:eastAsia="Times New Roman" w:hAnsi="Calibri" w:cs="Calibri"/>
                <w:color w:val="000000" w:themeColor="text1"/>
                <w:lang w:eastAsia="en-GB"/>
              </w:rPr>
              <w:t xml:space="preserve"> </w:t>
            </w:r>
          </w:p>
        </w:tc>
        <w:tc>
          <w:tcPr>
            <w:tcW w:w="3260" w:type="pct"/>
            <w:tcBorders>
              <w:top w:val="nil"/>
              <w:left w:val="nil"/>
              <w:bottom w:val="nil"/>
              <w:right w:val="nil"/>
            </w:tcBorders>
            <w:shd w:val="clear" w:color="auto" w:fill="FFFFFF" w:themeFill="background1"/>
            <w:noWrap/>
            <w:hideMark/>
          </w:tcPr>
          <w:p w14:paraId="5B36A4E2" w14:textId="77777777" w:rsidR="00BE6F77" w:rsidRPr="00BE6F77" w:rsidRDefault="00BE6F77" w:rsidP="00BE6F77">
            <w:pPr>
              <w:spacing w:line="240" w:lineRule="auto"/>
              <w:jc w:val="left"/>
              <w:rPr>
                <w:rFonts w:ascii="Calibri" w:eastAsia="Times New Roman" w:hAnsi="Calibri" w:cs="Calibri"/>
                <w:color w:val="000000"/>
                <w:lang w:eastAsia="en-GB"/>
              </w:rPr>
            </w:pPr>
            <w:r w:rsidRPr="00BE6F77">
              <w:rPr>
                <w:rFonts w:ascii="Calibri" w:eastAsia="Times New Roman" w:hAnsi="Calibri" w:cs="Calibri"/>
                <w:color w:val="000000"/>
                <w:lang w:eastAsia="en-GB"/>
              </w:rPr>
              <w:t>Purchase of short-term and long-term investments</w:t>
            </w:r>
          </w:p>
        </w:tc>
        <w:tc>
          <w:tcPr>
            <w:tcW w:w="148" w:type="pct"/>
            <w:tcBorders>
              <w:top w:val="nil"/>
              <w:left w:val="nil"/>
              <w:bottom w:val="nil"/>
              <w:right w:val="nil"/>
            </w:tcBorders>
            <w:shd w:val="clear" w:color="auto" w:fill="FFFFFF" w:themeFill="background1"/>
            <w:noWrap/>
            <w:vAlign w:val="bottom"/>
            <w:hideMark/>
          </w:tcPr>
          <w:p w14:paraId="5A604951"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3AE992C0" w14:textId="77777777" w:rsidR="00BE6F77" w:rsidRPr="00BE6F77" w:rsidRDefault="00BE6F77" w:rsidP="00BE6F77">
            <w:pPr>
              <w:spacing w:line="240" w:lineRule="auto"/>
              <w:jc w:val="right"/>
              <w:rPr>
                <w:rFonts w:ascii="Calibri" w:eastAsia="Times New Roman" w:hAnsi="Calibri" w:cs="Calibri"/>
                <w:color w:val="000000"/>
                <w:lang w:eastAsia="en-GB"/>
              </w:rPr>
            </w:pPr>
            <w:r w:rsidRPr="00BE6F77">
              <w:rPr>
                <w:rFonts w:ascii="Calibri" w:eastAsia="Times New Roman" w:hAnsi="Calibri" w:cs="Calibri"/>
                <w:color w:val="000000"/>
                <w:lang w:eastAsia="en-GB"/>
              </w:rPr>
              <w:t>17,235</w:t>
            </w:r>
          </w:p>
        </w:tc>
      </w:tr>
      <w:tr w:rsidR="00BE6F77" w:rsidRPr="00BE6F77" w14:paraId="49A122DE" w14:textId="77777777" w:rsidTr="4043F802">
        <w:trPr>
          <w:trHeight w:val="300"/>
        </w:trPr>
        <w:tc>
          <w:tcPr>
            <w:tcW w:w="768" w:type="pct"/>
            <w:tcBorders>
              <w:top w:val="nil"/>
              <w:left w:val="nil"/>
              <w:bottom w:val="nil"/>
              <w:right w:val="nil"/>
            </w:tcBorders>
            <w:shd w:val="clear" w:color="auto" w:fill="FFFFFF" w:themeFill="background1"/>
            <w:noWrap/>
            <w:hideMark/>
          </w:tcPr>
          <w:p w14:paraId="45970836" w14:textId="52DB3BBC" w:rsidR="00BE6F77" w:rsidRPr="00BE6F77" w:rsidRDefault="3AAE97FD" w:rsidP="00BE6F77">
            <w:pPr>
              <w:spacing w:line="240" w:lineRule="auto"/>
              <w:jc w:val="right"/>
              <w:rPr>
                <w:rFonts w:ascii="Calibri" w:eastAsia="Times New Roman" w:hAnsi="Calibri" w:cs="Calibri"/>
                <w:color w:val="000000"/>
                <w:lang w:eastAsia="en-GB"/>
              </w:rPr>
            </w:pPr>
            <w:r w:rsidRPr="2489FF24">
              <w:rPr>
                <w:rFonts w:ascii="Calibri" w:eastAsia="Times New Roman" w:hAnsi="Calibri" w:cs="Calibri"/>
                <w:color w:val="000000" w:themeColor="text1"/>
                <w:lang w:eastAsia="en-GB"/>
              </w:rPr>
              <w:t>(</w:t>
            </w:r>
            <w:bookmarkStart w:id="10" w:name="_Int_gnBRdATg"/>
            <w:proofErr w:type="gramStart"/>
            <w:r w:rsidRPr="2489FF24">
              <w:rPr>
                <w:rFonts w:ascii="Calibri" w:eastAsia="Times New Roman" w:hAnsi="Calibri" w:cs="Calibri"/>
                <w:color w:val="000000" w:themeColor="text1"/>
                <w:lang w:eastAsia="en-GB"/>
              </w:rPr>
              <w:t>5,</w:t>
            </w:r>
            <w:r w:rsidR="2119CCE6" w:rsidRPr="2489FF24">
              <w:rPr>
                <w:rFonts w:ascii="Calibri" w:eastAsia="Times New Roman" w:hAnsi="Calibri" w:cs="Calibri"/>
                <w:color w:val="000000" w:themeColor="text1"/>
                <w:lang w:eastAsia="en-GB"/>
              </w:rPr>
              <w:t>0</w:t>
            </w:r>
            <w:r w:rsidR="46DB25DF" w:rsidRPr="2489FF24">
              <w:rPr>
                <w:rFonts w:ascii="Calibri" w:eastAsia="Times New Roman" w:hAnsi="Calibri" w:cs="Calibri"/>
                <w:color w:val="000000" w:themeColor="text1"/>
                <w:lang w:eastAsia="en-GB"/>
              </w:rPr>
              <w:t>1</w:t>
            </w:r>
            <w:r w:rsidR="2119CCE6" w:rsidRPr="2489FF24">
              <w:rPr>
                <w:rFonts w:ascii="Calibri" w:eastAsia="Times New Roman" w:hAnsi="Calibri" w:cs="Calibri"/>
                <w:color w:val="000000" w:themeColor="text1"/>
                <w:lang w:eastAsia="en-GB"/>
              </w:rPr>
              <w:t>0</w:t>
            </w:r>
            <w:r w:rsidRPr="2489FF24">
              <w:rPr>
                <w:rFonts w:ascii="Calibri" w:eastAsia="Times New Roman" w:hAnsi="Calibri" w:cs="Calibri"/>
                <w:color w:val="000000" w:themeColor="text1"/>
                <w:lang w:eastAsia="en-GB"/>
              </w:rPr>
              <w:t>)</w:t>
            </w:r>
            <w:r w:rsidR="0080C9B1" w:rsidRPr="2489FF24">
              <w:rPr>
                <w:rFonts w:ascii="Calibri" w:eastAsia="Times New Roman" w:hAnsi="Calibri" w:cs="Calibri"/>
                <w:color w:val="000000" w:themeColor="text1"/>
                <w:lang w:eastAsia="en-GB"/>
              </w:rPr>
              <w:t>*</w:t>
            </w:r>
            <w:bookmarkEnd w:id="10"/>
            <w:proofErr w:type="gramEnd"/>
          </w:p>
        </w:tc>
        <w:tc>
          <w:tcPr>
            <w:tcW w:w="3260" w:type="pct"/>
            <w:tcBorders>
              <w:top w:val="nil"/>
              <w:left w:val="nil"/>
              <w:bottom w:val="nil"/>
              <w:right w:val="nil"/>
            </w:tcBorders>
            <w:shd w:val="clear" w:color="auto" w:fill="FFFFFF" w:themeFill="background1"/>
            <w:noWrap/>
            <w:hideMark/>
          </w:tcPr>
          <w:p w14:paraId="4E22D389" w14:textId="77777777" w:rsidR="00BE6F77" w:rsidRPr="00BE6F77" w:rsidRDefault="00BE6F77" w:rsidP="00BE6F77">
            <w:pPr>
              <w:spacing w:line="240" w:lineRule="auto"/>
              <w:jc w:val="left"/>
              <w:rPr>
                <w:rFonts w:ascii="Calibri" w:eastAsia="Times New Roman" w:hAnsi="Calibri" w:cs="Calibri"/>
                <w:color w:val="000000"/>
                <w:lang w:eastAsia="en-GB"/>
              </w:rPr>
            </w:pPr>
            <w:r w:rsidRPr="00BE6F77">
              <w:rPr>
                <w:rFonts w:ascii="Calibri" w:eastAsia="Times New Roman" w:hAnsi="Calibri" w:cs="Calibri"/>
                <w:color w:val="000000"/>
                <w:lang w:eastAsia="en-GB"/>
              </w:rPr>
              <w:t>Proceeds from short-term and long-term investments</w:t>
            </w:r>
          </w:p>
        </w:tc>
        <w:tc>
          <w:tcPr>
            <w:tcW w:w="148" w:type="pct"/>
            <w:tcBorders>
              <w:top w:val="nil"/>
              <w:left w:val="nil"/>
              <w:bottom w:val="nil"/>
              <w:right w:val="nil"/>
            </w:tcBorders>
            <w:shd w:val="clear" w:color="auto" w:fill="FFFFFF" w:themeFill="background1"/>
            <w:noWrap/>
            <w:vAlign w:val="bottom"/>
            <w:hideMark/>
          </w:tcPr>
          <w:p w14:paraId="291A1965"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hideMark/>
          </w:tcPr>
          <w:p w14:paraId="694CFD5F"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(19,226)</w:t>
            </w:r>
          </w:p>
        </w:tc>
      </w:tr>
      <w:tr w:rsidR="00BE6F77" w:rsidRPr="00BE6F77" w14:paraId="397814B8" w14:textId="77777777" w:rsidTr="4043F802">
        <w:trPr>
          <w:trHeight w:val="300"/>
        </w:trPr>
        <w:tc>
          <w:tcPr>
            <w:tcW w:w="768" w:type="pct"/>
            <w:tcBorders>
              <w:top w:val="single" w:sz="4" w:space="0" w:color="auto"/>
              <w:left w:val="nil"/>
              <w:bottom w:val="single" w:sz="4" w:space="0" w:color="auto"/>
              <w:right w:val="nil"/>
            </w:tcBorders>
            <w:shd w:val="clear" w:color="auto" w:fill="FFFFFF" w:themeFill="background1"/>
            <w:noWrap/>
            <w:vAlign w:val="bottom"/>
            <w:hideMark/>
          </w:tcPr>
          <w:p w14:paraId="45C37411" w14:textId="5EFD1131" w:rsidR="00BE6F77" w:rsidRPr="00BE6F77" w:rsidRDefault="2993E46B" w:rsidP="00BE6F77">
            <w:pPr>
              <w:spacing w:line="240" w:lineRule="auto"/>
              <w:jc w:val="right"/>
              <w:rPr>
                <w:rFonts w:ascii="Calibri" w:eastAsia="Times New Roman" w:hAnsi="Calibri" w:cs="Calibri"/>
                <w:b/>
                <w:bCs/>
                <w:lang w:eastAsia="en-GB"/>
              </w:rPr>
            </w:pPr>
            <w:r w:rsidRPr="2489FF24">
              <w:rPr>
                <w:rFonts w:ascii="Calibri" w:eastAsia="Times New Roman" w:hAnsi="Calibri" w:cs="Calibri"/>
                <w:b/>
                <w:bCs/>
                <w:lang w:eastAsia="en-GB"/>
              </w:rPr>
              <w:t>(2,</w:t>
            </w:r>
            <w:r w:rsidR="662498A6" w:rsidRPr="2489FF24">
              <w:rPr>
                <w:rFonts w:ascii="Calibri" w:eastAsia="Times New Roman" w:hAnsi="Calibri" w:cs="Calibri"/>
                <w:b/>
                <w:bCs/>
                <w:lang w:eastAsia="en-GB"/>
              </w:rPr>
              <w:t>315</w:t>
            </w:r>
            <w:r w:rsidRPr="2489FF24">
              <w:rPr>
                <w:rFonts w:ascii="Calibri" w:eastAsia="Times New Roman" w:hAnsi="Calibri" w:cs="Calibri"/>
                <w:b/>
                <w:bCs/>
                <w:lang w:eastAsia="en-GB"/>
              </w:rPr>
              <w:t>)</w:t>
            </w:r>
          </w:p>
        </w:tc>
        <w:tc>
          <w:tcPr>
            <w:tcW w:w="3260" w:type="pct"/>
            <w:tcBorders>
              <w:top w:val="single" w:sz="4" w:space="0" w:color="auto"/>
              <w:left w:val="nil"/>
              <w:bottom w:val="single" w:sz="4" w:space="0" w:color="auto"/>
              <w:right w:val="nil"/>
            </w:tcBorders>
            <w:shd w:val="clear" w:color="auto" w:fill="FFFFFF" w:themeFill="background1"/>
            <w:vAlign w:val="bottom"/>
            <w:hideMark/>
          </w:tcPr>
          <w:p w14:paraId="76488CB6" w14:textId="726FE931"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Net cash</w:t>
            </w:r>
            <w:r w:rsidR="00D63A32">
              <w:rPr>
                <w:rFonts w:ascii="Calibri" w:eastAsia="Times New Roman" w:hAnsi="Calibri" w:cs="Calibri"/>
                <w:b/>
                <w:bCs/>
                <w:lang w:eastAsia="en-GB"/>
              </w:rPr>
              <w:t xml:space="preserve"> </w:t>
            </w:r>
            <w:r w:rsidRPr="00BE6F77">
              <w:rPr>
                <w:rFonts w:ascii="Calibri" w:eastAsia="Times New Roman" w:hAnsi="Calibri" w:cs="Calibri"/>
                <w:b/>
                <w:bCs/>
                <w:lang w:eastAsia="en-GB"/>
              </w:rPr>
              <w:t>flows from investing activities</w:t>
            </w:r>
          </w:p>
        </w:tc>
        <w:tc>
          <w:tcPr>
            <w:tcW w:w="148" w:type="pct"/>
            <w:tcBorders>
              <w:top w:val="single" w:sz="4" w:space="0" w:color="auto"/>
              <w:left w:val="nil"/>
              <w:bottom w:val="single" w:sz="4" w:space="0" w:color="auto"/>
              <w:right w:val="nil"/>
            </w:tcBorders>
            <w:shd w:val="clear" w:color="auto" w:fill="FFFFFF" w:themeFill="background1"/>
            <w:noWrap/>
            <w:vAlign w:val="bottom"/>
            <w:hideMark/>
          </w:tcPr>
          <w:p w14:paraId="584B0878"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single" w:sz="4" w:space="0" w:color="auto"/>
              <w:left w:val="nil"/>
              <w:bottom w:val="single" w:sz="4" w:space="0" w:color="auto"/>
              <w:right w:val="nil"/>
            </w:tcBorders>
            <w:shd w:val="clear" w:color="auto" w:fill="FFE1E1"/>
            <w:noWrap/>
            <w:vAlign w:val="bottom"/>
            <w:hideMark/>
          </w:tcPr>
          <w:p w14:paraId="5190C23A" w14:textId="624F473A"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(1,</w:t>
            </w:r>
            <w:r w:rsidR="00E64AC6">
              <w:rPr>
                <w:rFonts w:ascii="Calibri" w:eastAsia="Times New Roman" w:hAnsi="Calibri" w:cs="Calibri"/>
                <w:b/>
                <w:bCs/>
                <w:lang w:eastAsia="en-GB"/>
              </w:rPr>
              <w:t>472</w:t>
            </w:r>
            <w:r w:rsidRPr="00BE6F77">
              <w:rPr>
                <w:rFonts w:ascii="Calibri" w:eastAsia="Times New Roman" w:hAnsi="Calibri" w:cs="Calibri"/>
                <w:b/>
                <w:bCs/>
                <w:lang w:eastAsia="en-GB"/>
              </w:rPr>
              <w:t>)</w:t>
            </w:r>
          </w:p>
        </w:tc>
      </w:tr>
      <w:tr w:rsidR="03A4975C" w14:paraId="0CB570B3"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1C109196" w14:textId="49F4D692" w:rsidR="50D05ACC" w:rsidRDefault="50D05ACC" w:rsidP="03A4975C">
            <w:pPr>
              <w:spacing w:line="240" w:lineRule="auto"/>
              <w:jc w:val="right"/>
              <w:rPr>
                <w:rFonts w:ascii="Calibri" w:eastAsia="Times New Roman" w:hAnsi="Calibri" w:cs="Calibri"/>
                <w:lang w:eastAsia="en-GB"/>
              </w:rPr>
            </w:pPr>
            <w:r w:rsidRPr="03A4975C">
              <w:rPr>
                <w:rFonts w:ascii="Calibri" w:eastAsia="Times New Roman" w:hAnsi="Calibri" w:cs="Calibri"/>
                <w:lang w:eastAsia="en-GB"/>
              </w:rPr>
              <w:t>(75)</w:t>
            </w:r>
          </w:p>
        </w:tc>
        <w:tc>
          <w:tcPr>
            <w:tcW w:w="3260" w:type="pct"/>
            <w:tcBorders>
              <w:top w:val="nil"/>
              <w:left w:val="nil"/>
              <w:bottom w:val="nil"/>
              <w:right w:val="nil"/>
            </w:tcBorders>
            <w:shd w:val="clear" w:color="auto" w:fill="FFFFFF" w:themeFill="background1"/>
            <w:vAlign w:val="bottom"/>
            <w:hideMark/>
          </w:tcPr>
          <w:p w14:paraId="7478C26D" w14:textId="3F8C2B19" w:rsidR="50D05ACC" w:rsidRDefault="50D05ACC" w:rsidP="03A4975C">
            <w:pPr>
              <w:spacing w:line="240" w:lineRule="auto"/>
              <w:jc w:val="left"/>
              <w:rPr>
                <w:rFonts w:ascii="Calibri" w:eastAsia="Times New Roman" w:hAnsi="Calibri" w:cs="Calibri"/>
                <w:lang w:eastAsia="en-GB"/>
              </w:rPr>
            </w:pPr>
            <w:r w:rsidRPr="03A4975C">
              <w:rPr>
                <w:rFonts w:ascii="Calibri" w:eastAsia="Times New Roman" w:hAnsi="Calibri" w:cs="Calibri"/>
                <w:lang w:eastAsia="en-GB"/>
              </w:rPr>
              <w:t>Borrowing Repayments</w:t>
            </w:r>
          </w:p>
        </w:tc>
        <w:tc>
          <w:tcPr>
            <w:tcW w:w="148" w:type="pct"/>
            <w:tcBorders>
              <w:top w:val="nil"/>
              <w:left w:val="nil"/>
              <w:bottom w:val="nil"/>
              <w:right w:val="nil"/>
            </w:tcBorders>
            <w:shd w:val="clear" w:color="auto" w:fill="FFFFFF" w:themeFill="background1"/>
            <w:noWrap/>
            <w:vAlign w:val="bottom"/>
            <w:hideMark/>
          </w:tcPr>
          <w:p w14:paraId="0EDF0288" w14:textId="5104528E" w:rsidR="03A4975C" w:rsidRDefault="03A4975C" w:rsidP="03A4975C">
            <w:pPr>
              <w:spacing w:line="240" w:lineRule="auto"/>
              <w:jc w:val="left"/>
              <w:rPr>
                <w:rFonts w:ascii="Calibri" w:eastAsia="Times New Roman" w:hAnsi="Calibri" w:cs="Calibri"/>
                <w:lang w:eastAsia="en-GB"/>
              </w:rPr>
            </w:pPr>
          </w:p>
        </w:tc>
        <w:tc>
          <w:tcPr>
            <w:tcW w:w="824" w:type="pct"/>
            <w:tcBorders>
              <w:top w:val="nil"/>
              <w:left w:val="nil"/>
              <w:bottom w:val="nil"/>
              <w:right w:val="nil"/>
            </w:tcBorders>
            <w:shd w:val="clear" w:color="auto" w:fill="FFE1E1"/>
            <w:noWrap/>
            <w:vAlign w:val="bottom"/>
            <w:hideMark/>
          </w:tcPr>
          <w:p w14:paraId="4D0493A0" w14:textId="6087B2B4" w:rsidR="50D05ACC" w:rsidRDefault="50D05ACC" w:rsidP="03A4975C">
            <w:pPr>
              <w:spacing w:line="240" w:lineRule="auto"/>
              <w:jc w:val="right"/>
              <w:rPr>
                <w:rFonts w:ascii="Calibri" w:eastAsia="Times New Roman" w:hAnsi="Calibri" w:cs="Calibri"/>
                <w:lang w:eastAsia="en-GB"/>
              </w:rPr>
            </w:pPr>
            <w:r w:rsidRPr="03A4975C">
              <w:rPr>
                <w:rFonts w:ascii="Calibri" w:eastAsia="Times New Roman" w:hAnsi="Calibri" w:cs="Calibri"/>
                <w:lang w:eastAsia="en-GB"/>
              </w:rPr>
              <w:t>(83)</w:t>
            </w:r>
          </w:p>
        </w:tc>
      </w:tr>
      <w:tr w:rsidR="00BE6F77" w:rsidRPr="00BE6F77" w14:paraId="60BAC1F8"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4EBFB507" w14:textId="55C1F685" w:rsidR="00BE6F77" w:rsidRPr="00BE6F77" w:rsidRDefault="50D05ACC" w:rsidP="00BE6F77">
            <w:pPr>
              <w:spacing w:line="240" w:lineRule="auto"/>
              <w:jc w:val="right"/>
              <w:rPr>
                <w:rFonts w:ascii="Calibri" w:eastAsia="Times New Roman" w:hAnsi="Calibri" w:cs="Calibri"/>
                <w:lang w:eastAsia="en-GB"/>
              </w:rPr>
            </w:pPr>
            <w:r w:rsidRPr="03A4975C">
              <w:rPr>
                <w:rFonts w:ascii="Calibri" w:eastAsia="Times New Roman" w:hAnsi="Calibri" w:cs="Calibri"/>
                <w:lang w:eastAsia="en-GB"/>
              </w:rPr>
              <w:t>-</w:t>
            </w:r>
          </w:p>
        </w:tc>
        <w:tc>
          <w:tcPr>
            <w:tcW w:w="3260" w:type="pct"/>
            <w:tcBorders>
              <w:top w:val="nil"/>
              <w:left w:val="nil"/>
              <w:bottom w:val="nil"/>
              <w:right w:val="nil"/>
            </w:tcBorders>
            <w:shd w:val="clear" w:color="auto" w:fill="FFFFFF" w:themeFill="background1"/>
            <w:vAlign w:val="bottom"/>
            <w:hideMark/>
          </w:tcPr>
          <w:p w14:paraId="2B90B3BF" w14:textId="6FE88655" w:rsidR="00BE6F77" w:rsidRPr="00BE6F77" w:rsidRDefault="50D05ACC" w:rsidP="03A4975C">
            <w:pPr>
              <w:spacing w:line="240" w:lineRule="auto"/>
              <w:jc w:val="left"/>
            </w:pPr>
            <w:r w:rsidRPr="03A4975C">
              <w:rPr>
                <w:rFonts w:ascii="Calibri" w:eastAsia="Times New Roman" w:hAnsi="Calibri" w:cs="Calibri"/>
                <w:lang w:eastAsia="en-GB"/>
              </w:rPr>
              <w:t>Long-term lease liabilities</w:t>
            </w:r>
          </w:p>
        </w:tc>
        <w:tc>
          <w:tcPr>
            <w:tcW w:w="148" w:type="pct"/>
            <w:tcBorders>
              <w:top w:val="nil"/>
              <w:left w:val="nil"/>
              <w:bottom w:val="nil"/>
              <w:right w:val="nil"/>
            </w:tcBorders>
            <w:shd w:val="clear" w:color="auto" w:fill="FFFFFF" w:themeFill="background1"/>
            <w:noWrap/>
            <w:vAlign w:val="bottom"/>
            <w:hideMark/>
          </w:tcPr>
          <w:p w14:paraId="694C76EF"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357B92C8" w14:textId="419F59AC" w:rsidR="00BE6F77" w:rsidRPr="00BE6F77" w:rsidRDefault="7DEFEB22" w:rsidP="00BE6F77">
            <w:pPr>
              <w:spacing w:line="240" w:lineRule="auto"/>
              <w:jc w:val="right"/>
              <w:rPr>
                <w:rFonts w:ascii="Calibri" w:eastAsia="Times New Roman" w:hAnsi="Calibri" w:cs="Calibri"/>
                <w:lang w:eastAsia="en-GB"/>
              </w:rPr>
            </w:pPr>
            <w:r w:rsidRPr="03A4975C">
              <w:rPr>
                <w:rFonts w:ascii="Calibri" w:eastAsia="Times New Roman" w:hAnsi="Calibri" w:cs="Calibri"/>
                <w:lang w:eastAsia="en-GB"/>
              </w:rPr>
              <w:t>84</w:t>
            </w:r>
          </w:p>
        </w:tc>
      </w:tr>
      <w:tr w:rsidR="00BE6F77" w:rsidRPr="00BE6F77" w14:paraId="12773F98" w14:textId="77777777" w:rsidTr="4043F802">
        <w:trPr>
          <w:trHeight w:val="300"/>
        </w:trPr>
        <w:tc>
          <w:tcPr>
            <w:tcW w:w="768" w:type="pct"/>
            <w:tcBorders>
              <w:top w:val="single" w:sz="4" w:space="0" w:color="auto"/>
              <w:left w:val="nil"/>
              <w:bottom w:val="single" w:sz="4" w:space="0" w:color="auto"/>
              <w:right w:val="nil"/>
            </w:tcBorders>
            <w:shd w:val="clear" w:color="auto" w:fill="FFFFFF" w:themeFill="background1"/>
            <w:noWrap/>
            <w:vAlign w:val="bottom"/>
            <w:hideMark/>
          </w:tcPr>
          <w:p w14:paraId="77B03396" w14:textId="77777777"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(75)</w:t>
            </w:r>
          </w:p>
        </w:tc>
        <w:tc>
          <w:tcPr>
            <w:tcW w:w="3260" w:type="pct"/>
            <w:tcBorders>
              <w:top w:val="single" w:sz="4" w:space="0" w:color="auto"/>
              <w:left w:val="nil"/>
              <w:bottom w:val="single" w:sz="4" w:space="0" w:color="auto"/>
              <w:right w:val="nil"/>
            </w:tcBorders>
            <w:shd w:val="clear" w:color="auto" w:fill="FFFFFF" w:themeFill="background1"/>
            <w:noWrap/>
            <w:vAlign w:val="bottom"/>
            <w:hideMark/>
          </w:tcPr>
          <w:p w14:paraId="3DB8024B" w14:textId="4A52035F"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Net cash</w:t>
            </w:r>
            <w:r w:rsidR="00D63A32">
              <w:rPr>
                <w:rFonts w:ascii="Calibri" w:eastAsia="Times New Roman" w:hAnsi="Calibri" w:cs="Calibri"/>
                <w:b/>
                <w:bCs/>
                <w:lang w:eastAsia="en-GB"/>
              </w:rPr>
              <w:t xml:space="preserve"> </w:t>
            </w:r>
            <w:r w:rsidRPr="00BE6F77">
              <w:rPr>
                <w:rFonts w:ascii="Calibri" w:eastAsia="Times New Roman" w:hAnsi="Calibri" w:cs="Calibri"/>
                <w:b/>
                <w:bCs/>
                <w:lang w:eastAsia="en-GB"/>
              </w:rPr>
              <w:t>flows from financing activities</w:t>
            </w:r>
          </w:p>
        </w:tc>
        <w:tc>
          <w:tcPr>
            <w:tcW w:w="148" w:type="pct"/>
            <w:tcBorders>
              <w:top w:val="single" w:sz="4" w:space="0" w:color="auto"/>
              <w:left w:val="nil"/>
              <w:bottom w:val="single" w:sz="4" w:space="0" w:color="auto"/>
              <w:right w:val="nil"/>
            </w:tcBorders>
            <w:shd w:val="clear" w:color="auto" w:fill="FFFFFF" w:themeFill="background1"/>
            <w:noWrap/>
            <w:vAlign w:val="bottom"/>
            <w:hideMark/>
          </w:tcPr>
          <w:p w14:paraId="573CDA60"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single" w:sz="4" w:space="0" w:color="auto"/>
              <w:left w:val="nil"/>
              <w:bottom w:val="single" w:sz="4" w:space="0" w:color="auto"/>
              <w:right w:val="nil"/>
            </w:tcBorders>
            <w:shd w:val="clear" w:color="auto" w:fill="FFE1E1"/>
            <w:noWrap/>
            <w:vAlign w:val="bottom"/>
            <w:hideMark/>
          </w:tcPr>
          <w:p w14:paraId="54927AA0" w14:textId="3ED40FD3" w:rsidR="00BE6F77" w:rsidRPr="00BE6F77" w:rsidRDefault="00E64AC6" w:rsidP="00BE6F77">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1</w:t>
            </w:r>
          </w:p>
        </w:tc>
      </w:tr>
      <w:tr w:rsidR="00BE6F77" w:rsidRPr="00BE6F77" w14:paraId="330AE0AD" w14:textId="77777777" w:rsidTr="4043F802">
        <w:trPr>
          <w:trHeight w:val="300"/>
        </w:trPr>
        <w:tc>
          <w:tcPr>
            <w:tcW w:w="768" w:type="pct"/>
            <w:tcBorders>
              <w:top w:val="nil"/>
              <w:left w:val="nil"/>
              <w:bottom w:val="single" w:sz="4" w:space="0" w:color="auto"/>
              <w:right w:val="nil"/>
            </w:tcBorders>
            <w:shd w:val="clear" w:color="auto" w:fill="FFFFFF" w:themeFill="background1"/>
            <w:noWrap/>
            <w:vAlign w:val="bottom"/>
            <w:hideMark/>
          </w:tcPr>
          <w:p w14:paraId="03CF5A2D" w14:textId="19D3626E" w:rsidR="00BE6F77" w:rsidRPr="00BE6F77" w:rsidRDefault="2993E46B" w:rsidP="00BE6F77">
            <w:pPr>
              <w:spacing w:line="240" w:lineRule="auto"/>
              <w:jc w:val="right"/>
              <w:rPr>
                <w:rFonts w:ascii="Calibri" w:eastAsia="Times New Roman" w:hAnsi="Calibri" w:cs="Calibri"/>
                <w:b/>
                <w:bCs/>
                <w:lang w:eastAsia="en-GB"/>
              </w:rPr>
            </w:pPr>
            <w:r w:rsidRPr="2489FF24">
              <w:rPr>
                <w:rFonts w:ascii="Calibri" w:eastAsia="Times New Roman" w:hAnsi="Calibri" w:cs="Calibri"/>
                <w:b/>
                <w:bCs/>
                <w:lang w:eastAsia="en-GB"/>
              </w:rPr>
              <w:t>(1,8</w:t>
            </w:r>
            <w:r w:rsidR="1C02A30E" w:rsidRPr="2489FF24">
              <w:rPr>
                <w:rFonts w:ascii="Calibri" w:eastAsia="Times New Roman" w:hAnsi="Calibri" w:cs="Calibri"/>
                <w:b/>
                <w:bCs/>
                <w:lang w:eastAsia="en-GB"/>
              </w:rPr>
              <w:t>5</w:t>
            </w:r>
            <w:r w:rsidRPr="2489FF24">
              <w:rPr>
                <w:rFonts w:ascii="Calibri" w:eastAsia="Times New Roman" w:hAnsi="Calibri" w:cs="Calibri"/>
                <w:b/>
                <w:bCs/>
                <w:lang w:eastAsia="en-GB"/>
              </w:rPr>
              <w:t>9)</w:t>
            </w:r>
          </w:p>
        </w:tc>
        <w:tc>
          <w:tcPr>
            <w:tcW w:w="3260" w:type="pct"/>
            <w:tcBorders>
              <w:top w:val="nil"/>
              <w:left w:val="nil"/>
              <w:bottom w:val="single" w:sz="4" w:space="0" w:color="auto"/>
              <w:right w:val="nil"/>
            </w:tcBorders>
            <w:shd w:val="clear" w:color="auto" w:fill="FFFFFF" w:themeFill="background1"/>
            <w:noWrap/>
            <w:vAlign w:val="bottom"/>
            <w:hideMark/>
          </w:tcPr>
          <w:p w14:paraId="44C32D6A"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Net Increase /(Decrease) in cash and cash equivalents</w:t>
            </w:r>
          </w:p>
        </w:tc>
        <w:tc>
          <w:tcPr>
            <w:tcW w:w="148" w:type="pct"/>
            <w:tcBorders>
              <w:top w:val="nil"/>
              <w:left w:val="nil"/>
              <w:bottom w:val="single" w:sz="4" w:space="0" w:color="auto"/>
              <w:right w:val="nil"/>
            </w:tcBorders>
            <w:shd w:val="clear" w:color="auto" w:fill="FFFFFF" w:themeFill="background1"/>
            <w:noWrap/>
            <w:vAlign w:val="bottom"/>
            <w:hideMark/>
          </w:tcPr>
          <w:p w14:paraId="0EB216C6"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nil"/>
              <w:left w:val="nil"/>
              <w:bottom w:val="single" w:sz="4" w:space="0" w:color="auto"/>
              <w:right w:val="nil"/>
            </w:tcBorders>
            <w:shd w:val="clear" w:color="auto" w:fill="FFE1E1"/>
            <w:noWrap/>
            <w:vAlign w:val="bottom"/>
            <w:hideMark/>
          </w:tcPr>
          <w:p w14:paraId="6120668C" w14:textId="26121052"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1,26</w:t>
            </w:r>
            <w:r w:rsidR="00E64AC6">
              <w:rPr>
                <w:rFonts w:ascii="Calibri" w:eastAsia="Times New Roman" w:hAnsi="Calibri" w:cs="Calibri"/>
                <w:b/>
                <w:bCs/>
                <w:lang w:eastAsia="en-GB"/>
              </w:rPr>
              <w:t>2</w:t>
            </w:r>
          </w:p>
        </w:tc>
      </w:tr>
      <w:tr w:rsidR="00BE6F77" w:rsidRPr="00BE6F77" w14:paraId="02CF1A1F"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435A2231"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4,203</w:t>
            </w:r>
          </w:p>
        </w:tc>
        <w:tc>
          <w:tcPr>
            <w:tcW w:w="3260" w:type="pct"/>
            <w:tcBorders>
              <w:top w:val="nil"/>
              <w:left w:val="nil"/>
              <w:bottom w:val="nil"/>
              <w:right w:val="nil"/>
            </w:tcBorders>
            <w:shd w:val="clear" w:color="auto" w:fill="FFFFFF" w:themeFill="background1"/>
            <w:noWrap/>
            <w:vAlign w:val="bottom"/>
            <w:hideMark/>
          </w:tcPr>
          <w:p w14:paraId="73DE875E"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Cash and Cash equivalents at the beginning of the reporting period</w:t>
            </w:r>
          </w:p>
        </w:tc>
        <w:tc>
          <w:tcPr>
            <w:tcW w:w="148" w:type="pct"/>
            <w:tcBorders>
              <w:top w:val="nil"/>
              <w:left w:val="nil"/>
              <w:bottom w:val="nil"/>
              <w:right w:val="nil"/>
            </w:tcBorders>
            <w:shd w:val="clear" w:color="auto" w:fill="FFFFFF" w:themeFill="background1"/>
            <w:noWrap/>
            <w:vAlign w:val="bottom"/>
            <w:hideMark/>
          </w:tcPr>
          <w:p w14:paraId="3AFC0B9F"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7256B0F2" w14:textId="77777777" w:rsidR="00BE6F77" w:rsidRPr="00BE6F77" w:rsidRDefault="00BE6F77" w:rsidP="00BE6F77">
            <w:pPr>
              <w:spacing w:line="240" w:lineRule="auto"/>
              <w:jc w:val="right"/>
              <w:rPr>
                <w:rFonts w:ascii="Calibri" w:eastAsia="Times New Roman" w:hAnsi="Calibri" w:cs="Calibri"/>
                <w:lang w:eastAsia="en-GB"/>
              </w:rPr>
            </w:pPr>
            <w:r w:rsidRPr="00BE6F77">
              <w:rPr>
                <w:rFonts w:ascii="Calibri" w:eastAsia="Times New Roman" w:hAnsi="Calibri" w:cs="Calibri"/>
                <w:lang w:eastAsia="en-GB"/>
              </w:rPr>
              <w:t>2,344</w:t>
            </w:r>
          </w:p>
        </w:tc>
      </w:tr>
      <w:tr w:rsidR="00BE6F77" w:rsidRPr="00BE6F77" w14:paraId="47AD9FAE" w14:textId="77777777" w:rsidTr="4043F802">
        <w:trPr>
          <w:trHeight w:val="300"/>
        </w:trPr>
        <w:tc>
          <w:tcPr>
            <w:tcW w:w="768" w:type="pct"/>
            <w:tcBorders>
              <w:top w:val="nil"/>
              <w:left w:val="nil"/>
              <w:bottom w:val="nil"/>
              <w:right w:val="nil"/>
            </w:tcBorders>
            <w:shd w:val="clear" w:color="auto" w:fill="FFFFFF" w:themeFill="background1"/>
            <w:noWrap/>
            <w:vAlign w:val="bottom"/>
            <w:hideMark/>
          </w:tcPr>
          <w:p w14:paraId="5E29C172" w14:textId="77777777"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3260" w:type="pct"/>
            <w:tcBorders>
              <w:top w:val="nil"/>
              <w:left w:val="nil"/>
              <w:bottom w:val="nil"/>
              <w:right w:val="nil"/>
            </w:tcBorders>
            <w:shd w:val="clear" w:color="auto" w:fill="FFFFFF" w:themeFill="background1"/>
            <w:noWrap/>
            <w:vAlign w:val="bottom"/>
            <w:hideMark/>
          </w:tcPr>
          <w:p w14:paraId="02EF1660"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148" w:type="pct"/>
            <w:tcBorders>
              <w:top w:val="nil"/>
              <w:left w:val="nil"/>
              <w:bottom w:val="nil"/>
              <w:right w:val="nil"/>
            </w:tcBorders>
            <w:shd w:val="clear" w:color="auto" w:fill="FFFFFF" w:themeFill="background1"/>
            <w:noWrap/>
            <w:vAlign w:val="bottom"/>
            <w:hideMark/>
          </w:tcPr>
          <w:p w14:paraId="293A10D5" w14:textId="77777777" w:rsidR="00BE6F77" w:rsidRPr="00BE6F77" w:rsidRDefault="00BE6F77" w:rsidP="00BE6F77">
            <w:pPr>
              <w:spacing w:line="240" w:lineRule="auto"/>
              <w:jc w:val="left"/>
              <w:rPr>
                <w:rFonts w:ascii="Calibri" w:eastAsia="Times New Roman" w:hAnsi="Calibri" w:cs="Calibri"/>
                <w:lang w:eastAsia="en-GB"/>
              </w:rPr>
            </w:pPr>
            <w:r w:rsidRPr="00BE6F77">
              <w:rPr>
                <w:rFonts w:ascii="Calibri" w:eastAsia="Times New Roman" w:hAnsi="Calibri" w:cs="Calibri"/>
                <w:lang w:eastAsia="en-GB"/>
              </w:rPr>
              <w:t> </w:t>
            </w:r>
          </w:p>
        </w:tc>
        <w:tc>
          <w:tcPr>
            <w:tcW w:w="824" w:type="pct"/>
            <w:tcBorders>
              <w:top w:val="nil"/>
              <w:left w:val="nil"/>
              <w:bottom w:val="nil"/>
              <w:right w:val="nil"/>
            </w:tcBorders>
            <w:shd w:val="clear" w:color="auto" w:fill="FFE1E1"/>
            <w:noWrap/>
            <w:vAlign w:val="bottom"/>
            <w:hideMark/>
          </w:tcPr>
          <w:p w14:paraId="33A47873" w14:textId="77777777"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 </w:t>
            </w:r>
          </w:p>
        </w:tc>
      </w:tr>
      <w:tr w:rsidR="00BE6F77" w:rsidRPr="00BE6F77" w14:paraId="38038592" w14:textId="77777777" w:rsidTr="4043F802">
        <w:trPr>
          <w:trHeight w:val="300"/>
        </w:trPr>
        <w:tc>
          <w:tcPr>
            <w:tcW w:w="768" w:type="pct"/>
            <w:tcBorders>
              <w:top w:val="single" w:sz="4" w:space="0" w:color="auto"/>
              <w:left w:val="nil"/>
              <w:bottom w:val="single" w:sz="4" w:space="0" w:color="auto"/>
              <w:right w:val="nil"/>
            </w:tcBorders>
            <w:shd w:val="clear" w:color="auto" w:fill="FFFFFF" w:themeFill="background1"/>
            <w:noWrap/>
            <w:vAlign w:val="bottom"/>
            <w:hideMark/>
          </w:tcPr>
          <w:p w14:paraId="6AD3B01F" w14:textId="0D4AFCB8" w:rsidR="00BE6F77" w:rsidRPr="00BE6F77" w:rsidRDefault="2993E46B" w:rsidP="00BE6F77">
            <w:pPr>
              <w:spacing w:line="240" w:lineRule="auto"/>
              <w:jc w:val="right"/>
              <w:rPr>
                <w:rFonts w:ascii="Calibri" w:eastAsia="Times New Roman" w:hAnsi="Calibri" w:cs="Calibri"/>
                <w:b/>
                <w:bCs/>
                <w:lang w:eastAsia="en-GB"/>
              </w:rPr>
            </w:pPr>
            <w:r w:rsidRPr="2489FF24">
              <w:rPr>
                <w:rFonts w:ascii="Calibri" w:eastAsia="Times New Roman" w:hAnsi="Calibri" w:cs="Calibri"/>
                <w:b/>
                <w:bCs/>
                <w:lang w:eastAsia="en-GB"/>
              </w:rPr>
              <w:t>2,3</w:t>
            </w:r>
            <w:r w:rsidR="3A6551FC" w:rsidRPr="2489FF24">
              <w:rPr>
                <w:rFonts w:ascii="Calibri" w:eastAsia="Times New Roman" w:hAnsi="Calibri" w:cs="Calibri"/>
                <w:b/>
                <w:bCs/>
                <w:lang w:eastAsia="en-GB"/>
              </w:rPr>
              <w:t>44</w:t>
            </w:r>
          </w:p>
        </w:tc>
        <w:tc>
          <w:tcPr>
            <w:tcW w:w="3260" w:type="pct"/>
            <w:tcBorders>
              <w:top w:val="single" w:sz="4" w:space="0" w:color="auto"/>
              <w:left w:val="nil"/>
              <w:bottom w:val="single" w:sz="4" w:space="0" w:color="auto"/>
              <w:right w:val="nil"/>
            </w:tcBorders>
            <w:shd w:val="clear" w:color="auto" w:fill="FFFFFF" w:themeFill="background1"/>
            <w:noWrap/>
            <w:vAlign w:val="bottom"/>
            <w:hideMark/>
          </w:tcPr>
          <w:p w14:paraId="56189444"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Cash and Cash equivalents at the end of the reporting period</w:t>
            </w:r>
          </w:p>
        </w:tc>
        <w:tc>
          <w:tcPr>
            <w:tcW w:w="148" w:type="pct"/>
            <w:tcBorders>
              <w:top w:val="single" w:sz="4" w:space="0" w:color="auto"/>
              <w:left w:val="nil"/>
              <w:bottom w:val="single" w:sz="4" w:space="0" w:color="auto"/>
              <w:right w:val="nil"/>
            </w:tcBorders>
            <w:shd w:val="clear" w:color="auto" w:fill="FFFFFF" w:themeFill="background1"/>
            <w:noWrap/>
            <w:vAlign w:val="bottom"/>
            <w:hideMark/>
          </w:tcPr>
          <w:p w14:paraId="07FCCA0D" w14:textId="77777777" w:rsidR="00BE6F77" w:rsidRPr="00BE6F77" w:rsidRDefault="00BE6F77" w:rsidP="00BE6F77">
            <w:pPr>
              <w:spacing w:line="240" w:lineRule="auto"/>
              <w:jc w:val="left"/>
              <w:rPr>
                <w:rFonts w:ascii="Calibri" w:eastAsia="Times New Roman" w:hAnsi="Calibri" w:cs="Calibri"/>
                <w:b/>
                <w:bCs/>
                <w:lang w:eastAsia="en-GB"/>
              </w:rPr>
            </w:pPr>
            <w:r w:rsidRPr="00BE6F77">
              <w:rPr>
                <w:rFonts w:ascii="Calibri" w:eastAsia="Times New Roman" w:hAnsi="Calibri" w:cs="Calibri"/>
                <w:b/>
                <w:bCs/>
                <w:lang w:eastAsia="en-GB"/>
              </w:rPr>
              <w:t> </w:t>
            </w:r>
          </w:p>
        </w:tc>
        <w:tc>
          <w:tcPr>
            <w:tcW w:w="824" w:type="pct"/>
            <w:tcBorders>
              <w:top w:val="single" w:sz="4" w:space="0" w:color="auto"/>
              <w:left w:val="nil"/>
              <w:bottom w:val="single" w:sz="4" w:space="0" w:color="auto"/>
              <w:right w:val="nil"/>
            </w:tcBorders>
            <w:shd w:val="clear" w:color="auto" w:fill="FFE1E1"/>
            <w:noWrap/>
            <w:vAlign w:val="bottom"/>
            <w:hideMark/>
          </w:tcPr>
          <w:p w14:paraId="07E003EE" w14:textId="5754E639" w:rsidR="00BE6F77" w:rsidRPr="00BE6F77" w:rsidRDefault="00BE6F77" w:rsidP="00BE6F77">
            <w:pPr>
              <w:spacing w:line="240" w:lineRule="auto"/>
              <w:jc w:val="right"/>
              <w:rPr>
                <w:rFonts w:ascii="Calibri" w:eastAsia="Times New Roman" w:hAnsi="Calibri" w:cs="Calibri"/>
                <w:b/>
                <w:bCs/>
                <w:lang w:eastAsia="en-GB"/>
              </w:rPr>
            </w:pPr>
            <w:r w:rsidRPr="00BE6F77">
              <w:rPr>
                <w:rFonts w:ascii="Calibri" w:eastAsia="Times New Roman" w:hAnsi="Calibri" w:cs="Calibri"/>
                <w:b/>
                <w:bCs/>
                <w:lang w:eastAsia="en-GB"/>
              </w:rPr>
              <w:t>3,60</w:t>
            </w:r>
            <w:r w:rsidR="00E64AC6">
              <w:rPr>
                <w:rFonts w:ascii="Calibri" w:eastAsia="Times New Roman" w:hAnsi="Calibri" w:cs="Calibri"/>
                <w:b/>
                <w:bCs/>
                <w:lang w:eastAsia="en-GB"/>
              </w:rPr>
              <w:t>6</w:t>
            </w:r>
          </w:p>
        </w:tc>
      </w:tr>
    </w:tbl>
    <w:p w14:paraId="69357B9B" w14:textId="63515F13" w:rsidR="007E5632" w:rsidRDefault="2B41BAD5" w:rsidP="2489FF24">
      <w:pPr>
        <w:rPr>
          <w:rFonts w:ascii="Calibri" w:eastAsia="Calibri" w:hAnsi="Calibri" w:cs="Calibri"/>
          <w:sz w:val="16"/>
          <w:szCs w:val="16"/>
        </w:rPr>
        <w:sectPr w:rsidR="007E5632" w:rsidSect="00C2178B">
          <w:pgSz w:w="11906" w:h="16838"/>
          <w:pgMar w:top="851" w:right="680" w:bottom="851" w:left="851" w:header="680" w:footer="0" w:gutter="0"/>
          <w:cols w:space="708"/>
          <w:docGrid w:linePitch="360"/>
        </w:sectPr>
      </w:pPr>
      <w:r w:rsidRPr="2489FF24">
        <w:rPr>
          <w:rStyle w:val="EndnoteReference"/>
          <w:rFonts w:cstheme="minorBidi"/>
        </w:rPr>
        <w:t>*</w:t>
      </w:r>
      <w:r w:rsidRPr="2489FF24">
        <w:rPr>
          <w:rFonts w:ascii="Aptos Narrow" w:eastAsia="Aptos Narrow" w:hAnsi="Aptos Narrow" w:cs="Aptos Narrow"/>
          <w:color w:val="242424"/>
        </w:rPr>
        <w:t xml:space="preserve"> </w:t>
      </w:r>
      <w:r w:rsidRPr="2489FF24">
        <w:rPr>
          <w:rFonts w:ascii="Aptos Narrow" w:eastAsia="Aptos Narrow" w:hAnsi="Aptos Narrow" w:cs="Aptos Narrow"/>
          <w:color w:val="242424"/>
          <w:sz w:val="16"/>
          <w:szCs w:val="16"/>
        </w:rPr>
        <w:t>Prior-year figures have been restated to present the information on a more detailed basis. See note 41 for further information.</w:t>
      </w:r>
    </w:p>
    <w:p w14:paraId="6AE223C5" w14:textId="0C9BE0B5" w:rsidR="00103626" w:rsidRPr="002E088F" w:rsidRDefault="006F2E9F" w:rsidP="002A1ADD">
      <w:pPr>
        <w:pStyle w:val="ChapterHeading"/>
      </w:pPr>
      <w:r w:rsidRPr="002E088F">
        <w:lastRenderedPageBreak/>
        <w:t xml:space="preserve">Notes </w:t>
      </w:r>
      <w:r w:rsidR="00EE19D0" w:rsidRPr="002E088F">
        <w:t>t</w:t>
      </w:r>
      <w:r w:rsidRPr="002E088F">
        <w:t xml:space="preserve">o </w:t>
      </w:r>
      <w:r w:rsidR="00EE19D0" w:rsidRPr="002E088F">
        <w:t>t</w:t>
      </w:r>
      <w:r w:rsidRPr="002E088F">
        <w:t xml:space="preserve">he Accounts </w:t>
      </w:r>
    </w:p>
    <w:p w14:paraId="4048CD97" w14:textId="39AB06FD" w:rsidR="00767613" w:rsidRPr="0090730A" w:rsidRDefault="00103626" w:rsidP="00F40B08">
      <w:r w:rsidRPr="00635F47">
        <w:t xml:space="preserve">The notes provided in the following pages are intended to aid interpretation of the financial statements set out </w:t>
      </w:r>
      <w:r w:rsidR="006F2E9F">
        <w:t>above</w:t>
      </w:r>
      <w:r w:rsidRPr="00507FAB">
        <w:t xml:space="preserve"> and provide</w:t>
      </w:r>
      <w:r w:rsidRPr="00635F47">
        <w:t xml:space="preserve"> further information upon the financial perform</w:t>
      </w:r>
      <w:r w:rsidR="004F5BD2" w:rsidRPr="00635F47">
        <w:t>ance of the Authority during 202</w:t>
      </w:r>
      <w:r w:rsidR="00EB1602">
        <w:t>4</w:t>
      </w:r>
      <w:r w:rsidRPr="00635F47">
        <w:t>/</w:t>
      </w:r>
      <w:r w:rsidR="004F5BD2" w:rsidRPr="00635F47">
        <w:t>2</w:t>
      </w:r>
      <w:r w:rsidR="00EB1602">
        <w:t>5</w:t>
      </w:r>
      <w:r w:rsidRPr="00635F47">
        <w:t xml:space="preserve">. </w:t>
      </w:r>
    </w:p>
    <w:p w14:paraId="361F0E75" w14:textId="77777777" w:rsidR="00180BF8" w:rsidRPr="000B0EE6" w:rsidRDefault="00180BF8" w:rsidP="00F40B08">
      <w:pPr>
        <w:rPr>
          <w:sz w:val="16"/>
          <w:szCs w:val="16"/>
        </w:rPr>
      </w:pPr>
    </w:p>
    <w:p w14:paraId="65647B9D" w14:textId="6E52AE86" w:rsidR="00106E16" w:rsidRPr="006A4726" w:rsidRDefault="00106E16" w:rsidP="00927E96">
      <w:pPr>
        <w:pStyle w:val="VAHeadingLevel2"/>
      </w:pPr>
      <w:r w:rsidRPr="006A4726">
        <w:t xml:space="preserve">Note 1. </w:t>
      </w:r>
      <w:r w:rsidR="00625C13">
        <w:t>Expenditure and Funding Analysis (</w:t>
      </w:r>
      <w:r w:rsidR="0092276C">
        <w:t>EFA</w:t>
      </w:r>
      <w:r w:rsidR="00625C13">
        <w:t>)</w:t>
      </w:r>
    </w:p>
    <w:p w14:paraId="60E0DDE9" w14:textId="1771228B" w:rsidR="0037030D" w:rsidRDefault="00175E5E" w:rsidP="00F40B08">
      <w:r w:rsidRPr="00175E5E">
        <w:t>The Expenditure and Funding Analysis shows how annual expenditure is used and funded from resources in comparison with those resources consumed or earned by authorities in accordance with generally accepted accounting practices.</w:t>
      </w:r>
    </w:p>
    <w:p w14:paraId="6ACFDEED" w14:textId="77777777" w:rsidR="00585474" w:rsidRDefault="00585474" w:rsidP="00F40B08"/>
    <w:tbl>
      <w:tblPr>
        <w:tblW w:w="0" w:type="auto"/>
        <w:tblLook w:val="04A0" w:firstRow="1" w:lastRow="0" w:firstColumn="1" w:lastColumn="0" w:noHBand="0" w:noVBand="1"/>
      </w:tblPr>
      <w:tblGrid>
        <w:gridCol w:w="1216"/>
        <w:gridCol w:w="1359"/>
        <w:gridCol w:w="1072"/>
        <w:gridCol w:w="3082"/>
        <w:gridCol w:w="1215"/>
        <w:gridCol w:w="1359"/>
        <w:gridCol w:w="1072"/>
      </w:tblGrid>
      <w:tr w:rsidR="005F2A85" w:rsidRPr="00CC4E2C" w14:paraId="243D339C" w14:textId="77777777" w:rsidTr="00337E55">
        <w:trPr>
          <w:trHeight w:val="950"/>
        </w:trPr>
        <w:tc>
          <w:tcPr>
            <w:tcW w:w="0" w:type="auto"/>
            <w:tcBorders>
              <w:top w:val="nil"/>
              <w:left w:val="nil"/>
              <w:bottom w:val="nil"/>
              <w:right w:val="nil"/>
            </w:tcBorders>
            <w:shd w:val="clear" w:color="000000" w:fill="AB2328"/>
            <w:hideMark/>
          </w:tcPr>
          <w:p w14:paraId="36F47C81"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Net Surplus Chargeable to the General Fund</w:t>
            </w:r>
          </w:p>
        </w:tc>
        <w:tc>
          <w:tcPr>
            <w:tcW w:w="0" w:type="auto"/>
            <w:tcBorders>
              <w:top w:val="nil"/>
              <w:left w:val="nil"/>
              <w:bottom w:val="nil"/>
              <w:right w:val="nil"/>
            </w:tcBorders>
            <w:shd w:val="clear" w:color="000000" w:fill="AB2328"/>
            <w:hideMark/>
          </w:tcPr>
          <w:p w14:paraId="5C5932D5"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Adjustments between Funding and Accounting Basis</w:t>
            </w:r>
          </w:p>
        </w:tc>
        <w:tc>
          <w:tcPr>
            <w:tcW w:w="0" w:type="auto"/>
            <w:tcBorders>
              <w:top w:val="nil"/>
              <w:left w:val="nil"/>
              <w:bottom w:val="nil"/>
              <w:right w:val="nil"/>
            </w:tcBorders>
            <w:shd w:val="clear" w:color="000000" w:fill="AB2328"/>
            <w:hideMark/>
          </w:tcPr>
          <w:p w14:paraId="65000AA4"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2023/24 Net Surplus in the CIES*</w:t>
            </w:r>
          </w:p>
        </w:tc>
        <w:tc>
          <w:tcPr>
            <w:tcW w:w="0" w:type="auto"/>
            <w:tcBorders>
              <w:top w:val="nil"/>
              <w:left w:val="nil"/>
              <w:bottom w:val="nil"/>
              <w:right w:val="nil"/>
            </w:tcBorders>
            <w:shd w:val="clear" w:color="000000" w:fill="AB2328"/>
            <w:hideMark/>
          </w:tcPr>
          <w:p w14:paraId="4DA519AF"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 </w:t>
            </w:r>
          </w:p>
        </w:tc>
        <w:tc>
          <w:tcPr>
            <w:tcW w:w="0" w:type="auto"/>
            <w:tcBorders>
              <w:top w:val="nil"/>
              <w:left w:val="nil"/>
              <w:bottom w:val="nil"/>
              <w:right w:val="nil"/>
            </w:tcBorders>
            <w:shd w:val="clear" w:color="000000" w:fill="AB2328"/>
            <w:hideMark/>
          </w:tcPr>
          <w:p w14:paraId="51D71BD3"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Net Surplus Chargeable to the General Fund</w:t>
            </w:r>
          </w:p>
        </w:tc>
        <w:tc>
          <w:tcPr>
            <w:tcW w:w="0" w:type="auto"/>
            <w:tcBorders>
              <w:top w:val="nil"/>
              <w:left w:val="nil"/>
              <w:bottom w:val="nil"/>
              <w:right w:val="nil"/>
            </w:tcBorders>
            <w:shd w:val="clear" w:color="000000" w:fill="AB2328"/>
            <w:hideMark/>
          </w:tcPr>
          <w:p w14:paraId="445351E8"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Adjustments between Funding and Accounting Basis</w:t>
            </w:r>
          </w:p>
        </w:tc>
        <w:tc>
          <w:tcPr>
            <w:tcW w:w="0" w:type="auto"/>
            <w:tcBorders>
              <w:top w:val="nil"/>
              <w:left w:val="nil"/>
              <w:bottom w:val="nil"/>
              <w:right w:val="nil"/>
            </w:tcBorders>
            <w:shd w:val="clear" w:color="000000" w:fill="AB2328"/>
            <w:hideMark/>
          </w:tcPr>
          <w:p w14:paraId="4B7A0C78" w14:textId="77777777" w:rsidR="00CC4E2C" w:rsidRPr="00CC4E2C" w:rsidRDefault="00CC4E2C" w:rsidP="00CC4E2C">
            <w:pPr>
              <w:spacing w:line="240" w:lineRule="auto"/>
              <w:jc w:val="right"/>
              <w:rPr>
                <w:rFonts w:ascii="Calibri" w:eastAsia="Times New Roman" w:hAnsi="Calibri" w:cs="Calibri"/>
                <w:b/>
                <w:bCs/>
                <w:color w:val="FFFFFF"/>
                <w:sz w:val="18"/>
                <w:szCs w:val="18"/>
                <w:lang w:eastAsia="en-GB"/>
              </w:rPr>
            </w:pPr>
            <w:r w:rsidRPr="00CC4E2C">
              <w:rPr>
                <w:rFonts w:ascii="Calibri" w:eastAsia="Times New Roman" w:hAnsi="Calibri" w:cs="Calibri"/>
                <w:b/>
                <w:bCs/>
                <w:color w:val="FFFFFF"/>
                <w:sz w:val="18"/>
                <w:szCs w:val="18"/>
                <w:lang w:eastAsia="en-GB"/>
              </w:rPr>
              <w:t>2024/25 Net Surplus in the CIES*</w:t>
            </w:r>
          </w:p>
        </w:tc>
      </w:tr>
      <w:tr w:rsidR="005F2A85" w:rsidRPr="00CC4E2C" w14:paraId="31DDB99F" w14:textId="77777777" w:rsidTr="00337E55">
        <w:trPr>
          <w:trHeight w:val="290"/>
        </w:trPr>
        <w:tc>
          <w:tcPr>
            <w:tcW w:w="0" w:type="auto"/>
            <w:tcBorders>
              <w:top w:val="nil"/>
              <w:left w:val="nil"/>
              <w:bottom w:val="nil"/>
              <w:right w:val="nil"/>
            </w:tcBorders>
            <w:shd w:val="clear" w:color="000000" w:fill="AB2328"/>
            <w:noWrap/>
            <w:hideMark/>
          </w:tcPr>
          <w:p w14:paraId="5AF19D3F"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c>
          <w:tcPr>
            <w:tcW w:w="0" w:type="auto"/>
            <w:tcBorders>
              <w:top w:val="nil"/>
              <w:left w:val="nil"/>
              <w:bottom w:val="nil"/>
              <w:right w:val="nil"/>
            </w:tcBorders>
            <w:shd w:val="clear" w:color="000000" w:fill="AB2328"/>
            <w:noWrap/>
            <w:hideMark/>
          </w:tcPr>
          <w:p w14:paraId="022A4EDC"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c>
          <w:tcPr>
            <w:tcW w:w="0" w:type="auto"/>
            <w:tcBorders>
              <w:top w:val="nil"/>
              <w:left w:val="nil"/>
              <w:bottom w:val="nil"/>
              <w:right w:val="nil"/>
            </w:tcBorders>
            <w:shd w:val="clear" w:color="000000" w:fill="AB2328"/>
            <w:noWrap/>
            <w:hideMark/>
          </w:tcPr>
          <w:p w14:paraId="2C2000A6"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c>
          <w:tcPr>
            <w:tcW w:w="0" w:type="auto"/>
            <w:tcBorders>
              <w:top w:val="nil"/>
              <w:left w:val="nil"/>
              <w:bottom w:val="nil"/>
              <w:right w:val="nil"/>
            </w:tcBorders>
            <w:shd w:val="clear" w:color="000000" w:fill="AB2328"/>
            <w:noWrap/>
            <w:hideMark/>
          </w:tcPr>
          <w:p w14:paraId="62C5B905"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 </w:t>
            </w:r>
          </w:p>
        </w:tc>
        <w:tc>
          <w:tcPr>
            <w:tcW w:w="0" w:type="auto"/>
            <w:tcBorders>
              <w:top w:val="nil"/>
              <w:left w:val="nil"/>
              <w:bottom w:val="nil"/>
              <w:right w:val="nil"/>
            </w:tcBorders>
            <w:shd w:val="clear" w:color="000000" w:fill="AB2328"/>
            <w:noWrap/>
            <w:hideMark/>
          </w:tcPr>
          <w:p w14:paraId="5657E80E"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c>
          <w:tcPr>
            <w:tcW w:w="0" w:type="auto"/>
            <w:tcBorders>
              <w:top w:val="nil"/>
              <w:left w:val="nil"/>
              <w:bottom w:val="nil"/>
              <w:right w:val="nil"/>
            </w:tcBorders>
            <w:shd w:val="clear" w:color="000000" w:fill="AB2328"/>
            <w:noWrap/>
            <w:hideMark/>
          </w:tcPr>
          <w:p w14:paraId="056E48DE"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c>
          <w:tcPr>
            <w:tcW w:w="0" w:type="auto"/>
            <w:tcBorders>
              <w:top w:val="nil"/>
              <w:left w:val="nil"/>
              <w:bottom w:val="nil"/>
              <w:right w:val="nil"/>
            </w:tcBorders>
            <w:shd w:val="clear" w:color="000000" w:fill="AB2328"/>
            <w:noWrap/>
            <w:hideMark/>
          </w:tcPr>
          <w:p w14:paraId="72EE0FB6" w14:textId="77777777" w:rsidR="00CC4E2C" w:rsidRPr="00CC4E2C" w:rsidRDefault="00CC4E2C" w:rsidP="00CC4E2C">
            <w:pPr>
              <w:spacing w:line="240" w:lineRule="auto"/>
              <w:jc w:val="right"/>
              <w:rPr>
                <w:rFonts w:ascii="Calibri" w:eastAsia="Times New Roman" w:hAnsi="Calibri" w:cs="Calibri"/>
                <w:b/>
                <w:bCs/>
                <w:color w:val="FFFFFF"/>
                <w:lang w:eastAsia="en-GB"/>
              </w:rPr>
            </w:pPr>
            <w:r w:rsidRPr="00CC4E2C">
              <w:rPr>
                <w:rFonts w:ascii="Calibri" w:eastAsia="Times New Roman" w:hAnsi="Calibri" w:cs="Calibri"/>
                <w:b/>
                <w:bCs/>
                <w:color w:val="FFFFFF"/>
                <w:lang w:eastAsia="en-GB"/>
              </w:rPr>
              <w:t>£000</w:t>
            </w:r>
          </w:p>
        </w:tc>
      </w:tr>
      <w:tr w:rsidR="005F2A85" w:rsidRPr="00CC4E2C" w14:paraId="66DEC51B" w14:textId="77777777" w:rsidTr="00337E55">
        <w:trPr>
          <w:trHeight w:val="290"/>
        </w:trPr>
        <w:tc>
          <w:tcPr>
            <w:tcW w:w="0" w:type="auto"/>
            <w:tcBorders>
              <w:top w:val="nil"/>
              <w:left w:val="nil"/>
              <w:bottom w:val="nil"/>
              <w:right w:val="nil"/>
            </w:tcBorders>
            <w:shd w:val="clear" w:color="000000" w:fill="FFFFFF"/>
            <w:noWrap/>
            <w:vAlign w:val="bottom"/>
            <w:hideMark/>
          </w:tcPr>
          <w:p w14:paraId="2226D005"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18,459</w:t>
            </w:r>
          </w:p>
        </w:tc>
        <w:tc>
          <w:tcPr>
            <w:tcW w:w="0" w:type="auto"/>
            <w:tcBorders>
              <w:top w:val="nil"/>
              <w:left w:val="nil"/>
              <w:bottom w:val="nil"/>
              <w:right w:val="nil"/>
            </w:tcBorders>
            <w:shd w:val="clear" w:color="000000" w:fill="FFFFFF"/>
            <w:noWrap/>
            <w:vAlign w:val="bottom"/>
            <w:hideMark/>
          </w:tcPr>
          <w:p w14:paraId="46071FB1"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5,463</w:t>
            </w:r>
          </w:p>
        </w:tc>
        <w:tc>
          <w:tcPr>
            <w:tcW w:w="0" w:type="auto"/>
            <w:tcBorders>
              <w:top w:val="nil"/>
              <w:left w:val="nil"/>
              <w:bottom w:val="nil"/>
              <w:right w:val="nil"/>
            </w:tcBorders>
            <w:shd w:val="clear" w:color="000000" w:fill="FFFFFF"/>
            <w:noWrap/>
            <w:vAlign w:val="bottom"/>
            <w:hideMark/>
          </w:tcPr>
          <w:p w14:paraId="1A5794E8"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23,922</w:t>
            </w:r>
          </w:p>
        </w:tc>
        <w:tc>
          <w:tcPr>
            <w:tcW w:w="0" w:type="auto"/>
            <w:tcBorders>
              <w:top w:val="nil"/>
              <w:left w:val="nil"/>
              <w:bottom w:val="nil"/>
              <w:right w:val="nil"/>
            </w:tcBorders>
            <w:shd w:val="clear" w:color="000000" w:fill="FFFFFF"/>
            <w:noWrap/>
            <w:vAlign w:val="bottom"/>
            <w:hideMark/>
          </w:tcPr>
          <w:p w14:paraId="2CF84653" w14:textId="77777777" w:rsidR="00CC4E2C" w:rsidRPr="00CC4E2C" w:rsidRDefault="00CC4E2C" w:rsidP="00CC4E2C">
            <w:pPr>
              <w:spacing w:line="240" w:lineRule="auto"/>
              <w:jc w:val="left"/>
              <w:rPr>
                <w:rFonts w:ascii="Calibri" w:eastAsia="Times New Roman" w:hAnsi="Calibri" w:cs="Calibri"/>
                <w:lang w:eastAsia="en-GB"/>
              </w:rPr>
            </w:pPr>
            <w:r w:rsidRPr="00CC4E2C">
              <w:rPr>
                <w:rFonts w:ascii="Calibri" w:eastAsia="Times New Roman" w:hAnsi="Calibri" w:cs="Calibri"/>
                <w:lang w:eastAsia="en-GB"/>
              </w:rPr>
              <w:t>Fire and Rescue Services</w:t>
            </w:r>
          </w:p>
        </w:tc>
        <w:tc>
          <w:tcPr>
            <w:tcW w:w="0" w:type="auto"/>
            <w:tcBorders>
              <w:top w:val="nil"/>
              <w:left w:val="nil"/>
              <w:bottom w:val="nil"/>
              <w:right w:val="nil"/>
            </w:tcBorders>
            <w:shd w:val="clear" w:color="000000" w:fill="FFE1E1"/>
            <w:noWrap/>
            <w:vAlign w:val="bottom"/>
            <w:hideMark/>
          </w:tcPr>
          <w:p w14:paraId="4BAEA0EA" w14:textId="5A7609FB" w:rsidR="00CC4E2C" w:rsidRPr="00CC4E2C" w:rsidRDefault="003A767C" w:rsidP="00CC4E2C">
            <w:pPr>
              <w:spacing w:line="240" w:lineRule="auto"/>
              <w:jc w:val="right"/>
              <w:rPr>
                <w:rFonts w:ascii="Calibri" w:eastAsia="Times New Roman" w:hAnsi="Calibri" w:cs="Calibri"/>
                <w:lang w:eastAsia="en-GB"/>
              </w:rPr>
            </w:pPr>
            <w:r>
              <w:rPr>
                <w:rFonts w:ascii="Calibri" w:eastAsia="Times New Roman" w:hAnsi="Calibri" w:cs="Calibri"/>
                <w:lang w:eastAsia="en-GB"/>
              </w:rPr>
              <w:t>20</w:t>
            </w:r>
            <w:r w:rsidR="00CC4E2C" w:rsidRPr="00CC4E2C">
              <w:rPr>
                <w:rFonts w:ascii="Calibri" w:eastAsia="Times New Roman" w:hAnsi="Calibri" w:cs="Calibri"/>
                <w:lang w:eastAsia="en-GB"/>
              </w:rPr>
              <w:t>,</w:t>
            </w:r>
            <w:r>
              <w:rPr>
                <w:rFonts w:ascii="Calibri" w:eastAsia="Times New Roman" w:hAnsi="Calibri" w:cs="Calibri"/>
                <w:lang w:eastAsia="en-GB"/>
              </w:rPr>
              <w:t>8</w:t>
            </w:r>
            <w:r w:rsidR="008A033D">
              <w:rPr>
                <w:rFonts w:ascii="Calibri" w:eastAsia="Times New Roman" w:hAnsi="Calibri" w:cs="Calibri"/>
                <w:lang w:eastAsia="en-GB"/>
              </w:rPr>
              <w:t>69</w:t>
            </w:r>
          </w:p>
        </w:tc>
        <w:tc>
          <w:tcPr>
            <w:tcW w:w="0" w:type="auto"/>
            <w:tcBorders>
              <w:top w:val="nil"/>
              <w:left w:val="nil"/>
              <w:bottom w:val="nil"/>
              <w:right w:val="nil"/>
            </w:tcBorders>
            <w:shd w:val="clear" w:color="000000" w:fill="FFE1E1"/>
            <w:noWrap/>
            <w:vAlign w:val="bottom"/>
            <w:hideMark/>
          </w:tcPr>
          <w:p w14:paraId="056004C8" w14:textId="69F64E3E" w:rsidR="00CC4E2C" w:rsidRPr="00CC4E2C" w:rsidRDefault="003A767C" w:rsidP="00CC4E2C">
            <w:pPr>
              <w:spacing w:line="240" w:lineRule="auto"/>
              <w:jc w:val="right"/>
              <w:rPr>
                <w:rFonts w:ascii="Calibri" w:eastAsia="Times New Roman" w:hAnsi="Calibri" w:cs="Calibri"/>
                <w:lang w:eastAsia="en-GB"/>
              </w:rPr>
            </w:pPr>
            <w:r>
              <w:rPr>
                <w:rFonts w:ascii="Calibri" w:eastAsia="Times New Roman" w:hAnsi="Calibri" w:cs="Calibri"/>
                <w:lang w:eastAsia="en-GB"/>
              </w:rPr>
              <w:t>4</w:t>
            </w:r>
            <w:r w:rsidR="00CC4E2C" w:rsidRPr="00CC4E2C">
              <w:rPr>
                <w:rFonts w:ascii="Calibri" w:eastAsia="Times New Roman" w:hAnsi="Calibri" w:cs="Calibri"/>
                <w:lang w:eastAsia="en-GB"/>
              </w:rPr>
              <w:t>,</w:t>
            </w:r>
            <w:r w:rsidR="00C3203B">
              <w:rPr>
                <w:rFonts w:ascii="Calibri" w:eastAsia="Times New Roman" w:hAnsi="Calibri" w:cs="Calibri"/>
                <w:lang w:eastAsia="en-GB"/>
              </w:rPr>
              <w:t>359</w:t>
            </w:r>
          </w:p>
        </w:tc>
        <w:tc>
          <w:tcPr>
            <w:tcW w:w="0" w:type="auto"/>
            <w:tcBorders>
              <w:top w:val="nil"/>
              <w:left w:val="nil"/>
              <w:bottom w:val="nil"/>
              <w:right w:val="nil"/>
            </w:tcBorders>
            <w:shd w:val="clear" w:color="000000" w:fill="FFE1E1"/>
            <w:noWrap/>
            <w:vAlign w:val="bottom"/>
            <w:hideMark/>
          </w:tcPr>
          <w:p w14:paraId="4FA422FB" w14:textId="1ADFFA5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25,</w:t>
            </w:r>
            <w:r w:rsidR="00C3203B">
              <w:rPr>
                <w:rFonts w:ascii="Calibri" w:eastAsia="Times New Roman" w:hAnsi="Calibri" w:cs="Calibri"/>
                <w:lang w:eastAsia="en-GB"/>
              </w:rPr>
              <w:t>228</w:t>
            </w:r>
          </w:p>
        </w:tc>
      </w:tr>
      <w:tr w:rsidR="005F2A85" w:rsidRPr="00CC4E2C" w14:paraId="63EC8F57" w14:textId="77777777" w:rsidTr="00337E55">
        <w:trPr>
          <w:trHeight w:val="290"/>
        </w:trPr>
        <w:tc>
          <w:tcPr>
            <w:tcW w:w="0" w:type="auto"/>
            <w:tcBorders>
              <w:top w:val="single" w:sz="4" w:space="0" w:color="auto"/>
              <w:left w:val="nil"/>
              <w:bottom w:val="single" w:sz="4" w:space="0" w:color="auto"/>
              <w:right w:val="nil"/>
            </w:tcBorders>
            <w:shd w:val="clear" w:color="000000" w:fill="FFFFFF"/>
            <w:noWrap/>
            <w:vAlign w:val="bottom"/>
            <w:hideMark/>
          </w:tcPr>
          <w:p w14:paraId="0B3C996B"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18,459</w:t>
            </w:r>
          </w:p>
        </w:tc>
        <w:tc>
          <w:tcPr>
            <w:tcW w:w="0" w:type="auto"/>
            <w:tcBorders>
              <w:top w:val="single" w:sz="4" w:space="0" w:color="auto"/>
              <w:left w:val="nil"/>
              <w:bottom w:val="single" w:sz="4" w:space="0" w:color="auto"/>
              <w:right w:val="nil"/>
            </w:tcBorders>
            <w:shd w:val="clear" w:color="000000" w:fill="FFFFFF"/>
            <w:noWrap/>
            <w:vAlign w:val="bottom"/>
            <w:hideMark/>
          </w:tcPr>
          <w:p w14:paraId="2ED653F8"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5,463</w:t>
            </w:r>
          </w:p>
        </w:tc>
        <w:tc>
          <w:tcPr>
            <w:tcW w:w="0" w:type="auto"/>
            <w:tcBorders>
              <w:top w:val="single" w:sz="4" w:space="0" w:color="auto"/>
              <w:left w:val="nil"/>
              <w:bottom w:val="single" w:sz="4" w:space="0" w:color="auto"/>
              <w:right w:val="nil"/>
            </w:tcBorders>
            <w:shd w:val="clear" w:color="000000" w:fill="FFFFFF"/>
            <w:noWrap/>
            <w:vAlign w:val="bottom"/>
            <w:hideMark/>
          </w:tcPr>
          <w:p w14:paraId="6F60307A"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23,922</w:t>
            </w:r>
          </w:p>
        </w:tc>
        <w:tc>
          <w:tcPr>
            <w:tcW w:w="0" w:type="auto"/>
            <w:tcBorders>
              <w:top w:val="single" w:sz="4" w:space="0" w:color="auto"/>
              <w:left w:val="nil"/>
              <w:bottom w:val="single" w:sz="4" w:space="0" w:color="auto"/>
              <w:right w:val="nil"/>
            </w:tcBorders>
            <w:shd w:val="clear" w:color="000000" w:fill="FFFFFF"/>
            <w:noWrap/>
            <w:vAlign w:val="bottom"/>
            <w:hideMark/>
          </w:tcPr>
          <w:p w14:paraId="58309AED" w14:textId="77777777" w:rsidR="00CC4E2C" w:rsidRPr="00CC4E2C" w:rsidRDefault="00CC4E2C" w:rsidP="00CC4E2C">
            <w:pPr>
              <w:spacing w:line="240" w:lineRule="auto"/>
              <w:jc w:val="left"/>
              <w:rPr>
                <w:rFonts w:ascii="Calibri" w:eastAsia="Times New Roman" w:hAnsi="Calibri" w:cs="Calibri"/>
                <w:b/>
                <w:bCs/>
                <w:lang w:eastAsia="en-GB"/>
              </w:rPr>
            </w:pPr>
            <w:r w:rsidRPr="00CC4E2C">
              <w:rPr>
                <w:rFonts w:ascii="Calibri" w:eastAsia="Times New Roman" w:hAnsi="Calibri" w:cs="Calibri"/>
                <w:b/>
                <w:bCs/>
                <w:lang w:eastAsia="en-GB"/>
              </w:rPr>
              <w:t>Net Cost of Services</w:t>
            </w:r>
          </w:p>
        </w:tc>
        <w:tc>
          <w:tcPr>
            <w:tcW w:w="0" w:type="auto"/>
            <w:tcBorders>
              <w:top w:val="single" w:sz="4" w:space="0" w:color="auto"/>
              <w:left w:val="nil"/>
              <w:bottom w:val="single" w:sz="4" w:space="0" w:color="auto"/>
              <w:right w:val="nil"/>
            </w:tcBorders>
            <w:shd w:val="clear" w:color="000000" w:fill="FFE1E1"/>
            <w:noWrap/>
            <w:vAlign w:val="bottom"/>
            <w:hideMark/>
          </w:tcPr>
          <w:p w14:paraId="5BB4516F" w14:textId="54C0C2EF" w:rsidR="00CC4E2C" w:rsidRPr="00CC4E2C" w:rsidRDefault="003A767C" w:rsidP="00CC4E2C">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20</w:t>
            </w:r>
            <w:r w:rsidR="00CC4E2C" w:rsidRPr="00CC4E2C">
              <w:rPr>
                <w:rFonts w:ascii="Calibri" w:eastAsia="Times New Roman" w:hAnsi="Calibri" w:cs="Calibri"/>
                <w:b/>
                <w:bCs/>
                <w:lang w:eastAsia="en-GB"/>
              </w:rPr>
              <w:t>,</w:t>
            </w:r>
            <w:r>
              <w:rPr>
                <w:rFonts w:ascii="Calibri" w:eastAsia="Times New Roman" w:hAnsi="Calibri" w:cs="Calibri"/>
                <w:b/>
                <w:bCs/>
                <w:lang w:eastAsia="en-GB"/>
              </w:rPr>
              <w:t>8</w:t>
            </w:r>
            <w:r w:rsidR="00703C51">
              <w:rPr>
                <w:rFonts w:ascii="Calibri" w:eastAsia="Times New Roman" w:hAnsi="Calibri" w:cs="Calibri"/>
                <w:b/>
                <w:bCs/>
                <w:lang w:eastAsia="en-GB"/>
              </w:rPr>
              <w:t>69</w:t>
            </w:r>
          </w:p>
        </w:tc>
        <w:tc>
          <w:tcPr>
            <w:tcW w:w="0" w:type="auto"/>
            <w:tcBorders>
              <w:top w:val="single" w:sz="4" w:space="0" w:color="auto"/>
              <w:left w:val="nil"/>
              <w:bottom w:val="single" w:sz="4" w:space="0" w:color="auto"/>
              <w:right w:val="nil"/>
            </w:tcBorders>
            <w:shd w:val="clear" w:color="000000" w:fill="FFE1E1"/>
            <w:noWrap/>
            <w:vAlign w:val="bottom"/>
            <w:hideMark/>
          </w:tcPr>
          <w:p w14:paraId="2FA4F946" w14:textId="07E9710F" w:rsidR="00CC4E2C" w:rsidRPr="00CC4E2C" w:rsidRDefault="003A767C" w:rsidP="00CC4E2C">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4</w:t>
            </w:r>
            <w:r w:rsidR="00CC4E2C" w:rsidRPr="00CC4E2C">
              <w:rPr>
                <w:rFonts w:ascii="Calibri" w:eastAsia="Times New Roman" w:hAnsi="Calibri" w:cs="Calibri"/>
                <w:b/>
                <w:bCs/>
                <w:lang w:eastAsia="en-GB"/>
              </w:rPr>
              <w:t>,</w:t>
            </w:r>
            <w:r w:rsidR="00C3203B">
              <w:rPr>
                <w:rFonts w:ascii="Calibri" w:eastAsia="Times New Roman" w:hAnsi="Calibri" w:cs="Calibri"/>
                <w:b/>
                <w:bCs/>
                <w:lang w:eastAsia="en-GB"/>
              </w:rPr>
              <w:t>359</w:t>
            </w:r>
          </w:p>
        </w:tc>
        <w:tc>
          <w:tcPr>
            <w:tcW w:w="0" w:type="auto"/>
            <w:tcBorders>
              <w:top w:val="single" w:sz="4" w:space="0" w:color="auto"/>
              <w:left w:val="nil"/>
              <w:bottom w:val="single" w:sz="4" w:space="0" w:color="auto"/>
              <w:right w:val="nil"/>
            </w:tcBorders>
            <w:shd w:val="clear" w:color="000000" w:fill="FFE1E1"/>
            <w:noWrap/>
            <w:vAlign w:val="bottom"/>
            <w:hideMark/>
          </w:tcPr>
          <w:p w14:paraId="66FBC61F" w14:textId="5D99FCB4"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25,</w:t>
            </w:r>
            <w:r w:rsidR="00C3203B">
              <w:rPr>
                <w:rFonts w:ascii="Calibri" w:eastAsia="Times New Roman" w:hAnsi="Calibri" w:cs="Calibri"/>
                <w:b/>
                <w:bCs/>
                <w:lang w:eastAsia="en-GB"/>
              </w:rPr>
              <w:t>228</w:t>
            </w:r>
          </w:p>
        </w:tc>
      </w:tr>
      <w:tr w:rsidR="005F2A85" w:rsidRPr="00CC4E2C" w14:paraId="53AF4B20" w14:textId="77777777" w:rsidTr="00337E55">
        <w:trPr>
          <w:trHeight w:val="290"/>
        </w:trPr>
        <w:tc>
          <w:tcPr>
            <w:tcW w:w="0" w:type="auto"/>
            <w:tcBorders>
              <w:top w:val="nil"/>
              <w:left w:val="nil"/>
              <w:bottom w:val="nil"/>
              <w:right w:val="nil"/>
            </w:tcBorders>
            <w:shd w:val="clear" w:color="000000" w:fill="FFFFFF"/>
            <w:noWrap/>
            <w:vAlign w:val="bottom"/>
            <w:hideMark/>
          </w:tcPr>
          <w:p w14:paraId="0543F505"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(19,050)</w:t>
            </w:r>
          </w:p>
        </w:tc>
        <w:tc>
          <w:tcPr>
            <w:tcW w:w="0" w:type="auto"/>
            <w:tcBorders>
              <w:top w:val="nil"/>
              <w:left w:val="nil"/>
              <w:bottom w:val="nil"/>
              <w:right w:val="nil"/>
            </w:tcBorders>
            <w:shd w:val="clear" w:color="000000" w:fill="FFFFFF"/>
            <w:noWrap/>
            <w:vAlign w:val="bottom"/>
            <w:hideMark/>
          </w:tcPr>
          <w:p w14:paraId="1B1B7053"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FFFF"/>
            <w:noWrap/>
            <w:vAlign w:val="bottom"/>
            <w:hideMark/>
          </w:tcPr>
          <w:p w14:paraId="06B0D9C7"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(19,050)</w:t>
            </w:r>
          </w:p>
        </w:tc>
        <w:tc>
          <w:tcPr>
            <w:tcW w:w="0" w:type="auto"/>
            <w:tcBorders>
              <w:top w:val="nil"/>
              <w:left w:val="nil"/>
              <w:bottom w:val="nil"/>
              <w:right w:val="nil"/>
            </w:tcBorders>
            <w:shd w:val="clear" w:color="000000" w:fill="FFFFFF"/>
            <w:noWrap/>
            <w:vAlign w:val="bottom"/>
            <w:hideMark/>
          </w:tcPr>
          <w:p w14:paraId="499F4E8E" w14:textId="77777777" w:rsidR="00CC4E2C" w:rsidRPr="00CC4E2C" w:rsidRDefault="00CC4E2C" w:rsidP="00CC4E2C">
            <w:pPr>
              <w:spacing w:line="240" w:lineRule="auto"/>
              <w:jc w:val="left"/>
              <w:rPr>
                <w:rFonts w:ascii="Calibri" w:eastAsia="Times New Roman" w:hAnsi="Calibri" w:cs="Calibri"/>
                <w:lang w:eastAsia="en-GB"/>
              </w:rPr>
            </w:pPr>
            <w:r w:rsidRPr="00CC4E2C">
              <w:rPr>
                <w:rFonts w:ascii="Calibri" w:eastAsia="Times New Roman" w:hAnsi="Calibri" w:cs="Calibri"/>
                <w:lang w:eastAsia="en-GB"/>
              </w:rPr>
              <w:t>Other Income and Expenditure</w:t>
            </w:r>
          </w:p>
        </w:tc>
        <w:tc>
          <w:tcPr>
            <w:tcW w:w="0" w:type="auto"/>
            <w:tcBorders>
              <w:top w:val="nil"/>
              <w:left w:val="nil"/>
              <w:bottom w:val="nil"/>
              <w:right w:val="nil"/>
            </w:tcBorders>
            <w:shd w:val="clear" w:color="000000" w:fill="FFE1E1"/>
            <w:noWrap/>
            <w:vAlign w:val="bottom"/>
            <w:hideMark/>
          </w:tcPr>
          <w:p w14:paraId="7F957E51" w14:textId="14CB6026"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(20,93</w:t>
            </w:r>
            <w:r w:rsidR="00703C51">
              <w:rPr>
                <w:rFonts w:ascii="Calibri" w:eastAsia="Times New Roman" w:hAnsi="Calibri" w:cs="Calibri"/>
                <w:lang w:eastAsia="en-GB"/>
              </w:rPr>
              <w:t>2</w:t>
            </w: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251BD660"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37FBD88C" w14:textId="4480D645"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(20,93</w:t>
            </w:r>
            <w:r w:rsidR="00703C51">
              <w:rPr>
                <w:rFonts w:ascii="Calibri" w:eastAsia="Times New Roman" w:hAnsi="Calibri" w:cs="Calibri"/>
                <w:lang w:eastAsia="en-GB"/>
              </w:rPr>
              <w:t>2</w:t>
            </w:r>
            <w:r w:rsidRPr="00CC4E2C">
              <w:rPr>
                <w:rFonts w:ascii="Calibri" w:eastAsia="Times New Roman" w:hAnsi="Calibri" w:cs="Calibri"/>
                <w:lang w:eastAsia="en-GB"/>
              </w:rPr>
              <w:t>)</w:t>
            </w:r>
          </w:p>
        </w:tc>
      </w:tr>
      <w:tr w:rsidR="005F2A85" w:rsidRPr="00CC4E2C" w14:paraId="4F9D2F3E" w14:textId="77777777" w:rsidTr="00337E55">
        <w:trPr>
          <w:trHeight w:val="290"/>
        </w:trPr>
        <w:tc>
          <w:tcPr>
            <w:tcW w:w="0" w:type="auto"/>
            <w:tcBorders>
              <w:top w:val="single" w:sz="4" w:space="0" w:color="auto"/>
              <w:left w:val="nil"/>
              <w:bottom w:val="single" w:sz="4" w:space="0" w:color="auto"/>
              <w:right w:val="nil"/>
            </w:tcBorders>
            <w:shd w:val="clear" w:color="000000" w:fill="FFFFFF"/>
            <w:noWrap/>
            <w:vAlign w:val="bottom"/>
            <w:hideMark/>
          </w:tcPr>
          <w:p w14:paraId="06E1E36B"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(591)</w:t>
            </w:r>
          </w:p>
        </w:tc>
        <w:tc>
          <w:tcPr>
            <w:tcW w:w="0" w:type="auto"/>
            <w:tcBorders>
              <w:top w:val="single" w:sz="4" w:space="0" w:color="auto"/>
              <w:left w:val="nil"/>
              <w:bottom w:val="single" w:sz="4" w:space="0" w:color="auto"/>
              <w:right w:val="nil"/>
            </w:tcBorders>
            <w:shd w:val="clear" w:color="000000" w:fill="FFFFFF"/>
            <w:noWrap/>
            <w:vAlign w:val="bottom"/>
            <w:hideMark/>
          </w:tcPr>
          <w:p w14:paraId="22DE3CB7"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5,463</w:t>
            </w:r>
          </w:p>
        </w:tc>
        <w:tc>
          <w:tcPr>
            <w:tcW w:w="0" w:type="auto"/>
            <w:tcBorders>
              <w:top w:val="single" w:sz="4" w:space="0" w:color="auto"/>
              <w:left w:val="nil"/>
              <w:bottom w:val="single" w:sz="4" w:space="0" w:color="auto"/>
              <w:right w:val="nil"/>
            </w:tcBorders>
            <w:shd w:val="clear" w:color="000000" w:fill="FFFFFF"/>
            <w:noWrap/>
            <w:vAlign w:val="bottom"/>
            <w:hideMark/>
          </w:tcPr>
          <w:p w14:paraId="42CBFED7"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4,872</w:t>
            </w:r>
          </w:p>
        </w:tc>
        <w:tc>
          <w:tcPr>
            <w:tcW w:w="0" w:type="auto"/>
            <w:tcBorders>
              <w:top w:val="single" w:sz="4" w:space="0" w:color="auto"/>
              <w:left w:val="nil"/>
              <w:bottom w:val="single" w:sz="4" w:space="0" w:color="auto"/>
              <w:right w:val="nil"/>
            </w:tcBorders>
            <w:shd w:val="clear" w:color="000000" w:fill="FFFFFF"/>
            <w:noWrap/>
            <w:vAlign w:val="bottom"/>
            <w:hideMark/>
          </w:tcPr>
          <w:p w14:paraId="26FC4716" w14:textId="0DE96CF2" w:rsidR="00CC4E2C" w:rsidRPr="00CC4E2C" w:rsidRDefault="00A45BEB" w:rsidP="00CC4E2C">
            <w:pPr>
              <w:spacing w:line="240" w:lineRule="auto"/>
              <w:jc w:val="left"/>
              <w:rPr>
                <w:rFonts w:ascii="Calibri" w:eastAsia="Times New Roman" w:hAnsi="Calibri" w:cs="Calibri"/>
                <w:b/>
                <w:bCs/>
                <w:lang w:eastAsia="en-GB"/>
              </w:rPr>
            </w:pPr>
            <w:r>
              <w:rPr>
                <w:rFonts w:ascii="Calibri" w:eastAsia="Times New Roman" w:hAnsi="Calibri" w:cs="Calibri"/>
                <w:b/>
                <w:bCs/>
                <w:lang w:eastAsia="en-GB"/>
              </w:rPr>
              <w:t>(</w:t>
            </w:r>
            <w:r w:rsidR="00CC4E2C" w:rsidRPr="00CC4E2C">
              <w:rPr>
                <w:rFonts w:ascii="Calibri" w:eastAsia="Times New Roman" w:hAnsi="Calibri" w:cs="Calibri"/>
                <w:b/>
                <w:bCs/>
                <w:lang w:eastAsia="en-GB"/>
              </w:rPr>
              <w:t>Surplus</w:t>
            </w:r>
            <w:r>
              <w:rPr>
                <w:rFonts w:ascii="Calibri" w:eastAsia="Times New Roman" w:hAnsi="Calibri" w:cs="Calibri"/>
                <w:b/>
                <w:bCs/>
                <w:lang w:eastAsia="en-GB"/>
              </w:rPr>
              <w:t>)</w:t>
            </w:r>
            <w:r w:rsidR="00316CEE">
              <w:rPr>
                <w:rFonts w:ascii="Calibri" w:eastAsia="Times New Roman" w:hAnsi="Calibri" w:cs="Calibri"/>
                <w:b/>
                <w:bCs/>
                <w:lang w:eastAsia="en-GB"/>
              </w:rPr>
              <w:t>/</w:t>
            </w:r>
            <w:r w:rsidR="00CC4E2C" w:rsidRPr="00CC4E2C">
              <w:rPr>
                <w:rFonts w:ascii="Calibri" w:eastAsia="Times New Roman" w:hAnsi="Calibri" w:cs="Calibri"/>
                <w:b/>
                <w:bCs/>
                <w:lang w:eastAsia="en-GB"/>
              </w:rPr>
              <w:t>Deficit</w:t>
            </w:r>
          </w:p>
        </w:tc>
        <w:tc>
          <w:tcPr>
            <w:tcW w:w="0" w:type="auto"/>
            <w:tcBorders>
              <w:top w:val="single" w:sz="4" w:space="0" w:color="auto"/>
              <w:left w:val="nil"/>
              <w:bottom w:val="single" w:sz="4" w:space="0" w:color="auto"/>
              <w:right w:val="nil"/>
            </w:tcBorders>
            <w:shd w:val="clear" w:color="000000" w:fill="FFE1E1"/>
            <w:noWrap/>
            <w:vAlign w:val="bottom"/>
            <w:hideMark/>
          </w:tcPr>
          <w:p w14:paraId="373FEDAF" w14:textId="73E7F734"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r w:rsidR="00347D5A">
              <w:rPr>
                <w:rFonts w:ascii="Calibri" w:eastAsia="Times New Roman" w:hAnsi="Calibri" w:cs="Calibri"/>
                <w:b/>
                <w:bCs/>
                <w:lang w:eastAsia="en-GB"/>
              </w:rPr>
              <w:t>6</w:t>
            </w:r>
            <w:r w:rsidR="00703C51">
              <w:rPr>
                <w:rFonts w:ascii="Calibri" w:eastAsia="Times New Roman" w:hAnsi="Calibri" w:cs="Calibri"/>
                <w:b/>
                <w:bCs/>
                <w:lang w:eastAsia="en-GB"/>
              </w:rPr>
              <w:t>3</w:t>
            </w: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E1E1"/>
            <w:noWrap/>
            <w:vAlign w:val="bottom"/>
            <w:hideMark/>
          </w:tcPr>
          <w:p w14:paraId="2A8E327C" w14:textId="3B8F99FF" w:rsidR="00CC4E2C" w:rsidRPr="00CC4E2C" w:rsidRDefault="00347D5A" w:rsidP="00CC4E2C">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4</w:t>
            </w:r>
            <w:r w:rsidR="00CC4E2C" w:rsidRPr="00CC4E2C">
              <w:rPr>
                <w:rFonts w:ascii="Calibri" w:eastAsia="Times New Roman" w:hAnsi="Calibri" w:cs="Calibri"/>
                <w:b/>
                <w:bCs/>
                <w:lang w:eastAsia="en-GB"/>
              </w:rPr>
              <w:t>,</w:t>
            </w:r>
            <w:r w:rsidR="00C3203B">
              <w:rPr>
                <w:rFonts w:ascii="Calibri" w:eastAsia="Times New Roman" w:hAnsi="Calibri" w:cs="Calibri"/>
                <w:b/>
                <w:bCs/>
                <w:lang w:eastAsia="en-GB"/>
              </w:rPr>
              <w:t>359</w:t>
            </w:r>
          </w:p>
        </w:tc>
        <w:tc>
          <w:tcPr>
            <w:tcW w:w="0" w:type="auto"/>
            <w:tcBorders>
              <w:top w:val="single" w:sz="4" w:space="0" w:color="auto"/>
              <w:left w:val="nil"/>
              <w:bottom w:val="single" w:sz="4" w:space="0" w:color="auto"/>
              <w:right w:val="nil"/>
            </w:tcBorders>
            <w:shd w:val="clear" w:color="000000" w:fill="FFE1E1"/>
            <w:noWrap/>
            <w:vAlign w:val="bottom"/>
            <w:hideMark/>
          </w:tcPr>
          <w:p w14:paraId="2C3385B5" w14:textId="1F59F3B1"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4,</w:t>
            </w:r>
            <w:r w:rsidR="00C3203B">
              <w:rPr>
                <w:rFonts w:ascii="Calibri" w:eastAsia="Times New Roman" w:hAnsi="Calibri" w:cs="Calibri"/>
                <w:b/>
                <w:bCs/>
                <w:lang w:eastAsia="en-GB"/>
              </w:rPr>
              <w:t>296</w:t>
            </w:r>
          </w:p>
        </w:tc>
      </w:tr>
      <w:tr w:rsidR="005F2A85" w:rsidRPr="00CC4E2C" w14:paraId="514B49CF" w14:textId="77777777" w:rsidTr="00337E55">
        <w:trPr>
          <w:trHeight w:val="290"/>
        </w:trPr>
        <w:tc>
          <w:tcPr>
            <w:tcW w:w="0" w:type="auto"/>
            <w:tcBorders>
              <w:top w:val="nil"/>
              <w:left w:val="nil"/>
              <w:bottom w:val="nil"/>
              <w:right w:val="nil"/>
            </w:tcBorders>
            <w:shd w:val="clear" w:color="000000" w:fill="FFFFFF"/>
            <w:noWrap/>
            <w:vAlign w:val="bottom"/>
            <w:hideMark/>
          </w:tcPr>
          <w:p w14:paraId="5C2A4A18"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(4,453)</w:t>
            </w:r>
          </w:p>
        </w:tc>
        <w:tc>
          <w:tcPr>
            <w:tcW w:w="0" w:type="auto"/>
            <w:tcBorders>
              <w:top w:val="nil"/>
              <w:left w:val="nil"/>
              <w:bottom w:val="nil"/>
              <w:right w:val="nil"/>
            </w:tcBorders>
            <w:shd w:val="clear" w:color="000000" w:fill="FFFFFF"/>
            <w:noWrap/>
            <w:vAlign w:val="bottom"/>
            <w:hideMark/>
          </w:tcPr>
          <w:p w14:paraId="5D695C20"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FFFF"/>
            <w:noWrap/>
            <w:vAlign w:val="bottom"/>
            <w:hideMark/>
          </w:tcPr>
          <w:p w14:paraId="2E001690"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FFFF"/>
            <w:vAlign w:val="bottom"/>
            <w:hideMark/>
          </w:tcPr>
          <w:p w14:paraId="546E4B1B" w14:textId="37868CF6" w:rsidR="00CC4E2C" w:rsidRPr="00CC4E2C" w:rsidRDefault="00CC4E2C" w:rsidP="00CC4E2C">
            <w:pPr>
              <w:spacing w:line="240" w:lineRule="auto"/>
              <w:jc w:val="left"/>
              <w:rPr>
                <w:rFonts w:ascii="Calibri" w:eastAsia="Times New Roman" w:hAnsi="Calibri" w:cs="Calibri"/>
                <w:lang w:eastAsia="en-GB"/>
              </w:rPr>
            </w:pPr>
            <w:r w:rsidRPr="00CC4E2C">
              <w:rPr>
                <w:rFonts w:ascii="Calibri" w:eastAsia="Times New Roman" w:hAnsi="Calibri" w:cs="Calibri"/>
                <w:lang w:eastAsia="en-GB"/>
              </w:rPr>
              <w:t xml:space="preserve">Opening </w:t>
            </w:r>
            <w:r w:rsidR="00491D72">
              <w:rPr>
                <w:rFonts w:ascii="Calibri" w:eastAsia="Times New Roman" w:hAnsi="Calibri" w:cs="Calibri"/>
                <w:lang w:eastAsia="en-GB"/>
              </w:rPr>
              <w:t>General Fund</w:t>
            </w:r>
            <w:r w:rsidRPr="00CC4E2C">
              <w:rPr>
                <w:rFonts w:ascii="Calibri" w:eastAsia="Times New Roman" w:hAnsi="Calibri" w:cs="Calibri"/>
                <w:lang w:eastAsia="en-GB"/>
              </w:rPr>
              <w:t xml:space="preserve"> </w:t>
            </w:r>
            <w:r w:rsidR="005F2A85">
              <w:rPr>
                <w:rFonts w:ascii="Calibri" w:eastAsia="Times New Roman" w:hAnsi="Calibri" w:cs="Calibri"/>
                <w:lang w:eastAsia="en-GB"/>
              </w:rPr>
              <w:t>R</w:t>
            </w:r>
            <w:r w:rsidRPr="00CC4E2C">
              <w:rPr>
                <w:rFonts w:ascii="Calibri" w:eastAsia="Times New Roman" w:hAnsi="Calibri" w:cs="Calibri"/>
                <w:lang w:eastAsia="en-GB"/>
              </w:rPr>
              <w:t>eserves</w:t>
            </w:r>
          </w:p>
        </w:tc>
        <w:tc>
          <w:tcPr>
            <w:tcW w:w="0" w:type="auto"/>
            <w:tcBorders>
              <w:top w:val="nil"/>
              <w:left w:val="nil"/>
              <w:bottom w:val="nil"/>
              <w:right w:val="nil"/>
            </w:tcBorders>
            <w:shd w:val="clear" w:color="000000" w:fill="FFE1E1"/>
            <w:noWrap/>
            <w:vAlign w:val="bottom"/>
            <w:hideMark/>
          </w:tcPr>
          <w:p w14:paraId="26443EE0" w14:textId="14D1CBBF"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r w:rsidR="00347D5A">
              <w:rPr>
                <w:rFonts w:ascii="Calibri" w:eastAsia="Times New Roman" w:hAnsi="Calibri" w:cs="Calibri"/>
                <w:lang w:eastAsia="en-GB"/>
              </w:rPr>
              <w:t>4</w:t>
            </w:r>
            <w:r w:rsidRPr="00CC4E2C">
              <w:rPr>
                <w:rFonts w:ascii="Calibri" w:eastAsia="Times New Roman" w:hAnsi="Calibri" w:cs="Calibri"/>
                <w:lang w:eastAsia="en-GB"/>
              </w:rPr>
              <w:t>,</w:t>
            </w:r>
            <w:r w:rsidR="00347D5A">
              <w:rPr>
                <w:rFonts w:ascii="Calibri" w:eastAsia="Times New Roman" w:hAnsi="Calibri" w:cs="Calibri"/>
                <w:lang w:eastAsia="en-GB"/>
              </w:rPr>
              <w:t>626</w:t>
            </w: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232CD8B7"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0A82A6F2"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r>
      <w:tr w:rsidR="005F2A85" w:rsidRPr="00CC4E2C" w14:paraId="6A1ABE62" w14:textId="77777777" w:rsidTr="00337E55">
        <w:trPr>
          <w:trHeight w:val="290"/>
        </w:trPr>
        <w:tc>
          <w:tcPr>
            <w:tcW w:w="0" w:type="auto"/>
            <w:tcBorders>
              <w:top w:val="nil"/>
              <w:left w:val="nil"/>
              <w:bottom w:val="nil"/>
              <w:right w:val="nil"/>
            </w:tcBorders>
            <w:shd w:val="clear" w:color="000000" w:fill="FFFFFF"/>
            <w:noWrap/>
            <w:vAlign w:val="bottom"/>
            <w:hideMark/>
          </w:tcPr>
          <w:p w14:paraId="505B775E" w14:textId="5119BDC7" w:rsidR="00CC4E2C" w:rsidRPr="00CC4E2C" w:rsidRDefault="003A767C" w:rsidP="00CC4E2C">
            <w:pPr>
              <w:spacing w:line="240" w:lineRule="auto"/>
              <w:jc w:val="right"/>
              <w:rPr>
                <w:rFonts w:ascii="Calibri" w:eastAsia="Times New Roman" w:hAnsi="Calibri" w:cs="Calibri"/>
                <w:lang w:eastAsia="en-GB"/>
              </w:rPr>
            </w:pPr>
            <w:r>
              <w:rPr>
                <w:rFonts w:ascii="Calibri" w:eastAsia="Times New Roman" w:hAnsi="Calibri" w:cs="Calibri"/>
                <w:lang w:eastAsia="en-GB"/>
              </w:rPr>
              <w:t>418</w:t>
            </w:r>
          </w:p>
        </w:tc>
        <w:tc>
          <w:tcPr>
            <w:tcW w:w="0" w:type="auto"/>
            <w:tcBorders>
              <w:top w:val="nil"/>
              <w:left w:val="nil"/>
              <w:bottom w:val="nil"/>
              <w:right w:val="nil"/>
            </w:tcBorders>
            <w:shd w:val="clear" w:color="000000" w:fill="FFFFFF"/>
            <w:noWrap/>
            <w:vAlign w:val="bottom"/>
            <w:hideMark/>
          </w:tcPr>
          <w:p w14:paraId="5FFF43F0"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FFFF"/>
            <w:noWrap/>
            <w:vAlign w:val="bottom"/>
            <w:hideMark/>
          </w:tcPr>
          <w:p w14:paraId="5EDE3284"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FFFF"/>
            <w:vAlign w:val="bottom"/>
            <w:hideMark/>
          </w:tcPr>
          <w:p w14:paraId="0D44D41D" w14:textId="75A4D0E7" w:rsidR="00CC4E2C" w:rsidRPr="00CC4E2C" w:rsidRDefault="00CC4E2C" w:rsidP="00CC4E2C">
            <w:pPr>
              <w:spacing w:line="240" w:lineRule="auto"/>
              <w:jc w:val="left"/>
              <w:rPr>
                <w:rFonts w:ascii="Calibri" w:eastAsia="Times New Roman" w:hAnsi="Calibri" w:cs="Calibri"/>
                <w:lang w:eastAsia="en-GB"/>
              </w:rPr>
            </w:pPr>
            <w:r w:rsidRPr="00CC4E2C">
              <w:rPr>
                <w:rFonts w:ascii="Calibri" w:eastAsia="Times New Roman" w:hAnsi="Calibri" w:cs="Calibri"/>
                <w:lang w:eastAsia="en-GB"/>
              </w:rPr>
              <w:t>Add: CGUA</w:t>
            </w:r>
            <w:r w:rsidR="00236A3E">
              <w:rPr>
                <w:rFonts w:ascii="Calibri" w:eastAsia="Times New Roman" w:hAnsi="Calibri" w:cs="Calibri"/>
                <w:lang w:eastAsia="en-GB"/>
              </w:rPr>
              <w:t>**</w:t>
            </w:r>
            <w:r w:rsidRPr="00CC4E2C">
              <w:rPr>
                <w:rFonts w:ascii="Calibri" w:eastAsia="Times New Roman" w:hAnsi="Calibri" w:cs="Calibri"/>
                <w:lang w:eastAsia="en-GB"/>
              </w:rPr>
              <w:t xml:space="preserve"> Reserve</w:t>
            </w:r>
          </w:p>
        </w:tc>
        <w:tc>
          <w:tcPr>
            <w:tcW w:w="0" w:type="auto"/>
            <w:tcBorders>
              <w:top w:val="nil"/>
              <w:left w:val="nil"/>
              <w:bottom w:val="nil"/>
              <w:right w:val="nil"/>
            </w:tcBorders>
            <w:shd w:val="clear" w:color="000000" w:fill="FFE1E1"/>
            <w:noWrap/>
            <w:vAlign w:val="bottom"/>
            <w:hideMark/>
          </w:tcPr>
          <w:p w14:paraId="248A0E11"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5F4A581F"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c>
          <w:tcPr>
            <w:tcW w:w="0" w:type="auto"/>
            <w:tcBorders>
              <w:top w:val="nil"/>
              <w:left w:val="nil"/>
              <w:bottom w:val="nil"/>
              <w:right w:val="nil"/>
            </w:tcBorders>
            <w:shd w:val="clear" w:color="000000" w:fill="FFE1E1"/>
            <w:noWrap/>
            <w:vAlign w:val="bottom"/>
            <w:hideMark/>
          </w:tcPr>
          <w:p w14:paraId="42239512" w14:textId="77777777" w:rsidR="00CC4E2C" w:rsidRPr="00CC4E2C" w:rsidRDefault="00CC4E2C" w:rsidP="00CC4E2C">
            <w:pPr>
              <w:spacing w:line="240" w:lineRule="auto"/>
              <w:jc w:val="right"/>
              <w:rPr>
                <w:rFonts w:ascii="Calibri" w:eastAsia="Times New Roman" w:hAnsi="Calibri" w:cs="Calibri"/>
                <w:lang w:eastAsia="en-GB"/>
              </w:rPr>
            </w:pPr>
            <w:r w:rsidRPr="00CC4E2C">
              <w:rPr>
                <w:rFonts w:ascii="Calibri" w:eastAsia="Times New Roman" w:hAnsi="Calibri" w:cs="Calibri"/>
                <w:lang w:eastAsia="en-GB"/>
              </w:rPr>
              <w:t>-</w:t>
            </w:r>
          </w:p>
        </w:tc>
      </w:tr>
      <w:tr w:rsidR="005F2A85" w:rsidRPr="00CC4E2C" w14:paraId="4B346A89" w14:textId="77777777" w:rsidTr="00337E55">
        <w:trPr>
          <w:trHeight w:val="580"/>
        </w:trPr>
        <w:tc>
          <w:tcPr>
            <w:tcW w:w="0" w:type="auto"/>
            <w:tcBorders>
              <w:top w:val="single" w:sz="4" w:space="0" w:color="auto"/>
              <w:left w:val="nil"/>
              <w:bottom w:val="single" w:sz="4" w:space="0" w:color="auto"/>
              <w:right w:val="nil"/>
            </w:tcBorders>
            <w:shd w:val="clear" w:color="000000" w:fill="FFFFFF"/>
            <w:noWrap/>
            <w:hideMark/>
          </w:tcPr>
          <w:p w14:paraId="1F06B68E" w14:textId="371708B8"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r w:rsidR="003A767C">
              <w:rPr>
                <w:rFonts w:ascii="Calibri" w:eastAsia="Times New Roman" w:hAnsi="Calibri" w:cs="Calibri"/>
                <w:b/>
                <w:bCs/>
                <w:lang w:eastAsia="en-GB"/>
              </w:rPr>
              <w:t>4</w:t>
            </w:r>
            <w:r w:rsidRPr="00CC4E2C">
              <w:rPr>
                <w:rFonts w:ascii="Calibri" w:eastAsia="Times New Roman" w:hAnsi="Calibri" w:cs="Calibri"/>
                <w:b/>
                <w:bCs/>
                <w:lang w:eastAsia="en-GB"/>
              </w:rPr>
              <w:t>,</w:t>
            </w:r>
            <w:r w:rsidR="003A767C">
              <w:rPr>
                <w:rFonts w:ascii="Calibri" w:eastAsia="Times New Roman" w:hAnsi="Calibri" w:cs="Calibri"/>
                <w:b/>
                <w:bCs/>
                <w:lang w:eastAsia="en-GB"/>
              </w:rPr>
              <w:t>626</w:t>
            </w: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FFFF"/>
            <w:noWrap/>
            <w:hideMark/>
          </w:tcPr>
          <w:p w14:paraId="5F963037"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FFFF"/>
            <w:noWrap/>
            <w:hideMark/>
          </w:tcPr>
          <w:p w14:paraId="1FC48486"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FFFF"/>
            <w:hideMark/>
          </w:tcPr>
          <w:p w14:paraId="511CDAA7" w14:textId="45F33C80" w:rsidR="00CC4E2C" w:rsidRPr="00CC4E2C" w:rsidRDefault="00CC4E2C" w:rsidP="00CC4E2C">
            <w:pPr>
              <w:spacing w:line="240" w:lineRule="auto"/>
              <w:jc w:val="left"/>
              <w:rPr>
                <w:rFonts w:ascii="Calibri" w:eastAsia="Times New Roman" w:hAnsi="Calibri" w:cs="Calibri"/>
                <w:b/>
                <w:bCs/>
                <w:lang w:eastAsia="en-GB"/>
              </w:rPr>
            </w:pPr>
            <w:r w:rsidRPr="00CC4E2C">
              <w:rPr>
                <w:rFonts w:ascii="Calibri" w:eastAsia="Times New Roman" w:hAnsi="Calibri" w:cs="Calibri"/>
                <w:b/>
                <w:bCs/>
                <w:lang w:eastAsia="en-GB"/>
              </w:rPr>
              <w:t xml:space="preserve">Closing </w:t>
            </w:r>
            <w:r w:rsidR="005F2A85">
              <w:rPr>
                <w:rFonts w:ascii="Calibri" w:eastAsia="Times New Roman" w:hAnsi="Calibri" w:cs="Calibri"/>
                <w:b/>
                <w:bCs/>
                <w:lang w:eastAsia="en-GB"/>
              </w:rPr>
              <w:t>General Fund</w:t>
            </w:r>
            <w:r w:rsidRPr="00CC4E2C">
              <w:rPr>
                <w:rFonts w:ascii="Calibri" w:eastAsia="Times New Roman" w:hAnsi="Calibri" w:cs="Calibri"/>
                <w:b/>
                <w:bCs/>
                <w:lang w:eastAsia="en-GB"/>
              </w:rPr>
              <w:t xml:space="preserve"> Reserves </w:t>
            </w:r>
            <w:proofErr w:type="gramStart"/>
            <w:r w:rsidRPr="00CC4E2C">
              <w:rPr>
                <w:rFonts w:ascii="Calibri" w:eastAsia="Times New Roman" w:hAnsi="Calibri" w:cs="Calibri"/>
                <w:b/>
                <w:bCs/>
                <w:lang w:eastAsia="en-GB"/>
              </w:rPr>
              <w:t>at</w:t>
            </w:r>
            <w:proofErr w:type="gramEnd"/>
            <w:r w:rsidRPr="00CC4E2C">
              <w:rPr>
                <w:rFonts w:ascii="Calibri" w:eastAsia="Times New Roman" w:hAnsi="Calibri" w:cs="Calibri"/>
                <w:b/>
                <w:bCs/>
                <w:lang w:eastAsia="en-GB"/>
              </w:rPr>
              <w:t xml:space="preserve"> 31 March 2025</w:t>
            </w:r>
          </w:p>
        </w:tc>
        <w:tc>
          <w:tcPr>
            <w:tcW w:w="0" w:type="auto"/>
            <w:tcBorders>
              <w:top w:val="single" w:sz="4" w:space="0" w:color="auto"/>
              <w:left w:val="nil"/>
              <w:bottom w:val="single" w:sz="4" w:space="0" w:color="auto"/>
              <w:right w:val="nil"/>
            </w:tcBorders>
            <w:shd w:val="clear" w:color="000000" w:fill="FFE1E1"/>
            <w:noWrap/>
            <w:hideMark/>
          </w:tcPr>
          <w:p w14:paraId="5AFD0791" w14:textId="73E2A339"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r w:rsidR="00347D5A">
              <w:rPr>
                <w:rFonts w:ascii="Calibri" w:eastAsia="Times New Roman" w:hAnsi="Calibri" w:cs="Calibri"/>
                <w:b/>
                <w:bCs/>
                <w:lang w:eastAsia="en-GB"/>
              </w:rPr>
              <w:t>4</w:t>
            </w:r>
            <w:r w:rsidRPr="00CC4E2C">
              <w:rPr>
                <w:rFonts w:ascii="Calibri" w:eastAsia="Times New Roman" w:hAnsi="Calibri" w:cs="Calibri"/>
                <w:b/>
                <w:bCs/>
                <w:lang w:eastAsia="en-GB"/>
              </w:rPr>
              <w:t>,</w:t>
            </w:r>
            <w:r w:rsidR="00347D5A">
              <w:rPr>
                <w:rFonts w:ascii="Calibri" w:eastAsia="Times New Roman" w:hAnsi="Calibri" w:cs="Calibri"/>
                <w:b/>
                <w:bCs/>
                <w:lang w:eastAsia="en-GB"/>
              </w:rPr>
              <w:t>689</w:t>
            </w: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E1E1"/>
            <w:noWrap/>
            <w:hideMark/>
          </w:tcPr>
          <w:p w14:paraId="381829C8"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p>
        </w:tc>
        <w:tc>
          <w:tcPr>
            <w:tcW w:w="0" w:type="auto"/>
            <w:tcBorders>
              <w:top w:val="single" w:sz="4" w:space="0" w:color="auto"/>
              <w:left w:val="nil"/>
              <w:bottom w:val="single" w:sz="4" w:space="0" w:color="auto"/>
              <w:right w:val="nil"/>
            </w:tcBorders>
            <w:shd w:val="clear" w:color="000000" w:fill="FFE1E1"/>
            <w:noWrap/>
            <w:hideMark/>
          </w:tcPr>
          <w:p w14:paraId="1207AAE9" w14:textId="77777777" w:rsidR="00CC4E2C" w:rsidRPr="00CC4E2C" w:rsidRDefault="00CC4E2C" w:rsidP="00CC4E2C">
            <w:pPr>
              <w:spacing w:line="240" w:lineRule="auto"/>
              <w:jc w:val="right"/>
              <w:rPr>
                <w:rFonts w:ascii="Calibri" w:eastAsia="Times New Roman" w:hAnsi="Calibri" w:cs="Calibri"/>
                <w:b/>
                <w:bCs/>
                <w:lang w:eastAsia="en-GB"/>
              </w:rPr>
            </w:pPr>
            <w:r w:rsidRPr="00CC4E2C">
              <w:rPr>
                <w:rFonts w:ascii="Calibri" w:eastAsia="Times New Roman" w:hAnsi="Calibri" w:cs="Calibri"/>
                <w:b/>
                <w:bCs/>
                <w:lang w:eastAsia="en-GB"/>
              </w:rPr>
              <w:t>-</w:t>
            </w:r>
          </w:p>
        </w:tc>
      </w:tr>
    </w:tbl>
    <w:p w14:paraId="45DC6881" w14:textId="7D796737" w:rsidR="00C30DC3" w:rsidRDefault="00C30DC3" w:rsidP="00F40B08">
      <w:pPr>
        <w:rPr>
          <w:rFonts w:cstheme="minorBidi"/>
        </w:rPr>
      </w:pPr>
    </w:p>
    <w:p w14:paraId="3F04005A" w14:textId="0668CC7C" w:rsidR="00175E5E" w:rsidRPr="000B0EE6" w:rsidRDefault="00175E5E" w:rsidP="00F40B08">
      <w:pPr>
        <w:rPr>
          <w:sz w:val="8"/>
          <w:szCs w:val="8"/>
        </w:rPr>
      </w:pPr>
    </w:p>
    <w:p w14:paraId="71F83885" w14:textId="727CF82E" w:rsidR="000B0EE6" w:rsidRDefault="000B0EE6" w:rsidP="000B0EE6">
      <w:r>
        <w:t xml:space="preserve">*CIES </w:t>
      </w:r>
      <w:r w:rsidR="0018528D">
        <w:t>=</w:t>
      </w:r>
      <w:r>
        <w:t xml:space="preserve"> Comprehensive Income and Expenditure Statement</w:t>
      </w:r>
    </w:p>
    <w:p w14:paraId="41E679A1" w14:textId="5F6164D3" w:rsidR="003423B5" w:rsidRDefault="003423B5" w:rsidP="000B0EE6">
      <w:r>
        <w:t>*</w:t>
      </w:r>
      <w:r w:rsidR="00FA3149">
        <w:t>*</w:t>
      </w:r>
      <w:r w:rsidR="0018528D">
        <w:t xml:space="preserve">CGUA = </w:t>
      </w:r>
      <w:r w:rsidR="00101A23">
        <w:t>Capital Grants Unapplied</w:t>
      </w:r>
      <w:r w:rsidR="00FA3149">
        <w:t xml:space="preserve"> Account</w:t>
      </w:r>
    </w:p>
    <w:p w14:paraId="16F0934C" w14:textId="77777777" w:rsidR="00FA3149" w:rsidRDefault="00FA3149" w:rsidP="000B0EE6"/>
    <w:p w14:paraId="5A9D464B" w14:textId="77777777" w:rsidR="000B0EE6" w:rsidRDefault="000B0EE6" w:rsidP="000B0EE6">
      <w:r>
        <w:t>Note 6 outlines the breakdown of the adjustments between Funding and Accounting Basis</w:t>
      </w:r>
    </w:p>
    <w:p w14:paraId="0F2FE81E" w14:textId="77777777" w:rsidR="00E4441B" w:rsidRDefault="00E4441B" w:rsidP="00F40B08"/>
    <w:p w14:paraId="25DEBF15" w14:textId="36EEEEAE" w:rsidR="00D86B41" w:rsidRPr="006A4726" w:rsidRDefault="00D86B41" w:rsidP="002A1ADD">
      <w:pPr>
        <w:pStyle w:val="VAHeadingLevel2"/>
      </w:pPr>
      <w:r w:rsidRPr="006A4726">
        <w:t xml:space="preserve">Note 2. Assumptions made about the future and other major sources of estimation uncertainty </w:t>
      </w:r>
    </w:p>
    <w:p w14:paraId="6D5541DF" w14:textId="77777777" w:rsidR="00D86B41" w:rsidRPr="00635F47" w:rsidRDefault="00D86B41" w:rsidP="00D86B41">
      <w:r w:rsidRPr="00635F47">
        <w:t xml:space="preserve">The statement of accounts contains estimated figures that are based on assumptions made by the Authority about the future or that are otherwise uncertain. </w:t>
      </w:r>
      <w:r>
        <w:t xml:space="preserve"> </w:t>
      </w:r>
      <w:r w:rsidRPr="00635F47">
        <w:t xml:space="preserve">Estimates are made taking into account historical experience, current trends and other relevant factors. </w:t>
      </w:r>
      <w:r>
        <w:t xml:space="preserve"> </w:t>
      </w:r>
      <w:r w:rsidRPr="00635F47">
        <w:t xml:space="preserve">However, balances cannot be determined with certainty, </w:t>
      </w:r>
      <w:r>
        <w:t xml:space="preserve">so </w:t>
      </w:r>
      <w:r w:rsidRPr="00635F47">
        <w:t xml:space="preserve">actual results could be materially different from the assumptions and estimates. </w:t>
      </w:r>
    </w:p>
    <w:p w14:paraId="7ACCFF85" w14:textId="77777777" w:rsidR="00D86B41" w:rsidRPr="00F410FA" w:rsidRDefault="00D86B41" w:rsidP="00D86B41">
      <w:pPr>
        <w:rPr>
          <w:sz w:val="12"/>
          <w:szCs w:val="12"/>
        </w:rPr>
      </w:pPr>
    </w:p>
    <w:p w14:paraId="48B2129F" w14:textId="785C424F" w:rsidR="00C30DC3" w:rsidRDefault="00D86B41" w:rsidP="00D86B41">
      <w:r w:rsidRPr="00635F47">
        <w:t xml:space="preserve">The items in the Balance Sheet </w:t>
      </w:r>
      <w:proofErr w:type="gramStart"/>
      <w:r w:rsidRPr="00635F47">
        <w:t>at</w:t>
      </w:r>
      <w:proofErr w:type="gramEnd"/>
      <w:r w:rsidRPr="00635F47">
        <w:t xml:space="preserve"> 31</w:t>
      </w:r>
      <w:r w:rsidRPr="00694B26">
        <w:rPr>
          <w:vertAlign w:val="superscript"/>
        </w:rPr>
        <w:t>st</w:t>
      </w:r>
      <w:r>
        <w:t xml:space="preserve"> </w:t>
      </w:r>
      <w:r w:rsidRPr="00635F47">
        <w:t>March 202</w:t>
      </w:r>
      <w:r>
        <w:t>5</w:t>
      </w:r>
      <w:r w:rsidRPr="00635F47">
        <w:t xml:space="preserve"> for which there is a risk of material adjustment in the forthcoming financial year are as follows:</w:t>
      </w:r>
    </w:p>
    <w:p w14:paraId="45365059" w14:textId="3D443515" w:rsidR="00CA52D4" w:rsidRDefault="00CA52D4" w:rsidP="00CA52D4">
      <w:pPr>
        <w:pStyle w:val="Firebullet"/>
      </w:pPr>
      <w:r w:rsidRPr="00305F82">
        <w:t>The condition of the local and national housing/industrial building market</w:t>
      </w:r>
    </w:p>
    <w:p w14:paraId="378C76DB" w14:textId="7CB53FDD" w:rsidR="00CA52D4" w:rsidRDefault="00CA52D4" w:rsidP="00CA52D4">
      <w:pPr>
        <w:pStyle w:val="Firebullet"/>
      </w:pPr>
      <w:r w:rsidRPr="00305F82">
        <w:t>The economic standing of significant debtors and creditors</w:t>
      </w:r>
    </w:p>
    <w:p w14:paraId="631A9D25" w14:textId="77777777" w:rsidR="00CA52D4" w:rsidRDefault="00CA52D4" w:rsidP="00D86B41">
      <w:pPr>
        <w:rPr>
          <w:rFonts w:cstheme="minorBidi"/>
        </w:rPr>
      </w:pPr>
    </w:p>
    <w:p w14:paraId="6713CD2E" w14:textId="77777777" w:rsidR="00CA52D4" w:rsidRPr="00C30DC3" w:rsidRDefault="00CA52D4" w:rsidP="00CA52D4">
      <w:pPr>
        <w:spacing w:line="240" w:lineRule="auto"/>
        <w:rPr>
          <w:rFonts w:ascii="Calibri" w:eastAsia="Times New Roman" w:hAnsi="Calibri" w:cs="Calibri"/>
          <w:color w:val="000000"/>
          <w:lang w:eastAsia="en-GB"/>
        </w:rPr>
      </w:pPr>
      <w:r w:rsidRPr="00C30DC3">
        <w:rPr>
          <w:rFonts w:ascii="Calibri" w:eastAsia="Times New Roman" w:hAnsi="Calibri" w:cs="Calibri"/>
          <w:color w:val="000000"/>
          <w:lang w:eastAsia="en-GB"/>
        </w:rPr>
        <w:t>Based on our assessment of the financial and liquidity position of the Authority, there are no material uncertainties or concerns on the basis of preparing the 2024/25 financial statements as a going concern.  A full assessment of Going Concern is provided in the Accounting Policies section.</w:t>
      </w:r>
    </w:p>
    <w:p w14:paraId="477B1055" w14:textId="77777777" w:rsidR="00CA52D4" w:rsidRDefault="00CA52D4" w:rsidP="00D86B41">
      <w:pPr>
        <w:rPr>
          <w:rFonts w:cstheme="minorBidi"/>
        </w:rPr>
      </w:pPr>
    </w:p>
    <w:p w14:paraId="3D5E2DA1" w14:textId="45B97F7A" w:rsidR="00954851" w:rsidRDefault="00954851" w:rsidP="00D86B41"/>
    <w:p w14:paraId="14928D2F" w14:textId="77777777" w:rsidR="00305F82" w:rsidRDefault="00305F82" w:rsidP="00D86B41"/>
    <w:p w14:paraId="6F1B4651" w14:textId="77777777" w:rsidR="00305F82" w:rsidRDefault="00305F82" w:rsidP="00D86B41"/>
    <w:p w14:paraId="4276C47B" w14:textId="77777777" w:rsidR="00305F82" w:rsidRDefault="00305F82" w:rsidP="00D86B41"/>
    <w:p w14:paraId="75B9DA9C" w14:textId="77777777" w:rsidR="00305F82" w:rsidRDefault="00305F82" w:rsidP="00D86B41"/>
    <w:p w14:paraId="2426BA5F" w14:textId="77777777" w:rsidR="00305F82" w:rsidRDefault="00305F82" w:rsidP="00D86B41"/>
    <w:p w14:paraId="33A10598" w14:textId="77777777" w:rsidR="00305F82" w:rsidRDefault="00305F82" w:rsidP="00D86B41"/>
    <w:tbl>
      <w:tblPr>
        <w:tblW w:w="4995" w:type="pct"/>
        <w:tblLook w:val="04A0" w:firstRow="1" w:lastRow="0" w:firstColumn="1" w:lastColumn="0" w:noHBand="0" w:noVBand="1"/>
      </w:tblPr>
      <w:tblGrid>
        <w:gridCol w:w="1217"/>
        <w:gridCol w:w="5589"/>
        <w:gridCol w:w="3559"/>
      </w:tblGrid>
      <w:tr w:rsidR="00954851" w:rsidRPr="00954851" w14:paraId="64078863" w14:textId="77777777" w:rsidTr="00E07BC2">
        <w:trPr>
          <w:trHeight w:val="290"/>
        </w:trPr>
        <w:tc>
          <w:tcPr>
            <w:tcW w:w="587" w:type="pct"/>
            <w:tcBorders>
              <w:top w:val="nil"/>
              <w:left w:val="nil"/>
              <w:bottom w:val="nil"/>
              <w:right w:val="nil"/>
            </w:tcBorders>
            <w:shd w:val="clear" w:color="000000" w:fill="AB2328"/>
            <w:hideMark/>
          </w:tcPr>
          <w:p w14:paraId="610951E7" w14:textId="77777777" w:rsidR="00954851" w:rsidRPr="00954851" w:rsidRDefault="00954851" w:rsidP="00954851">
            <w:pPr>
              <w:spacing w:line="240" w:lineRule="auto"/>
              <w:jc w:val="left"/>
              <w:rPr>
                <w:rFonts w:ascii="Calibri" w:eastAsia="Times New Roman" w:hAnsi="Calibri" w:cs="Calibri"/>
                <w:b/>
                <w:bCs/>
                <w:color w:val="FFFFFF"/>
                <w:lang w:eastAsia="en-GB"/>
              </w:rPr>
            </w:pPr>
            <w:bookmarkStart w:id="11" w:name="_Hlk198128142"/>
            <w:r w:rsidRPr="00954851">
              <w:rPr>
                <w:rFonts w:ascii="Calibri" w:eastAsia="Times New Roman" w:hAnsi="Calibri" w:cs="Calibri"/>
                <w:b/>
                <w:bCs/>
                <w:color w:val="FFFFFF"/>
                <w:lang w:eastAsia="en-GB"/>
              </w:rPr>
              <w:lastRenderedPageBreak/>
              <w:t>Item</w:t>
            </w:r>
          </w:p>
        </w:tc>
        <w:tc>
          <w:tcPr>
            <w:tcW w:w="2696" w:type="pct"/>
            <w:tcBorders>
              <w:top w:val="nil"/>
              <w:left w:val="nil"/>
              <w:bottom w:val="nil"/>
              <w:right w:val="nil"/>
            </w:tcBorders>
            <w:shd w:val="clear" w:color="000000" w:fill="AB2328"/>
            <w:hideMark/>
          </w:tcPr>
          <w:p w14:paraId="3D97F1A5" w14:textId="77777777" w:rsidR="00954851" w:rsidRPr="00954851" w:rsidRDefault="00954851" w:rsidP="00954851">
            <w:pPr>
              <w:spacing w:line="240" w:lineRule="auto"/>
              <w:jc w:val="left"/>
              <w:rPr>
                <w:rFonts w:ascii="Calibri" w:eastAsia="Times New Roman" w:hAnsi="Calibri" w:cs="Calibri"/>
                <w:b/>
                <w:bCs/>
                <w:color w:val="FFFFFF"/>
                <w:lang w:eastAsia="en-GB"/>
              </w:rPr>
            </w:pPr>
            <w:r w:rsidRPr="00954851">
              <w:rPr>
                <w:rFonts w:ascii="Calibri" w:eastAsia="Times New Roman" w:hAnsi="Calibri" w:cs="Calibri"/>
                <w:b/>
                <w:bCs/>
                <w:color w:val="FFFFFF"/>
                <w:lang w:eastAsia="en-GB"/>
              </w:rPr>
              <w:t>Uncertainties</w:t>
            </w:r>
          </w:p>
        </w:tc>
        <w:tc>
          <w:tcPr>
            <w:tcW w:w="1718" w:type="pct"/>
            <w:tcBorders>
              <w:top w:val="nil"/>
              <w:left w:val="nil"/>
              <w:bottom w:val="nil"/>
              <w:right w:val="nil"/>
            </w:tcBorders>
            <w:shd w:val="clear" w:color="000000" w:fill="AB2328"/>
            <w:hideMark/>
          </w:tcPr>
          <w:p w14:paraId="091E21E8" w14:textId="77777777" w:rsidR="00954851" w:rsidRPr="00954851" w:rsidRDefault="00954851" w:rsidP="00954851">
            <w:pPr>
              <w:spacing w:line="240" w:lineRule="auto"/>
              <w:jc w:val="left"/>
              <w:rPr>
                <w:rFonts w:ascii="Calibri" w:eastAsia="Times New Roman" w:hAnsi="Calibri" w:cs="Calibri"/>
                <w:b/>
                <w:bCs/>
                <w:color w:val="FFFFFF"/>
                <w:lang w:eastAsia="en-GB"/>
              </w:rPr>
            </w:pPr>
            <w:r w:rsidRPr="00954851">
              <w:rPr>
                <w:rFonts w:ascii="Calibri" w:eastAsia="Times New Roman" w:hAnsi="Calibri" w:cs="Calibri"/>
                <w:b/>
                <w:bCs/>
                <w:color w:val="FFFFFF"/>
                <w:lang w:eastAsia="en-GB"/>
              </w:rPr>
              <w:t>Effect if actual results differ from assumptions</w:t>
            </w:r>
          </w:p>
        </w:tc>
      </w:tr>
      <w:bookmarkEnd w:id="11"/>
      <w:tr w:rsidR="00954851" w:rsidRPr="00954851" w14:paraId="3C4119C2" w14:textId="77777777" w:rsidTr="00E07BC2">
        <w:trPr>
          <w:trHeight w:val="2320"/>
        </w:trPr>
        <w:tc>
          <w:tcPr>
            <w:tcW w:w="587" w:type="pct"/>
            <w:tcBorders>
              <w:top w:val="nil"/>
              <w:left w:val="nil"/>
              <w:bottom w:val="nil"/>
              <w:right w:val="nil"/>
            </w:tcBorders>
            <w:shd w:val="clear" w:color="000000" w:fill="FFFFFF"/>
            <w:hideMark/>
          </w:tcPr>
          <w:p w14:paraId="10082645" w14:textId="77777777" w:rsidR="00954851" w:rsidRPr="00954851" w:rsidRDefault="00954851" w:rsidP="00954851">
            <w:pPr>
              <w:spacing w:line="240" w:lineRule="auto"/>
              <w:jc w:val="left"/>
              <w:rPr>
                <w:rFonts w:ascii="Calibri" w:eastAsia="Times New Roman" w:hAnsi="Calibri" w:cs="Calibri"/>
                <w:b/>
                <w:bCs/>
                <w:color w:val="000000"/>
                <w:lang w:eastAsia="en-GB"/>
              </w:rPr>
            </w:pPr>
            <w:r w:rsidRPr="00954851">
              <w:rPr>
                <w:rFonts w:ascii="Calibri" w:eastAsia="Times New Roman" w:hAnsi="Calibri" w:cs="Calibri"/>
                <w:b/>
                <w:bCs/>
                <w:color w:val="000000"/>
                <w:lang w:eastAsia="en-GB"/>
              </w:rPr>
              <w:t xml:space="preserve">Property, Plant and Equipment </w:t>
            </w:r>
          </w:p>
        </w:tc>
        <w:tc>
          <w:tcPr>
            <w:tcW w:w="2696" w:type="pct"/>
            <w:tcBorders>
              <w:top w:val="nil"/>
              <w:left w:val="nil"/>
              <w:bottom w:val="nil"/>
              <w:right w:val="nil"/>
            </w:tcBorders>
            <w:shd w:val="clear" w:color="000000" w:fill="FFFFFF"/>
            <w:hideMark/>
          </w:tcPr>
          <w:p w14:paraId="23B0D28D" w14:textId="6BAF3622" w:rsidR="0047693A" w:rsidRPr="00954851" w:rsidRDefault="00954851" w:rsidP="000B0EE6">
            <w:pPr>
              <w:spacing w:line="240" w:lineRule="auto"/>
              <w:jc w:val="left"/>
              <w:rPr>
                <w:rFonts w:ascii="Calibri" w:eastAsia="Times New Roman" w:hAnsi="Calibri" w:cs="Calibri"/>
                <w:color w:val="000000"/>
                <w:lang w:eastAsia="en-GB"/>
              </w:rPr>
            </w:pPr>
            <w:r w:rsidRPr="00954851">
              <w:rPr>
                <w:rFonts w:ascii="Calibri" w:eastAsia="Times New Roman" w:hAnsi="Calibri" w:cs="Calibri"/>
                <w:color w:val="000000"/>
                <w:lang w:eastAsia="en-GB"/>
              </w:rPr>
              <w:t xml:space="preserve">Assets are depreciated over useful lives that are dependent on assumptions about the level of repairs and maintenance that will be incurred for each asset. The current economic climate makes it uncertain that the Authority will be able to sustain its current spending on repairs and maintenance, bringing into doubt the useful lives assigned to assets. The property valuations were provided by external valuer Wilks Head &amp; Eve as </w:t>
            </w:r>
            <w:proofErr w:type="gramStart"/>
            <w:r w:rsidRPr="00954851">
              <w:rPr>
                <w:rFonts w:ascii="Calibri" w:eastAsia="Times New Roman" w:hAnsi="Calibri" w:cs="Calibri"/>
                <w:color w:val="000000"/>
                <w:lang w:eastAsia="en-GB"/>
              </w:rPr>
              <w:t>at</w:t>
            </w:r>
            <w:proofErr w:type="gramEnd"/>
            <w:r w:rsidRPr="00954851">
              <w:rPr>
                <w:rFonts w:ascii="Calibri" w:eastAsia="Times New Roman" w:hAnsi="Calibri" w:cs="Calibri"/>
                <w:color w:val="000000"/>
                <w:lang w:eastAsia="en-GB"/>
              </w:rPr>
              <w:t xml:space="preserve"> 31st March 2025.</w:t>
            </w:r>
            <w:r w:rsidR="0047693A">
              <w:rPr>
                <w:rFonts w:ascii="Calibri" w:eastAsia="Times New Roman" w:hAnsi="Calibri" w:cs="Calibri"/>
                <w:color w:val="000000"/>
                <w:lang w:eastAsia="en-GB"/>
              </w:rPr>
              <w:t xml:space="preserve">   </w:t>
            </w:r>
          </w:p>
        </w:tc>
        <w:tc>
          <w:tcPr>
            <w:tcW w:w="1718" w:type="pct"/>
            <w:tcBorders>
              <w:top w:val="nil"/>
              <w:left w:val="nil"/>
              <w:bottom w:val="nil"/>
              <w:right w:val="nil"/>
            </w:tcBorders>
            <w:shd w:val="clear" w:color="000000" w:fill="FFE1E1"/>
            <w:hideMark/>
          </w:tcPr>
          <w:p w14:paraId="518A2883" w14:textId="77777777" w:rsidR="00954851" w:rsidRPr="00954851" w:rsidRDefault="00954851" w:rsidP="00954851">
            <w:pPr>
              <w:spacing w:line="240" w:lineRule="auto"/>
              <w:jc w:val="left"/>
              <w:rPr>
                <w:rFonts w:ascii="Calibri" w:eastAsia="Times New Roman" w:hAnsi="Calibri" w:cs="Calibri"/>
                <w:lang w:eastAsia="en-GB"/>
              </w:rPr>
            </w:pPr>
            <w:r w:rsidRPr="00954851">
              <w:rPr>
                <w:rFonts w:ascii="Calibri" w:eastAsia="Times New Roman" w:hAnsi="Calibri" w:cs="Calibri"/>
                <w:lang w:eastAsia="en-GB"/>
              </w:rPr>
              <w:t>If the useful economic life (UEL) of assets is reduced, depreciation will increase and the carrying value of assets will decrease. It is estimated that the annual depreciation charge for buildings would increase by £15k for every year that useful lives had to be reduced.</w:t>
            </w:r>
          </w:p>
        </w:tc>
      </w:tr>
      <w:tr w:rsidR="0047693A" w:rsidRPr="00954851" w14:paraId="24BE77E5" w14:textId="77777777" w:rsidTr="00E07BC2">
        <w:trPr>
          <w:trHeight w:val="290"/>
        </w:trPr>
        <w:tc>
          <w:tcPr>
            <w:tcW w:w="587" w:type="pct"/>
            <w:tcBorders>
              <w:top w:val="nil"/>
              <w:left w:val="nil"/>
              <w:bottom w:val="nil"/>
              <w:right w:val="nil"/>
            </w:tcBorders>
            <w:shd w:val="clear" w:color="000000" w:fill="AB2328"/>
            <w:hideMark/>
          </w:tcPr>
          <w:p w14:paraId="5042DFCF" w14:textId="77777777" w:rsidR="0047693A" w:rsidRPr="00954851" w:rsidRDefault="0047693A">
            <w:pPr>
              <w:spacing w:line="240" w:lineRule="auto"/>
              <w:jc w:val="left"/>
              <w:rPr>
                <w:rFonts w:ascii="Calibri" w:eastAsia="Times New Roman" w:hAnsi="Calibri" w:cs="Calibri"/>
                <w:b/>
                <w:bCs/>
                <w:color w:val="FFFFFF"/>
                <w:lang w:eastAsia="en-GB"/>
              </w:rPr>
            </w:pPr>
            <w:r w:rsidRPr="00954851">
              <w:rPr>
                <w:rFonts w:ascii="Calibri" w:eastAsia="Times New Roman" w:hAnsi="Calibri" w:cs="Calibri"/>
                <w:b/>
                <w:bCs/>
                <w:color w:val="FFFFFF"/>
                <w:lang w:eastAsia="en-GB"/>
              </w:rPr>
              <w:t>Item</w:t>
            </w:r>
          </w:p>
        </w:tc>
        <w:tc>
          <w:tcPr>
            <w:tcW w:w="2696" w:type="pct"/>
            <w:tcBorders>
              <w:top w:val="nil"/>
              <w:left w:val="nil"/>
              <w:bottom w:val="nil"/>
              <w:right w:val="nil"/>
            </w:tcBorders>
            <w:shd w:val="clear" w:color="000000" w:fill="AB2328"/>
            <w:hideMark/>
          </w:tcPr>
          <w:p w14:paraId="3090D647" w14:textId="77777777" w:rsidR="0047693A" w:rsidRPr="00954851" w:rsidRDefault="0047693A">
            <w:pPr>
              <w:spacing w:line="240" w:lineRule="auto"/>
              <w:jc w:val="left"/>
              <w:rPr>
                <w:rFonts w:ascii="Calibri" w:eastAsia="Times New Roman" w:hAnsi="Calibri" w:cs="Calibri"/>
                <w:b/>
                <w:bCs/>
                <w:color w:val="FFFFFF"/>
                <w:lang w:eastAsia="en-GB"/>
              </w:rPr>
            </w:pPr>
            <w:r w:rsidRPr="00954851">
              <w:rPr>
                <w:rFonts w:ascii="Calibri" w:eastAsia="Times New Roman" w:hAnsi="Calibri" w:cs="Calibri"/>
                <w:b/>
                <w:bCs/>
                <w:color w:val="FFFFFF"/>
                <w:lang w:eastAsia="en-GB"/>
              </w:rPr>
              <w:t>Uncertainties</w:t>
            </w:r>
          </w:p>
        </w:tc>
        <w:tc>
          <w:tcPr>
            <w:tcW w:w="1718" w:type="pct"/>
            <w:tcBorders>
              <w:top w:val="nil"/>
              <w:left w:val="nil"/>
              <w:bottom w:val="nil"/>
              <w:right w:val="nil"/>
            </w:tcBorders>
            <w:shd w:val="clear" w:color="000000" w:fill="AB2328"/>
            <w:hideMark/>
          </w:tcPr>
          <w:p w14:paraId="3F791F9C" w14:textId="77777777" w:rsidR="0047693A" w:rsidRPr="00954851" w:rsidRDefault="0047693A">
            <w:pPr>
              <w:spacing w:line="240" w:lineRule="auto"/>
              <w:jc w:val="left"/>
              <w:rPr>
                <w:rFonts w:ascii="Calibri" w:eastAsia="Times New Roman" w:hAnsi="Calibri" w:cs="Calibri"/>
                <w:b/>
                <w:bCs/>
                <w:color w:val="FFFFFF"/>
                <w:lang w:eastAsia="en-GB"/>
              </w:rPr>
            </w:pPr>
            <w:r w:rsidRPr="00954851">
              <w:rPr>
                <w:rFonts w:ascii="Calibri" w:eastAsia="Times New Roman" w:hAnsi="Calibri" w:cs="Calibri"/>
                <w:b/>
                <w:bCs/>
                <w:color w:val="FFFFFF"/>
                <w:lang w:eastAsia="en-GB"/>
              </w:rPr>
              <w:t>Effect if actual results differ from assumptions</w:t>
            </w:r>
          </w:p>
        </w:tc>
      </w:tr>
      <w:tr w:rsidR="00954851" w:rsidRPr="00954851" w14:paraId="25C41177" w14:textId="77777777" w:rsidTr="00E07BC2">
        <w:trPr>
          <w:trHeight w:val="2066"/>
        </w:trPr>
        <w:tc>
          <w:tcPr>
            <w:tcW w:w="587" w:type="pct"/>
            <w:tcBorders>
              <w:top w:val="nil"/>
              <w:left w:val="nil"/>
              <w:bottom w:val="nil"/>
              <w:right w:val="nil"/>
            </w:tcBorders>
            <w:shd w:val="clear" w:color="000000" w:fill="FFFFFF"/>
            <w:hideMark/>
          </w:tcPr>
          <w:p w14:paraId="2885FE18" w14:textId="77777777" w:rsidR="00954851" w:rsidRPr="00954851" w:rsidRDefault="00954851" w:rsidP="00954851">
            <w:pPr>
              <w:spacing w:line="240" w:lineRule="auto"/>
              <w:jc w:val="left"/>
              <w:rPr>
                <w:rFonts w:ascii="Calibri" w:eastAsia="Times New Roman" w:hAnsi="Calibri" w:cs="Calibri"/>
                <w:b/>
                <w:bCs/>
                <w:color w:val="000000"/>
                <w:lang w:eastAsia="en-GB"/>
              </w:rPr>
            </w:pPr>
            <w:r w:rsidRPr="00954851">
              <w:rPr>
                <w:rFonts w:ascii="Calibri" w:eastAsia="Times New Roman" w:hAnsi="Calibri" w:cs="Calibri"/>
                <w:b/>
                <w:bCs/>
                <w:color w:val="000000"/>
                <w:lang w:eastAsia="en-GB"/>
              </w:rPr>
              <w:t xml:space="preserve">Pensions Liability </w:t>
            </w:r>
          </w:p>
        </w:tc>
        <w:tc>
          <w:tcPr>
            <w:tcW w:w="2696" w:type="pct"/>
            <w:tcBorders>
              <w:top w:val="nil"/>
              <w:left w:val="nil"/>
              <w:bottom w:val="nil"/>
              <w:right w:val="nil"/>
            </w:tcBorders>
            <w:shd w:val="clear" w:color="000000" w:fill="FFFFFF"/>
            <w:hideMark/>
          </w:tcPr>
          <w:p w14:paraId="3771B7A9" w14:textId="77777777" w:rsidR="00954851" w:rsidRPr="00954851" w:rsidRDefault="00954851" w:rsidP="00954851">
            <w:pPr>
              <w:spacing w:line="240" w:lineRule="auto"/>
              <w:jc w:val="left"/>
              <w:rPr>
                <w:rFonts w:ascii="Calibri" w:eastAsia="Times New Roman" w:hAnsi="Calibri" w:cs="Calibri"/>
                <w:color w:val="000000"/>
                <w:lang w:eastAsia="en-GB"/>
              </w:rPr>
            </w:pPr>
            <w:r w:rsidRPr="00954851">
              <w:rPr>
                <w:rFonts w:ascii="Calibri" w:eastAsia="Times New Roman" w:hAnsi="Calibri" w:cs="Calibri"/>
                <w:color w:val="000000"/>
                <w:lang w:eastAsia="en-GB"/>
              </w:rPr>
              <w:t>Estimation of the net pension liability to pay pensions depends on a number of complex actuarial assumptions/judgements relating to the discount rate used, salary increases, changes in retirement ages, mortality rates and expected return on assets. A firm of consulting actuaries is engaged to provide the Authority with expert advice about the assumptions to be applied.</w:t>
            </w:r>
          </w:p>
        </w:tc>
        <w:tc>
          <w:tcPr>
            <w:tcW w:w="1718" w:type="pct"/>
            <w:tcBorders>
              <w:top w:val="nil"/>
              <w:left w:val="nil"/>
              <w:bottom w:val="nil"/>
              <w:right w:val="nil"/>
            </w:tcBorders>
            <w:shd w:val="clear" w:color="000000" w:fill="FFE1E1"/>
            <w:hideMark/>
          </w:tcPr>
          <w:p w14:paraId="209F992D" w14:textId="77777777" w:rsidR="00954851" w:rsidRPr="00954851" w:rsidRDefault="00954851" w:rsidP="00954851">
            <w:pPr>
              <w:spacing w:line="240" w:lineRule="auto"/>
              <w:jc w:val="left"/>
              <w:rPr>
                <w:rFonts w:ascii="Calibri" w:eastAsia="Times New Roman" w:hAnsi="Calibri" w:cs="Calibri"/>
                <w:color w:val="000000"/>
                <w:lang w:eastAsia="en-GB"/>
              </w:rPr>
            </w:pPr>
            <w:r w:rsidRPr="00954851">
              <w:rPr>
                <w:rFonts w:ascii="Calibri" w:eastAsia="Times New Roman" w:hAnsi="Calibri" w:cs="Calibri"/>
                <w:color w:val="000000"/>
                <w:lang w:eastAsia="en-GB"/>
              </w:rPr>
              <w:t xml:space="preserve">The carrying value of the Fire Staff pension liability as </w:t>
            </w:r>
            <w:proofErr w:type="gramStart"/>
            <w:r w:rsidRPr="00954851">
              <w:rPr>
                <w:rFonts w:ascii="Calibri" w:eastAsia="Times New Roman" w:hAnsi="Calibri" w:cs="Calibri"/>
                <w:color w:val="000000"/>
                <w:lang w:eastAsia="en-GB"/>
              </w:rPr>
              <w:t>at</w:t>
            </w:r>
            <w:proofErr w:type="gramEnd"/>
            <w:r w:rsidRPr="00954851">
              <w:rPr>
                <w:rFonts w:ascii="Calibri" w:eastAsia="Times New Roman" w:hAnsi="Calibri" w:cs="Calibri"/>
                <w:color w:val="000000"/>
                <w:lang w:eastAsia="en-GB"/>
              </w:rPr>
              <w:t xml:space="preserve"> 31 March 2025 is £222.5m.  The effect on the net pensions’ liability as a result of changes in individual assumptions is detailed within the Pensions Note 37.</w:t>
            </w:r>
          </w:p>
        </w:tc>
      </w:tr>
    </w:tbl>
    <w:p w14:paraId="35C6D5EB" w14:textId="77777777" w:rsidR="00A9437E" w:rsidRDefault="00A9437E" w:rsidP="00D86B41"/>
    <w:p w14:paraId="35CBDF05" w14:textId="2AA5678D" w:rsidR="00F85C80" w:rsidRPr="002E59CF" w:rsidRDefault="00F85C80" w:rsidP="002A1ADD">
      <w:pPr>
        <w:pStyle w:val="VAHeadingLevel2"/>
      </w:pPr>
      <w:r w:rsidRPr="002E59CF">
        <w:t xml:space="preserve">Note </w:t>
      </w:r>
      <w:r w:rsidR="00CA316F" w:rsidRPr="002E59CF">
        <w:t>3</w:t>
      </w:r>
      <w:r w:rsidRPr="002E59CF">
        <w:t xml:space="preserve">. Events after the Balance Sheet Date </w:t>
      </w:r>
    </w:p>
    <w:p w14:paraId="6937A4BF" w14:textId="4A185F49" w:rsidR="00F85C80" w:rsidRDefault="00F85C80" w:rsidP="00F85C80">
      <w:r w:rsidRPr="00D65A28">
        <w:t>The statement of accounts was authorised for issue by the Chief Finance Officer in</w:t>
      </w:r>
      <w:r>
        <w:t xml:space="preserve"> </w:t>
      </w:r>
      <w:r w:rsidR="006E29BF">
        <w:t>June</w:t>
      </w:r>
      <w:r>
        <w:t xml:space="preserve"> </w:t>
      </w:r>
      <w:r w:rsidRPr="00D65A28">
        <w:t>202</w:t>
      </w:r>
      <w:r>
        <w:t>5</w:t>
      </w:r>
      <w:r w:rsidRPr="00D65A28">
        <w:t xml:space="preserve"> and </w:t>
      </w:r>
      <w:r>
        <w:t>no</w:t>
      </w:r>
      <w:r w:rsidRPr="00D65A28">
        <w:t xml:space="preserve"> post</w:t>
      </w:r>
      <w:r>
        <w:t>-</w:t>
      </w:r>
      <w:r w:rsidRPr="00D65A28">
        <w:t>balance sheet event had been reported at this date</w:t>
      </w:r>
      <w:r>
        <w:t>.</w:t>
      </w:r>
    </w:p>
    <w:p w14:paraId="5E01BA43" w14:textId="77777777" w:rsidR="00E4441B" w:rsidRDefault="00E4441B" w:rsidP="00F85C80"/>
    <w:p w14:paraId="2BCBAD29" w14:textId="776EF3B7" w:rsidR="001E11EB" w:rsidRPr="000F74C1" w:rsidRDefault="001E11EB" w:rsidP="002A1ADD">
      <w:pPr>
        <w:pStyle w:val="VAHeadingLevel2"/>
      </w:pPr>
      <w:r w:rsidRPr="000F74C1">
        <w:t xml:space="preserve">Note 4. Officers’ Remuneration </w:t>
      </w:r>
    </w:p>
    <w:p w14:paraId="07184BAB" w14:textId="6751D151" w:rsidR="00A60791" w:rsidRDefault="001E11EB" w:rsidP="001E11EB">
      <w:r w:rsidRPr="007F07C2">
        <w:t xml:space="preserve">The number of officers whose remuneration, excluding pension contributions, was </w:t>
      </w:r>
      <w:r w:rsidRPr="007F07C2">
        <w:rPr>
          <w:b/>
          <w:bCs/>
        </w:rPr>
        <w:t xml:space="preserve">£50,000 </w:t>
      </w:r>
      <w:r w:rsidRPr="007F07C2">
        <w:t>or more during 202</w:t>
      </w:r>
      <w:r>
        <w:t>4</w:t>
      </w:r>
      <w:r w:rsidRPr="007F07C2">
        <w:t>/2</w:t>
      </w:r>
      <w:r>
        <w:t>5</w:t>
      </w:r>
      <w:r w:rsidRPr="007F07C2">
        <w:t xml:space="preserve"> is listed below: </w:t>
      </w:r>
    </w:p>
    <w:p w14:paraId="561C136C" w14:textId="77777777" w:rsidR="00FB7546" w:rsidRDefault="00FB7546" w:rsidP="001E11EB">
      <w:pPr>
        <w:rPr>
          <w:rFonts w:cstheme="minorBidi"/>
        </w:rPr>
      </w:pPr>
    </w:p>
    <w:tbl>
      <w:tblPr>
        <w:tblW w:w="4760" w:type="dxa"/>
        <w:tblLook w:val="04A0" w:firstRow="1" w:lastRow="0" w:firstColumn="1" w:lastColumn="0" w:noHBand="0" w:noVBand="1"/>
      </w:tblPr>
      <w:tblGrid>
        <w:gridCol w:w="1240"/>
        <w:gridCol w:w="2280"/>
        <w:gridCol w:w="1240"/>
      </w:tblGrid>
      <w:tr w:rsidR="00A60791" w:rsidRPr="00A60791" w14:paraId="618D3EAA" w14:textId="77777777" w:rsidTr="00AD689C">
        <w:trPr>
          <w:trHeight w:val="433"/>
        </w:trPr>
        <w:tc>
          <w:tcPr>
            <w:tcW w:w="1240" w:type="dxa"/>
            <w:tcBorders>
              <w:top w:val="nil"/>
              <w:left w:val="nil"/>
              <w:bottom w:val="nil"/>
              <w:right w:val="nil"/>
            </w:tcBorders>
            <w:shd w:val="clear" w:color="000000" w:fill="AB2328"/>
            <w:vAlign w:val="center"/>
            <w:hideMark/>
          </w:tcPr>
          <w:p w14:paraId="484023B6" w14:textId="062651AF"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Number of Officers</w:t>
            </w:r>
          </w:p>
        </w:tc>
        <w:tc>
          <w:tcPr>
            <w:tcW w:w="2280" w:type="dxa"/>
            <w:tcBorders>
              <w:top w:val="nil"/>
              <w:left w:val="nil"/>
              <w:bottom w:val="nil"/>
              <w:right w:val="nil"/>
            </w:tcBorders>
            <w:shd w:val="clear" w:color="000000" w:fill="AB2328"/>
            <w:vAlign w:val="center"/>
            <w:hideMark/>
          </w:tcPr>
          <w:p w14:paraId="5FA6E45E" w14:textId="77777777"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 xml:space="preserve">Remuneration Band </w:t>
            </w:r>
          </w:p>
        </w:tc>
        <w:tc>
          <w:tcPr>
            <w:tcW w:w="1240" w:type="dxa"/>
            <w:tcBorders>
              <w:top w:val="nil"/>
              <w:left w:val="nil"/>
              <w:bottom w:val="nil"/>
              <w:right w:val="nil"/>
            </w:tcBorders>
            <w:shd w:val="clear" w:color="000000" w:fill="AB2328"/>
            <w:vAlign w:val="center"/>
            <w:hideMark/>
          </w:tcPr>
          <w:p w14:paraId="2093CF87" w14:textId="77777777"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Number of Officers</w:t>
            </w:r>
          </w:p>
        </w:tc>
      </w:tr>
      <w:tr w:rsidR="00A60791" w:rsidRPr="00A60791" w14:paraId="0A9088D3" w14:textId="77777777" w:rsidTr="00AD689C">
        <w:trPr>
          <w:trHeight w:val="327"/>
        </w:trPr>
        <w:tc>
          <w:tcPr>
            <w:tcW w:w="1240" w:type="dxa"/>
            <w:tcBorders>
              <w:top w:val="nil"/>
              <w:left w:val="nil"/>
              <w:bottom w:val="nil"/>
              <w:right w:val="nil"/>
            </w:tcBorders>
            <w:shd w:val="clear" w:color="000000" w:fill="AB2328"/>
            <w:vAlign w:val="bottom"/>
            <w:hideMark/>
          </w:tcPr>
          <w:p w14:paraId="02A9EAAF" w14:textId="77777777"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2023/24</w:t>
            </w:r>
          </w:p>
        </w:tc>
        <w:tc>
          <w:tcPr>
            <w:tcW w:w="2280" w:type="dxa"/>
            <w:tcBorders>
              <w:top w:val="nil"/>
              <w:left w:val="nil"/>
              <w:bottom w:val="nil"/>
              <w:right w:val="nil"/>
            </w:tcBorders>
            <w:shd w:val="clear" w:color="000000" w:fill="AB2328"/>
            <w:vAlign w:val="bottom"/>
            <w:hideMark/>
          </w:tcPr>
          <w:p w14:paraId="4B9CF6C4" w14:textId="77777777"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 </w:t>
            </w:r>
          </w:p>
        </w:tc>
        <w:tc>
          <w:tcPr>
            <w:tcW w:w="1240" w:type="dxa"/>
            <w:tcBorders>
              <w:top w:val="nil"/>
              <w:left w:val="nil"/>
              <w:bottom w:val="nil"/>
              <w:right w:val="nil"/>
            </w:tcBorders>
            <w:shd w:val="clear" w:color="000000" w:fill="AB2328"/>
            <w:vAlign w:val="bottom"/>
            <w:hideMark/>
          </w:tcPr>
          <w:p w14:paraId="5FB3AA13" w14:textId="77777777" w:rsidR="00A60791" w:rsidRPr="00A60791" w:rsidRDefault="00A60791" w:rsidP="00A60791">
            <w:pPr>
              <w:spacing w:line="240" w:lineRule="auto"/>
              <w:jc w:val="center"/>
              <w:rPr>
                <w:rFonts w:ascii="Calibri" w:eastAsia="Times New Roman" w:hAnsi="Calibri" w:cs="Calibri"/>
                <w:b/>
                <w:bCs/>
                <w:color w:val="FFFFFF"/>
                <w:lang w:eastAsia="en-GB"/>
              </w:rPr>
            </w:pPr>
            <w:r w:rsidRPr="00A60791">
              <w:rPr>
                <w:rFonts w:ascii="Calibri" w:eastAsia="Times New Roman" w:hAnsi="Calibri" w:cs="Calibri"/>
                <w:b/>
                <w:bCs/>
                <w:color w:val="FFFFFF"/>
                <w:lang w:eastAsia="en-GB"/>
              </w:rPr>
              <w:t>2024/25</w:t>
            </w:r>
          </w:p>
        </w:tc>
      </w:tr>
      <w:tr w:rsidR="00A60791" w:rsidRPr="00A60791" w14:paraId="165D86B5" w14:textId="77777777" w:rsidTr="00A60791">
        <w:trPr>
          <w:trHeight w:val="315"/>
        </w:trPr>
        <w:tc>
          <w:tcPr>
            <w:tcW w:w="1240" w:type="dxa"/>
            <w:tcBorders>
              <w:top w:val="nil"/>
              <w:left w:val="nil"/>
              <w:bottom w:val="nil"/>
              <w:right w:val="nil"/>
            </w:tcBorders>
            <w:shd w:val="clear" w:color="000000" w:fill="FFFFFF"/>
            <w:vAlign w:val="center"/>
            <w:hideMark/>
          </w:tcPr>
          <w:p w14:paraId="65DDCC09"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26</w:t>
            </w:r>
          </w:p>
        </w:tc>
        <w:tc>
          <w:tcPr>
            <w:tcW w:w="2280" w:type="dxa"/>
            <w:tcBorders>
              <w:top w:val="nil"/>
              <w:left w:val="nil"/>
              <w:bottom w:val="nil"/>
              <w:right w:val="nil"/>
            </w:tcBorders>
            <w:shd w:val="clear" w:color="000000" w:fill="FFFFFF"/>
            <w:vAlign w:val="center"/>
            <w:hideMark/>
          </w:tcPr>
          <w:p w14:paraId="08E956C1"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£50,000 - £54,999</w:t>
            </w:r>
          </w:p>
        </w:tc>
        <w:tc>
          <w:tcPr>
            <w:tcW w:w="1240" w:type="dxa"/>
            <w:tcBorders>
              <w:top w:val="nil"/>
              <w:left w:val="nil"/>
              <w:bottom w:val="nil"/>
              <w:right w:val="nil"/>
            </w:tcBorders>
            <w:shd w:val="clear" w:color="000000" w:fill="FFE1E1"/>
            <w:noWrap/>
            <w:hideMark/>
          </w:tcPr>
          <w:p w14:paraId="7AB1E9A6"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36</w:t>
            </w:r>
          </w:p>
        </w:tc>
      </w:tr>
      <w:tr w:rsidR="00A60791" w:rsidRPr="00A60791" w14:paraId="11FF6204" w14:textId="77777777" w:rsidTr="00A60791">
        <w:trPr>
          <w:trHeight w:val="315"/>
        </w:trPr>
        <w:tc>
          <w:tcPr>
            <w:tcW w:w="1240" w:type="dxa"/>
            <w:tcBorders>
              <w:top w:val="nil"/>
              <w:left w:val="nil"/>
              <w:bottom w:val="nil"/>
              <w:right w:val="nil"/>
            </w:tcBorders>
            <w:shd w:val="clear" w:color="000000" w:fill="FFFFFF"/>
            <w:vAlign w:val="center"/>
            <w:hideMark/>
          </w:tcPr>
          <w:p w14:paraId="1D059BE8"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16</w:t>
            </w:r>
          </w:p>
        </w:tc>
        <w:tc>
          <w:tcPr>
            <w:tcW w:w="2280" w:type="dxa"/>
            <w:tcBorders>
              <w:top w:val="nil"/>
              <w:left w:val="nil"/>
              <w:bottom w:val="nil"/>
              <w:right w:val="nil"/>
            </w:tcBorders>
            <w:shd w:val="clear" w:color="000000" w:fill="FFFFFF"/>
            <w:vAlign w:val="center"/>
            <w:hideMark/>
          </w:tcPr>
          <w:p w14:paraId="7B3AD810"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£55,000 - £59,999</w:t>
            </w:r>
          </w:p>
        </w:tc>
        <w:tc>
          <w:tcPr>
            <w:tcW w:w="1240" w:type="dxa"/>
            <w:tcBorders>
              <w:top w:val="nil"/>
              <w:left w:val="nil"/>
              <w:bottom w:val="nil"/>
              <w:right w:val="nil"/>
            </w:tcBorders>
            <w:shd w:val="clear" w:color="000000" w:fill="FFE1E1"/>
            <w:noWrap/>
            <w:hideMark/>
          </w:tcPr>
          <w:p w14:paraId="1B7FD447"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16</w:t>
            </w:r>
          </w:p>
        </w:tc>
      </w:tr>
      <w:tr w:rsidR="00A60791" w:rsidRPr="00A60791" w14:paraId="67324C3D" w14:textId="77777777" w:rsidTr="00A60791">
        <w:trPr>
          <w:trHeight w:val="315"/>
        </w:trPr>
        <w:tc>
          <w:tcPr>
            <w:tcW w:w="1240" w:type="dxa"/>
            <w:tcBorders>
              <w:top w:val="nil"/>
              <w:left w:val="nil"/>
              <w:bottom w:val="nil"/>
              <w:right w:val="nil"/>
            </w:tcBorders>
            <w:shd w:val="clear" w:color="000000" w:fill="FFFFFF"/>
            <w:vAlign w:val="center"/>
            <w:hideMark/>
          </w:tcPr>
          <w:p w14:paraId="0D5FEC1A"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16</w:t>
            </w:r>
          </w:p>
        </w:tc>
        <w:tc>
          <w:tcPr>
            <w:tcW w:w="2280" w:type="dxa"/>
            <w:tcBorders>
              <w:top w:val="nil"/>
              <w:left w:val="nil"/>
              <w:bottom w:val="nil"/>
              <w:right w:val="nil"/>
            </w:tcBorders>
            <w:shd w:val="clear" w:color="000000" w:fill="FFFFFF"/>
            <w:vAlign w:val="center"/>
            <w:hideMark/>
          </w:tcPr>
          <w:p w14:paraId="33F16136"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£60,000 - £64,999</w:t>
            </w:r>
          </w:p>
        </w:tc>
        <w:tc>
          <w:tcPr>
            <w:tcW w:w="1240" w:type="dxa"/>
            <w:tcBorders>
              <w:top w:val="nil"/>
              <w:left w:val="nil"/>
              <w:bottom w:val="nil"/>
              <w:right w:val="nil"/>
            </w:tcBorders>
            <w:shd w:val="clear" w:color="000000" w:fill="FFE1E1"/>
            <w:noWrap/>
            <w:hideMark/>
          </w:tcPr>
          <w:p w14:paraId="4E2B1E32"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9</w:t>
            </w:r>
          </w:p>
        </w:tc>
      </w:tr>
      <w:tr w:rsidR="00A60791" w:rsidRPr="00A60791" w14:paraId="5B4B2C9F" w14:textId="77777777" w:rsidTr="00A60791">
        <w:trPr>
          <w:trHeight w:val="315"/>
        </w:trPr>
        <w:tc>
          <w:tcPr>
            <w:tcW w:w="1240" w:type="dxa"/>
            <w:tcBorders>
              <w:top w:val="nil"/>
              <w:left w:val="nil"/>
              <w:bottom w:val="nil"/>
              <w:right w:val="nil"/>
            </w:tcBorders>
            <w:shd w:val="clear" w:color="000000" w:fill="FFFFFF"/>
            <w:vAlign w:val="center"/>
            <w:hideMark/>
          </w:tcPr>
          <w:p w14:paraId="0FA3A577"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7</w:t>
            </w:r>
          </w:p>
        </w:tc>
        <w:tc>
          <w:tcPr>
            <w:tcW w:w="2280" w:type="dxa"/>
            <w:tcBorders>
              <w:top w:val="nil"/>
              <w:left w:val="nil"/>
              <w:bottom w:val="nil"/>
              <w:right w:val="nil"/>
            </w:tcBorders>
            <w:shd w:val="clear" w:color="000000" w:fill="FFFFFF"/>
            <w:vAlign w:val="center"/>
            <w:hideMark/>
          </w:tcPr>
          <w:p w14:paraId="140F8FE3"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£65,000 - £69,999</w:t>
            </w:r>
          </w:p>
        </w:tc>
        <w:tc>
          <w:tcPr>
            <w:tcW w:w="1240" w:type="dxa"/>
            <w:tcBorders>
              <w:top w:val="nil"/>
              <w:left w:val="nil"/>
              <w:bottom w:val="nil"/>
              <w:right w:val="nil"/>
            </w:tcBorders>
            <w:shd w:val="clear" w:color="000000" w:fill="FFE1E1"/>
            <w:noWrap/>
            <w:hideMark/>
          </w:tcPr>
          <w:p w14:paraId="340FC025"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20</w:t>
            </w:r>
          </w:p>
        </w:tc>
      </w:tr>
      <w:tr w:rsidR="00A60791" w:rsidRPr="00A60791" w14:paraId="7B430895" w14:textId="77777777" w:rsidTr="00A60791">
        <w:trPr>
          <w:trHeight w:val="315"/>
        </w:trPr>
        <w:tc>
          <w:tcPr>
            <w:tcW w:w="1240" w:type="dxa"/>
            <w:tcBorders>
              <w:top w:val="nil"/>
              <w:left w:val="nil"/>
              <w:bottom w:val="nil"/>
              <w:right w:val="nil"/>
            </w:tcBorders>
            <w:shd w:val="clear" w:color="000000" w:fill="FFFFFF"/>
            <w:vAlign w:val="center"/>
            <w:hideMark/>
          </w:tcPr>
          <w:p w14:paraId="6DFBC027"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5</w:t>
            </w:r>
          </w:p>
        </w:tc>
        <w:tc>
          <w:tcPr>
            <w:tcW w:w="2280" w:type="dxa"/>
            <w:tcBorders>
              <w:top w:val="nil"/>
              <w:left w:val="nil"/>
              <w:bottom w:val="nil"/>
              <w:right w:val="nil"/>
            </w:tcBorders>
            <w:shd w:val="clear" w:color="000000" w:fill="FFFFFF"/>
            <w:vAlign w:val="center"/>
            <w:hideMark/>
          </w:tcPr>
          <w:p w14:paraId="6E0783B0"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£70,000 - £74,999</w:t>
            </w:r>
          </w:p>
        </w:tc>
        <w:tc>
          <w:tcPr>
            <w:tcW w:w="1240" w:type="dxa"/>
            <w:tcBorders>
              <w:top w:val="nil"/>
              <w:left w:val="nil"/>
              <w:bottom w:val="nil"/>
              <w:right w:val="nil"/>
            </w:tcBorders>
            <w:shd w:val="clear" w:color="000000" w:fill="FFE1E1"/>
            <w:noWrap/>
            <w:hideMark/>
          </w:tcPr>
          <w:p w14:paraId="3153E9F4"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6</w:t>
            </w:r>
          </w:p>
        </w:tc>
      </w:tr>
      <w:tr w:rsidR="00A60791" w:rsidRPr="00A60791" w14:paraId="6CEDDD19" w14:textId="77777777" w:rsidTr="00A60791">
        <w:trPr>
          <w:trHeight w:val="315"/>
        </w:trPr>
        <w:tc>
          <w:tcPr>
            <w:tcW w:w="1240" w:type="dxa"/>
            <w:tcBorders>
              <w:top w:val="nil"/>
              <w:left w:val="nil"/>
              <w:bottom w:val="nil"/>
              <w:right w:val="nil"/>
            </w:tcBorders>
            <w:shd w:val="clear" w:color="000000" w:fill="FFFFFF"/>
            <w:vAlign w:val="center"/>
            <w:hideMark/>
          </w:tcPr>
          <w:p w14:paraId="55AD3F41"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3</w:t>
            </w:r>
          </w:p>
        </w:tc>
        <w:tc>
          <w:tcPr>
            <w:tcW w:w="2280" w:type="dxa"/>
            <w:tcBorders>
              <w:top w:val="nil"/>
              <w:left w:val="nil"/>
              <w:bottom w:val="nil"/>
              <w:right w:val="nil"/>
            </w:tcBorders>
            <w:shd w:val="clear" w:color="000000" w:fill="FFFFFF"/>
            <w:vAlign w:val="center"/>
            <w:hideMark/>
          </w:tcPr>
          <w:p w14:paraId="726075A7"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£75,000 - £79,999</w:t>
            </w:r>
          </w:p>
        </w:tc>
        <w:tc>
          <w:tcPr>
            <w:tcW w:w="1240" w:type="dxa"/>
            <w:tcBorders>
              <w:top w:val="nil"/>
              <w:left w:val="nil"/>
              <w:bottom w:val="nil"/>
              <w:right w:val="nil"/>
            </w:tcBorders>
            <w:shd w:val="clear" w:color="000000" w:fill="FFE1E1"/>
            <w:noWrap/>
            <w:hideMark/>
          </w:tcPr>
          <w:p w14:paraId="798E8E16"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3</w:t>
            </w:r>
          </w:p>
        </w:tc>
      </w:tr>
      <w:tr w:rsidR="00A60791" w:rsidRPr="00A60791" w14:paraId="02A87C78" w14:textId="77777777" w:rsidTr="00A60791">
        <w:trPr>
          <w:trHeight w:val="315"/>
        </w:trPr>
        <w:tc>
          <w:tcPr>
            <w:tcW w:w="1240" w:type="dxa"/>
            <w:tcBorders>
              <w:top w:val="nil"/>
              <w:left w:val="nil"/>
              <w:bottom w:val="nil"/>
              <w:right w:val="nil"/>
            </w:tcBorders>
            <w:shd w:val="clear" w:color="000000" w:fill="FFFFFF"/>
            <w:vAlign w:val="center"/>
            <w:hideMark/>
          </w:tcPr>
          <w:p w14:paraId="7C47F2B4"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6F36CF82"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£80,000 - £84,999</w:t>
            </w:r>
          </w:p>
        </w:tc>
        <w:tc>
          <w:tcPr>
            <w:tcW w:w="1240" w:type="dxa"/>
            <w:tcBorders>
              <w:top w:val="nil"/>
              <w:left w:val="nil"/>
              <w:bottom w:val="nil"/>
              <w:right w:val="nil"/>
            </w:tcBorders>
            <w:shd w:val="clear" w:color="000000" w:fill="FFE1E1"/>
            <w:noWrap/>
            <w:hideMark/>
          </w:tcPr>
          <w:p w14:paraId="24C3B2A0"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4</w:t>
            </w:r>
          </w:p>
        </w:tc>
      </w:tr>
      <w:tr w:rsidR="00A60791" w:rsidRPr="00A60791" w14:paraId="77D32B44" w14:textId="77777777" w:rsidTr="00A60791">
        <w:trPr>
          <w:trHeight w:val="315"/>
        </w:trPr>
        <w:tc>
          <w:tcPr>
            <w:tcW w:w="1240" w:type="dxa"/>
            <w:tcBorders>
              <w:top w:val="nil"/>
              <w:left w:val="nil"/>
              <w:bottom w:val="nil"/>
              <w:right w:val="nil"/>
            </w:tcBorders>
            <w:shd w:val="clear" w:color="000000" w:fill="FFFFFF"/>
            <w:vAlign w:val="center"/>
            <w:hideMark/>
          </w:tcPr>
          <w:p w14:paraId="14BBC0FE"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01E78900"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£85,000 - £89,999</w:t>
            </w:r>
          </w:p>
        </w:tc>
        <w:tc>
          <w:tcPr>
            <w:tcW w:w="1240" w:type="dxa"/>
            <w:tcBorders>
              <w:top w:val="nil"/>
              <w:left w:val="nil"/>
              <w:bottom w:val="nil"/>
              <w:right w:val="nil"/>
            </w:tcBorders>
            <w:shd w:val="clear" w:color="000000" w:fill="FFE1E1"/>
            <w:noWrap/>
            <w:hideMark/>
          </w:tcPr>
          <w:p w14:paraId="2A7F7C60"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1</w:t>
            </w:r>
          </w:p>
        </w:tc>
      </w:tr>
      <w:tr w:rsidR="00A60791" w:rsidRPr="00A60791" w14:paraId="5810BB47" w14:textId="77777777" w:rsidTr="00A60791">
        <w:trPr>
          <w:trHeight w:val="315"/>
        </w:trPr>
        <w:tc>
          <w:tcPr>
            <w:tcW w:w="1240" w:type="dxa"/>
            <w:tcBorders>
              <w:top w:val="nil"/>
              <w:left w:val="nil"/>
              <w:bottom w:val="nil"/>
              <w:right w:val="nil"/>
            </w:tcBorders>
            <w:shd w:val="clear" w:color="000000" w:fill="FFFFFF"/>
            <w:vAlign w:val="center"/>
            <w:hideMark/>
          </w:tcPr>
          <w:p w14:paraId="7B2FCFFA"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p>
        </w:tc>
        <w:tc>
          <w:tcPr>
            <w:tcW w:w="2280" w:type="dxa"/>
            <w:tcBorders>
              <w:top w:val="nil"/>
              <w:left w:val="nil"/>
              <w:bottom w:val="nil"/>
              <w:right w:val="nil"/>
            </w:tcBorders>
            <w:shd w:val="clear" w:color="000000" w:fill="FFFFFF"/>
            <w:vAlign w:val="center"/>
            <w:hideMark/>
          </w:tcPr>
          <w:p w14:paraId="744AA8D2"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£90,000 - £94,999</w:t>
            </w:r>
          </w:p>
        </w:tc>
        <w:tc>
          <w:tcPr>
            <w:tcW w:w="1240" w:type="dxa"/>
            <w:tcBorders>
              <w:top w:val="nil"/>
              <w:left w:val="nil"/>
              <w:bottom w:val="nil"/>
              <w:right w:val="nil"/>
            </w:tcBorders>
            <w:shd w:val="clear" w:color="000000" w:fill="FFE1E1"/>
            <w:noWrap/>
            <w:hideMark/>
          </w:tcPr>
          <w:p w14:paraId="6F3B7BFE"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w:t>
            </w:r>
          </w:p>
        </w:tc>
      </w:tr>
      <w:tr w:rsidR="00A60791" w:rsidRPr="00A60791" w14:paraId="6F67EAE9" w14:textId="77777777" w:rsidTr="00A60791">
        <w:trPr>
          <w:trHeight w:val="315"/>
        </w:trPr>
        <w:tc>
          <w:tcPr>
            <w:tcW w:w="1240" w:type="dxa"/>
            <w:tcBorders>
              <w:top w:val="nil"/>
              <w:left w:val="nil"/>
              <w:bottom w:val="nil"/>
              <w:right w:val="nil"/>
            </w:tcBorders>
            <w:shd w:val="clear" w:color="000000" w:fill="FFFFFF"/>
            <w:vAlign w:val="center"/>
            <w:hideMark/>
          </w:tcPr>
          <w:p w14:paraId="14ED8450"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p>
        </w:tc>
        <w:tc>
          <w:tcPr>
            <w:tcW w:w="2280" w:type="dxa"/>
            <w:tcBorders>
              <w:top w:val="nil"/>
              <w:left w:val="nil"/>
              <w:bottom w:val="nil"/>
              <w:right w:val="nil"/>
            </w:tcBorders>
            <w:shd w:val="clear" w:color="000000" w:fill="FFFFFF"/>
            <w:vAlign w:val="center"/>
            <w:hideMark/>
          </w:tcPr>
          <w:p w14:paraId="76F9ABA7"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£95,000 - £99,999</w:t>
            </w:r>
          </w:p>
        </w:tc>
        <w:tc>
          <w:tcPr>
            <w:tcW w:w="1240" w:type="dxa"/>
            <w:tcBorders>
              <w:top w:val="nil"/>
              <w:left w:val="nil"/>
              <w:bottom w:val="nil"/>
              <w:right w:val="nil"/>
            </w:tcBorders>
            <w:shd w:val="clear" w:color="000000" w:fill="FFE1E1"/>
            <w:noWrap/>
            <w:hideMark/>
          </w:tcPr>
          <w:p w14:paraId="633B2784"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w:t>
            </w:r>
          </w:p>
        </w:tc>
      </w:tr>
      <w:tr w:rsidR="00A60791" w:rsidRPr="00A60791" w14:paraId="46EA6B3A" w14:textId="77777777" w:rsidTr="00A60791">
        <w:trPr>
          <w:trHeight w:val="315"/>
        </w:trPr>
        <w:tc>
          <w:tcPr>
            <w:tcW w:w="1240" w:type="dxa"/>
            <w:tcBorders>
              <w:top w:val="nil"/>
              <w:left w:val="nil"/>
              <w:bottom w:val="nil"/>
              <w:right w:val="nil"/>
            </w:tcBorders>
            <w:shd w:val="clear" w:color="000000" w:fill="FFFFFF"/>
            <w:vAlign w:val="center"/>
            <w:hideMark/>
          </w:tcPr>
          <w:p w14:paraId="00ABE56F"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5D8D7F4E"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£100,000 - £104,999</w:t>
            </w:r>
          </w:p>
        </w:tc>
        <w:tc>
          <w:tcPr>
            <w:tcW w:w="1240" w:type="dxa"/>
            <w:tcBorders>
              <w:top w:val="nil"/>
              <w:left w:val="nil"/>
              <w:bottom w:val="nil"/>
              <w:right w:val="nil"/>
            </w:tcBorders>
            <w:shd w:val="clear" w:color="000000" w:fill="FFE1E1"/>
            <w:noWrap/>
            <w:hideMark/>
          </w:tcPr>
          <w:p w14:paraId="1859C515"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1</w:t>
            </w:r>
          </w:p>
        </w:tc>
      </w:tr>
      <w:tr w:rsidR="00A60791" w:rsidRPr="00A60791" w14:paraId="12B26A47" w14:textId="77777777" w:rsidTr="00A60791">
        <w:trPr>
          <w:trHeight w:val="315"/>
        </w:trPr>
        <w:tc>
          <w:tcPr>
            <w:tcW w:w="1240" w:type="dxa"/>
            <w:tcBorders>
              <w:top w:val="nil"/>
              <w:left w:val="nil"/>
              <w:bottom w:val="nil"/>
              <w:right w:val="nil"/>
            </w:tcBorders>
            <w:shd w:val="clear" w:color="000000" w:fill="FFFFFF"/>
            <w:vAlign w:val="center"/>
            <w:hideMark/>
          </w:tcPr>
          <w:p w14:paraId="2A207D8B"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p>
        </w:tc>
        <w:tc>
          <w:tcPr>
            <w:tcW w:w="2280" w:type="dxa"/>
            <w:tcBorders>
              <w:top w:val="nil"/>
              <w:left w:val="nil"/>
              <w:bottom w:val="nil"/>
              <w:right w:val="nil"/>
            </w:tcBorders>
            <w:shd w:val="clear" w:color="000000" w:fill="FFFFFF"/>
            <w:vAlign w:val="center"/>
            <w:hideMark/>
          </w:tcPr>
          <w:p w14:paraId="3B7CFF6F"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£105,000 - £109,999</w:t>
            </w:r>
          </w:p>
        </w:tc>
        <w:tc>
          <w:tcPr>
            <w:tcW w:w="1240" w:type="dxa"/>
            <w:tcBorders>
              <w:top w:val="nil"/>
              <w:left w:val="nil"/>
              <w:bottom w:val="nil"/>
              <w:right w:val="nil"/>
            </w:tcBorders>
            <w:shd w:val="clear" w:color="000000" w:fill="FFE1E1"/>
            <w:noWrap/>
            <w:hideMark/>
          </w:tcPr>
          <w:p w14:paraId="4560192B"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1</w:t>
            </w:r>
          </w:p>
        </w:tc>
      </w:tr>
      <w:tr w:rsidR="00A60791" w:rsidRPr="00A60791" w14:paraId="66D2BE5F" w14:textId="77777777" w:rsidTr="00A60791">
        <w:trPr>
          <w:trHeight w:val="315"/>
        </w:trPr>
        <w:tc>
          <w:tcPr>
            <w:tcW w:w="1240" w:type="dxa"/>
            <w:tcBorders>
              <w:top w:val="nil"/>
              <w:left w:val="nil"/>
              <w:bottom w:val="nil"/>
              <w:right w:val="nil"/>
            </w:tcBorders>
            <w:shd w:val="clear" w:color="000000" w:fill="FFFFFF"/>
            <w:vAlign w:val="center"/>
            <w:hideMark/>
          </w:tcPr>
          <w:p w14:paraId="61A3EF98"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692B9732"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£110,000 - £114,999</w:t>
            </w:r>
          </w:p>
        </w:tc>
        <w:tc>
          <w:tcPr>
            <w:tcW w:w="1240" w:type="dxa"/>
            <w:tcBorders>
              <w:top w:val="nil"/>
              <w:left w:val="nil"/>
              <w:bottom w:val="nil"/>
              <w:right w:val="nil"/>
            </w:tcBorders>
            <w:shd w:val="clear" w:color="000000" w:fill="FFE1E1"/>
            <w:noWrap/>
            <w:hideMark/>
          </w:tcPr>
          <w:p w14:paraId="48545878"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w:t>
            </w:r>
          </w:p>
        </w:tc>
      </w:tr>
      <w:tr w:rsidR="00A60791" w:rsidRPr="00A60791" w14:paraId="7C2C9626" w14:textId="77777777" w:rsidTr="00A60791">
        <w:trPr>
          <w:trHeight w:val="315"/>
        </w:trPr>
        <w:tc>
          <w:tcPr>
            <w:tcW w:w="1240" w:type="dxa"/>
            <w:tcBorders>
              <w:top w:val="nil"/>
              <w:left w:val="nil"/>
              <w:bottom w:val="nil"/>
              <w:right w:val="nil"/>
            </w:tcBorders>
            <w:shd w:val="clear" w:color="000000" w:fill="FFFFFF"/>
            <w:vAlign w:val="center"/>
            <w:hideMark/>
          </w:tcPr>
          <w:p w14:paraId="3DDE26FE"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p>
        </w:tc>
        <w:tc>
          <w:tcPr>
            <w:tcW w:w="2280" w:type="dxa"/>
            <w:tcBorders>
              <w:top w:val="nil"/>
              <w:left w:val="nil"/>
              <w:bottom w:val="nil"/>
              <w:right w:val="nil"/>
            </w:tcBorders>
            <w:shd w:val="clear" w:color="000000" w:fill="FFFFFF"/>
            <w:vAlign w:val="center"/>
            <w:hideMark/>
          </w:tcPr>
          <w:p w14:paraId="0E8AA802"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£115,000 - £119,999</w:t>
            </w:r>
          </w:p>
        </w:tc>
        <w:tc>
          <w:tcPr>
            <w:tcW w:w="1240" w:type="dxa"/>
            <w:tcBorders>
              <w:top w:val="nil"/>
              <w:left w:val="nil"/>
              <w:bottom w:val="nil"/>
              <w:right w:val="nil"/>
            </w:tcBorders>
            <w:shd w:val="clear" w:color="000000" w:fill="FFE1E1"/>
            <w:noWrap/>
            <w:hideMark/>
          </w:tcPr>
          <w:p w14:paraId="785BFE02"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1</w:t>
            </w:r>
          </w:p>
        </w:tc>
      </w:tr>
      <w:tr w:rsidR="00A60791" w:rsidRPr="00A60791" w14:paraId="26793C2B" w14:textId="77777777" w:rsidTr="00A60791">
        <w:trPr>
          <w:trHeight w:val="315"/>
        </w:trPr>
        <w:tc>
          <w:tcPr>
            <w:tcW w:w="1240" w:type="dxa"/>
            <w:tcBorders>
              <w:top w:val="nil"/>
              <w:left w:val="nil"/>
              <w:bottom w:val="nil"/>
              <w:right w:val="nil"/>
            </w:tcBorders>
            <w:shd w:val="clear" w:color="000000" w:fill="FFFFFF"/>
            <w:vAlign w:val="center"/>
            <w:hideMark/>
          </w:tcPr>
          <w:p w14:paraId="558920B8"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08B928DC"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£120,000 - £124,999</w:t>
            </w:r>
          </w:p>
        </w:tc>
        <w:tc>
          <w:tcPr>
            <w:tcW w:w="1240" w:type="dxa"/>
            <w:tcBorders>
              <w:top w:val="nil"/>
              <w:left w:val="nil"/>
              <w:bottom w:val="nil"/>
              <w:right w:val="nil"/>
            </w:tcBorders>
            <w:shd w:val="clear" w:color="000000" w:fill="FFE1E1"/>
            <w:noWrap/>
            <w:hideMark/>
          </w:tcPr>
          <w:p w14:paraId="4261369F" w14:textId="77777777" w:rsidR="00A60791" w:rsidRPr="00A60791" w:rsidRDefault="00A60791" w:rsidP="00A60791">
            <w:pPr>
              <w:spacing w:line="240" w:lineRule="auto"/>
              <w:jc w:val="center"/>
              <w:rPr>
                <w:rFonts w:ascii="Calibri" w:eastAsia="Times New Roman" w:hAnsi="Calibri" w:cs="Calibri"/>
                <w:color w:val="000000"/>
                <w:lang w:eastAsia="en-GB"/>
              </w:rPr>
            </w:pPr>
            <w:r w:rsidRPr="00A60791">
              <w:rPr>
                <w:rFonts w:ascii="Calibri" w:eastAsia="Times New Roman" w:hAnsi="Calibri" w:cs="Calibri"/>
                <w:color w:val="000000"/>
                <w:lang w:eastAsia="en-GB"/>
              </w:rPr>
              <w:t>-</w:t>
            </w:r>
          </w:p>
        </w:tc>
      </w:tr>
      <w:tr w:rsidR="00A60791" w:rsidRPr="00A60791" w14:paraId="3198AF6A" w14:textId="77777777" w:rsidTr="00A60791">
        <w:trPr>
          <w:trHeight w:val="315"/>
        </w:trPr>
        <w:tc>
          <w:tcPr>
            <w:tcW w:w="1240" w:type="dxa"/>
            <w:tcBorders>
              <w:top w:val="nil"/>
              <w:left w:val="nil"/>
              <w:bottom w:val="nil"/>
              <w:right w:val="nil"/>
            </w:tcBorders>
            <w:shd w:val="clear" w:color="000000" w:fill="FFFFFF"/>
            <w:vAlign w:val="center"/>
            <w:hideMark/>
          </w:tcPr>
          <w:p w14:paraId="1405FF43"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hideMark/>
          </w:tcPr>
          <w:p w14:paraId="451E6550" w14:textId="77777777" w:rsidR="00A60791" w:rsidRPr="00A60791" w:rsidRDefault="00A60791"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£125,000 - £129,999</w:t>
            </w:r>
          </w:p>
        </w:tc>
        <w:tc>
          <w:tcPr>
            <w:tcW w:w="1240" w:type="dxa"/>
            <w:tcBorders>
              <w:top w:val="nil"/>
              <w:left w:val="nil"/>
              <w:bottom w:val="nil"/>
              <w:right w:val="nil"/>
            </w:tcBorders>
            <w:shd w:val="clear" w:color="000000" w:fill="FFE1E1"/>
            <w:noWrap/>
            <w:hideMark/>
          </w:tcPr>
          <w:p w14:paraId="3A217BD7" w14:textId="1C6C7E87" w:rsidR="00A60791" w:rsidRPr="00A60791" w:rsidRDefault="00BE4471" w:rsidP="00A60791">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E10D38" w:rsidRPr="00A60791" w14:paraId="4E88ECA5" w14:textId="77777777" w:rsidTr="00A60791">
        <w:trPr>
          <w:trHeight w:val="315"/>
        </w:trPr>
        <w:tc>
          <w:tcPr>
            <w:tcW w:w="1240" w:type="dxa"/>
            <w:tcBorders>
              <w:top w:val="nil"/>
              <w:left w:val="nil"/>
              <w:bottom w:val="nil"/>
              <w:right w:val="nil"/>
            </w:tcBorders>
            <w:shd w:val="clear" w:color="000000" w:fill="FFFFFF"/>
            <w:vAlign w:val="center"/>
          </w:tcPr>
          <w:p w14:paraId="047D440A" w14:textId="277DA296" w:rsidR="00E10D38" w:rsidRPr="00A60791" w:rsidRDefault="00623224" w:rsidP="00A60791">
            <w:pPr>
              <w:spacing w:line="240" w:lineRule="auto"/>
              <w:jc w:val="center"/>
              <w:rPr>
                <w:rFonts w:ascii="Calibri" w:eastAsia="Times New Roman" w:hAnsi="Calibri" w:cs="Calibri"/>
                <w:lang w:eastAsia="en-GB"/>
              </w:rPr>
            </w:pPr>
            <w:r>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tcPr>
          <w:p w14:paraId="54A7F5A5" w14:textId="04BB7B80" w:rsidR="00E10D38" w:rsidRPr="00A60791" w:rsidRDefault="007946DA"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r>
              <w:rPr>
                <w:rFonts w:ascii="Calibri" w:eastAsia="Times New Roman" w:hAnsi="Calibri" w:cs="Calibri"/>
                <w:lang w:eastAsia="en-GB"/>
              </w:rPr>
              <w:t>30</w:t>
            </w:r>
            <w:r w:rsidRPr="00A60791">
              <w:rPr>
                <w:rFonts w:ascii="Calibri" w:eastAsia="Times New Roman" w:hAnsi="Calibri" w:cs="Calibri"/>
                <w:lang w:eastAsia="en-GB"/>
              </w:rPr>
              <w:t>,000 - £1</w:t>
            </w:r>
            <w:r w:rsidR="00623224">
              <w:rPr>
                <w:rFonts w:ascii="Calibri" w:eastAsia="Times New Roman" w:hAnsi="Calibri" w:cs="Calibri"/>
                <w:lang w:eastAsia="en-GB"/>
              </w:rPr>
              <w:t>34</w:t>
            </w:r>
            <w:r w:rsidRPr="00A60791">
              <w:rPr>
                <w:rFonts w:ascii="Calibri" w:eastAsia="Times New Roman" w:hAnsi="Calibri" w:cs="Calibri"/>
                <w:lang w:eastAsia="en-GB"/>
              </w:rPr>
              <w:t>,999</w:t>
            </w:r>
          </w:p>
        </w:tc>
        <w:tc>
          <w:tcPr>
            <w:tcW w:w="1240" w:type="dxa"/>
            <w:tcBorders>
              <w:top w:val="nil"/>
              <w:left w:val="nil"/>
              <w:bottom w:val="nil"/>
              <w:right w:val="nil"/>
            </w:tcBorders>
            <w:shd w:val="clear" w:color="000000" w:fill="FFE1E1"/>
            <w:noWrap/>
          </w:tcPr>
          <w:p w14:paraId="4A8795C1" w14:textId="19D31A1A" w:rsidR="00E10D38" w:rsidRPr="00A60791" w:rsidRDefault="00623224" w:rsidP="00A60791">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623224" w:rsidRPr="00A60791" w14:paraId="471F748C" w14:textId="77777777" w:rsidTr="00A60791">
        <w:trPr>
          <w:trHeight w:val="315"/>
        </w:trPr>
        <w:tc>
          <w:tcPr>
            <w:tcW w:w="1240" w:type="dxa"/>
            <w:tcBorders>
              <w:top w:val="nil"/>
              <w:left w:val="nil"/>
              <w:bottom w:val="nil"/>
              <w:right w:val="nil"/>
            </w:tcBorders>
            <w:shd w:val="clear" w:color="000000" w:fill="FFFFFF"/>
            <w:vAlign w:val="center"/>
          </w:tcPr>
          <w:p w14:paraId="1CDE2F9E" w14:textId="524E1A09" w:rsidR="00623224" w:rsidRDefault="002D549A" w:rsidP="00A60791">
            <w:pPr>
              <w:spacing w:line="240" w:lineRule="auto"/>
              <w:jc w:val="center"/>
              <w:rPr>
                <w:rFonts w:ascii="Calibri" w:eastAsia="Times New Roman" w:hAnsi="Calibri" w:cs="Calibri"/>
                <w:lang w:eastAsia="en-GB"/>
              </w:rPr>
            </w:pPr>
            <w:r>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tcPr>
          <w:p w14:paraId="12D574B4" w14:textId="35E94D7A" w:rsidR="00623224" w:rsidRPr="00A60791" w:rsidRDefault="002D549A"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r>
              <w:rPr>
                <w:rFonts w:ascii="Calibri" w:eastAsia="Times New Roman" w:hAnsi="Calibri" w:cs="Calibri"/>
                <w:lang w:eastAsia="en-GB"/>
              </w:rPr>
              <w:t>35</w:t>
            </w:r>
            <w:r w:rsidRPr="00A60791">
              <w:rPr>
                <w:rFonts w:ascii="Calibri" w:eastAsia="Times New Roman" w:hAnsi="Calibri" w:cs="Calibri"/>
                <w:lang w:eastAsia="en-GB"/>
              </w:rPr>
              <w:t>,000 - £1</w:t>
            </w:r>
            <w:r>
              <w:rPr>
                <w:rFonts w:ascii="Calibri" w:eastAsia="Times New Roman" w:hAnsi="Calibri" w:cs="Calibri"/>
                <w:lang w:eastAsia="en-GB"/>
              </w:rPr>
              <w:t>39</w:t>
            </w:r>
            <w:r w:rsidRPr="00A60791">
              <w:rPr>
                <w:rFonts w:ascii="Calibri" w:eastAsia="Times New Roman" w:hAnsi="Calibri" w:cs="Calibri"/>
                <w:lang w:eastAsia="en-GB"/>
              </w:rPr>
              <w:t>,999</w:t>
            </w:r>
          </w:p>
        </w:tc>
        <w:tc>
          <w:tcPr>
            <w:tcW w:w="1240" w:type="dxa"/>
            <w:tcBorders>
              <w:top w:val="nil"/>
              <w:left w:val="nil"/>
              <w:bottom w:val="nil"/>
              <w:right w:val="nil"/>
            </w:tcBorders>
            <w:shd w:val="clear" w:color="000000" w:fill="FFE1E1"/>
            <w:noWrap/>
          </w:tcPr>
          <w:p w14:paraId="21EAC8A0" w14:textId="1949A782" w:rsidR="00623224" w:rsidRDefault="002D549A" w:rsidP="00A60791">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2D549A" w:rsidRPr="00A60791" w14:paraId="12E3FA3F" w14:textId="77777777" w:rsidTr="00A60791">
        <w:trPr>
          <w:trHeight w:val="315"/>
        </w:trPr>
        <w:tc>
          <w:tcPr>
            <w:tcW w:w="1240" w:type="dxa"/>
            <w:tcBorders>
              <w:top w:val="nil"/>
              <w:left w:val="nil"/>
              <w:bottom w:val="nil"/>
              <w:right w:val="nil"/>
            </w:tcBorders>
            <w:shd w:val="clear" w:color="000000" w:fill="FFFFFF"/>
            <w:vAlign w:val="center"/>
          </w:tcPr>
          <w:p w14:paraId="0C7D4A5E" w14:textId="7915C1A7" w:rsidR="002D549A" w:rsidRDefault="005F32C7" w:rsidP="00A60791">
            <w:pPr>
              <w:spacing w:line="240" w:lineRule="auto"/>
              <w:jc w:val="center"/>
              <w:rPr>
                <w:rFonts w:ascii="Calibri" w:eastAsia="Times New Roman" w:hAnsi="Calibri" w:cs="Calibri"/>
                <w:lang w:eastAsia="en-GB"/>
              </w:rPr>
            </w:pPr>
            <w:r>
              <w:rPr>
                <w:rFonts w:ascii="Calibri" w:eastAsia="Times New Roman" w:hAnsi="Calibri" w:cs="Calibri"/>
                <w:lang w:eastAsia="en-GB"/>
              </w:rPr>
              <w:t>-</w:t>
            </w:r>
          </w:p>
        </w:tc>
        <w:tc>
          <w:tcPr>
            <w:tcW w:w="2280" w:type="dxa"/>
            <w:tcBorders>
              <w:top w:val="nil"/>
              <w:left w:val="nil"/>
              <w:bottom w:val="nil"/>
              <w:right w:val="nil"/>
            </w:tcBorders>
            <w:shd w:val="clear" w:color="000000" w:fill="FFFFFF"/>
            <w:vAlign w:val="center"/>
          </w:tcPr>
          <w:p w14:paraId="3D9ABCEF" w14:textId="4A81D25B" w:rsidR="002D549A" w:rsidRPr="00A60791" w:rsidRDefault="005F32C7" w:rsidP="00A60791">
            <w:pPr>
              <w:spacing w:line="240" w:lineRule="auto"/>
              <w:jc w:val="center"/>
              <w:rPr>
                <w:rFonts w:ascii="Calibri" w:eastAsia="Times New Roman" w:hAnsi="Calibri" w:cs="Calibri"/>
                <w:lang w:eastAsia="en-GB"/>
              </w:rPr>
            </w:pPr>
            <w:r w:rsidRPr="00A60791">
              <w:rPr>
                <w:rFonts w:ascii="Calibri" w:eastAsia="Times New Roman" w:hAnsi="Calibri" w:cs="Calibri"/>
                <w:lang w:eastAsia="en-GB"/>
              </w:rPr>
              <w:t>£1</w:t>
            </w:r>
            <w:r w:rsidR="00BE4471">
              <w:rPr>
                <w:rFonts w:ascii="Calibri" w:eastAsia="Times New Roman" w:hAnsi="Calibri" w:cs="Calibri"/>
                <w:lang w:eastAsia="en-GB"/>
              </w:rPr>
              <w:t>40</w:t>
            </w:r>
            <w:r w:rsidRPr="00A60791">
              <w:rPr>
                <w:rFonts w:ascii="Calibri" w:eastAsia="Times New Roman" w:hAnsi="Calibri" w:cs="Calibri"/>
                <w:lang w:eastAsia="en-GB"/>
              </w:rPr>
              <w:t>,000 - £1</w:t>
            </w:r>
            <w:r w:rsidR="00BE4471">
              <w:rPr>
                <w:rFonts w:ascii="Calibri" w:eastAsia="Times New Roman" w:hAnsi="Calibri" w:cs="Calibri"/>
                <w:lang w:eastAsia="en-GB"/>
              </w:rPr>
              <w:t>4</w:t>
            </w:r>
            <w:r w:rsidR="00FB7546">
              <w:rPr>
                <w:rFonts w:ascii="Calibri" w:eastAsia="Times New Roman" w:hAnsi="Calibri" w:cs="Calibri"/>
                <w:lang w:eastAsia="en-GB"/>
              </w:rPr>
              <w:t>4</w:t>
            </w:r>
            <w:r w:rsidRPr="00A60791">
              <w:rPr>
                <w:rFonts w:ascii="Calibri" w:eastAsia="Times New Roman" w:hAnsi="Calibri" w:cs="Calibri"/>
                <w:lang w:eastAsia="en-GB"/>
              </w:rPr>
              <w:t>,999</w:t>
            </w:r>
          </w:p>
        </w:tc>
        <w:tc>
          <w:tcPr>
            <w:tcW w:w="1240" w:type="dxa"/>
            <w:tcBorders>
              <w:top w:val="nil"/>
              <w:left w:val="nil"/>
              <w:bottom w:val="nil"/>
              <w:right w:val="nil"/>
            </w:tcBorders>
            <w:shd w:val="clear" w:color="000000" w:fill="FFE1E1"/>
            <w:noWrap/>
          </w:tcPr>
          <w:p w14:paraId="744EECEB" w14:textId="5C636C37" w:rsidR="002D549A" w:rsidRDefault="00BE4471" w:rsidP="00A60791">
            <w:pPr>
              <w:spacing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r>
    </w:tbl>
    <w:p w14:paraId="1F336FEC" w14:textId="7F2FEA9E" w:rsidR="001E11EB" w:rsidRPr="006A4726" w:rsidRDefault="001E11EB" w:rsidP="002A1ADD">
      <w:pPr>
        <w:pStyle w:val="VAHeadingLevel2"/>
      </w:pPr>
      <w:r w:rsidRPr="006A4726">
        <w:lastRenderedPageBreak/>
        <w:t xml:space="preserve">Note </w:t>
      </w:r>
      <w:r w:rsidR="00C81483" w:rsidRPr="006A4726">
        <w:t>4</w:t>
      </w:r>
      <w:r w:rsidRPr="006A4726">
        <w:t xml:space="preserve">.1. Senior Officer Remuneration </w:t>
      </w:r>
    </w:p>
    <w:p w14:paraId="13596483" w14:textId="6DE368C3" w:rsidR="001E11EB" w:rsidRPr="007B4962" w:rsidRDefault="001E11EB" w:rsidP="001E11EB">
      <w:r w:rsidRPr="007B4962">
        <w:t xml:space="preserve">Full year remuneration amounts for all senior officers are included in the table of remuneration by pay band in Note </w:t>
      </w:r>
      <w:r w:rsidR="009E0B21">
        <w:t>4</w:t>
      </w:r>
      <w:r w:rsidRPr="007B4962">
        <w:t xml:space="preserve"> (above). </w:t>
      </w:r>
    </w:p>
    <w:p w14:paraId="6771BCC5" w14:textId="77777777" w:rsidR="001E11EB" w:rsidRPr="007B4962" w:rsidRDefault="001E11EB" w:rsidP="001E11EB"/>
    <w:p w14:paraId="3AE9A177" w14:textId="551107D0" w:rsidR="001E11EB" w:rsidRDefault="001E11EB" w:rsidP="001E11EB">
      <w:r w:rsidRPr="007B4962">
        <w:t>The tables below detail the individual remu</w:t>
      </w:r>
      <w:r w:rsidR="007631F2">
        <w:t>n</w:t>
      </w:r>
      <w:r w:rsidRPr="007B4962">
        <w:t>eration of senior employees for 202</w:t>
      </w:r>
      <w:r>
        <w:t>4</w:t>
      </w:r>
      <w:r w:rsidRPr="007B4962">
        <w:t>/2</w:t>
      </w:r>
      <w:r>
        <w:t xml:space="preserve">5 </w:t>
      </w:r>
      <w:r w:rsidRPr="007B4962">
        <w:t>and 202</w:t>
      </w:r>
      <w:r>
        <w:t>3</w:t>
      </w:r>
      <w:r w:rsidRPr="007B4962">
        <w:t>/2</w:t>
      </w:r>
      <w:r>
        <w:t>4</w:t>
      </w:r>
      <w:r w:rsidRPr="007B4962">
        <w:t xml:space="preserve"> respectively.</w:t>
      </w:r>
    </w:p>
    <w:p w14:paraId="33473D60" w14:textId="77777777" w:rsidR="00DD7132" w:rsidRDefault="00DD7132" w:rsidP="001E11EB">
      <w:pPr>
        <w:rPr>
          <w:rFonts w:cstheme="minorBidi"/>
        </w:rPr>
      </w:pPr>
    </w:p>
    <w:p w14:paraId="076FCB09" w14:textId="6D961F9A" w:rsidR="00463D54" w:rsidRDefault="00110F42" w:rsidP="001E11EB">
      <w:pPr>
        <w:rPr>
          <w:rFonts w:cstheme="minorBidi"/>
        </w:rPr>
      </w:pPr>
      <w:r>
        <w:rPr>
          <w:rFonts w:cstheme="minorBidi"/>
        </w:rPr>
        <w:t xml:space="preserve">There were three Assistant Chief Fire Officers and Area </w:t>
      </w:r>
      <w:r w:rsidR="00A27C97">
        <w:rPr>
          <w:rFonts w:cstheme="minorBidi"/>
        </w:rPr>
        <w:t>Commander posts as represented in the table below.</w:t>
      </w:r>
    </w:p>
    <w:p w14:paraId="6069E273" w14:textId="77777777" w:rsidR="00200D08" w:rsidRDefault="00200D08" w:rsidP="001E11EB">
      <w:pPr>
        <w:rPr>
          <w:rFonts w:cstheme="minorBidi"/>
        </w:rPr>
      </w:pPr>
    </w:p>
    <w:tbl>
      <w:tblPr>
        <w:tblW w:w="10620" w:type="dxa"/>
        <w:tblLook w:val="04A0" w:firstRow="1" w:lastRow="0" w:firstColumn="1" w:lastColumn="0" w:noHBand="0" w:noVBand="1"/>
      </w:tblPr>
      <w:tblGrid>
        <w:gridCol w:w="2977"/>
        <w:gridCol w:w="1343"/>
        <w:gridCol w:w="1355"/>
        <w:gridCol w:w="1520"/>
        <w:gridCol w:w="1100"/>
        <w:gridCol w:w="1100"/>
        <w:gridCol w:w="1225"/>
      </w:tblGrid>
      <w:tr w:rsidR="00463D54" w:rsidRPr="00463D54" w14:paraId="389EAC69" w14:textId="77777777" w:rsidTr="5A995008">
        <w:trPr>
          <w:trHeight w:val="600"/>
        </w:trPr>
        <w:tc>
          <w:tcPr>
            <w:tcW w:w="2977" w:type="dxa"/>
            <w:tcBorders>
              <w:top w:val="nil"/>
              <w:left w:val="nil"/>
              <w:bottom w:val="nil"/>
              <w:right w:val="nil"/>
            </w:tcBorders>
            <w:shd w:val="clear" w:color="auto" w:fill="AB2328"/>
            <w:vAlign w:val="center"/>
            <w:hideMark/>
          </w:tcPr>
          <w:p w14:paraId="1AABDE1B" w14:textId="06DDD638" w:rsidR="00463D54" w:rsidRPr="00463D54" w:rsidRDefault="00463D54" w:rsidP="00463D54">
            <w:pPr>
              <w:spacing w:line="240" w:lineRule="auto"/>
              <w:jc w:val="left"/>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2024/25</w:t>
            </w:r>
          </w:p>
        </w:tc>
        <w:tc>
          <w:tcPr>
            <w:tcW w:w="1343" w:type="dxa"/>
            <w:tcBorders>
              <w:top w:val="nil"/>
              <w:left w:val="nil"/>
              <w:bottom w:val="nil"/>
              <w:right w:val="nil"/>
            </w:tcBorders>
            <w:shd w:val="clear" w:color="auto" w:fill="AB2328"/>
            <w:vAlign w:val="center"/>
            <w:hideMark/>
          </w:tcPr>
          <w:p w14:paraId="4E747C96"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Start Date (with NCFRA)</w:t>
            </w:r>
          </w:p>
        </w:tc>
        <w:tc>
          <w:tcPr>
            <w:tcW w:w="1355" w:type="dxa"/>
            <w:tcBorders>
              <w:top w:val="nil"/>
              <w:left w:val="nil"/>
              <w:bottom w:val="nil"/>
              <w:right w:val="nil"/>
            </w:tcBorders>
            <w:shd w:val="clear" w:color="auto" w:fill="AB2328"/>
            <w:vAlign w:val="center"/>
            <w:hideMark/>
          </w:tcPr>
          <w:p w14:paraId="65DC6AF8"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Leaving Date</w:t>
            </w:r>
          </w:p>
        </w:tc>
        <w:tc>
          <w:tcPr>
            <w:tcW w:w="1520" w:type="dxa"/>
            <w:tcBorders>
              <w:top w:val="nil"/>
              <w:left w:val="nil"/>
              <w:bottom w:val="nil"/>
              <w:right w:val="nil"/>
            </w:tcBorders>
            <w:shd w:val="clear" w:color="auto" w:fill="AB2328"/>
            <w:vAlign w:val="center"/>
            <w:hideMark/>
          </w:tcPr>
          <w:p w14:paraId="54009C30"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 xml:space="preserve">Salary </w:t>
            </w:r>
            <w:r w:rsidRPr="00E62508">
              <w:rPr>
                <w:rFonts w:ascii="Calibri" w:eastAsia="Times New Roman" w:hAnsi="Calibri" w:cs="Calibri"/>
                <w:b/>
                <w:bCs/>
                <w:color w:val="FFFFFF"/>
                <w:sz w:val="14"/>
                <w:szCs w:val="14"/>
                <w:lang w:eastAsia="en-GB"/>
              </w:rPr>
              <w:t>1</w:t>
            </w:r>
          </w:p>
        </w:tc>
        <w:tc>
          <w:tcPr>
            <w:tcW w:w="1100" w:type="dxa"/>
            <w:tcBorders>
              <w:top w:val="nil"/>
              <w:left w:val="nil"/>
              <w:bottom w:val="nil"/>
              <w:right w:val="nil"/>
            </w:tcBorders>
            <w:shd w:val="clear" w:color="auto" w:fill="AB2328"/>
            <w:vAlign w:val="center"/>
            <w:hideMark/>
          </w:tcPr>
          <w:p w14:paraId="3674AD16" w14:textId="77777777" w:rsidR="00463D54" w:rsidRPr="00463D54" w:rsidRDefault="00463D54" w:rsidP="00463D54">
            <w:pPr>
              <w:spacing w:line="240" w:lineRule="auto"/>
              <w:jc w:val="center"/>
              <w:rPr>
                <w:rFonts w:ascii="Calibri" w:eastAsia="Times New Roman" w:hAnsi="Calibri" w:cs="Calibri"/>
                <w:b/>
                <w:bCs/>
                <w:color w:val="FFFFFF"/>
                <w:lang w:eastAsia="en-GB"/>
              </w:rPr>
            </w:pPr>
            <w:proofErr w:type="gramStart"/>
            <w:r w:rsidRPr="00463D54">
              <w:rPr>
                <w:rFonts w:ascii="Calibri" w:eastAsia="Times New Roman" w:hAnsi="Calibri" w:cs="Calibri"/>
                <w:b/>
                <w:bCs/>
                <w:color w:val="FFFFFF"/>
                <w:lang w:eastAsia="en-GB"/>
              </w:rPr>
              <w:t>Other</w:t>
            </w:r>
            <w:proofErr w:type="gramEnd"/>
            <w:r w:rsidRPr="00463D54">
              <w:rPr>
                <w:rFonts w:ascii="Calibri" w:eastAsia="Times New Roman" w:hAnsi="Calibri" w:cs="Calibri"/>
                <w:b/>
                <w:bCs/>
                <w:color w:val="FFFFFF"/>
                <w:lang w:eastAsia="en-GB"/>
              </w:rPr>
              <w:t xml:space="preserve"> </w:t>
            </w:r>
            <w:r w:rsidRPr="00E62508">
              <w:rPr>
                <w:rFonts w:ascii="Calibri" w:eastAsia="Times New Roman" w:hAnsi="Calibri" w:cs="Calibri"/>
                <w:b/>
                <w:bCs/>
                <w:color w:val="FFFFFF"/>
                <w:sz w:val="16"/>
                <w:szCs w:val="16"/>
                <w:lang w:eastAsia="en-GB"/>
              </w:rPr>
              <w:t>2</w:t>
            </w:r>
          </w:p>
        </w:tc>
        <w:tc>
          <w:tcPr>
            <w:tcW w:w="1100" w:type="dxa"/>
            <w:tcBorders>
              <w:top w:val="nil"/>
              <w:left w:val="nil"/>
              <w:bottom w:val="nil"/>
              <w:right w:val="nil"/>
            </w:tcBorders>
            <w:shd w:val="clear" w:color="auto" w:fill="AB2328"/>
            <w:vAlign w:val="center"/>
            <w:hideMark/>
          </w:tcPr>
          <w:p w14:paraId="3521020E"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 xml:space="preserve">Total Excl Pension  </w:t>
            </w:r>
          </w:p>
        </w:tc>
        <w:tc>
          <w:tcPr>
            <w:tcW w:w="1225" w:type="dxa"/>
            <w:tcBorders>
              <w:top w:val="nil"/>
              <w:left w:val="nil"/>
              <w:bottom w:val="nil"/>
              <w:right w:val="nil"/>
            </w:tcBorders>
            <w:shd w:val="clear" w:color="auto" w:fill="AB2328"/>
            <w:vAlign w:val="center"/>
            <w:hideMark/>
          </w:tcPr>
          <w:p w14:paraId="4E589D7D"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 xml:space="preserve">Employer's   Pension </w:t>
            </w:r>
          </w:p>
        </w:tc>
      </w:tr>
      <w:tr w:rsidR="00463D54" w:rsidRPr="00463D54" w14:paraId="0E6E5C5C" w14:textId="77777777" w:rsidTr="5A995008">
        <w:trPr>
          <w:trHeight w:val="360"/>
        </w:trPr>
        <w:tc>
          <w:tcPr>
            <w:tcW w:w="2977" w:type="dxa"/>
            <w:tcBorders>
              <w:top w:val="nil"/>
              <w:left w:val="nil"/>
              <w:bottom w:val="nil"/>
              <w:right w:val="nil"/>
            </w:tcBorders>
            <w:shd w:val="clear" w:color="auto" w:fill="AB2328"/>
            <w:vAlign w:val="center"/>
            <w:hideMark/>
          </w:tcPr>
          <w:p w14:paraId="3A49167B" w14:textId="77777777" w:rsidR="00463D54" w:rsidRPr="00463D54" w:rsidRDefault="00463D54" w:rsidP="00463D54">
            <w:pPr>
              <w:spacing w:line="240" w:lineRule="auto"/>
              <w:jc w:val="left"/>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Post Holder Information</w:t>
            </w:r>
          </w:p>
        </w:tc>
        <w:tc>
          <w:tcPr>
            <w:tcW w:w="1343" w:type="dxa"/>
            <w:tcBorders>
              <w:top w:val="nil"/>
              <w:left w:val="nil"/>
              <w:bottom w:val="nil"/>
              <w:right w:val="nil"/>
            </w:tcBorders>
            <w:shd w:val="clear" w:color="auto" w:fill="AB2328"/>
            <w:vAlign w:val="center"/>
            <w:hideMark/>
          </w:tcPr>
          <w:p w14:paraId="20F03A76"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 </w:t>
            </w:r>
          </w:p>
        </w:tc>
        <w:tc>
          <w:tcPr>
            <w:tcW w:w="1355" w:type="dxa"/>
            <w:tcBorders>
              <w:top w:val="nil"/>
              <w:left w:val="nil"/>
              <w:bottom w:val="nil"/>
              <w:right w:val="nil"/>
            </w:tcBorders>
            <w:shd w:val="clear" w:color="auto" w:fill="AB2328"/>
            <w:vAlign w:val="center"/>
            <w:hideMark/>
          </w:tcPr>
          <w:p w14:paraId="3AFF892C"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 </w:t>
            </w:r>
          </w:p>
        </w:tc>
        <w:tc>
          <w:tcPr>
            <w:tcW w:w="1520" w:type="dxa"/>
            <w:tcBorders>
              <w:top w:val="nil"/>
              <w:left w:val="nil"/>
              <w:bottom w:val="nil"/>
              <w:right w:val="nil"/>
            </w:tcBorders>
            <w:shd w:val="clear" w:color="auto" w:fill="AB2328"/>
            <w:vAlign w:val="center"/>
            <w:hideMark/>
          </w:tcPr>
          <w:p w14:paraId="783E41AF"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w:t>
            </w:r>
          </w:p>
        </w:tc>
        <w:tc>
          <w:tcPr>
            <w:tcW w:w="1100" w:type="dxa"/>
            <w:tcBorders>
              <w:top w:val="nil"/>
              <w:left w:val="nil"/>
              <w:bottom w:val="nil"/>
              <w:right w:val="nil"/>
            </w:tcBorders>
            <w:shd w:val="clear" w:color="auto" w:fill="AB2328"/>
            <w:vAlign w:val="center"/>
            <w:hideMark/>
          </w:tcPr>
          <w:p w14:paraId="076ADB93"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w:t>
            </w:r>
          </w:p>
        </w:tc>
        <w:tc>
          <w:tcPr>
            <w:tcW w:w="1100" w:type="dxa"/>
            <w:tcBorders>
              <w:top w:val="nil"/>
              <w:left w:val="nil"/>
              <w:bottom w:val="nil"/>
              <w:right w:val="nil"/>
            </w:tcBorders>
            <w:shd w:val="clear" w:color="auto" w:fill="AB2328"/>
            <w:vAlign w:val="center"/>
            <w:hideMark/>
          </w:tcPr>
          <w:p w14:paraId="297659C4"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w:t>
            </w:r>
          </w:p>
        </w:tc>
        <w:tc>
          <w:tcPr>
            <w:tcW w:w="1225" w:type="dxa"/>
            <w:tcBorders>
              <w:top w:val="nil"/>
              <w:left w:val="nil"/>
              <w:bottom w:val="nil"/>
              <w:right w:val="nil"/>
            </w:tcBorders>
            <w:shd w:val="clear" w:color="auto" w:fill="AB2328"/>
            <w:vAlign w:val="center"/>
            <w:hideMark/>
          </w:tcPr>
          <w:p w14:paraId="3C5E72FE" w14:textId="77777777" w:rsidR="00463D54" w:rsidRPr="00463D54" w:rsidRDefault="00463D54" w:rsidP="00463D54">
            <w:pPr>
              <w:spacing w:line="240" w:lineRule="auto"/>
              <w:jc w:val="center"/>
              <w:rPr>
                <w:rFonts w:ascii="Calibri" w:eastAsia="Times New Roman" w:hAnsi="Calibri" w:cs="Calibri"/>
                <w:b/>
                <w:bCs/>
                <w:color w:val="FFFFFF"/>
                <w:lang w:eastAsia="en-GB"/>
              </w:rPr>
            </w:pPr>
            <w:r w:rsidRPr="00463D54">
              <w:rPr>
                <w:rFonts w:ascii="Calibri" w:eastAsia="Times New Roman" w:hAnsi="Calibri" w:cs="Calibri"/>
                <w:b/>
                <w:bCs/>
                <w:color w:val="FFFFFF"/>
                <w:lang w:eastAsia="en-GB"/>
              </w:rPr>
              <w:t>£</w:t>
            </w:r>
          </w:p>
        </w:tc>
      </w:tr>
      <w:tr w:rsidR="00463D54" w:rsidRPr="00463D54" w14:paraId="5165E093"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3AD9DFFB" w14:textId="1E3488AE"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Chief Fire Officer - N Watson </w:t>
            </w:r>
            <w:r w:rsidRPr="00E62508">
              <w:rPr>
                <w:rFonts w:ascii="Calibri" w:eastAsia="Times New Roman" w:hAnsi="Calibri" w:cs="Calibri"/>
                <w:color w:val="000000"/>
                <w:sz w:val="16"/>
                <w:szCs w:val="16"/>
                <w:lang w:eastAsia="en-GB"/>
              </w:rPr>
              <w:t>3</w:t>
            </w:r>
          </w:p>
        </w:tc>
        <w:tc>
          <w:tcPr>
            <w:tcW w:w="1343" w:type="dxa"/>
            <w:tcBorders>
              <w:top w:val="nil"/>
              <w:left w:val="nil"/>
              <w:bottom w:val="nil"/>
              <w:right w:val="nil"/>
            </w:tcBorders>
            <w:shd w:val="clear" w:color="auto" w:fill="FFFFFF" w:themeFill="background1"/>
            <w:noWrap/>
            <w:vAlign w:val="bottom"/>
            <w:hideMark/>
          </w:tcPr>
          <w:p w14:paraId="5372809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16/05/2024</w:t>
            </w:r>
          </w:p>
        </w:tc>
        <w:tc>
          <w:tcPr>
            <w:tcW w:w="1355" w:type="dxa"/>
            <w:tcBorders>
              <w:top w:val="nil"/>
              <w:left w:val="nil"/>
              <w:bottom w:val="nil"/>
              <w:right w:val="nil"/>
            </w:tcBorders>
            <w:shd w:val="clear" w:color="auto" w:fill="FFFFFF" w:themeFill="background1"/>
            <w:vAlign w:val="bottom"/>
            <w:hideMark/>
          </w:tcPr>
          <w:p w14:paraId="6ABCFE78"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6F7B2FF6"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135,833 </w:t>
            </w:r>
          </w:p>
        </w:tc>
        <w:tc>
          <w:tcPr>
            <w:tcW w:w="1100" w:type="dxa"/>
            <w:tcBorders>
              <w:top w:val="nil"/>
              <w:left w:val="nil"/>
              <w:bottom w:val="nil"/>
              <w:right w:val="nil"/>
            </w:tcBorders>
            <w:shd w:val="clear" w:color="auto" w:fill="FFE1E1"/>
            <w:noWrap/>
            <w:vAlign w:val="bottom"/>
            <w:hideMark/>
          </w:tcPr>
          <w:p w14:paraId="63EBDF8F"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6,149 </w:t>
            </w:r>
          </w:p>
        </w:tc>
        <w:tc>
          <w:tcPr>
            <w:tcW w:w="1100" w:type="dxa"/>
            <w:tcBorders>
              <w:top w:val="nil"/>
              <w:left w:val="nil"/>
              <w:bottom w:val="nil"/>
              <w:right w:val="nil"/>
            </w:tcBorders>
            <w:shd w:val="clear" w:color="auto" w:fill="FFE1E1"/>
            <w:noWrap/>
            <w:vAlign w:val="bottom"/>
            <w:hideMark/>
          </w:tcPr>
          <w:p w14:paraId="6AEC6011"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141,982 </w:t>
            </w:r>
          </w:p>
        </w:tc>
        <w:tc>
          <w:tcPr>
            <w:tcW w:w="1225" w:type="dxa"/>
            <w:tcBorders>
              <w:top w:val="nil"/>
              <w:left w:val="nil"/>
              <w:bottom w:val="nil"/>
              <w:right w:val="nil"/>
            </w:tcBorders>
            <w:shd w:val="clear" w:color="auto" w:fill="FFE1E1"/>
            <w:noWrap/>
            <w:vAlign w:val="bottom"/>
            <w:hideMark/>
          </w:tcPr>
          <w:p w14:paraId="092E5454"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51,073 </w:t>
            </w:r>
          </w:p>
        </w:tc>
      </w:tr>
      <w:tr w:rsidR="00463D54" w:rsidRPr="00463D54" w14:paraId="7E2C3F06"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4C653ADF"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Chief Fire Officer - S Tuhill</w:t>
            </w:r>
          </w:p>
        </w:tc>
        <w:tc>
          <w:tcPr>
            <w:tcW w:w="1343" w:type="dxa"/>
            <w:tcBorders>
              <w:top w:val="nil"/>
              <w:left w:val="nil"/>
              <w:bottom w:val="nil"/>
              <w:right w:val="nil"/>
            </w:tcBorders>
            <w:shd w:val="clear" w:color="auto" w:fill="FFFFFF" w:themeFill="background1"/>
            <w:noWrap/>
            <w:vAlign w:val="bottom"/>
            <w:hideMark/>
          </w:tcPr>
          <w:p w14:paraId="62906430"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18/07/2023</w:t>
            </w:r>
          </w:p>
        </w:tc>
        <w:tc>
          <w:tcPr>
            <w:tcW w:w="1355" w:type="dxa"/>
            <w:tcBorders>
              <w:top w:val="nil"/>
              <w:left w:val="nil"/>
              <w:bottom w:val="nil"/>
              <w:right w:val="nil"/>
            </w:tcBorders>
            <w:shd w:val="clear" w:color="auto" w:fill="FFFFFF" w:themeFill="background1"/>
            <w:vAlign w:val="bottom"/>
            <w:hideMark/>
          </w:tcPr>
          <w:p w14:paraId="586063D9"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15/05/2024</w:t>
            </w:r>
          </w:p>
        </w:tc>
        <w:tc>
          <w:tcPr>
            <w:tcW w:w="1520" w:type="dxa"/>
            <w:tcBorders>
              <w:top w:val="nil"/>
              <w:left w:val="nil"/>
              <w:bottom w:val="nil"/>
              <w:right w:val="nil"/>
            </w:tcBorders>
            <w:shd w:val="clear" w:color="auto" w:fill="FFE1E1"/>
            <w:noWrap/>
            <w:vAlign w:val="bottom"/>
            <w:hideMark/>
          </w:tcPr>
          <w:p w14:paraId="04E35094"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19,167 </w:t>
            </w:r>
          </w:p>
        </w:tc>
        <w:tc>
          <w:tcPr>
            <w:tcW w:w="1100" w:type="dxa"/>
            <w:tcBorders>
              <w:top w:val="nil"/>
              <w:left w:val="nil"/>
              <w:bottom w:val="nil"/>
              <w:right w:val="nil"/>
            </w:tcBorders>
            <w:shd w:val="clear" w:color="auto" w:fill="FFE1E1"/>
            <w:noWrap/>
            <w:vAlign w:val="bottom"/>
            <w:hideMark/>
          </w:tcPr>
          <w:p w14:paraId="1F9701F4"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bottom"/>
            <w:hideMark/>
          </w:tcPr>
          <w:p w14:paraId="7F32AC5A"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19,167 </w:t>
            </w:r>
          </w:p>
        </w:tc>
        <w:tc>
          <w:tcPr>
            <w:tcW w:w="1225" w:type="dxa"/>
            <w:tcBorders>
              <w:top w:val="nil"/>
              <w:left w:val="nil"/>
              <w:bottom w:val="nil"/>
              <w:right w:val="nil"/>
            </w:tcBorders>
            <w:shd w:val="clear" w:color="auto" w:fill="FFE1E1"/>
            <w:noWrap/>
            <w:vAlign w:val="bottom"/>
            <w:hideMark/>
          </w:tcPr>
          <w:p w14:paraId="560AFA2C"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7,207 </w:t>
            </w:r>
          </w:p>
        </w:tc>
      </w:tr>
      <w:tr w:rsidR="00463D54" w:rsidRPr="00463D54" w14:paraId="1448C7A8"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027ACF9B"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Deputy Chief Fire Officer</w:t>
            </w:r>
          </w:p>
        </w:tc>
        <w:tc>
          <w:tcPr>
            <w:tcW w:w="1343" w:type="dxa"/>
            <w:tcBorders>
              <w:top w:val="nil"/>
              <w:left w:val="nil"/>
              <w:bottom w:val="nil"/>
              <w:right w:val="nil"/>
            </w:tcBorders>
            <w:shd w:val="clear" w:color="auto" w:fill="FFFFFF" w:themeFill="background1"/>
            <w:noWrap/>
            <w:vAlign w:val="bottom"/>
            <w:hideMark/>
          </w:tcPr>
          <w:p w14:paraId="3C7B1BB1"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16/05/2024</w:t>
            </w:r>
          </w:p>
        </w:tc>
        <w:tc>
          <w:tcPr>
            <w:tcW w:w="1355" w:type="dxa"/>
            <w:tcBorders>
              <w:top w:val="nil"/>
              <w:left w:val="nil"/>
              <w:bottom w:val="nil"/>
              <w:right w:val="nil"/>
            </w:tcBorders>
            <w:shd w:val="clear" w:color="auto" w:fill="FFFFFF" w:themeFill="background1"/>
            <w:vAlign w:val="bottom"/>
            <w:hideMark/>
          </w:tcPr>
          <w:p w14:paraId="59E2197D"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05/01/2025</w:t>
            </w:r>
          </w:p>
        </w:tc>
        <w:tc>
          <w:tcPr>
            <w:tcW w:w="1520" w:type="dxa"/>
            <w:tcBorders>
              <w:top w:val="nil"/>
              <w:left w:val="nil"/>
              <w:bottom w:val="nil"/>
              <w:right w:val="nil"/>
            </w:tcBorders>
            <w:shd w:val="clear" w:color="auto" w:fill="FFE1E1"/>
            <w:noWrap/>
            <w:vAlign w:val="bottom"/>
            <w:hideMark/>
          </w:tcPr>
          <w:p w14:paraId="51F8A621"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86,993 </w:t>
            </w:r>
          </w:p>
        </w:tc>
        <w:tc>
          <w:tcPr>
            <w:tcW w:w="1100" w:type="dxa"/>
            <w:tcBorders>
              <w:top w:val="nil"/>
              <w:left w:val="nil"/>
              <w:bottom w:val="nil"/>
              <w:right w:val="nil"/>
            </w:tcBorders>
            <w:shd w:val="clear" w:color="auto" w:fill="FFE1E1"/>
            <w:noWrap/>
            <w:vAlign w:val="bottom"/>
            <w:hideMark/>
          </w:tcPr>
          <w:p w14:paraId="4B0A1209"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bottom"/>
            <w:hideMark/>
          </w:tcPr>
          <w:p w14:paraId="5C62B923"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86,993 </w:t>
            </w:r>
          </w:p>
        </w:tc>
        <w:tc>
          <w:tcPr>
            <w:tcW w:w="1225" w:type="dxa"/>
            <w:tcBorders>
              <w:top w:val="nil"/>
              <w:left w:val="nil"/>
              <w:bottom w:val="nil"/>
              <w:right w:val="nil"/>
            </w:tcBorders>
            <w:shd w:val="clear" w:color="auto" w:fill="FFE1E1"/>
            <w:noWrap/>
            <w:vAlign w:val="bottom"/>
            <w:hideMark/>
          </w:tcPr>
          <w:p w14:paraId="526553B2"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32,709 </w:t>
            </w:r>
          </w:p>
        </w:tc>
      </w:tr>
      <w:tr w:rsidR="00463D54" w:rsidRPr="00463D54" w14:paraId="17E96C0A" w14:textId="77777777" w:rsidTr="5A995008">
        <w:trPr>
          <w:trHeight w:val="285"/>
        </w:trPr>
        <w:tc>
          <w:tcPr>
            <w:tcW w:w="2977" w:type="dxa"/>
            <w:tcBorders>
              <w:top w:val="nil"/>
              <w:left w:val="nil"/>
              <w:bottom w:val="nil"/>
              <w:right w:val="nil"/>
            </w:tcBorders>
            <w:shd w:val="clear" w:color="auto" w:fill="FFFFFF" w:themeFill="background1"/>
            <w:noWrap/>
            <w:vAlign w:val="bottom"/>
            <w:hideMark/>
          </w:tcPr>
          <w:p w14:paraId="47203266"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Assistant Chief Fire Officer (1)</w:t>
            </w:r>
          </w:p>
        </w:tc>
        <w:tc>
          <w:tcPr>
            <w:tcW w:w="1343" w:type="dxa"/>
            <w:tcBorders>
              <w:top w:val="nil"/>
              <w:left w:val="nil"/>
              <w:bottom w:val="nil"/>
              <w:right w:val="nil"/>
            </w:tcBorders>
            <w:shd w:val="clear" w:color="auto" w:fill="FFFFFF" w:themeFill="background1"/>
            <w:noWrap/>
            <w:vAlign w:val="bottom"/>
            <w:hideMark/>
          </w:tcPr>
          <w:p w14:paraId="393A6000"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03/03/2025</w:t>
            </w:r>
          </w:p>
        </w:tc>
        <w:tc>
          <w:tcPr>
            <w:tcW w:w="1355" w:type="dxa"/>
            <w:tcBorders>
              <w:top w:val="nil"/>
              <w:left w:val="nil"/>
              <w:bottom w:val="nil"/>
              <w:right w:val="nil"/>
            </w:tcBorders>
            <w:shd w:val="clear" w:color="auto" w:fill="FFFFFF" w:themeFill="background1"/>
            <w:vAlign w:val="bottom"/>
            <w:hideMark/>
          </w:tcPr>
          <w:p w14:paraId="0F81BDE3"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7F5E77CA"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9,063 </w:t>
            </w:r>
          </w:p>
        </w:tc>
        <w:tc>
          <w:tcPr>
            <w:tcW w:w="1100" w:type="dxa"/>
            <w:tcBorders>
              <w:top w:val="nil"/>
              <w:left w:val="nil"/>
              <w:bottom w:val="nil"/>
              <w:right w:val="nil"/>
            </w:tcBorders>
            <w:shd w:val="clear" w:color="auto" w:fill="FFE1E1"/>
            <w:noWrap/>
            <w:vAlign w:val="bottom"/>
            <w:hideMark/>
          </w:tcPr>
          <w:p w14:paraId="662687C7"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389 </w:t>
            </w:r>
          </w:p>
        </w:tc>
        <w:tc>
          <w:tcPr>
            <w:tcW w:w="1100" w:type="dxa"/>
            <w:tcBorders>
              <w:top w:val="nil"/>
              <w:left w:val="nil"/>
              <w:bottom w:val="nil"/>
              <w:right w:val="nil"/>
            </w:tcBorders>
            <w:shd w:val="clear" w:color="auto" w:fill="FFE1E1"/>
            <w:noWrap/>
            <w:vAlign w:val="bottom"/>
            <w:hideMark/>
          </w:tcPr>
          <w:p w14:paraId="6F33BFD2"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9,452 </w:t>
            </w:r>
          </w:p>
        </w:tc>
        <w:tc>
          <w:tcPr>
            <w:tcW w:w="1225" w:type="dxa"/>
            <w:tcBorders>
              <w:top w:val="nil"/>
              <w:left w:val="nil"/>
              <w:bottom w:val="nil"/>
              <w:right w:val="nil"/>
            </w:tcBorders>
            <w:shd w:val="clear" w:color="auto" w:fill="FFE1E1"/>
            <w:noWrap/>
            <w:vAlign w:val="bottom"/>
            <w:hideMark/>
          </w:tcPr>
          <w:p w14:paraId="2F52D606"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3,408 </w:t>
            </w:r>
          </w:p>
        </w:tc>
      </w:tr>
      <w:tr w:rsidR="00463D54" w:rsidRPr="00463D54" w14:paraId="5648D0BD"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70E27686"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Assistant Chief Fire Officer (2)</w:t>
            </w:r>
          </w:p>
        </w:tc>
        <w:tc>
          <w:tcPr>
            <w:tcW w:w="1343" w:type="dxa"/>
            <w:tcBorders>
              <w:top w:val="nil"/>
              <w:left w:val="nil"/>
              <w:bottom w:val="nil"/>
              <w:right w:val="nil"/>
            </w:tcBorders>
            <w:shd w:val="clear" w:color="auto" w:fill="FFFFFF" w:themeFill="background1"/>
            <w:noWrap/>
            <w:vAlign w:val="bottom"/>
            <w:hideMark/>
          </w:tcPr>
          <w:p w14:paraId="3AE9EA0B"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01/01/2019</w:t>
            </w:r>
          </w:p>
        </w:tc>
        <w:tc>
          <w:tcPr>
            <w:tcW w:w="1355" w:type="dxa"/>
            <w:tcBorders>
              <w:top w:val="nil"/>
              <w:left w:val="nil"/>
              <w:bottom w:val="nil"/>
              <w:right w:val="nil"/>
            </w:tcBorders>
            <w:shd w:val="clear" w:color="auto" w:fill="FFFFFF" w:themeFill="background1"/>
            <w:vAlign w:val="bottom"/>
            <w:hideMark/>
          </w:tcPr>
          <w:p w14:paraId="3AC4691C"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15/02/2025</w:t>
            </w:r>
          </w:p>
        </w:tc>
        <w:tc>
          <w:tcPr>
            <w:tcW w:w="1520" w:type="dxa"/>
            <w:tcBorders>
              <w:top w:val="nil"/>
              <w:left w:val="nil"/>
              <w:bottom w:val="nil"/>
              <w:right w:val="nil"/>
            </w:tcBorders>
            <w:shd w:val="clear" w:color="auto" w:fill="FFE1E1"/>
            <w:noWrap/>
            <w:vAlign w:val="bottom"/>
            <w:hideMark/>
          </w:tcPr>
          <w:p w14:paraId="1C012B18"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100,223 </w:t>
            </w:r>
          </w:p>
        </w:tc>
        <w:tc>
          <w:tcPr>
            <w:tcW w:w="1100" w:type="dxa"/>
            <w:tcBorders>
              <w:top w:val="nil"/>
              <w:left w:val="nil"/>
              <w:bottom w:val="nil"/>
              <w:right w:val="nil"/>
            </w:tcBorders>
            <w:shd w:val="clear" w:color="auto" w:fill="FFE1E1"/>
            <w:noWrap/>
            <w:vAlign w:val="bottom"/>
            <w:hideMark/>
          </w:tcPr>
          <w:p w14:paraId="73DEFBFA"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34 </w:t>
            </w:r>
          </w:p>
        </w:tc>
        <w:tc>
          <w:tcPr>
            <w:tcW w:w="1100" w:type="dxa"/>
            <w:tcBorders>
              <w:top w:val="nil"/>
              <w:left w:val="nil"/>
              <w:bottom w:val="nil"/>
              <w:right w:val="nil"/>
            </w:tcBorders>
            <w:shd w:val="clear" w:color="auto" w:fill="FFE1E1"/>
            <w:noWrap/>
            <w:vAlign w:val="bottom"/>
            <w:hideMark/>
          </w:tcPr>
          <w:p w14:paraId="4C7591D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100,257 </w:t>
            </w:r>
          </w:p>
        </w:tc>
        <w:tc>
          <w:tcPr>
            <w:tcW w:w="1225" w:type="dxa"/>
            <w:tcBorders>
              <w:top w:val="nil"/>
              <w:left w:val="nil"/>
              <w:bottom w:val="nil"/>
              <w:right w:val="nil"/>
            </w:tcBorders>
            <w:shd w:val="clear" w:color="auto" w:fill="FFE1E1"/>
            <w:noWrap/>
            <w:vAlign w:val="bottom"/>
            <w:hideMark/>
          </w:tcPr>
          <w:p w14:paraId="5569C8CA"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37,684 </w:t>
            </w:r>
          </w:p>
        </w:tc>
      </w:tr>
      <w:tr w:rsidR="00463D54" w:rsidRPr="00463D54" w14:paraId="4818715B"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427CB6F4"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Assistant Chief Fire Officer (3)</w:t>
            </w:r>
          </w:p>
        </w:tc>
        <w:tc>
          <w:tcPr>
            <w:tcW w:w="1343" w:type="dxa"/>
            <w:tcBorders>
              <w:top w:val="nil"/>
              <w:left w:val="nil"/>
              <w:bottom w:val="nil"/>
              <w:right w:val="nil"/>
            </w:tcBorders>
            <w:shd w:val="clear" w:color="auto" w:fill="FFFFFF" w:themeFill="background1"/>
            <w:noWrap/>
            <w:vAlign w:val="bottom"/>
            <w:hideMark/>
          </w:tcPr>
          <w:p w14:paraId="458395B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01/07/2023</w:t>
            </w:r>
          </w:p>
        </w:tc>
        <w:tc>
          <w:tcPr>
            <w:tcW w:w="1355" w:type="dxa"/>
            <w:tcBorders>
              <w:top w:val="nil"/>
              <w:left w:val="nil"/>
              <w:bottom w:val="nil"/>
              <w:right w:val="nil"/>
            </w:tcBorders>
            <w:shd w:val="clear" w:color="auto" w:fill="FFFFFF" w:themeFill="background1"/>
            <w:vAlign w:val="bottom"/>
            <w:hideMark/>
          </w:tcPr>
          <w:p w14:paraId="64147176"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7F51BB18"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116,899 </w:t>
            </w:r>
          </w:p>
        </w:tc>
        <w:tc>
          <w:tcPr>
            <w:tcW w:w="1100" w:type="dxa"/>
            <w:tcBorders>
              <w:top w:val="nil"/>
              <w:left w:val="nil"/>
              <w:bottom w:val="nil"/>
              <w:right w:val="nil"/>
            </w:tcBorders>
            <w:shd w:val="clear" w:color="auto" w:fill="FFE1E1"/>
            <w:noWrap/>
            <w:vAlign w:val="bottom"/>
            <w:hideMark/>
          </w:tcPr>
          <w:p w14:paraId="7D8371E4"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34 </w:t>
            </w:r>
          </w:p>
        </w:tc>
        <w:tc>
          <w:tcPr>
            <w:tcW w:w="1100" w:type="dxa"/>
            <w:tcBorders>
              <w:top w:val="nil"/>
              <w:left w:val="nil"/>
              <w:bottom w:val="nil"/>
              <w:right w:val="nil"/>
            </w:tcBorders>
            <w:shd w:val="clear" w:color="auto" w:fill="FFE1E1"/>
            <w:noWrap/>
            <w:vAlign w:val="bottom"/>
            <w:hideMark/>
          </w:tcPr>
          <w:p w14:paraId="36B52081"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116,933 </w:t>
            </w:r>
          </w:p>
        </w:tc>
        <w:tc>
          <w:tcPr>
            <w:tcW w:w="1225" w:type="dxa"/>
            <w:tcBorders>
              <w:top w:val="nil"/>
              <w:left w:val="nil"/>
              <w:bottom w:val="nil"/>
              <w:right w:val="nil"/>
            </w:tcBorders>
            <w:shd w:val="clear" w:color="auto" w:fill="FFE1E1"/>
            <w:noWrap/>
            <w:vAlign w:val="bottom"/>
            <w:hideMark/>
          </w:tcPr>
          <w:p w14:paraId="5DACC543"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43,954 </w:t>
            </w:r>
          </w:p>
        </w:tc>
      </w:tr>
      <w:tr w:rsidR="00463D54" w:rsidRPr="00463D54" w14:paraId="742CA4E1"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6CC19DFA"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Area Commander (1)</w:t>
            </w:r>
          </w:p>
        </w:tc>
        <w:tc>
          <w:tcPr>
            <w:tcW w:w="1343" w:type="dxa"/>
            <w:tcBorders>
              <w:top w:val="nil"/>
              <w:left w:val="nil"/>
              <w:bottom w:val="nil"/>
              <w:right w:val="nil"/>
            </w:tcBorders>
            <w:shd w:val="clear" w:color="auto" w:fill="FFFFFF" w:themeFill="background1"/>
            <w:noWrap/>
            <w:vAlign w:val="bottom"/>
            <w:hideMark/>
          </w:tcPr>
          <w:p w14:paraId="5AD66B91"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15/01/2024</w:t>
            </w:r>
          </w:p>
        </w:tc>
        <w:tc>
          <w:tcPr>
            <w:tcW w:w="1355" w:type="dxa"/>
            <w:tcBorders>
              <w:top w:val="nil"/>
              <w:left w:val="nil"/>
              <w:bottom w:val="nil"/>
              <w:right w:val="nil"/>
            </w:tcBorders>
            <w:shd w:val="clear" w:color="auto" w:fill="FFFFFF" w:themeFill="background1"/>
            <w:vAlign w:val="bottom"/>
            <w:hideMark/>
          </w:tcPr>
          <w:p w14:paraId="6EE97B4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0E2C532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84,822 </w:t>
            </w:r>
          </w:p>
        </w:tc>
        <w:tc>
          <w:tcPr>
            <w:tcW w:w="1100" w:type="dxa"/>
            <w:tcBorders>
              <w:top w:val="nil"/>
              <w:left w:val="nil"/>
              <w:bottom w:val="nil"/>
              <w:right w:val="nil"/>
            </w:tcBorders>
            <w:shd w:val="clear" w:color="auto" w:fill="FFE1E1"/>
            <w:noWrap/>
            <w:vAlign w:val="bottom"/>
            <w:hideMark/>
          </w:tcPr>
          <w:p w14:paraId="557FB84B"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bottom"/>
            <w:hideMark/>
          </w:tcPr>
          <w:p w14:paraId="1FCDF202"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84,822 </w:t>
            </w:r>
          </w:p>
        </w:tc>
        <w:tc>
          <w:tcPr>
            <w:tcW w:w="1225" w:type="dxa"/>
            <w:tcBorders>
              <w:top w:val="nil"/>
              <w:left w:val="nil"/>
              <w:bottom w:val="nil"/>
              <w:right w:val="nil"/>
            </w:tcBorders>
            <w:shd w:val="clear" w:color="auto" w:fill="FFE1E1"/>
            <w:noWrap/>
            <w:vAlign w:val="bottom"/>
            <w:hideMark/>
          </w:tcPr>
          <w:p w14:paraId="3ACA0B9F"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15,777 </w:t>
            </w:r>
          </w:p>
        </w:tc>
      </w:tr>
      <w:tr w:rsidR="00463D54" w:rsidRPr="00463D54" w14:paraId="540D8666"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6FBE4EEF"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Area Commander (2)</w:t>
            </w:r>
          </w:p>
        </w:tc>
        <w:tc>
          <w:tcPr>
            <w:tcW w:w="1343" w:type="dxa"/>
            <w:tcBorders>
              <w:top w:val="nil"/>
              <w:left w:val="nil"/>
              <w:bottom w:val="nil"/>
              <w:right w:val="nil"/>
            </w:tcBorders>
            <w:shd w:val="clear" w:color="auto" w:fill="FFFFFF" w:themeFill="background1"/>
            <w:noWrap/>
            <w:vAlign w:val="bottom"/>
            <w:hideMark/>
          </w:tcPr>
          <w:p w14:paraId="72E7291F"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01/08/2021</w:t>
            </w:r>
          </w:p>
        </w:tc>
        <w:tc>
          <w:tcPr>
            <w:tcW w:w="1355" w:type="dxa"/>
            <w:tcBorders>
              <w:top w:val="nil"/>
              <w:left w:val="nil"/>
              <w:bottom w:val="nil"/>
              <w:right w:val="nil"/>
            </w:tcBorders>
            <w:shd w:val="clear" w:color="auto" w:fill="FFFFFF" w:themeFill="background1"/>
            <w:vAlign w:val="bottom"/>
            <w:hideMark/>
          </w:tcPr>
          <w:p w14:paraId="292185AC"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0611D142"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84,221 </w:t>
            </w:r>
          </w:p>
        </w:tc>
        <w:tc>
          <w:tcPr>
            <w:tcW w:w="1100" w:type="dxa"/>
            <w:tcBorders>
              <w:top w:val="nil"/>
              <w:left w:val="nil"/>
              <w:bottom w:val="nil"/>
              <w:right w:val="nil"/>
            </w:tcBorders>
            <w:shd w:val="clear" w:color="auto" w:fill="FFE1E1"/>
            <w:noWrap/>
            <w:vAlign w:val="bottom"/>
            <w:hideMark/>
          </w:tcPr>
          <w:p w14:paraId="7495862C"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bottom"/>
            <w:hideMark/>
          </w:tcPr>
          <w:p w14:paraId="274944D7"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84,221 </w:t>
            </w:r>
          </w:p>
        </w:tc>
        <w:tc>
          <w:tcPr>
            <w:tcW w:w="1225" w:type="dxa"/>
            <w:tcBorders>
              <w:top w:val="nil"/>
              <w:left w:val="nil"/>
              <w:bottom w:val="nil"/>
              <w:right w:val="nil"/>
            </w:tcBorders>
            <w:shd w:val="clear" w:color="auto" w:fill="FFE1E1"/>
            <w:noWrap/>
            <w:vAlign w:val="bottom"/>
            <w:hideMark/>
          </w:tcPr>
          <w:p w14:paraId="40E2B383"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31,618 </w:t>
            </w:r>
          </w:p>
        </w:tc>
      </w:tr>
      <w:tr w:rsidR="00463D54" w:rsidRPr="00463D54" w14:paraId="66102EE3" w14:textId="77777777" w:rsidTr="5A995008">
        <w:trPr>
          <w:trHeight w:val="285"/>
        </w:trPr>
        <w:tc>
          <w:tcPr>
            <w:tcW w:w="2977" w:type="dxa"/>
            <w:tcBorders>
              <w:top w:val="nil"/>
              <w:left w:val="nil"/>
              <w:bottom w:val="nil"/>
              <w:right w:val="nil"/>
            </w:tcBorders>
            <w:shd w:val="clear" w:color="auto" w:fill="FFFFFF" w:themeFill="background1"/>
            <w:vAlign w:val="bottom"/>
            <w:hideMark/>
          </w:tcPr>
          <w:p w14:paraId="25E9E0C8"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Area Commander (3)</w:t>
            </w:r>
          </w:p>
        </w:tc>
        <w:tc>
          <w:tcPr>
            <w:tcW w:w="1343" w:type="dxa"/>
            <w:tcBorders>
              <w:top w:val="nil"/>
              <w:left w:val="nil"/>
              <w:bottom w:val="nil"/>
              <w:right w:val="nil"/>
            </w:tcBorders>
            <w:shd w:val="clear" w:color="auto" w:fill="FFFFFF" w:themeFill="background1"/>
            <w:noWrap/>
            <w:vAlign w:val="bottom"/>
            <w:hideMark/>
          </w:tcPr>
          <w:p w14:paraId="18611773"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25/11/2019</w:t>
            </w:r>
          </w:p>
        </w:tc>
        <w:tc>
          <w:tcPr>
            <w:tcW w:w="1355" w:type="dxa"/>
            <w:tcBorders>
              <w:top w:val="nil"/>
              <w:left w:val="nil"/>
              <w:bottom w:val="nil"/>
              <w:right w:val="nil"/>
            </w:tcBorders>
            <w:shd w:val="clear" w:color="auto" w:fill="FFFFFF" w:themeFill="background1"/>
            <w:vAlign w:val="bottom"/>
            <w:hideMark/>
          </w:tcPr>
          <w:p w14:paraId="5FCD527E"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62E2A30F"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88,054 </w:t>
            </w:r>
          </w:p>
        </w:tc>
        <w:tc>
          <w:tcPr>
            <w:tcW w:w="1100" w:type="dxa"/>
            <w:tcBorders>
              <w:top w:val="nil"/>
              <w:left w:val="nil"/>
              <w:bottom w:val="nil"/>
              <w:right w:val="nil"/>
            </w:tcBorders>
            <w:shd w:val="clear" w:color="auto" w:fill="FFE1E1"/>
            <w:noWrap/>
            <w:vAlign w:val="bottom"/>
            <w:hideMark/>
          </w:tcPr>
          <w:p w14:paraId="2B9656E2"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bottom"/>
            <w:hideMark/>
          </w:tcPr>
          <w:p w14:paraId="418FED2D"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88,054 </w:t>
            </w:r>
          </w:p>
        </w:tc>
        <w:tc>
          <w:tcPr>
            <w:tcW w:w="1225" w:type="dxa"/>
            <w:tcBorders>
              <w:top w:val="nil"/>
              <w:left w:val="nil"/>
              <w:bottom w:val="nil"/>
              <w:right w:val="nil"/>
            </w:tcBorders>
            <w:shd w:val="clear" w:color="auto" w:fill="FFE1E1"/>
            <w:noWrap/>
            <w:vAlign w:val="bottom"/>
            <w:hideMark/>
          </w:tcPr>
          <w:p w14:paraId="498A9F5A"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33,059 </w:t>
            </w:r>
          </w:p>
        </w:tc>
      </w:tr>
      <w:tr w:rsidR="00463D54" w:rsidRPr="00463D54" w14:paraId="4AC8FFB5" w14:textId="77777777" w:rsidTr="5A995008">
        <w:trPr>
          <w:trHeight w:val="189"/>
        </w:trPr>
        <w:tc>
          <w:tcPr>
            <w:tcW w:w="2977" w:type="dxa"/>
            <w:tcBorders>
              <w:top w:val="nil"/>
              <w:left w:val="nil"/>
              <w:bottom w:val="nil"/>
              <w:right w:val="nil"/>
            </w:tcBorders>
            <w:shd w:val="clear" w:color="auto" w:fill="FFFFFF" w:themeFill="background1"/>
            <w:vAlign w:val="bottom"/>
            <w:hideMark/>
          </w:tcPr>
          <w:p w14:paraId="2973887B" w14:textId="77777777" w:rsid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Head of Protection</w:t>
            </w:r>
          </w:p>
          <w:p w14:paraId="2E79B5F9" w14:textId="77777777" w:rsidR="001510A4" w:rsidRDefault="001510A4" w:rsidP="00463D54">
            <w:pPr>
              <w:spacing w:line="240" w:lineRule="auto"/>
              <w:jc w:val="left"/>
              <w:rPr>
                <w:rFonts w:ascii="Calibri" w:eastAsia="Times New Roman" w:hAnsi="Calibri" w:cs="Calibri"/>
                <w:color w:val="000000"/>
                <w:lang w:eastAsia="en-GB"/>
              </w:rPr>
            </w:pPr>
          </w:p>
          <w:p w14:paraId="15E3A996" w14:textId="77777777" w:rsidR="00463D54" w:rsidRPr="00463D54" w:rsidRDefault="00463D54" w:rsidP="00463D54">
            <w:pPr>
              <w:spacing w:line="240" w:lineRule="auto"/>
              <w:jc w:val="left"/>
              <w:rPr>
                <w:rFonts w:ascii="Calibri" w:eastAsia="Times New Roman" w:hAnsi="Calibri" w:cs="Calibri"/>
                <w:color w:val="000000"/>
                <w:lang w:eastAsia="en-GB"/>
              </w:rPr>
            </w:pPr>
          </w:p>
        </w:tc>
        <w:tc>
          <w:tcPr>
            <w:tcW w:w="1343" w:type="dxa"/>
            <w:tcBorders>
              <w:top w:val="nil"/>
              <w:left w:val="nil"/>
              <w:bottom w:val="nil"/>
              <w:right w:val="nil"/>
            </w:tcBorders>
            <w:shd w:val="clear" w:color="auto" w:fill="FFFFFF" w:themeFill="background1"/>
            <w:noWrap/>
            <w:vAlign w:val="bottom"/>
            <w:hideMark/>
          </w:tcPr>
          <w:p w14:paraId="235A282F" w14:textId="77777777" w:rsidR="001510A4" w:rsidRDefault="001510A4" w:rsidP="00463D54">
            <w:pPr>
              <w:spacing w:line="240" w:lineRule="auto"/>
              <w:jc w:val="right"/>
              <w:rPr>
                <w:rFonts w:ascii="Calibri" w:eastAsia="Times New Roman" w:hAnsi="Calibri" w:cs="Calibri"/>
                <w:color w:val="000000"/>
                <w:lang w:eastAsia="en-GB"/>
              </w:rPr>
            </w:pPr>
          </w:p>
          <w:p w14:paraId="681B2F8F" w14:textId="4322A67F" w:rsid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01/01/2019</w:t>
            </w:r>
          </w:p>
          <w:p w14:paraId="0DFAC58A" w14:textId="77777777" w:rsidR="001510A4" w:rsidRDefault="001510A4" w:rsidP="00463D54">
            <w:pPr>
              <w:spacing w:line="240" w:lineRule="auto"/>
              <w:jc w:val="right"/>
              <w:rPr>
                <w:rFonts w:ascii="Calibri" w:eastAsia="Times New Roman" w:hAnsi="Calibri" w:cs="Calibri"/>
                <w:color w:val="000000"/>
                <w:lang w:eastAsia="en-GB"/>
              </w:rPr>
            </w:pPr>
          </w:p>
          <w:p w14:paraId="59EDA147" w14:textId="77777777" w:rsidR="00463D54" w:rsidRPr="00463D54" w:rsidRDefault="00463D54" w:rsidP="00463D54">
            <w:pPr>
              <w:spacing w:line="240" w:lineRule="auto"/>
              <w:jc w:val="right"/>
              <w:rPr>
                <w:rFonts w:ascii="Calibri" w:eastAsia="Times New Roman" w:hAnsi="Calibri" w:cs="Calibri"/>
                <w:color w:val="000000"/>
                <w:lang w:eastAsia="en-GB"/>
              </w:rPr>
            </w:pPr>
          </w:p>
        </w:tc>
        <w:tc>
          <w:tcPr>
            <w:tcW w:w="1355" w:type="dxa"/>
            <w:tcBorders>
              <w:top w:val="nil"/>
              <w:left w:val="nil"/>
              <w:bottom w:val="nil"/>
              <w:right w:val="nil"/>
            </w:tcBorders>
            <w:shd w:val="clear" w:color="auto" w:fill="FFFFFF" w:themeFill="background1"/>
            <w:vAlign w:val="bottom"/>
            <w:hideMark/>
          </w:tcPr>
          <w:p w14:paraId="0C510D11" w14:textId="77777777" w:rsidR="00463D54" w:rsidRPr="00463D54" w:rsidRDefault="00463D54" w:rsidP="001510A4">
            <w:pPr>
              <w:spacing w:line="240" w:lineRule="auto"/>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bottom"/>
            <w:hideMark/>
          </w:tcPr>
          <w:p w14:paraId="7F76C92D" w14:textId="77777777" w:rsidR="00463D54" w:rsidRDefault="00463D54" w:rsidP="001510A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70,805</w:t>
            </w:r>
          </w:p>
          <w:p w14:paraId="2C61A0A4" w14:textId="77777777" w:rsidR="001510A4" w:rsidRDefault="001510A4" w:rsidP="001510A4">
            <w:pPr>
              <w:spacing w:line="240" w:lineRule="auto"/>
              <w:jc w:val="right"/>
              <w:rPr>
                <w:rFonts w:ascii="Calibri" w:eastAsia="Times New Roman" w:hAnsi="Calibri" w:cs="Calibri"/>
                <w:color w:val="000000"/>
                <w:lang w:eastAsia="en-GB"/>
              </w:rPr>
            </w:pPr>
          </w:p>
          <w:p w14:paraId="1C6F0AB6" w14:textId="6878E665" w:rsidR="00463D54" w:rsidRPr="00463D54" w:rsidRDefault="00463D54" w:rsidP="00463D54">
            <w:pPr>
              <w:spacing w:line="240" w:lineRule="auto"/>
              <w:jc w:val="right"/>
              <w:rPr>
                <w:rFonts w:ascii="Calibri" w:eastAsia="Times New Roman" w:hAnsi="Calibri" w:cs="Calibri"/>
                <w:color w:val="000000"/>
                <w:lang w:eastAsia="en-GB"/>
              </w:rPr>
            </w:pPr>
          </w:p>
        </w:tc>
        <w:tc>
          <w:tcPr>
            <w:tcW w:w="1100" w:type="dxa"/>
            <w:tcBorders>
              <w:top w:val="nil"/>
              <w:left w:val="nil"/>
              <w:bottom w:val="nil"/>
              <w:right w:val="nil"/>
            </w:tcBorders>
            <w:shd w:val="clear" w:color="auto" w:fill="FFE1E1"/>
            <w:noWrap/>
            <w:vAlign w:val="bottom"/>
            <w:hideMark/>
          </w:tcPr>
          <w:p w14:paraId="522811A1" w14:textId="77777777" w:rsidR="001510A4" w:rsidRDefault="00463D54" w:rsidP="001510A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w:t>
            </w:r>
          </w:p>
          <w:p w14:paraId="6AFAB12C" w14:textId="1DC60E8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w:t>
            </w:r>
          </w:p>
        </w:tc>
        <w:tc>
          <w:tcPr>
            <w:tcW w:w="1100" w:type="dxa"/>
            <w:tcBorders>
              <w:top w:val="nil"/>
              <w:left w:val="nil"/>
              <w:bottom w:val="nil"/>
              <w:right w:val="nil"/>
            </w:tcBorders>
            <w:shd w:val="clear" w:color="auto" w:fill="FFE1E1"/>
            <w:noWrap/>
            <w:vAlign w:val="bottom"/>
            <w:hideMark/>
          </w:tcPr>
          <w:p w14:paraId="6B470DAE" w14:textId="77777777" w:rsidR="00463D54" w:rsidRDefault="00463D54" w:rsidP="001510A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70,805</w:t>
            </w:r>
          </w:p>
          <w:p w14:paraId="5150F78D" w14:textId="77777777" w:rsidR="001510A4" w:rsidRDefault="001510A4" w:rsidP="001510A4">
            <w:pPr>
              <w:spacing w:line="240" w:lineRule="auto"/>
              <w:jc w:val="right"/>
              <w:rPr>
                <w:rFonts w:ascii="Calibri" w:eastAsia="Times New Roman" w:hAnsi="Calibri" w:cs="Calibri"/>
                <w:color w:val="000000"/>
                <w:lang w:eastAsia="en-GB"/>
              </w:rPr>
            </w:pPr>
          </w:p>
          <w:p w14:paraId="2E6BC2A5" w14:textId="66393D5B" w:rsidR="00463D54" w:rsidRPr="00463D54" w:rsidRDefault="00463D54" w:rsidP="00463D54">
            <w:pPr>
              <w:spacing w:line="240" w:lineRule="auto"/>
              <w:jc w:val="right"/>
              <w:rPr>
                <w:rFonts w:ascii="Calibri" w:eastAsia="Times New Roman" w:hAnsi="Calibri" w:cs="Calibri"/>
                <w:color w:val="000000"/>
                <w:lang w:eastAsia="en-GB"/>
              </w:rPr>
            </w:pPr>
          </w:p>
        </w:tc>
        <w:tc>
          <w:tcPr>
            <w:tcW w:w="1225" w:type="dxa"/>
            <w:tcBorders>
              <w:top w:val="nil"/>
              <w:left w:val="nil"/>
              <w:bottom w:val="nil"/>
              <w:right w:val="nil"/>
            </w:tcBorders>
            <w:shd w:val="clear" w:color="auto" w:fill="FFE1E1"/>
            <w:noWrap/>
            <w:vAlign w:val="bottom"/>
            <w:hideMark/>
          </w:tcPr>
          <w:p w14:paraId="25078CEA" w14:textId="77777777" w:rsidR="001510A4" w:rsidRDefault="6FAB42B4" w:rsidP="001510A4">
            <w:pPr>
              <w:spacing w:line="240" w:lineRule="auto"/>
              <w:jc w:val="right"/>
              <w:rPr>
                <w:rFonts w:ascii="Calibri" w:eastAsia="Times New Roman" w:hAnsi="Calibri" w:cs="Calibri"/>
                <w:color w:val="000000"/>
                <w:lang w:eastAsia="en-GB"/>
              </w:rPr>
            </w:pPr>
            <w:r w:rsidRPr="5A995008">
              <w:rPr>
                <w:rFonts w:ascii="Calibri" w:eastAsia="Times New Roman" w:hAnsi="Calibri" w:cs="Calibri"/>
                <w:color w:val="000000" w:themeColor="text1"/>
                <w:lang w:eastAsia="en-GB"/>
              </w:rPr>
              <w:t xml:space="preserve">       </w:t>
            </w:r>
            <w:r w:rsidRPr="007E3BEF">
              <w:rPr>
                <w:rFonts w:ascii="Calibri" w:eastAsia="Times New Roman" w:hAnsi="Calibri" w:cs="Calibri"/>
                <w:color w:val="000000" w:themeColor="text1"/>
                <w:lang w:eastAsia="en-GB"/>
              </w:rPr>
              <w:t>13,504</w:t>
            </w:r>
          </w:p>
          <w:p w14:paraId="77170FE0" w14:textId="1FE4BBDB"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w:t>
            </w:r>
          </w:p>
        </w:tc>
      </w:tr>
      <w:tr w:rsidR="00463D54" w:rsidRPr="00463D54" w14:paraId="7C508690" w14:textId="77777777" w:rsidTr="5A995008">
        <w:trPr>
          <w:trHeight w:val="650"/>
        </w:trPr>
        <w:tc>
          <w:tcPr>
            <w:tcW w:w="2977" w:type="dxa"/>
            <w:tcBorders>
              <w:top w:val="nil"/>
              <w:left w:val="nil"/>
              <w:bottom w:val="nil"/>
              <w:right w:val="nil"/>
            </w:tcBorders>
            <w:shd w:val="clear" w:color="auto" w:fill="FFFFFF" w:themeFill="background1"/>
            <w:hideMark/>
          </w:tcPr>
          <w:p w14:paraId="1C069BFF" w14:textId="77777777" w:rsidR="00463D54" w:rsidRPr="00463D54" w:rsidRDefault="00463D54" w:rsidP="00463D54">
            <w:pPr>
              <w:spacing w:line="240" w:lineRule="auto"/>
              <w:jc w:val="left"/>
              <w:rPr>
                <w:rFonts w:ascii="Calibri" w:eastAsia="Times New Roman" w:hAnsi="Calibri" w:cs="Calibri"/>
                <w:color w:val="000000"/>
                <w:lang w:eastAsia="en-GB"/>
              </w:rPr>
            </w:pPr>
            <w:r w:rsidRPr="00463D54">
              <w:rPr>
                <w:rFonts w:ascii="Calibri" w:eastAsia="Times New Roman" w:hAnsi="Calibri" w:cs="Calibri"/>
                <w:color w:val="000000"/>
                <w:lang w:eastAsia="en-GB"/>
              </w:rPr>
              <w:t>Prevention, Safeguarding and Partnership Manager</w:t>
            </w:r>
          </w:p>
        </w:tc>
        <w:tc>
          <w:tcPr>
            <w:tcW w:w="1343" w:type="dxa"/>
            <w:tcBorders>
              <w:top w:val="nil"/>
              <w:left w:val="nil"/>
              <w:bottom w:val="nil"/>
              <w:right w:val="nil"/>
            </w:tcBorders>
            <w:shd w:val="clear" w:color="auto" w:fill="FFFFFF" w:themeFill="background1"/>
            <w:noWrap/>
            <w:vAlign w:val="center"/>
            <w:hideMark/>
          </w:tcPr>
          <w:p w14:paraId="449B45ED" w14:textId="64079B93"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01/01/2019</w:t>
            </w:r>
          </w:p>
        </w:tc>
        <w:tc>
          <w:tcPr>
            <w:tcW w:w="1355" w:type="dxa"/>
            <w:tcBorders>
              <w:top w:val="nil"/>
              <w:left w:val="nil"/>
              <w:bottom w:val="nil"/>
              <w:right w:val="nil"/>
            </w:tcBorders>
            <w:shd w:val="clear" w:color="auto" w:fill="FFFFFF" w:themeFill="background1"/>
            <w:vAlign w:val="center"/>
            <w:hideMark/>
          </w:tcPr>
          <w:p w14:paraId="13D66918" w14:textId="77777777"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w:t>
            </w:r>
          </w:p>
        </w:tc>
        <w:tc>
          <w:tcPr>
            <w:tcW w:w="1520" w:type="dxa"/>
            <w:tcBorders>
              <w:top w:val="nil"/>
              <w:left w:val="nil"/>
              <w:bottom w:val="nil"/>
              <w:right w:val="nil"/>
            </w:tcBorders>
            <w:shd w:val="clear" w:color="auto" w:fill="FFE1E1"/>
            <w:noWrap/>
            <w:vAlign w:val="center"/>
            <w:hideMark/>
          </w:tcPr>
          <w:p w14:paraId="238A88F3" w14:textId="357C73CF" w:rsidR="00463D54" w:rsidRPr="00463D54" w:rsidRDefault="6FAB42B4" w:rsidP="00463D54">
            <w:pPr>
              <w:spacing w:line="240" w:lineRule="auto"/>
              <w:jc w:val="right"/>
              <w:rPr>
                <w:rFonts w:ascii="Calibri" w:eastAsia="Times New Roman" w:hAnsi="Calibri" w:cs="Calibri"/>
                <w:color w:val="000000"/>
                <w:lang w:eastAsia="en-GB"/>
              </w:rPr>
            </w:pPr>
            <w:r w:rsidRPr="007E3BEF">
              <w:rPr>
                <w:rFonts w:ascii="Calibri" w:eastAsia="Times New Roman" w:hAnsi="Calibri" w:cs="Calibri"/>
                <w:color w:val="000000" w:themeColor="text1"/>
                <w:lang w:eastAsia="en-GB"/>
              </w:rPr>
              <w:t>72,605</w:t>
            </w:r>
            <w:r w:rsidRPr="5A995008">
              <w:rPr>
                <w:rFonts w:ascii="Calibri" w:eastAsia="Times New Roman" w:hAnsi="Calibri" w:cs="Calibri"/>
                <w:color w:val="000000" w:themeColor="text1"/>
                <w:lang w:eastAsia="en-GB"/>
              </w:rPr>
              <w:t xml:space="preserve"> </w:t>
            </w:r>
          </w:p>
        </w:tc>
        <w:tc>
          <w:tcPr>
            <w:tcW w:w="1100" w:type="dxa"/>
            <w:tcBorders>
              <w:top w:val="nil"/>
              <w:left w:val="nil"/>
              <w:bottom w:val="nil"/>
              <w:right w:val="nil"/>
            </w:tcBorders>
            <w:shd w:val="clear" w:color="auto" w:fill="FFE1E1"/>
            <w:noWrap/>
            <w:vAlign w:val="center"/>
            <w:hideMark/>
          </w:tcPr>
          <w:p w14:paraId="14B493D8" w14:textId="07D3C6A9"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auto" w:fill="FFE1E1"/>
            <w:noWrap/>
            <w:vAlign w:val="center"/>
            <w:hideMark/>
          </w:tcPr>
          <w:p w14:paraId="6E987678" w14:textId="1864B544"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72,605 </w:t>
            </w:r>
          </w:p>
        </w:tc>
        <w:tc>
          <w:tcPr>
            <w:tcW w:w="1225" w:type="dxa"/>
            <w:tcBorders>
              <w:top w:val="nil"/>
              <w:left w:val="nil"/>
              <w:bottom w:val="nil"/>
              <w:right w:val="nil"/>
            </w:tcBorders>
            <w:shd w:val="clear" w:color="auto" w:fill="FFE1E1"/>
            <w:noWrap/>
            <w:vAlign w:val="center"/>
            <w:hideMark/>
          </w:tcPr>
          <w:p w14:paraId="6A05D1DA" w14:textId="2C7A6272" w:rsidR="00463D54" w:rsidRPr="00463D54" w:rsidRDefault="00463D54" w:rsidP="00463D54">
            <w:pPr>
              <w:spacing w:line="240" w:lineRule="auto"/>
              <w:jc w:val="right"/>
              <w:rPr>
                <w:rFonts w:ascii="Calibri" w:eastAsia="Times New Roman" w:hAnsi="Calibri" w:cs="Calibri"/>
                <w:color w:val="000000"/>
                <w:lang w:eastAsia="en-GB"/>
              </w:rPr>
            </w:pPr>
            <w:r w:rsidRPr="00463D54">
              <w:rPr>
                <w:rFonts w:ascii="Calibri" w:eastAsia="Times New Roman" w:hAnsi="Calibri" w:cs="Calibri"/>
                <w:color w:val="000000"/>
                <w:lang w:eastAsia="en-GB"/>
              </w:rPr>
              <w:t xml:space="preserve">       13,504 </w:t>
            </w:r>
          </w:p>
        </w:tc>
      </w:tr>
    </w:tbl>
    <w:p w14:paraId="2FE43643" w14:textId="676C3F3D" w:rsidR="001E11EB" w:rsidRDefault="001E11EB" w:rsidP="001E11EB"/>
    <w:p w14:paraId="4AB15E3C" w14:textId="7880A86D" w:rsidR="007F64EF" w:rsidRDefault="00533EA1" w:rsidP="001E11EB">
      <w:r w:rsidRPr="009E0B21">
        <w:rPr>
          <w:vertAlign w:val="superscript"/>
        </w:rPr>
        <w:t>1</w:t>
      </w:r>
      <w:r w:rsidRPr="00533EA1">
        <w:t xml:space="preserve"> Salary includes Basic Salary, Other Allowances, Overtime and reductions for salary sacrifice schemes</w:t>
      </w:r>
      <w:r w:rsidR="00BD63A6">
        <w:t>.</w:t>
      </w:r>
    </w:p>
    <w:p w14:paraId="6950EBC4" w14:textId="391F7038" w:rsidR="007F64EF" w:rsidRDefault="00533EA1" w:rsidP="001E11EB">
      <w:r w:rsidRPr="009E0B21">
        <w:rPr>
          <w:vertAlign w:val="superscript"/>
        </w:rPr>
        <w:t xml:space="preserve">2 </w:t>
      </w:r>
      <w:r w:rsidRPr="00533EA1">
        <w:t>Other cost</w:t>
      </w:r>
      <w:r w:rsidR="00E76514">
        <w:t>s</w:t>
      </w:r>
      <w:r w:rsidRPr="00533EA1">
        <w:t xml:space="preserve"> included mileage, expenses and compensation for loss of office</w:t>
      </w:r>
      <w:r w:rsidR="00BD63A6">
        <w:t>.</w:t>
      </w:r>
    </w:p>
    <w:p w14:paraId="355AB223" w14:textId="60A2E380" w:rsidR="001E11EB" w:rsidRDefault="00533EA1" w:rsidP="001E11EB">
      <w:r w:rsidRPr="4718F1B3">
        <w:rPr>
          <w:vertAlign w:val="superscript"/>
        </w:rPr>
        <w:t>3</w:t>
      </w:r>
      <w:r>
        <w:t xml:space="preserve"> </w:t>
      </w:r>
      <w:r w:rsidR="001E11EB">
        <w:t>In May 2024, Nikki Watson started in the Chief Fire Officer Role, with Simon Tuhill returning to his substantive role</w:t>
      </w:r>
      <w:r w:rsidR="00E11D99">
        <w:t xml:space="preserve"> </w:t>
      </w:r>
      <w:r w:rsidR="001E11EB">
        <w:t xml:space="preserve">of Deputy Chief Fire Officer before his departure in January 2025. </w:t>
      </w:r>
    </w:p>
    <w:p w14:paraId="65323BA4" w14:textId="77777777" w:rsidR="003947C5" w:rsidRDefault="003947C5" w:rsidP="001E11EB"/>
    <w:p w14:paraId="14F9C583" w14:textId="77777777" w:rsidR="003947C5" w:rsidRDefault="003947C5" w:rsidP="001E11EB"/>
    <w:p w14:paraId="1CB6A351" w14:textId="77777777" w:rsidR="003947C5" w:rsidRDefault="003947C5" w:rsidP="001E11EB"/>
    <w:p w14:paraId="2120AF51" w14:textId="77777777" w:rsidR="003947C5" w:rsidRDefault="003947C5" w:rsidP="001E11EB"/>
    <w:p w14:paraId="5B22AE91" w14:textId="77777777" w:rsidR="003947C5" w:rsidRDefault="003947C5" w:rsidP="001E11EB"/>
    <w:p w14:paraId="15AEE0BA" w14:textId="77777777" w:rsidR="003947C5" w:rsidRDefault="003947C5" w:rsidP="001E11EB"/>
    <w:p w14:paraId="44007A5B" w14:textId="77777777" w:rsidR="003947C5" w:rsidRDefault="003947C5" w:rsidP="001E11EB"/>
    <w:p w14:paraId="2401BDC0" w14:textId="77777777" w:rsidR="003947C5" w:rsidRDefault="003947C5" w:rsidP="001E11EB"/>
    <w:p w14:paraId="33F7063E" w14:textId="77777777" w:rsidR="003947C5" w:rsidRDefault="003947C5" w:rsidP="001E11EB"/>
    <w:p w14:paraId="5DD4BA03" w14:textId="77777777" w:rsidR="003947C5" w:rsidRDefault="003947C5" w:rsidP="001E11EB"/>
    <w:p w14:paraId="6B70B66B" w14:textId="77777777" w:rsidR="003947C5" w:rsidRDefault="003947C5" w:rsidP="001E11EB"/>
    <w:p w14:paraId="1DF76ADC" w14:textId="77777777" w:rsidR="003947C5" w:rsidRDefault="003947C5" w:rsidP="001E11EB"/>
    <w:p w14:paraId="24B2784C" w14:textId="0A11C982" w:rsidR="00DD23F7" w:rsidRDefault="00DD23F7" w:rsidP="001E11EB">
      <w:pPr>
        <w:rPr>
          <w:rFonts w:cstheme="minorBidi"/>
        </w:rPr>
      </w:pPr>
    </w:p>
    <w:tbl>
      <w:tblPr>
        <w:tblW w:w="10620" w:type="dxa"/>
        <w:tblLook w:val="04A0" w:firstRow="1" w:lastRow="0" w:firstColumn="1" w:lastColumn="0" w:noHBand="0" w:noVBand="1"/>
      </w:tblPr>
      <w:tblGrid>
        <w:gridCol w:w="2900"/>
        <w:gridCol w:w="1420"/>
        <w:gridCol w:w="1355"/>
        <w:gridCol w:w="1520"/>
        <w:gridCol w:w="1100"/>
        <w:gridCol w:w="1100"/>
        <w:gridCol w:w="1225"/>
      </w:tblGrid>
      <w:tr w:rsidR="00DD23F7" w:rsidRPr="00DD23F7" w14:paraId="7E85CCFC" w14:textId="77777777" w:rsidTr="00DD23F7">
        <w:trPr>
          <w:trHeight w:val="600"/>
        </w:trPr>
        <w:tc>
          <w:tcPr>
            <w:tcW w:w="2900" w:type="dxa"/>
            <w:tcBorders>
              <w:top w:val="nil"/>
              <w:left w:val="nil"/>
              <w:bottom w:val="nil"/>
              <w:right w:val="nil"/>
            </w:tcBorders>
            <w:shd w:val="clear" w:color="000000" w:fill="AB2328"/>
            <w:vAlign w:val="center"/>
            <w:hideMark/>
          </w:tcPr>
          <w:p w14:paraId="6312605A" w14:textId="1E8D102E" w:rsidR="00DD23F7" w:rsidRPr="00DD23F7" w:rsidRDefault="00DD23F7" w:rsidP="00DD23F7">
            <w:pPr>
              <w:spacing w:line="240" w:lineRule="auto"/>
              <w:jc w:val="left"/>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lastRenderedPageBreak/>
              <w:t>2023/24</w:t>
            </w:r>
          </w:p>
        </w:tc>
        <w:tc>
          <w:tcPr>
            <w:tcW w:w="1420" w:type="dxa"/>
            <w:tcBorders>
              <w:top w:val="nil"/>
              <w:left w:val="nil"/>
              <w:bottom w:val="nil"/>
              <w:right w:val="nil"/>
            </w:tcBorders>
            <w:shd w:val="clear" w:color="000000" w:fill="AB2328"/>
            <w:vAlign w:val="center"/>
            <w:hideMark/>
          </w:tcPr>
          <w:p w14:paraId="530746B8"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Start Date (with NCFRA)</w:t>
            </w:r>
          </w:p>
        </w:tc>
        <w:tc>
          <w:tcPr>
            <w:tcW w:w="1420" w:type="dxa"/>
            <w:tcBorders>
              <w:top w:val="nil"/>
              <w:left w:val="nil"/>
              <w:bottom w:val="nil"/>
              <w:right w:val="nil"/>
            </w:tcBorders>
            <w:shd w:val="clear" w:color="000000" w:fill="AB2328"/>
            <w:vAlign w:val="center"/>
            <w:hideMark/>
          </w:tcPr>
          <w:p w14:paraId="5930DB81"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Leaving Date</w:t>
            </w:r>
          </w:p>
        </w:tc>
        <w:tc>
          <w:tcPr>
            <w:tcW w:w="1520" w:type="dxa"/>
            <w:tcBorders>
              <w:top w:val="nil"/>
              <w:left w:val="nil"/>
              <w:bottom w:val="nil"/>
              <w:right w:val="nil"/>
            </w:tcBorders>
            <w:shd w:val="clear" w:color="000000" w:fill="AB2328"/>
            <w:vAlign w:val="center"/>
            <w:hideMark/>
          </w:tcPr>
          <w:p w14:paraId="4261DBD3"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xml:space="preserve">Salary                                                                </w:t>
            </w:r>
          </w:p>
        </w:tc>
        <w:tc>
          <w:tcPr>
            <w:tcW w:w="1100" w:type="dxa"/>
            <w:tcBorders>
              <w:top w:val="nil"/>
              <w:left w:val="nil"/>
              <w:bottom w:val="nil"/>
              <w:right w:val="nil"/>
            </w:tcBorders>
            <w:shd w:val="clear" w:color="000000" w:fill="AB2328"/>
            <w:vAlign w:val="center"/>
            <w:hideMark/>
          </w:tcPr>
          <w:p w14:paraId="3F3B0013"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xml:space="preserve">Other                                                                      </w:t>
            </w:r>
          </w:p>
        </w:tc>
        <w:tc>
          <w:tcPr>
            <w:tcW w:w="1100" w:type="dxa"/>
            <w:tcBorders>
              <w:top w:val="nil"/>
              <w:left w:val="nil"/>
              <w:bottom w:val="nil"/>
              <w:right w:val="nil"/>
            </w:tcBorders>
            <w:shd w:val="clear" w:color="000000" w:fill="AB2328"/>
            <w:vAlign w:val="center"/>
            <w:hideMark/>
          </w:tcPr>
          <w:p w14:paraId="557EAB3F"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xml:space="preserve">Total Excl Pension  </w:t>
            </w:r>
          </w:p>
        </w:tc>
        <w:tc>
          <w:tcPr>
            <w:tcW w:w="1160" w:type="dxa"/>
            <w:tcBorders>
              <w:top w:val="nil"/>
              <w:left w:val="nil"/>
              <w:bottom w:val="nil"/>
              <w:right w:val="nil"/>
            </w:tcBorders>
            <w:shd w:val="clear" w:color="000000" w:fill="AB2328"/>
            <w:vAlign w:val="center"/>
            <w:hideMark/>
          </w:tcPr>
          <w:p w14:paraId="777C81A0"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xml:space="preserve">Employer's   Pension </w:t>
            </w:r>
          </w:p>
        </w:tc>
      </w:tr>
      <w:tr w:rsidR="00DD23F7" w:rsidRPr="00DD23F7" w14:paraId="6290E022" w14:textId="77777777" w:rsidTr="00DD23F7">
        <w:trPr>
          <w:trHeight w:val="300"/>
        </w:trPr>
        <w:tc>
          <w:tcPr>
            <w:tcW w:w="2900" w:type="dxa"/>
            <w:tcBorders>
              <w:top w:val="nil"/>
              <w:left w:val="nil"/>
              <w:bottom w:val="nil"/>
              <w:right w:val="nil"/>
            </w:tcBorders>
            <w:shd w:val="clear" w:color="000000" w:fill="AB2328"/>
            <w:vAlign w:val="center"/>
            <w:hideMark/>
          </w:tcPr>
          <w:p w14:paraId="6E15D51B" w14:textId="77777777" w:rsidR="00DD23F7" w:rsidRPr="00DD23F7" w:rsidRDefault="00DD23F7" w:rsidP="00DD23F7">
            <w:pPr>
              <w:spacing w:line="240" w:lineRule="auto"/>
              <w:jc w:val="left"/>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Post Holder Information</w:t>
            </w:r>
          </w:p>
        </w:tc>
        <w:tc>
          <w:tcPr>
            <w:tcW w:w="1420" w:type="dxa"/>
            <w:tcBorders>
              <w:top w:val="nil"/>
              <w:left w:val="nil"/>
              <w:bottom w:val="nil"/>
              <w:right w:val="nil"/>
            </w:tcBorders>
            <w:shd w:val="clear" w:color="000000" w:fill="AB2328"/>
            <w:vAlign w:val="center"/>
            <w:hideMark/>
          </w:tcPr>
          <w:p w14:paraId="569D6CDC"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w:t>
            </w:r>
          </w:p>
        </w:tc>
        <w:tc>
          <w:tcPr>
            <w:tcW w:w="1420" w:type="dxa"/>
            <w:tcBorders>
              <w:top w:val="nil"/>
              <w:left w:val="nil"/>
              <w:bottom w:val="nil"/>
              <w:right w:val="nil"/>
            </w:tcBorders>
            <w:shd w:val="clear" w:color="000000" w:fill="AB2328"/>
            <w:vAlign w:val="center"/>
            <w:hideMark/>
          </w:tcPr>
          <w:p w14:paraId="70661E18"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 </w:t>
            </w:r>
          </w:p>
        </w:tc>
        <w:tc>
          <w:tcPr>
            <w:tcW w:w="1520" w:type="dxa"/>
            <w:tcBorders>
              <w:top w:val="nil"/>
              <w:left w:val="nil"/>
              <w:bottom w:val="nil"/>
              <w:right w:val="nil"/>
            </w:tcBorders>
            <w:shd w:val="clear" w:color="000000" w:fill="AB2328"/>
            <w:vAlign w:val="center"/>
            <w:hideMark/>
          </w:tcPr>
          <w:p w14:paraId="189D6752"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w:t>
            </w:r>
          </w:p>
        </w:tc>
        <w:tc>
          <w:tcPr>
            <w:tcW w:w="1100" w:type="dxa"/>
            <w:tcBorders>
              <w:top w:val="nil"/>
              <w:left w:val="nil"/>
              <w:bottom w:val="nil"/>
              <w:right w:val="nil"/>
            </w:tcBorders>
            <w:shd w:val="clear" w:color="000000" w:fill="AB2328"/>
            <w:vAlign w:val="center"/>
            <w:hideMark/>
          </w:tcPr>
          <w:p w14:paraId="69917E24"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w:t>
            </w:r>
          </w:p>
        </w:tc>
        <w:tc>
          <w:tcPr>
            <w:tcW w:w="1100" w:type="dxa"/>
            <w:tcBorders>
              <w:top w:val="nil"/>
              <w:left w:val="nil"/>
              <w:bottom w:val="nil"/>
              <w:right w:val="nil"/>
            </w:tcBorders>
            <w:shd w:val="clear" w:color="000000" w:fill="AB2328"/>
            <w:vAlign w:val="center"/>
            <w:hideMark/>
          </w:tcPr>
          <w:p w14:paraId="0DA1249D"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w:t>
            </w:r>
          </w:p>
        </w:tc>
        <w:tc>
          <w:tcPr>
            <w:tcW w:w="1160" w:type="dxa"/>
            <w:tcBorders>
              <w:top w:val="nil"/>
              <w:left w:val="nil"/>
              <w:bottom w:val="nil"/>
              <w:right w:val="nil"/>
            </w:tcBorders>
            <w:shd w:val="clear" w:color="000000" w:fill="AB2328"/>
            <w:vAlign w:val="center"/>
            <w:hideMark/>
          </w:tcPr>
          <w:p w14:paraId="7A066656" w14:textId="77777777" w:rsidR="00DD23F7" w:rsidRPr="00DD23F7" w:rsidRDefault="00DD23F7" w:rsidP="00DD23F7">
            <w:pPr>
              <w:spacing w:line="240" w:lineRule="auto"/>
              <w:jc w:val="center"/>
              <w:rPr>
                <w:rFonts w:ascii="Calibri" w:eastAsia="Times New Roman" w:hAnsi="Calibri" w:cs="Calibri"/>
                <w:b/>
                <w:bCs/>
                <w:color w:val="FFFFFF"/>
                <w:lang w:eastAsia="en-GB"/>
              </w:rPr>
            </w:pPr>
            <w:r w:rsidRPr="00DD23F7">
              <w:rPr>
                <w:rFonts w:ascii="Calibri" w:eastAsia="Times New Roman" w:hAnsi="Calibri" w:cs="Calibri"/>
                <w:b/>
                <w:bCs/>
                <w:color w:val="FFFFFF"/>
                <w:lang w:eastAsia="en-GB"/>
              </w:rPr>
              <w:t>£</w:t>
            </w:r>
          </w:p>
        </w:tc>
      </w:tr>
      <w:tr w:rsidR="00DD23F7" w:rsidRPr="00DD23F7" w14:paraId="0A85F7A3" w14:textId="77777777" w:rsidTr="00DD23F7">
        <w:trPr>
          <w:trHeight w:val="300"/>
        </w:trPr>
        <w:tc>
          <w:tcPr>
            <w:tcW w:w="2900" w:type="dxa"/>
            <w:tcBorders>
              <w:top w:val="nil"/>
              <w:left w:val="nil"/>
              <w:bottom w:val="nil"/>
              <w:right w:val="nil"/>
            </w:tcBorders>
            <w:shd w:val="clear" w:color="000000" w:fill="FFFFFF"/>
            <w:noWrap/>
            <w:vAlign w:val="bottom"/>
            <w:hideMark/>
          </w:tcPr>
          <w:p w14:paraId="6AF371F5"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Chief Fire Officer - M Jones</w:t>
            </w:r>
          </w:p>
        </w:tc>
        <w:tc>
          <w:tcPr>
            <w:tcW w:w="1420" w:type="dxa"/>
            <w:tcBorders>
              <w:top w:val="nil"/>
              <w:left w:val="nil"/>
              <w:bottom w:val="nil"/>
              <w:right w:val="nil"/>
            </w:tcBorders>
            <w:shd w:val="clear" w:color="000000" w:fill="FFFFFF"/>
            <w:noWrap/>
            <w:vAlign w:val="bottom"/>
            <w:hideMark/>
          </w:tcPr>
          <w:p w14:paraId="1867BCA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03/10/2022</w:t>
            </w:r>
          </w:p>
        </w:tc>
        <w:tc>
          <w:tcPr>
            <w:tcW w:w="1420" w:type="dxa"/>
            <w:tcBorders>
              <w:top w:val="nil"/>
              <w:left w:val="nil"/>
              <w:bottom w:val="nil"/>
              <w:right w:val="nil"/>
            </w:tcBorders>
            <w:shd w:val="clear" w:color="000000" w:fill="FFFFFF"/>
            <w:vAlign w:val="bottom"/>
            <w:hideMark/>
          </w:tcPr>
          <w:p w14:paraId="5EBCA42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07/07/2023</w:t>
            </w:r>
          </w:p>
        </w:tc>
        <w:tc>
          <w:tcPr>
            <w:tcW w:w="1520" w:type="dxa"/>
            <w:tcBorders>
              <w:top w:val="nil"/>
              <w:left w:val="nil"/>
              <w:bottom w:val="nil"/>
              <w:right w:val="nil"/>
            </w:tcBorders>
            <w:shd w:val="clear" w:color="000000" w:fill="FFFFFF"/>
            <w:noWrap/>
            <w:vAlign w:val="bottom"/>
            <w:hideMark/>
          </w:tcPr>
          <w:p w14:paraId="05F1B446"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93,953 </w:t>
            </w:r>
          </w:p>
        </w:tc>
        <w:tc>
          <w:tcPr>
            <w:tcW w:w="1100" w:type="dxa"/>
            <w:tcBorders>
              <w:top w:val="nil"/>
              <w:left w:val="nil"/>
              <w:bottom w:val="nil"/>
              <w:right w:val="nil"/>
            </w:tcBorders>
            <w:shd w:val="clear" w:color="000000" w:fill="FFFFFF"/>
            <w:noWrap/>
            <w:vAlign w:val="bottom"/>
            <w:hideMark/>
          </w:tcPr>
          <w:p w14:paraId="249DA7F0"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30,000 </w:t>
            </w:r>
          </w:p>
        </w:tc>
        <w:tc>
          <w:tcPr>
            <w:tcW w:w="1100" w:type="dxa"/>
            <w:tcBorders>
              <w:top w:val="nil"/>
              <w:left w:val="nil"/>
              <w:bottom w:val="nil"/>
              <w:right w:val="nil"/>
            </w:tcBorders>
            <w:shd w:val="clear" w:color="000000" w:fill="FFFFFF"/>
            <w:noWrap/>
            <w:vAlign w:val="bottom"/>
            <w:hideMark/>
          </w:tcPr>
          <w:p w14:paraId="4F40791B"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123,953 </w:t>
            </w:r>
          </w:p>
        </w:tc>
        <w:tc>
          <w:tcPr>
            <w:tcW w:w="1160" w:type="dxa"/>
            <w:tcBorders>
              <w:top w:val="nil"/>
              <w:left w:val="nil"/>
              <w:bottom w:val="nil"/>
              <w:right w:val="nil"/>
            </w:tcBorders>
            <w:shd w:val="clear" w:color="000000" w:fill="FFFFFF"/>
            <w:noWrap/>
            <w:vAlign w:val="bottom"/>
            <w:hideMark/>
          </w:tcPr>
          <w:p w14:paraId="7772CF4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r>
      <w:tr w:rsidR="00DD23F7" w:rsidRPr="00DD23F7" w14:paraId="6032CC80" w14:textId="77777777" w:rsidTr="00DD23F7">
        <w:trPr>
          <w:trHeight w:val="300"/>
        </w:trPr>
        <w:tc>
          <w:tcPr>
            <w:tcW w:w="2900" w:type="dxa"/>
            <w:tcBorders>
              <w:top w:val="nil"/>
              <w:left w:val="nil"/>
              <w:bottom w:val="nil"/>
              <w:right w:val="nil"/>
            </w:tcBorders>
            <w:shd w:val="clear" w:color="000000" w:fill="FFFFFF"/>
            <w:noWrap/>
            <w:vAlign w:val="bottom"/>
            <w:hideMark/>
          </w:tcPr>
          <w:p w14:paraId="5079E7FA"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Chief Fire Officer - S Tuhill</w:t>
            </w:r>
          </w:p>
        </w:tc>
        <w:tc>
          <w:tcPr>
            <w:tcW w:w="1420" w:type="dxa"/>
            <w:tcBorders>
              <w:top w:val="nil"/>
              <w:left w:val="nil"/>
              <w:bottom w:val="nil"/>
              <w:right w:val="nil"/>
            </w:tcBorders>
            <w:shd w:val="clear" w:color="000000" w:fill="FFFFFF"/>
            <w:noWrap/>
            <w:vAlign w:val="bottom"/>
            <w:hideMark/>
          </w:tcPr>
          <w:p w14:paraId="6FC551C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18/07/2023</w:t>
            </w:r>
          </w:p>
        </w:tc>
        <w:tc>
          <w:tcPr>
            <w:tcW w:w="1420" w:type="dxa"/>
            <w:tcBorders>
              <w:top w:val="nil"/>
              <w:left w:val="nil"/>
              <w:bottom w:val="nil"/>
              <w:right w:val="nil"/>
            </w:tcBorders>
            <w:shd w:val="clear" w:color="000000" w:fill="FFFFFF"/>
            <w:vAlign w:val="bottom"/>
            <w:hideMark/>
          </w:tcPr>
          <w:p w14:paraId="7FDE8DE9"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17F72F6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99,652 </w:t>
            </w:r>
          </w:p>
        </w:tc>
        <w:tc>
          <w:tcPr>
            <w:tcW w:w="1100" w:type="dxa"/>
            <w:tcBorders>
              <w:top w:val="nil"/>
              <w:left w:val="nil"/>
              <w:bottom w:val="nil"/>
              <w:right w:val="nil"/>
            </w:tcBorders>
            <w:shd w:val="clear" w:color="000000" w:fill="FFFFFF"/>
            <w:noWrap/>
            <w:vAlign w:val="bottom"/>
            <w:hideMark/>
          </w:tcPr>
          <w:p w14:paraId="00E1B9AB"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000000" w:fill="FFFFFF"/>
            <w:noWrap/>
            <w:vAlign w:val="bottom"/>
            <w:hideMark/>
          </w:tcPr>
          <w:p w14:paraId="6E9C7A48"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99,652 </w:t>
            </w:r>
          </w:p>
        </w:tc>
        <w:tc>
          <w:tcPr>
            <w:tcW w:w="1160" w:type="dxa"/>
            <w:tcBorders>
              <w:top w:val="nil"/>
              <w:left w:val="nil"/>
              <w:bottom w:val="nil"/>
              <w:right w:val="nil"/>
            </w:tcBorders>
            <w:shd w:val="clear" w:color="000000" w:fill="FFFFFF"/>
            <w:noWrap/>
            <w:vAlign w:val="bottom"/>
            <w:hideMark/>
          </w:tcPr>
          <w:p w14:paraId="040C1FF6"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28,700 </w:t>
            </w:r>
          </w:p>
        </w:tc>
      </w:tr>
      <w:tr w:rsidR="00DD23F7" w:rsidRPr="00DD23F7" w14:paraId="5889F5D1" w14:textId="77777777" w:rsidTr="00DD23F7">
        <w:trPr>
          <w:trHeight w:val="315"/>
        </w:trPr>
        <w:tc>
          <w:tcPr>
            <w:tcW w:w="2900" w:type="dxa"/>
            <w:tcBorders>
              <w:top w:val="nil"/>
              <w:left w:val="nil"/>
              <w:bottom w:val="nil"/>
              <w:right w:val="nil"/>
            </w:tcBorders>
            <w:shd w:val="clear" w:color="000000" w:fill="FFFFFF"/>
            <w:noWrap/>
            <w:vAlign w:val="bottom"/>
            <w:hideMark/>
          </w:tcPr>
          <w:p w14:paraId="17DC23D1"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Assistant Chief Fire Officer (1)</w:t>
            </w:r>
          </w:p>
        </w:tc>
        <w:tc>
          <w:tcPr>
            <w:tcW w:w="1420" w:type="dxa"/>
            <w:tcBorders>
              <w:top w:val="nil"/>
              <w:left w:val="nil"/>
              <w:bottom w:val="nil"/>
              <w:right w:val="nil"/>
            </w:tcBorders>
            <w:shd w:val="clear" w:color="000000" w:fill="FFFFFF"/>
            <w:noWrap/>
            <w:vAlign w:val="bottom"/>
            <w:hideMark/>
          </w:tcPr>
          <w:p w14:paraId="7356D02E"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bottom"/>
            <w:hideMark/>
          </w:tcPr>
          <w:p w14:paraId="647D6AF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28/06/2023</w:t>
            </w:r>
          </w:p>
        </w:tc>
        <w:tc>
          <w:tcPr>
            <w:tcW w:w="1520" w:type="dxa"/>
            <w:tcBorders>
              <w:top w:val="nil"/>
              <w:left w:val="nil"/>
              <w:bottom w:val="nil"/>
              <w:right w:val="nil"/>
            </w:tcBorders>
            <w:shd w:val="clear" w:color="000000" w:fill="FFFFFF"/>
            <w:noWrap/>
            <w:vAlign w:val="bottom"/>
            <w:hideMark/>
          </w:tcPr>
          <w:p w14:paraId="3A7CB808"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32,766 </w:t>
            </w:r>
          </w:p>
        </w:tc>
        <w:tc>
          <w:tcPr>
            <w:tcW w:w="1100" w:type="dxa"/>
            <w:tcBorders>
              <w:top w:val="nil"/>
              <w:left w:val="nil"/>
              <w:bottom w:val="nil"/>
              <w:right w:val="nil"/>
            </w:tcBorders>
            <w:shd w:val="clear" w:color="000000" w:fill="FFFFFF"/>
            <w:noWrap/>
            <w:vAlign w:val="bottom"/>
            <w:hideMark/>
          </w:tcPr>
          <w:p w14:paraId="5DACD6E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000000" w:fill="FFFFFF"/>
            <w:noWrap/>
            <w:vAlign w:val="bottom"/>
            <w:hideMark/>
          </w:tcPr>
          <w:p w14:paraId="4ABC7CFC"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32,766 </w:t>
            </w:r>
          </w:p>
        </w:tc>
        <w:tc>
          <w:tcPr>
            <w:tcW w:w="1160" w:type="dxa"/>
            <w:tcBorders>
              <w:top w:val="nil"/>
              <w:left w:val="nil"/>
              <w:bottom w:val="nil"/>
              <w:right w:val="nil"/>
            </w:tcBorders>
            <w:shd w:val="clear" w:color="000000" w:fill="FFFFFF"/>
            <w:noWrap/>
            <w:vAlign w:val="bottom"/>
            <w:hideMark/>
          </w:tcPr>
          <w:p w14:paraId="3C13A41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19,315 </w:t>
            </w:r>
          </w:p>
        </w:tc>
      </w:tr>
      <w:tr w:rsidR="00DD23F7" w:rsidRPr="00DD23F7" w14:paraId="1AD61C44" w14:textId="77777777" w:rsidTr="00DD23F7">
        <w:trPr>
          <w:trHeight w:val="315"/>
        </w:trPr>
        <w:tc>
          <w:tcPr>
            <w:tcW w:w="2900" w:type="dxa"/>
            <w:tcBorders>
              <w:top w:val="nil"/>
              <w:left w:val="nil"/>
              <w:bottom w:val="nil"/>
              <w:right w:val="nil"/>
            </w:tcBorders>
            <w:shd w:val="clear" w:color="000000" w:fill="FFFFFF"/>
            <w:noWrap/>
            <w:vAlign w:val="bottom"/>
            <w:hideMark/>
          </w:tcPr>
          <w:p w14:paraId="3FA8445E"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Assistant Chief Fire Officer (2)</w:t>
            </w:r>
          </w:p>
        </w:tc>
        <w:tc>
          <w:tcPr>
            <w:tcW w:w="1420" w:type="dxa"/>
            <w:tcBorders>
              <w:top w:val="nil"/>
              <w:left w:val="nil"/>
              <w:bottom w:val="nil"/>
              <w:right w:val="nil"/>
            </w:tcBorders>
            <w:shd w:val="clear" w:color="000000" w:fill="FFFFFF"/>
            <w:noWrap/>
            <w:vAlign w:val="bottom"/>
            <w:hideMark/>
          </w:tcPr>
          <w:p w14:paraId="3553A42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bottom"/>
            <w:hideMark/>
          </w:tcPr>
          <w:p w14:paraId="64CCB25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1BE1EB4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116,358 </w:t>
            </w:r>
          </w:p>
        </w:tc>
        <w:tc>
          <w:tcPr>
            <w:tcW w:w="1100" w:type="dxa"/>
            <w:tcBorders>
              <w:top w:val="nil"/>
              <w:left w:val="nil"/>
              <w:bottom w:val="nil"/>
              <w:right w:val="nil"/>
            </w:tcBorders>
            <w:shd w:val="clear" w:color="000000" w:fill="FFFFFF"/>
            <w:noWrap/>
            <w:vAlign w:val="bottom"/>
            <w:hideMark/>
          </w:tcPr>
          <w:p w14:paraId="450CB7F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000000" w:fill="FFFFFF"/>
            <w:noWrap/>
            <w:vAlign w:val="bottom"/>
            <w:hideMark/>
          </w:tcPr>
          <w:p w14:paraId="13F9A9F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116,358 </w:t>
            </w:r>
          </w:p>
        </w:tc>
        <w:tc>
          <w:tcPr>
            <w:tcW w:w="1160" w:type="dxa"/>
            <w:tcBorders>
              <w:top w:val="nil"/>
              <w:left w:val="nil"/>
              <w:bottom w:val="nil"/>
              <w:right w:val="nil"/>
            </w:tcBorders>
            <w:shd w:val="clear" w:color="000000" w:fill="FFFFFF"/>
            <w:noWrap/>
            <w:vAlign w:val="bottom"/>
            <w:hideMark/>
          </w:tcPr>
          <w:p w14:paraId="6BFB180A"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33,511 </w:t>
            </w:r>
          </w:p>
        </w:tc>
      </w:tr>
      <w:tr w:rsidR="00DD23F7" w:rsidRPr="00DD23F7" w14:paraId="26CBC956" w14:textId="77777777" w:rsidTr="00DD23F7">
        <w:trPr>
          <w:trHeight w:val="315"/>
        </w:trPr>
        <w:tc>
          <w:tcPr>
            <w:tcW w:w="2900" w:type="dxa"/>
            <w:tcBorders>
              <w:top w:val="nil"/>
              <w:left w:val="nil"/>
              <w:bottom w:val="nil"/>
              <w:right w:val="nil"/>
            </w:tcBorders>
            <w:shd w:val="clear" w:color="000000" w:fill="FFFFFF"/>
            <w:noWrap/>
            <w:vAlign w:val="bottom"/>
            <w:hideMark/>
          </w:tcPr>
          <w:p w14:paraId="23070E15"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Assistant Chief Fire Officer (3)</w:t>
            </w:r>
          </w:p>
        </w:tc>
        <w:tc>
          <w:tcPr>
            <w:tcW w:w="1420" w:type="dxa"/>
            <w:tcBorders>
              <w:top w:val="nil"/>
              <w:left w:val="nil"/>
              <w:bottom w:val="nil"/>
              <w:right w:val="nil"/>
            </w:tcBorders>
            <w:shd w:val="clear" w:color="000000" w:fill="FFFFFF"/>
            <w:noWrap/>
            <w:vAlign w:val="bottom"/>
            <w:hideMark/>
          </w:tcPr>
          <w:p w14:paraId="60B40A0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01/07/2023</w:t>
            </w:r>
          </w:p>
        </w:tc>
        <w:tc>
          <w:tcPr>
            <w:tcW w:w="1420" w:type="dxa"/>
            <w:tcBorders>
              <w:top w:val="nil"/>
              <w:left w:val="nil"/>
              <w:bottom w:val="nil"/>
              <w:right w:val="nil"/>
            </w:tcBorders>
            <w:shd w:val="clear" w:color="000000" w:fill="FFFFFF"/>
            <w:vAlign w:val="bottom"/>
            <w:hideMark/>
          </w:tcPr>
          <w:p w14:paraId="75F0A20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2B85B6D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80,844 </w:t>
            </w:r>
          </w:p>
        </w:tc>
        <w:tc>
          <w:tcPr>
            <w:tcW w:w="1100" w:type="dxa"/>
            <w:tcBorders>
              <w:top w:val="nil"/>
              <w:left w:val="nil"/>
              <w:bottom w:val="nil"/>
              <w:right w:val="nil"/>
            </w:tcBorders>
            <w:shd w:val="clear" w:color="000000" w:fill="FFFFFF"/>
            <w:noWrap/>
            <w:vAlign w:val="bottom"/>
            <w:hideMark/>
          </w:tcPr>
          <w:p w14:paraId="43C377EC" w14:textId="4461073E"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w:t>
            </w:r>
            <w:r w:rsidR="008F661D">
              <w:rPr>
                <w:rFonts w:ascii="Calibri" w:eastAsia="Times New Roman" w:hAnsi="Calibri" w:cs="Calibri"/>
                <w:color w:val="000000"/>
                <w:lang w:eastAsia="en-GB"/>
              </w:rPr>
              <w:t>(</w:t>
            </w:r>
            <w:r w:rsidRPr="00DD23F7">
              <w:rPr>
                <w:rFonts w:ascii="Calibri" w:eastAsia="Times New Roman" w:hAnsi="Calibri" w:cs="Calibri"/>
                <w:color w:val="000000"/>
                <w:lang w:eastAsia="en-GB"/>
              </w:rPr>
              <w:t>102</w:t>
            </w:r>
            <w:r w:rsidR="008F661D">
              <w:rPr>
                <w:rFonts w:ascii="Calibri" w:eastAsia="Times New Roman" w:hAnsi="Calibri" w:cs="Calibri"/>
                <w:color w:val="000000"/>
                <w:lang w:eastAsia="en-GB"/>
              </w:rPr>
              <w:t>)</w:t>
            </w:r>
            <w:r w:rsidRPr="00DD23F7">
              <w:rPr>
                <w:rFonts w:ascii="Calibri" w:eastAsia="Times New Roman" w:hAnsi="Calibri" w:cs="Calibri"/>
                <w:color w:val="000000"/>
                <w:lang w:eastAsia="en-GB"/>
              </w:rPr>
              <w:t xml:space="preserve"> </w:t>
            </w:r>
          </w:p>
        </w:tc>
        <w:tc>
          <w:tcPr>
            <w:tcW w:w="1100" w:type="dxa"/>
            <w:tcBorders>
              <w:top w:val="nil"/>
              <w:left w:val="nil"/>
              <w:bottom w:val="nil"/>
              <w:right w:val="nil"/>
            </w:tcBorders>
            <w:shd w:val="clear" w:color="000000" w:fill="FFFFFF"/>
            <w:noWrap/>
            <w:vAlign w:val="bottom"/>
            <w:hideMark/>
          </w:tcPr>
          <w:p w14:paraId="3CDC6636"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80,742 </w:t>
            </w:r>
          </w:p>
        </w:tc>
        <w:tc>
          <w:tcPr>
            <w:tcW w:w="1160" w:type="dxa"/>
            <w:tcBorders>
              <w:top w:val="nil"/>
              <w:left w:val="nil"/>
              <w:bottom w:val="nil"/>
              <w:right w:val="nil"/>
            </w:tcBorders>
            <w:shd w:val="clear" w:color="000000" w:fill="FFFFFF"/>
            <w:noWrap/>
            <w:vAlign w:val="bottom"/>
            <w:hideMark/>
          </w:tcPr>
          <w:p w14:paraId="6E49F869"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23,193 </w:t>
            </w:r>
          </w:p>
        </w:tc>
      </w:tr>
      <w:tr w:rsidR="00DD23F7" w:rsidRPr="00DD23F7" w14:paraId="7CCBF9ED" w14:textId="77777777" w:rsidTr="00DD23F7">
        <w:trPr>
          <w:trHeight w:val="315"/>
        </w:trPr>
        <w:tc>
          <w:tcPr>
            <w:tcW w:w="2900" w:type="dxa"/>
            <w:tcBorders>
              <w:top w:val="nil"/>
              <w:left w:val="nil"/>
              <w:bottom w:val="nil"/>
              <w:right w:val="nil"/>
            </w:tcBorders>
            <w:shd w:val="clear" w:color="000000" w:fill="FFFFFF"/>
            <w:noWrap/>
            <w:vAlign w:val="bottom"/>
            <w:hideMark/>
          </w:tcPr>
          <w:p w14:paraId="72F79F03"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Manager (1)</w:t>
            </w:r>
          </w:p>
        </w:tc>
        <w:tc>
          <w:tcPr>
            <w:tcW w:w="1420" w:type="dxa"/>
            <w:tcBorders>
              <w:top w:val="nil"/>
              <w:left w:val="nil"/>
              <w:bottom w:val="nil"/>
              <w:right w:val="nil"/>
            </w:tcBorders>
            <w:shd w:val="clear" w:color="000000" w:fill="FFFFFF"/>
            <w:noWrap/>
            <w:vAlign w:val="bottom"/>
            <w:hideMark/>
          </w:tcPr>
          <w:p w14:paraId="209C2DD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bottom"/>
            <w:hideMark/>
          </w:tcPr>
          <w:p w14:paraId="2296DBA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30/06/2023</w:t>
            </w:r>
          </w:p>
        </w:tc>
        <w:tc>
          <w:tcPr>
            <w:tcW w:w="1520" w:type="dxa"/>
            <w:tcBorders>
              <w:top w:val="nil"/>
              <w:left w:val="nil"/>
              <w:bottom w:val="nil"/>
              <w:right w:val="nil"/>
            </w:tcBorders>
            <w:shd w:val="clear" w:color="000000" w:fill="FFFFFF"/>
            <w:noWrap/>
            <w:vAlign w:val="bottom"/>
            <w:hideMark/>
          </w:tcPr>
          <w:p w14:paraId="10768EDC"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19,922 </w:t>
            </w:r>
          </w:p>
        </w:tc>
        <w:tc>
          <w:tcPr>
            <w:tcW w:w="1100" w:type="dxa"/>
            <w:tcBorders>
              <w:top w:val="nil"/>
              <w:left w:val="nil"/>
              <w:bottom w:val="nil"/>
              <w:right w:val="nil"/>
            </w:tcBorders>
            <w:shd w:val="clear" w:color="000000" w:fill="FFFFFF"/>
            <w:noWrap/>
            <w:vAlign w:val="bottom"/>
            <w:hideMark/>
          </w:tcPr>
          <w:p w14:paraId="2F534FE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5,525 </w:t>
            </w:r>
          </w:p>
        </w:tc>
        <w:tc>
          <w:tcPr>
            <w:tcW w:w="1100" w:type="dxa"/>
            <w:tcBorders>
              <w:top w:val="nil"/>
              <w:left w:val="nil"/>
              <w:bottom w:val="nil"/>
              <w:right w:val="nil"/>
            </w:tcBorders>
            <w:shd w:val="clear" w:color="000000" w:fill="FFFFFF"/>
            <w:noWrap/>
            <w:vAlign w:val="bottom"/>
            <w:hideMark/>
          </w:tcPr>
          <w:p w14:paraId="2A2E5EA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25,447 </w:t>
            </w:r>
          </w:p>
        </w:tc>
        <w:tc>
          <w:tcPr>
            <w:tcW w:w="1160" w:type="dxa"/>
            <w:tcBorders>
              <w:top w:val="nil"/>
              <w:left w:val="nil"/>
              <w:bottom w:val="nil"/>
              <w:right w:val="nil"/>
            </w:tcBorders>
            <w:shd w:val="clear" w:color="000000" w:fill="FFFFFF"/>
            <w:noWrap/>
            <w:vAlign w:val="bottom"/>
            <w:hideMark/>
          </w:tcPr>
          <w:p w14:paraId="4FF172B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7,328 </w:t>
            </w:r>
          </w:p>
        </w:tc>
      </w:tr>
      <w:tr w:rsidR="00DD23F7" w:rsidRPr="00DD23F7" w14:paraId="4B7CB49D" w14:textId="77777777" w:rsidTr="00DD23F7">
        <w:trPr>
          <w:trHeight w:val="315"/>
        </w:trPr>
        <w:tc>
          <w:tcPr>
            <w:tcW w:w="2900" w:type="dxa"/>
            <w:tcBorders>
              <w:top w:val="nil"/>
              <w:left w:val="nil"/>
              <w:bottom w:val="nil"/>
              <w:right w:val="nil"/>
            </w:tcBorders>
            <w:shd w:val="clear" w:color="000000" w:fill="FFFFFF"/>
            <w:noWrap/>
            <w:vAlign w:val="bottom"/>
            <w:hideMark/>
          </w:tcPr>
          <w:p w14:paraId="383FF28F"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Manager (2)</w:t>
            </w:r>
          </w:p>
        </w:tc>
        <w:tc>
          <w:tcPr>
            <w:tcW w:w="1420" w:type="dxa"/>
            <w:tcBorders>
              <w:top w:val="nil"/>
              <w:left w:val="nil"/>
              <w:bottom w:val="nil"/>
              <w:right w:val="nil"/>
            </w:tcBorders>
            <w:shd w:val="clear" w:color="000000" w:fill="FFFFFF"/>
            <w:noWrap/>
            <w:vAlign w:val="bottom"/>
            <w:hideMark/>
          </w:tcPr>
          <w:p w14:paraId="08491C5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01/01/2020</w:t>
            </w:r>
          </w:p>
        </w:tc>
        <w:tc>
          <w:tcPr>
            <w:tcW w:w="1420" w:type="dxa"/>
            <w:tcBorders>
              <w:top w:val="nil"/>
              <w:left w:val="nil"/>
              <w:bottom w:val="nil"/>
              <w:right w:val="nil"/>
            </w:tcBorders>
            <w:shd w:val="clear" w:color="000000" w:fill="FFFFFF"/>
            <w:vAlign w:val="bottom"/>
            <w:hideMark/>
          </w:tcPr>
          <w:p w14:paraId="77D1C90A"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06/02/2023</w:t>
            </w:r>
          </w:p>
        </w:tc>
        <w:tc>
          <w:tcPr>
            <w:tcW w:w="1520" w:type="dxa"/>
            <w:tcBorders>
              <w:top w:val="nil"/>
              <w:left w:val="nil"/>
              <w:bottom w:val="nil"/>
              <w:right w:val="nil"/>
            </w:tcBorders>
            <w:shd w:val="clear" w:color="000000" w:fill="FFFFFF"/>
            <w:noWrap/>
            <w:vAlign w:val="bottom"/>
            <w:hideMark/>
          </w:tcPr>
          <w:p w14:paraId="461A79B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14,731 </w:t>
            </w:r>
          </w:p>
        </w:tc>
        <w:tc>
          <w:tcPr>
            <w:tcW w:w="1100" w:type="dxa"/>
            <w:tcBorders>
              <w:top w:val="nil"/>
              <w:left w:val="nil"/>
              <w:bottom w:val="nil"/>
              <w:right w:val="nil"/>
            </w:tcBorders>
            <w:shd w:val="clear" w:color="000000" w:fill="FFFFFF"/>
            <w:noWrap/>
            <w:vAlign w:val="bottom"/>
            <w:hideMark/>
          </w:tcPr>
          <w:p w14:paraId="00BD6AA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4,088 </w:t>
            </w:r>
          </w:p>
        </w:tc>
        <w:tc>
          <w:tcPr>
            <w:tcW w:w="1100" w:type="dxa"/>
            <w:tcBorders>
              <w:top w:val="nil"/>
              <w:left w:val="nil"/>
              <w:bottom w:val="nil"/>
              <w:right w:val="nil"/>
            </w:tcBorders>
            <w:shd w:val="clear" w:color="000000" w:fill="FFFFFF"/>
            <w:noWrap/>
            <w:vAlign w:val="bottom"/>
            <w:hideMark/>
          </w:tcPr>
          <w:p w14:paraId="7DB07EF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18,819 </w:t>
            </w:r>
          </w:p>
        </w:tc>
        <w:tc>
          <w:tcPr>
            <w:tcW w:w="1160" w:type="dxa"/>
            <w:tcBorders>
              <w:top w:val="nil"/>
              <w:left w:val="nil"/>
              <w:bottom w:val="nil"/>
              <w:right w:val="nil"/>
            </w:tcBorders>
            <w:shd w:val="clear" w:color="000000" w:fill="FFFFFF"/>
            <w:noWrap/>
            <w:vAlign w:val="bottom"/>
            <w:hideMark/>
          </w:tcPr>
          <w:p w14:paraId="77030FA9"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5,420 </w:t>
            </w:r>
          </w:p>
        </w:tc>
      </w:tr>
      <w:tr w:rsidR="00DD23F7" w:rsidRPr="00DD23F7" w14:paraId="31263F65" w14:textId="77777777" w:rsidTr="00DD23F7">
        <w:trPr>
          <w:trHeight w:val="315"/>
        </w:trPr>
        <w:tc>
          <w:tcPr>
            <w:tcW w:w="2900" w:type="dxa"/>
            <w:tcBorders>
              <w:top w:val="nil"/>
              <w:left w:val="nil"/>
              <w:bottom w:val="nil"/>
              <w:right w:val="nil"/>
            </w:tcBorders>
            <w:shd w:val="clear" w:color="000000" w:fill="FFFFFF"/>
            <w:noWrap/>
            <w:vAlign w:val="bottom"/>
            <w:hideMark/>
          </w:tcPr>
          <w:p w14:paraId="0A29CC5F"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Manager (3)</w:t>
            </w:r>
          </w:p>
        </w:tc>
        <w:tc>
          <w:tcPr>
            <w:tcW w:w="1420" w:type="dxa"/>
            <w:tcBorders>
              <w:top w:val="nil"/>
              <w:left w:val="nil"/>
              <w:bottom w:val="nil"/>
              <w:right w:val="nil"/>
            </w:tcBorders>
            <w:shd w:val="clear" w:color="000000" w:fill="FFFFFF"/>
            <w:noWrap/>
            <w:vAlign w:val="bottom"/>
            <w:hideMark/>
          </w:tcPr>
          <w:p w14:paraId="00920A1E"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bottom"/>
            <w:hideMark/>
          </w:tcPr>
          <w:p w14:paraId="7D9ADDD0"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11/06/2023</w:t>
            </w:r>
          </w:p>
        </w:tc>
        <w:tc>
          <w:tcPr>
            <w:tcW w:w="1520" w:type="dxa"/>
            <w:tcBorders>
              <w:top w:val="nil"/>
              <w:left w:val="nil"/>
              <w:bottom w:val="nil"/>
              <w:right w:val="nil"/>
            </w:tcBorders>
            <w:shd w:val="clear" w:color="000000" w:fill="FFFFFF"/>
            <w:noWrap/>
            <w:vAlign w:val="bottom"/>
            <w:hideMark/>
          </w:tcPr>
          <w:p w14:paraId="393C684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42,414 </w:t>
            </w:r>
          </w:p>
        </w:tc>
        <w:tc>
          <w:tcPr>
            <w:tcW w:w="1100" w:type="dxa"/>
            <w:tcBorders>
              <w:top w:val="nil"/>
              <w:left w:val="nil"/>
              <w:bottom w:val="nil"/>
              <w:right w:val="nil"/>
            </w:tcBorders>
            <w:shd w:val="clear" w:color="000000" w:fill="FFFFFF"/>
            <w:noWrap/>
            <w:vAlign w:val="bottom"/>
            <w:hideMark/>
          </w:tcPr>
          <w:p w14:paraId="5D78560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11,876 </w:t>
            </w:r>
          </w:p>
        </w:tc>
        <w:tc>
          <w:tcPr>
            <w:tcW w:w="1100" w:type="dxa"/>
            <w:tcBorders>
              <w:top w:val="nil"/>
              <w:left w:val="nil"/>
              <w:bottom w:val="nil"/>
              <w:right w:val="nil"/>
            </w:tcBorders>
            <w:shd w:val="clear" w:color="000000" w:fill="FFFFFF"/>
            <w:noWrap/>
            <w:vAlign w:val="bottom"/>
            <w:hideMark/>
          </w:tcPr>
          <w:p w14:paraId="6C88871B"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54,290 </w:t>
            </w:r>
          </w:p>
        </w:tc>
        <w:tc>
          <w:tcPr>
            <w:tcW w:w="1160" w:type="dxa"/>
            <w:tcBorders>
              <w:top w:val="nil"/>
              <w:left w:val="nil"/>
              <w:bottom w:val="nil"/>
              <w:right w:val="nil"/>
            </w:tcBorders>
            <w:shd w:val="clear" w:color="000000" w:fill="FFFFFF"/>
            <w:noWrap/>
            <w:vAlign w:val="bottom"/>
            <w:hideMark/>
          </w:tcPr>
          <w:p w14:paraId="4CB404BA"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15,636 </w:t>
            </w:r>
          </w:p>
        </w:tc>
      </w:tr>
      <w:tr w:rsidR="00DD23F7" w:rsidRPr="00DD23F7" w14:paraId="64F65AF0" w14:textId="77777777" w:rsidTr="00DD23F7">
        <w:trPr>
          <w:trHeight w:val="315"/>
        </w:trPr>
        <w:tc>
          <w:tcPr>
            <w:tcW w:w="2900" w:type="dxa"/>
            <w:tcBorders>
              <w:top w:val="nil"/>
              <w:left w:val="nil"/>
              <w:bottom w:val="nil"/>
              <w:right w:val="nil"/>
            </w:tcBorders>
            <w:shd w:val="clear" w:color="000000" w:fill="FFFFFF"/>
            <w:noWrap/>
            <w:vAlign w:val="bottom"/>
            <w:hideMark/>
          </w:tcPr>
          <w:p w14:paraId="235AC7C8"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Commander (1)</w:t>
            </w:r>
          </w:p>
        </w:tc>
        <w:tc>
          <w:tcPr>
            <w:tcW w:w="1420" w:type="dxa"/>
            <w:tcBorders>
              <w:top w:val="nil"/>
              <w:left w:val="nil"/>
              <w:bottom w:val="nil"/>
              <w:right w:val="nil"/>
            </w:tcBorders>
            <w:shd w:val="clear" w:color="000000" w:fill="FFFFFF"/>
            <w:noWrap/>
            <w:vAlign w:val="bottom"/>
            <w:hideMark/>
          </w:tcPr>
          <w:p w14:paraId="6CAEFF1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15/01/2024</w:t>
            </w:r>
          </w:p>
        </w:tc>
        <w:tc>
          <w:tcPr>
            <w:tcW w:w="1420" w:type="dxa"/>
            <w:tcBorders>
              <w:top w:val="nil"/>
              <w:left w:val="nil"/>
              <w:bottom w:val="nil"/>
              <w:right w:val="nil"/>
            </w:tcBorders>
            <w:shd w:val="clear" w:color="000000" w:fill="FFFFFF"/>
            <w:vAlign w:val="bottom"/>
            <w:hideMark/>
          </w:tcPr>
          <w:p w14:paraId="107C575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0D2E88FC"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13,414 </w:t>
            </w:r>
          </w:p>
        </w:tc>
        <w:tc>
          <w:tcPr>
            <w:tcW w:w="1100" w:type="dxa"/>
            <w:tcBorders>
              <w:top w:val="nil"/>
              <w:left w:val="nil"/>
              <w:bottom w:val="nil"/>
              <w:right w:val="nil"/>
            </w:tcBorders>
            <w:shd w:val="clear" w:color="000000" w:fill="FFFFFF"/>
            <w:noWrap/>
            <w:vAlign w:val="bottom"/>
            <w:hideMark/>
          </w:tcPr>
          <w:p w14:paraId="4D49D4C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3,756 </w:t>
            </w:r>
          </w:p>
        </w:tc>
        <w:tc>
          <w:tcPr>
            <w:tcW w:w="1100" w:type="dxa"/>
            <w:tcBorders>
              <w:top w:val="nil"/>
              <w:left w:val="nil"/>
              <w:bottom w:val="nil"/>
              <w:right w:val="nil"/>
            </w:tcBorders>
            <w:shd w:val="clear" w:color="000000" w:fill="FFFFFF"/>
            <w:noWrap/>
            <w:vAlign w:val="bottom"/>
            <w:hideMark/>
          </w:tcPr>
          <w:p w14:paraId="2473EC9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17,170 </w:t>
            </w:r>
          </w:p>
        </w:tc>
        <w:tc>
          <w:tcPr>
            <w:tcW w:w="1160" w:type="dxa"/>
            <w:tcBorders>
              <w:top w:val="nil"/>
              <w:left w:val="nil"/>
              <w:bottom w:val="nil"/>
              <w:right w:val="nil"/>
            </w:tcBorders>
            <w:shd w:val="clear" w:color="000000" w:fill="FFFFFF"/>
            <w:noWrap/>
            <w:vAlign w:val="bottom"/>
            <w:hideMark/>
          </w:tcPr>
          <w:p w14:paraId="0E476B9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2,970 </w:t>
            </w:r>
          </w:p>
        </w:tc>
      </w:tr>
      <w:tr w:rsidR="00DD23F7" w:rsidRPr="00DD23F7" w14:paraId="4C5E5CC0" w14:textId="77777777" w:rsidTr="00DD23F7">
        <w:trPr>
          <w:trHeight w:val="315"/>
        </w:trPr>
        <w:tc>
          <w:tcPr>
            <w:tcW w:w="2900" w:type="dxa"/>
            <w:tcBorders>
              <w:top w:val="nil"/>
              <w:left w:val="nil"/>
              <w:bottom w:val="nil"/>
              <w:right w:val="nil"/>
            </w:tcBorders>
            <w:shd w:val="clear" w:color="000000" w:fill="FFFFFF"/>
            <w:noWrap/>
            <w:vAlign w:val="bottom"/>
            <w:hideMark/>
          </w:tcPr>
          <w:p w14:paraId="5A0B8B0B"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Commander (2)</w:t>
            </w:r>
          </w:p>
        </w:tc>
        <w:tc>
          <w:tcPr>
            <w:tcW w:w="1420" w:type="dxa"/>
            <w:tcBorders>
              <w:top w:val="nil"/>
              <w:left w:val="nil"/>
              <w:bottom w:val="nil"/>
              <w:right w:val="nil"/>
            </w:tcBorders>
            <w:shd w:val="clear" w:color="000000" w:fill="FFFFFF"/>
            <w:noWrap/>
            <w:vAlign w:val="bottom"/>
            <w:hideMark/>
          </w:tcPr>
          <w:p w14:paraId="07E20761"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01/08/2021</w:t>
            </w:r>
          </w:p>
        </w:tc>
        <w:tc>
          <w:tcPr>
            <w:tcW w:w="1420" w:type="dxa"/>
            <w:tcBorders>
              <w:top w:val="nil"/>
              <w:left w:val="nil"/>
              <w:bottom w:val="nil"/>
              <w:right w:val="nil"/>
            </w:tcBorders>
            <w:shd w:val="clear" w:color="000000" w:fill="FFFFFF"/>
            <w:vAlign w:val="bottom"/>
            <w:hideMark/>
          </w:tcPr>
          <w:p w14:paraId="0541DAA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4A6EC86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61,512 </w:t>
            </w:r>
          </w:p>
        </w:tc>
        <w:tc>
          <w:tcPr>
            <w:tcW w:w="1100" w:type="dxa"/>
            <w:tcBorders>
              <w:top w:val="nil"/>
              <w:left w:val="nil"/>
              <w:bottom w:val="nil"/>
              <w:right w:val="nil"/>
            </w:tcBorders>
            <w:shd w:val="clear" w:color="000000" w:fill="FFFFFF"/>
            <w:noWrap/>
            <w:vAlign w:val="bottom"/>
            <w:hideMark/>
          </w:tcPr>
          <w:p w14:paraId="170C1CE6"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13,890 </w:t>
            </w:r>
          </w:p>
        </w:tc>
        <w:tc>
          <w:tcPr>
            <w:tcW w:w="1100" w:type="dxa"/>
            <w:tcBorders>
              <w:top w:val="nil"/>
              <w:left w:val="nil"/>
              <w:bottom w:val="nil"/>
              <w:right w:val="nil"/>
            </w:tcBorders>
            <w:shd w:val="clear" w:color="000000" w:fill="FFFFFF"/>
            <w:noWrap/>
            <w:vAlign w:val="bottom"/>
            <w:hideMark/>
          </w:tcPr>
          <w:p w14:paraId="46BD5D79"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75,402 </w:t>
            </w:r>
          </w:p>
        </w:tc>
        <w:tc>
          <w:tcPr>
            <w:tcW w:w="1160" w:type="dxa"/>
            <w:tcBorders>
              <w:top w:val="nil"/>
              <w:left w:val="nil"/>
              <w:bottom w:val="nil"/>
              <w:right w:val="nil"/>
            </w:tcBorders>
            <w:shd w:val="clear" w:color="000000" w:fill="FFFFFF"/>
            <w:noWrap/>
            <w:vAlign w:val="bottom"/>
            <w:hideMark/>
          </w:tcPr>
          <w:p w14:paraId="69B7D47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21,144 </w:t>
            </w:r>
          </w:p>
        </w:tc>
      </w:tr>
      <w:tr w:rsidR="00DD23F7" w:rsidRPr="00DD23F7" w14:paraId="29E87BA6" w14:textId="77777777" w:rsidTr="00DD23F7">
        <w:trPr>
          <w:trHeight w:val="315"/>
        </w:trPr>
        <w:tc>
          <w:tcPr>
            <w:tcW w:w="2900" w:type="dxa"/>
            <w:tcBorders>
              <w:top w:val="nil"/>
              <w:left w:val="nil"/>
              <w:bottom w:val="nil"/>
              <w:right w:val="nil"/>
            </w:tcBorders>
            <w:shd w:val="clear" w:color="000000" w:fill="FFFFFF"/>
            <w:noWrap/>
            <w:vAlign w:val="bottom"/>
            <w:hideMark/>
          </w:tcPr>
          <w:p w14:paraId="5B192031"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Area Commander (3)</w:t>
            </w:r>
          </w:p>
        </w:tc>
        <w:tc>
          <w:tcPr>
            <w:tcW w:w="1420" w:type="dxa"/>
            <w:tcBorders>
              <w:top w:val="nil"/>
              <w:left w:val="nil"/>
              <w:bottom w:val="nil"/>
              <w:right w:val="nil"/>
            </w:tcBorders>
            <w:shd w:val="clear" w:color="000000" w:fill="FFFFFF"/>
            <w:noWrap/>
            <w:vAlign w:val="bottom"/>
            <w:hideMark/>
          </w:tcPr>
          <w:p w14:paraId="6DF4EDF6"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25/11/2019</w:t>
            </w:r>
          </w:p>
        </w:tc>
        <w:tc>
          <w:tcPr>
            <w:tcW w:w="1420" w:type="dxa"/>
            <w:tcBorders>
              <w:top w:val="nil"/>
              <w:left w:val="nil"/>
              <w:bottom w:val="nil"/>
              <w:right w:val="nil"/>
            </w:tcBorders>
            <w:shd w:val="clear" w:color="000000" w:fill="FFFFFF"/>
            <w:vAlign w:val="bottom"/>
            <w:hideMark/>
          </w:tcPr>
          <w:p w14:paraId="6859E15D"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5B27954F"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62,266 </w:t>
            </w:r>
          </w:p>
        </w:tc>
        <w:tc>
          <w:tcPr>
            <w:tcW w:w="1100" w:type="dxa"/>
            <w:tcBorders>
              <w:top w:val="nil"/>
              <w:left w:val="nil"/>
              <w:bottom w:val="nil"/>
              <w:right w:val="nil"/>
            </w:tcBorders>
            <w:shd w:val="clear" w:color="000000" w:fill="FFFFFF"/>
            <w:noWrap/>
            <w:vAlign w:val="bottom"/>
            <w:hideMark/>
          </w:tcPr>
          <w:p w14:paraId="1897E07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16,228 </w:t>
            </w:r>
          </w:p>
        </w:tc>
        <w:tc>
          <w:tcPr>
            <w:tcW w:w="1100" w:type="dxa"/>
            <w:tcBorders>
              <w:top w:val="nil"/>
              <w:left w:val="nil"/>
              <w:bottom w:val="nil"/>
              <w:right w:val="nil"/>
            </w:tcBorders>
            <w:shd w:val="clear" w:color="000000" w:fill="FFFFFF"/>
            <w:noWrap/>
            <w:vAlign w:val="bottom"/>
            <w:hideMark/>
          </w:tcPr>
          <w:p w14:paraId="158A7312"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78,494 </w:t>
            </w:r>
          </w:p>
        </w:tc>
        <w:tc>
          <w:tcPr>
            <w:tcW w:w="1160" w:type="dxa"/>
            <w:tcBorders>
              <w:top w:val="nil"/>
              <w:left w:val="nil"/>
              <w:bottom w:val="nil"/>
              <w:right w:val="nil"/>
            </w:tcBorders>
            <w:shd w:val="clear" w:color="000000" w:fill="FFFFFF"/>
            <w:noWrap/>
            <w:vAlign w:val="bottom"/>
            <w:hideMark/>
          </w:tcPr>
          <w:p w14:paraId="7B6D4477"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22,207 </w:t>
            </w:r>
          </w:p>
        </w:tc>
      </w:tr>
      <w:tr w:rsidR="00DD23F7" w:rsidRPr="00DD23F7" w14:paraId="6C66C73E" w14:textId="77777777" w:rsidTr="00DD23F7">
        <w:trPr>
          <w:trHeight w:val="315"/>
        </w:trPr>
        <w:tc>
          <w:tcPr>
            <w:tcW w:w="2900" w:type="dxa"/>
            <w:tcBorders>
              <w:top w:val="nil"/>
              <w:left w:val="nil"/>
              <w:bottom w:val="nil"/>
              <w:right w:val="nil"/>
            </w:tcBorders>
            <w:shd w:val="clear" w:color="000000" w:fill="FFFFFF"/>
            <w:noWrap/>
            <w:vAlign w:val="bottom"/>
            <w:hideMark/>
          </w:tcPr>
          <w:p w14:paraId="56DC50DE"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Head of Protection</w:t>
            </w:r>
          </w:p>
        </w:tc>
        <w:tc>
          <w:tcPr>
            <w:tcW w:w="1420" w:type="dxa"/>
            <w:tcBorders>
              <w:top w:val="nil"/>
              <w:left w:val="nil"/>
              <w:bottom w:val="nil"/>
              <w:right w:val="nil"/>
            </w:tcBorders>
            <w:shd w:val="clear" w:color="000000" w:fill="FFFFFF"/>
            <w:noWrap/>
            <w:vAlign w:val="bottom"/>
            <w:hideMark/>
          </w:tcPr>
          <w:p w14:paraId="5D172C03"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bottom"/>
            <w:hideMark/>
          </w:tcPr>
          <w:p w14:paraId="5D006759"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bottom"/>
            <w:hideMark/>
          </w:tcPr>
          <w:p w14:paraId="7389AFA0"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68,486 </w:t>
            </w:r>
          </w:p>
        </w:tc>
        <w:tc>
          <w:tcPr>
            <w:tcW w:w="1100" w:type="dxa"/>
            <w:tcBorders>
              <w:top w:val="nil"/>
              <w:left w:val="nil"/>
              <w:bottom w:val="nil"/>
              <w:right w:val="nil"/>
            </w:tcBorders>
            <w:shd w:val="clear" w:color="000000" w:fill="FFFFFF"/>
            <w:noWrap/>
            <w:vAlign w:val="bottom"/>
            <w:hideMark/>
          </w:tcPr>
          <w:p w14:paraId="0423755B"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000000" w:fill="FFFFFF"/>
            <w:noWrap/>
            <w:vAlign w:val="bottom"/>
            <w:hideMark/>
          </w:tcPr>
          <w:p w14:paraId="5F59CAA5"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68,486 </w:t>
            </w:r>
          </w:p>
        </w:tc>
        <w:tc>
          <w:tcPr>
            <w:tcW w:w="1160" w:type="dxa"/>
            <w:tcBorders>
              <w:top w:val="nil"/>
              <w:left w:val="nil"/>
              <w:bottom w:val="nil"/>
              <w:right w:val="nil"/>
            </w:tcBorders>
            <w:shd w:val="clear" w:color="000000" w:fill="FFFFFF"/>
            <w:noWrap/>
            <w:vAlign w:val="bottom"/>
            <w:hideMark/>
          </w:tcPr>
          <w:p w14:paraId="12C00AB0"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11,983 </w:t>
            </w:r>
          </w:p>
        </w:tc>
      </w:tr>
      <w:tr w:rsidR="00DD23F7" w:rsidRPr="00DD23F7" w14:paraId="51EBEFF9" w14:textId="77777777" w:rsidTr="00DD7132">
        <w:trPr>
          <w:trHeight w:val="710"/>
        </w:trPr>
        <w:tc>
          <w:tcPr>
            <w:tcW w:w="2900" w:type="dxa"/>
            <w:tcBorders>
              <w:top w:val="nil"/>
              <w:left w:val="nil"/>
              <w:bottom w:val="nil"/>
              <w:right w:val="nil"/>
            </w:tcBorders>
            <w:shd w:val="clear" w:color="000000" w:fill="FFFFFF"/>
            <w:vAlign w:val="bottom"/>
            <w:hideMark/>
          </w:tcPr>
          <w:p w14:paraId="3DF69667" w14:textId="77777777" w:rsidR="00DD23F7" w:rsidRPr="00DD23F7" w:rsidRDefault="00DD23F7" w:rsidP="00DD23F7">
            <w:pPr>
              <w:spacing w:line="240" w:lineRule="auto"/>
              <w:jc w:val="left"/>
              <w:rPr>
                <w:rFonts w:ascii="Calibri" w:eastAsia="Times New Roman" w:hAnsi="Calibri" w:cs="Calibri"/>
                <w:color w:val="000000"/>
                <w:lang w:eastAsia="en-GB"/>
              </w:rPr>
            </w:pPr>
            <w:r w:rsidRPr="00DD23F7">
              <w:rPr>
                <w:rFonts w:ascii="Calibri" w:eastAsia="Times New Roman" w:hAnsi="Calibri" w:cs="Calibri"/>
                <w:color w:val="000000"/>
                <w:lang w:eastAsia="en-GB"/>
              </w:rPr>
              <w:t>Prevention, Safeguarding and Partnership Manager</w:t>
            </w:r>
          </w:p>
        </w:tc>
        <w:tc>
          <w:tcPr>
            <w:tcW w:w="1420" w:type="dxa"/>
            <w:tcBorders>
              <w:top w:val="nil"/>
              <w:left w:val="nil"/>
              <w:bottom w:val="nil"/>
              <w:right w:val="nil"/>
            </w:tcBorders>
            <w:shd w:val="clear" w:color="000000" w:fill="FFFFFF"/>
            <w:noWrap/>
            <w:vAlign w:val="center"/>
            <w:hideMark/>
          </w:tcPr>
          <w:p w14:paraId="37F4B114"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01/01/2019</w:t>
            </w:r>
          </w:p>
        </w:tc>
        <w:tc>
          <w:tcPr>
            <w:tcW w:w="1420" w:type="dxa"/>
            <w:tcBorders>
              <w:top w:val="nil"/>
              <w:left w:val="nil"/>
              <w:bottom w:val="nil"/>
              <w:right w:val="nil"/>
            </w:tcBorders>
            <w:shd w:val="clear" w:color="000000" w:fill="FFFFFF"/>
            <w:vAlign w:val="center"/>
            <w:hideMark/>
          </w:tcPr>
          <w:p w14:paraId="413A26EE" w14:textId="77777777"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w:t>
            </w:r>
          </w:p>
        </w:tc>
        <w:tc>
          <w:tcPr>
            <w:tcW w:w="1520" w:type="dxa"/>
            <w:tcBorders>
              <w:top w:val="nil"/>
              <w:left w:val="nil"/>
              <w:bottom w:val="nil"/>
              <w:right w:val="nil"/>
            </w:tcBorders>
            <w:shd w:val="clear" w:color="000000" w:fill="FFFFFF"/>
            <w:noWrap/>
            <w:vAlign w:val="center"/>
            <w:hideMark/>
          </w:tcPr>
          <w:p w14:paraId="6EF44A0E" w14:textId="5FAFBF23"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68,486 </w:t>
            </w:r>
          </w:p>
        </w:tc>
        <w:tc>
          <w:tcPr>
            <w:tcW w:w="1100" w:type="dxa"/>
            <w:tcBorders>
              <w:top w:val="nil"/>
              <w:left w:val="nil"/>
              <w:bottom w:val="nil"/>
              <w:right w:val="nil"/>
            </w:tcBorders>
            <w:shd w:val="clear" w:color="000000" w:fill="FFFFFF"/>
            <w:noWrap/>
            <w:vAlign w:val="center"/>
            <w:hideMark/>
          </w:tcPr>
          <w:p w14:paraId="2CC9F3DF" w14:textId="36A69E62"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   </w:t>
            </w:r>
          </w:p>
        </w:tc>
        <w:tc>
          <w:tcPr>
            <w:tcW w:w="1100" w:type="dxa"/>
            <w:tcBorders>
              <w:top w:val="nil"/>
              <w:left w:val="nil"/>
              <w:bottom w:val="nil"/>
              <w:right w:val="nil"/>
            </w:tcBorders>
            <w:shd w:val="clear" w:color="000000" w:fill="FFFFFF"/>
            <w:noWrap/>
            <w:vAlign w:val="center"/>
            <w:hideMark/>
          </w:tcPr>
          <w:p w14:paraId="5A9D845B" w14:textId="4C018EE9"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68,486 </w:t>
            </w:r>
          </w:p>
        </w:tc>
        <w:tc>
          <w:tcPr>
            <w:tcW w:w="1160" w:type="dxa"/>
            <w:tcBorders>
              <w:top w:val="nil"/>
              <w:left w:val="nil"/>
              <w:bottom w:val="nil"/>
              <w:right w:val="nil"/>
            </w:tcBorders>
            <w:shd w:val="clear" w:color="000000" w:fill="FFFFFF"/>
            <w:noWrap/>
            <w:vAlign w:val="center"/>
            <w:hideMark/>
          </w:tcPr>
          <w:p w14:paraId="67EB88CC" w14:textId="4DF0159F" w:rsidR="00DD23F7" w:rsidRPr="00DD23F7" w:rsidRDefault="00DD23F7" w:rsidP="00DD23F7">
            <w:pPr>
              <w:spacing w:line="240" w:lineRule="auto"/>
              <w:jc w:val="right"/>
              <w:rPr>
                <w:rFonts w:ascii="Calibri" w:eastAsia="Times New Roman" w:hAnsi="Calibri" w:cs="Calibri"/>
                <w:color w:val="000000"/>
                <w:lang w:eastAsia="en-GB"/>
              </w:rPr>
            </w:pPr>
            <w:r w:rsidRPr="00DD23F7">
              <w:rPr>
                <w:rFonts w:ascii="Calibri" w:eastAsia="Times New Roman" w:hAnsi="Calibri" w:cs="Calibri"/>
                <w:color w:val="000000"/>
                <w:lang w:eastAsia="en-GB"/>
              </w:rPr>
              <w:t xml:space="preserve">       11,983</w:t>
            </w:r>
          </w:p>
        </w:tc>
      </w:tr>
    </w:tbl>
    <w:p w14:paraId="078A14B2" w14:textId="651FA535" w:rsidR="001E11EB" w:rsidRPr="00E2303B" w:rsidRDefault="001E11EB" w:rsidP="001E11EB">
      <w:pPr>
        <w:rPr>
          <w:rFonts w:cs="Arial"/>
          <w:sz w:val="10"/>
          <w:szCs w:val="10"/>
        </w:rPr>
      </w:pPr>
    </w:p>
    <w:p w14:paraId="79669AEC" w14:textId="77777777" w:rsidR="00396F8D" w:rsidRDefault="00396F8D" w:rsidP="001E11EB">
      <w:pPr>
        <w:rPr>
          <w:vertAlign w:val="superscript"/>
        </w:rPr>
      </w:pPr>
    </w:p>
    <w:p w14:paraId="246687BB" w14:textId="77777777" w:rsidR="002B3754" w:rsidRDefault="002B3754" w:rsidP="001E11EB">
      <w:pPr>
        <w:rPr>
          <w:vertAlign w:val="superscript"/>
        </w:rPr>
      </w:pPr>
    </w:p>
    <w:p w14:paraId="0C90C321" w14:textId="20809F7E" w:rsidR="001A68AD" w:rsidRPr="007B4962" w:rsidRDefault="00684242" w:rsidP="001E11EB">
      <w:r w:rsidRPr="009E0B21">
        <w:rPr>
          <w:vertAlign w:val="superscript"/>
        </w:rPr>
        <w:t>1</w:t>
      </w:r>
      <w:r w:rsidR="000B7B1C">
        <w:rPr>
          <w:vertAlign w:val="superscript"/>
        </w:rPr>
        <w:t xml:space="preserve"> </w:t>
      </w:r>
      <w:r w:rsidR="001E11EB" w:rsidRPr="007B4962">
        <w:t xml:space="preserve">The Chief Fire Officer left </w:t>
      </w:r>
      <w:r w:rsidR="001E11EB">
        <w:t>their</w:t>
      </w:r>
      <w:r w:rsidR="001E11EB" w:rsidRPr="007B4962">
        <w:t xml:space="preserve"> post on the </w:t>
      </w:r>
      <w:proofErr w:type="gramStart"/>
      <w:r w:rsidR="001E11EB" w:rsidRPr="007B4962">
        <w:t>7</w:t>
      </w:r>
      <w:r w:rsidR="001E11EB" w:rsidRPr="005F3B6D">
        <w:rPr>
          <w:vertAlign w:val="superscript"/>
        </w:rPr>
        <w:t>th</w:t>
      </w:r>
      <w:proofErr w:type="gramEnd"/>
      <w:r w:rsidR="001E11EB" w:rsidRPr="007B4962">
        <w:t xml:space="preserve"> July 2023 by mutual agreement.  The addit</w:t>
      </w:r>
      <w:r w:rsidR="001E11EB">
        <w:t>i</w:t>
      </w:r>
      <w:r w:rsidR="001E11EB" w:rsidRPr="007B4962">
        <w:t>onal payments made reflect NCFRA's contractual obligations which were paid as they fell du</w:t>
      </w:r>
      <w:r w:rsidR="001A68AD">
        <w:t>e.</w:t>
      </w:r>
    </w:p>
    <w:p w14:paraId="4B1E41F6" w14:textId="6EAC0578" w:rsidR="001A68AD" w:rsidRDefault="00684242" w:rsidP="001E11EB">
      <w:r>
        <w:rPr>
          <w:vertAlign w:val="superscript"/>
        </w:rPr>
        <w:t>2</w:t>
      </w:r>
      <w:r w:rsidR="000B7B1C">
        <w:rPr>
          <w:vertAlign w:val="superscript"/>
        </w:rPr>
        <w:t xml:space="preserve"> </w:t>
      </w:r>
      <w:r w:rsidR="001E11EB" w:rsidRPr="007B4962">
        <w:t>Prior to the appointment of Simon Tuhill as Chief Fire Officer, the Monitoring Officer and Head of Paid Staff for the Office of Police, Fire and Crime Commissioner was appointed Interim Chief Officer for NCFRA for which no additional consideration was paid.</w:t>
      </w:r>
    </w:p>
    <w:p w14:paraId="4BD25B08" w14:textId="407B218D" w:rsidR="001E11EB" w:rsidRPr="007B4962" w:rsidRDefault="00684242" w:rsidP="001E11EB">
      <w:r>
        <w:rPr>
          <w:vertAlign w:val="superscript"/>
        </w:rPr>
        <w:t>3</w:t>
      </w:r>
      <w:r w:rsidR="000B7B1C">
        <w:rPr>
          <w:vertAlign w:val="superscript"/>
        </w:rPr>
        <w:t xml:space="preserve"> </w:t>
      </w:r>
      <w:r w:rsidR="001E11EB">
        <w:t xml:space="preserve">During the period </w:t>
      </w:r>
      <w:r w:rsidR="001E11EB" w:rsidRPr="00B2494C">
        <w:t>30</w:t>
      </w:r>
      <w:r w:rsidR="001E11EB">
        <w:t>/10/</w:t>
      </w:r>
      <w:r w:rsidR="00D17C88">
        <w:t>20</w:t>
      </w:r>
      <w:r w:rsidR="001E11EB">
        <w:t>23 and</w:t>
      </w:r>
      <w:r w:rsidR="001E11EB" w:rsidRPr="00B2494C">
        <w:t xml:space="preserve"> 11</w:t>
      </w:r>
      <w:r w:rsidR="001E11EB">
        <w:t>/02/</w:t>
      </w:r>
      <w:r w:rsidR="001E11EB" w:rsidRPr="00B2494C">
        <w:t>202</w:t>
      </w:r>
      <w:r w:rsidR="001E11EB">
        <w:t xml:space="preserve">4, an external secondee performed the role of Area Commander for which NCFRA </w:t>
      </w:r>
      <w:r w:rsidR="001E11EB" w:rsidRPr="00520E10">
        <w:t>paid £36k</w:t>
      </w:r>
      <w:r w:rsidR="001E11EB">
        <w:t>.</w:t>
      </w:r>
    </w:p>
    <w:p w14:paraId="7FA7BD04" w14:textId="77777777" w:rsidR="009B57DA" w:rsidRDefault="009B57DA" w:rsidP="001E11EB"/>
    <w:p w14:paraId="6AA0DA24" w14:textId="77777777" w:rsidR="00927B3F" w:rsidRDefault="00927B3F">
      <w:pPr>
        <w:spacing w:after="160"/>
        <w:jc w:val="left"/>
      </w:pPr>
      <w:r>
        <w:br w:type="page"/>
      </w:r>
    </w:p>
    <w:p w14:paraId="4069D44A" w14:textId="78EE5787" w:rsidR="001E11EB" w:rsidRDefault="001E11EB" w:rsidP="001E11EB">
      <w:r w:rsidRPr="007B4962">
        <w:lastRenderedPageBreak/>
        <w:t xml:space="preserve">A number of the senior officers for the NCFRA are employed and remunerated by either the OPFCC or the Office for the Chief Constable (OCC).  These posts are detailed </w:t>
      </w:r>
      <w:proofErr w:type="gramStart"/>
      <w:r w:rsidRPr="007B4962">
        <w:t>below</w:t>
      </w:r>
      <w:proofErr w:type="gramEnd"/>
      <w:r w:rsidRPr="007B4962">
        <w:t xml:space="preserve"> and details of their remuneration are included within the OPFCC accounts</w:t>
      </w:r>
      <w:r>
        <w:t>:</w:t>
      </w:r>
    </w:p>
    <w:p w14:paraId="3701FCE4" w14:textId="77777777" w:rsidR="001E11EB" w:rsidRPr="009B57DA" w:rsidRDefault="001E11EB" w:rsidP="001E11EB"/>
    <w:p w14:paraId="52CE6854" w14:textId="77777777" w:rsidR="009B57DA" w:rsidRDefault="001E11EB" w:rsidP="001E11EB">
      <w:r>
        <w:t xml:space="preserve">On the </w:t>
      </w:r>
      <w:proofErr w:type="gramStart"/>
      <w:r>
        <w:t>2</w:t>
      </w:r>
      <w:r w:rsidRPr="00DA2A59">
        <w:rPr>
          <w:vertAlign w:val="superscript"/>
        </w:rPr>
        <w:t>nd</w:t>
      </w:r>
      <w:proofErr w:type="gramEnd"/>
      <w:r>
        <w:t xml:space="preserve"> May 2024, Danielle Stone was elected as the new Police, Fire and Crime Commissioner for Northamptonshire.</w:t>
      </w:r>
    </w:p>
    <w:p w14:paraId="082212E2" w14:textId="77777777" w:rsidR="00C30DC3" w:rsidRDefault="00C30DC3" w:rsidP="001E11EB"/>
    <w:tbl>
      <w:tblPr>
        <w:tblW w:w="5000" w:type="pct"/>
        <w:tblLook w:val="04A0" w:firstRow="1" w:lastRow="0" w:firstColumn="1" w:lastColumn="0" w:noHBand="0" w:noVBand="1"/>
      </w:tblPr>
      <w:tblGrid>
        <w:gridCol w:w="6163"/>
        <w:gridCol w:w="2106"/>
        <w:gridCol w:w="2106"/>
      </w:tblGrid>
      <w:tr w:rsidR="00C30DC3" w:rsidRPr="00C30DC3" w14:paraId="1EB12E00" w14:textId="77777777" w:rsidTr="005370B3">
        <w:trPr>
          <w:trHeight w:val="600"/>
        </w:trPr>
        <w:tc>
          <w:tcPr>
            <w:tcW w:w="2970" w:type="pct"/>
            <w:tcBorders>
              <w:top w:val="nil"/>
              <w:left w:val="nil"/>
              <w:bottom w:val="nil"/>
              <w:right w:val="nil"/>
            </w:tcBorders>
            <w:shd w:val="clear" w:color="000000" w:fill="AB2328"/>
            <w:vAlign w:val="center"/>
            <w:hideMark/>
          </w:tcPr>
          <w:p w14:paraId="2999908F"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Post Holder Information</w:t>
            </w:r>
          </w:p>
        </w:tc>
        <w:tc>
          <w:tcPr>
            <w:tcW w:w="1015" w:type="pct"/>
            <w:tcBorders>
              <w:top w:val="nil"/>
              <w:left w:val="nil"/>
              <w:bottom w:val="nil"/>
              <w:right w:val="nil"/>
            </w:tcBorders>
            <w:shd w:val="clear" w:color="000000" w:fill="AB2328"/>
            <w:vAlign w:val="center"/>
            <w:hideMark/>
          </w:tcPr>
          <w:p w14:paraId="034B8390" w14:textId="77777777" w:rsidR="00C30DC3" w:rsidRPr="00C30DC3" w:rsidRDefault="00C30DC3" w:rsidP="00C30DC3">
            <w:pPr>
              <w:spacing w:line="240" w:lineRule="auto"/>
              <w:jc w:val="center"/>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Start Date (with NCFRA)</w:t>
            </w:r>
          </w:p>
        </w:tc>
        <w:tc>
          <w:tcPr>
            <w:tcW w:w="1015" w:type="pct"/>
            <w:tcBorders>
              <w:top w:val="nil"/>
              <w:left w:val="nil"/>
              <w:bottom w:val="nil"/>
              <w:right w:val="nil"/>
            </w:tcBorders>
            <w:shd w:val="clear" w:color="000000" w:fill="AB2328"/>
            <w:vAlign w:val="center"/>
            <w:hideMark/>
          </w:tcPr>
          <w:p w14:paraId="0302D4FA" w14:textId="77777777" w:rsidR="00C30DC3" w:rsidRPr="00C30DC3" w:rsidRDefault="00C30DC3" w:rsidP="00C30DC3">
            <w:pPr>
              <w:spacing w:line="240" w:lineRule="auto"/>
              <w:jc w:val="center"/>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xml:space="preserve">End Date </w:t>
            </w:r>
          </w:p>
        </w:tc>
      </w:tr>
      <w:tr w:rsidR="00C30DC3" w:rsidRPr="00C30DC3" w14:paraId="653A86A6" w14:textId="77777777" w:rsidTr="005370B3">
        <w:trPr>
          <w:trHeight w:val="390"/>
        </w:trPr>
        <w:tc>
          <w:tcPr>
            <w:tcW w:w="2970" w:type="pct"/>
            <w:tcBorders>
              <w:top w:val="nil"/>
              <w:left w:val="nil"/>
              <w:bottom w:val="nil"/>
              <w:right w:val="nil"/>
            </w:tcBorders>
            <w:shd w:val="clear" w:color="000000" w:fill="FFFFFF"/>
            <w:noWrap/>
            <w:vAlign w:val="bottom"/>
            <w:hideMark/>
          </w:tcPr>
          <w:p w14:paraId="0E3E82CD"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Police, Fire and Crime Commissioner (1)</w:t>
            </w:r>
          </w:p>
        </w:tc>
        <w:tc>
          <w:tcPr>
            <w:tcW w:w="1015" w:type="pct"/>
            <w:tcBorders>
              <w:top w:val="nil"/>
              <w:left w:val="nil"/>
              <w:bottom w:val="nil"/>
              <w:right w:val="nil"/>
            </w:tcBorders>
            <w:shd w:val="clear" w:color="000000" w:fill="FFFFFF"/>
            <w:noWrap/>
            <w:vAlign w:val="bottom"/>
            <w:hideMark/>
          </w:tcPr>
          <w:p w14:paraId="0F2CA547"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01/01/2019</w:t>
            </w:r>
          </w:p>
        </w:tc>
        <w:tc>
          <w:tcPr>
            <w:tcW w:w="1015" w:type="pct"/>
            <w:tcBorders>
              <w:top w:val="nil"/>
              <w:left w:val="nil"/>
              <w:bottom w:val="nil"/>
              <w:right w:val="nil"/>
            </w:tcBorders>
            <w:shd w:val="clear" w:color="000000" w:fill="FFFFFF"/>
            <w:vAlign w:val="bottom"/>
            <w:hideMark/>
          </w:tcPr>
          <w:p w14:paraId="3ECD4E1D" w14:textId="4D67A6FD"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0</w:t>
            </w:r>
            <w:r w:rsidR="009641E0">
              <w:rPr>
                <w:rFonts w:ascii="Calibri" w:eastAsia="Times New Roman" w:hAnsi="Calibri" w:cs="Calibri"/>
                <w:color w:val="000000"/>
                <w:lang w:eastAsia="en-GB"/>
              </w:rPr>
              <w:t>8</w:t>
            </w:r>
            <w:r w:rsidRPr="00C30DC3">
              <w:rPr>
                <w:rFonts w:ascii="Calibri" w:eastAsia="Times New Roman" w:hAnsi="Calibri" w:cs="Calibri"/>
                <w:color w:val="000000"/>
                <w:lang w:eastAsia="en-GB"/>
              </w:rPr>
              <w:t>/05/2024</w:t>
            </w:r>
          </w:p>
        </w:tc>
      </w:tr>
      <w:tr w:rsidR="00C30DC3" w:rsidRPr="00C30DC3" w14:paraId="7588EB95" w14:textId="77777777" w:rsidTr="005370B3">
        <w:trPr>
          <w:trHeight w:val="390"/>
        </w:trPr>
        <w:tc>
          <w:tcPr>
            <w:tcW w:w="2970" w:type="pct"/>
            <w:tcBorders>
              <w:top w:val="nil"/>
              <w:left w:val="nil"/>
              <w:bottom w:val="nil"/>
              <w:right w:val="nil"/>
            </w:tcBorders>
            <w:shd w:val="clear" w:color="000000" w:fill="FFFFFF"/>
            <w:noWrap/>
            <w:vAlign w:val="bottom"/>
            <w:hideMark/>
          </w:tcPr>
          <w:p w14:paraId="114C7F8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Police, Fire and Crime Commissioner (2)</w:t>
            </w:r>
          </w:p>
        </w:tc>
        <w:tc>
          <w:tcPr>
            <w:tcW w:w="1015" w:type="pct"/>
            <w:tcBorders>
              <w:top w:val="nil"/>
              <w:left w:val="nil"/>
              <w:bottom w:val="nil"/>
              <w:right w:val="nil"/>
            </w:tcBorders>
            <w:shd w:val="clear" w:color="000000" w:fill="FFFFFF"/>
            <w:noWrap/>
            <w:vAlign w:val="bottom"/>
            <w:hideMark/>
          </w:tcPr>
          <w:p w14:paraId="3EC4FCC4" w14:textId="2C089E16"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0</w:t>
            </w:r>
            <w:r w:rsidR="009641E0">
              <w:rPr>
                <w:rFonts w:ascii="Calibri" w:eastAsia="Times New Roman" w:hAnsi="Calibri" w:cs="Calibri"/>
                <w:color w:val="000000"/>
                <w:lang w:eastAsia="en-GB"/>
              </w:rPr>
              <w:t>9</w:t>
            </w:r>
            <w:r w:rsidRPr="00C30DC3">
              <w:rPr>
                <w:rFonts w:ascii="Calibri" w:eastAsia="Times New Roman" w:hAnsi="Calibri" w:cs="Calibri"/>
                <w:color w:val="000000"/>
                <w:lang w:eastAsia="en-GB"/>
              </w:rPr>
              <w:t>/05/2024</w:t>
            </w:r>
          </w:p>
        </w:tc>
        <w:tc>
          <w:tcPr>
            <w:tcW w:w="1015" w:type="pct"/>
            <w:tcBorders>
              <w:top w:val="nil"/>
              <w:left w:val="nil"/>
              <w:bottom w:val="nil"/>
              <w:right w:val="nil"/>
            </w:tcBorders>
            <w:shd w:val="clear" w:color="000000" w:fill="FFFFFF"/>
            <w:noWrap/>
            <w:vAlign w:val="bottom"/>
            <w:hideMark/>
          </w:tcPr>
          <w:p w14:paraId="2621B0D0"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42394D57" w14:textId="77777777" w:rsidTr="005370B3">
        <w:trPr>
          <w:trHeight w:val="390"/>
        </w:trPr>
        <w:tc>
          <w:tcPr>
            <w:tcW w:w="2970" w:type="pct"/>
            <w:tcBorders>
              <w:top w:val="nil"/>
              <w:left w:val="nil"/>
              <w:bottom w:val="nil"/>
              <w:right w:val="nil"/>
            </w:tcBorders>
            <w:shd w:val="clear" w:color="000000" w:fill="FFFFFF"/>
            <w:noWrap/>
            <w:vAlign w:val="bottom"/>
            <w:hideMark/>
          </w:tcPr>
          <w:p w14:paraId="20C2B30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Chief Executive Officer (Monitoring Officer)</w:t>
            </w:r>
          </w:p>
        </w:tc>
        <w:tc>
          <w:tcPr>
            <w:tcW w:w="1015" w:type="pct"/>
            <w:tcBorders>
              <w:top w:val="nil"/>
              <w:left w:val="nil"/>
              <w:bottom w:val="nil"/>
              <w:right w:val="nil"/>
            </w:tcBorders>
            <w:shd w:val="clear" w:color="000000" w:fill="FFFFFF"/>
            <w:noWrap/>
            <w:vAlign w:val="bottom"/>
            <w:hideMark/>
          </w:tcPr>
          <w:p w14:paraId="685B1624"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02/01/2024</w:t>
            </w:r>
          </w:p>
        </w:tc>
        <w:tc>
          <w:tcPr>
            <w:tcW w:w="1015" w:type="pct"/>
            <w:tcBorders>
              <w:top w:val="nil"/>
              <w:left w:val="nil"/>
              <w:bottom w:val="nil"/>
              <w:right w:val="nil"/>
            </w:tcBorders>
            <w:shd w:val="clear" w:color="000000" w:fill="FFFFFF"/>
            <w:noWrap/>
            <w:vAlign w:val="bottom"/>
            <w:hideMark/>
          </w:tcPr>
          <w:p w14:paraId="096D53EC"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35962AD7" w14:textId="77777777" w:rsidTr="005370B3">
        <w:trPr>
          <w:trHeight w:val="390"/>
        </w:trPr>
        <w:tc>
          <w:tcPr>
            <w:tcW w:w="2970" w:type="pct"/>
            <w:tcBorders>
              <w:top w:val="nil"/>
              <w:left w:val="nil"/>
              <w:bottom w:val="nil"/>
              <w:right w:val="nil"/>
            </w:tcBorders>
            <w:shd w:val="clear" w:color="000000" w:fill="FFFFFF"/>
            <w:noWrap/>
            <w:vAlign w:val="bottom"/>
            <w:hideMark/>
          </w:tcPr>
          <w:p w14:paraId="2B58DCD2"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xml:space="preserve">Chief Finance Officer </w:t>
            </w:r>
            <w:r w:rsidRPr="00C30DC3">
              <w:rPr>
                <w:rFonts w:ascii="Calibri" w:eastAsia="Times New Roman" w:hAnsi="Calibri" w:cs="Calibri"/>
                <w:color w:val="000000"/>
                <w:vertAlign w:val="superscript"/>
                <w:lang w:eastAsia="en-GB"/>
              </w:rPr>
              <w:t>1</w:t>
            </w:r>
          </w:p>
        </w:tc>
        <w:tc>
          <w:tcPr>
            <w:tcW w:w="1015" w:type="pct"/>
            <w:tcBorders>
              <w:top w:val="nil"/>
              <w:left w:val="nil"/>
              <w:bottom w:val="nil"/>
              <w:right w:val="nil"/>
            </w:tcBorders>
            <w:shd w:val="clear" w:color="000000" w:fill="FFFFFF"/>
            <w:noWrap/>
            <w:vAlign w:val="bottom"/>
            <w:hideMark/>
          </w:tcPr>
          <w:p w14:paraId="0B1C3271"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28/10/2024</w:t>
            </w:r>
          </w:p>
        </w:tc>
        <w:tc>
          <w:tcPr>
            <w:tcW w:w="1015" w:type="pct"/>
            <w:tcBorders>
              <w:top w:val="nil"/>
              <w:left w:val="nil"/>
              <w:bottom w:val="nil"/>
              <w:right w:val="nil"/>
            </w:tcBorders>
            <w:shd w:val="clear" w:color="000000" w:fill="FFFFFF"/>
            <w:noWrap/>
            <w:vAlign w:val="bottom"/>
            <w:hideMark/>
          </w:tcPr>
          <w:p w14:paraId="53C7DDD6"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468FD186" w14:textId="77777777" w:rsidTr="005370B3">
        <w:trPr>
          <w:trHeight w:val="390"/>
        </w:trPr>
        <w:tc>
          <w:tcPr>
            <w:tcW w:w="2970" w:type="pct"/>
            <w:tcBorders>
              <w:top w:val="nil"/>
              <w:left w:val="nil"/>
              <w:bottom w:val="nil"/>
              <w:right w:val="nil"/>
            </w:tcBorders>
            <w:shd w:val="clear" w:color="000000" w:fill="FFFFFF"/>
            <w:noWrap/>
            <w:vAlign w:val="bottom"/>
            <w:hideMark/>
          </w:tcPr>
          <w:p w14:paraId="5CF65A9D"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Assistant Chief Officer (Enabling Services)</w:t>
            </w:r>
          </w:p>
        </w:tc>
        <w:tc>
          <w:tcPr>
            <w:tcW w:w="1015" w:type="pct"/>
            <w:tcBorders>
              <w:top w:val="nil"/>
              <w:left w:val="nil"/>
              <w:bottom w:val="nil"/>
              <w:right w:val="nil"/>
            </w:tcBorders>
            <w:shd w:val="clear" w:color="000000" w:fill="FFFFFF"/>
            <w:noWrap/>
            <w:vAlign w:val="bottom"/>
            <w:hideMark/>
          </w:tcPr>
          <w:p w14:paraId="71FF1113"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01/04/2020</w:t>
            </w:r>
          </w:p>
        </w:tc>
        <w:tc>
          <w:tcPr>
            <w:tcW w:w="1015" w:type="pct"/>
            <w:tcBorders>
              <w:top w:val="nil"/>
              <w:left w:val="nil"/>
              <w:bottom w:val="nil"/>
              <w:right w:val="nil"/>
            </w:tcBorders>
            <w:shd w:val="clear" w:color="000000" w:fill="FFFFFF"/>
            <w:noWrap/>
            <w:vAlign w:val="bottom"/>
            <w:hideMark/>
          </w:tcPr>
          <w:p w14:paraId="613EF026" w14:textId="77777777" w:rsidR="00C30DC3" w:rsidRPr="00C30DC3" w:rsidRDefault="00C30DC3" w:rsidP="00C30DC3">
            <w:pPr>
              <w:spacing w:line="240" w:lineRule="auto"/>
              <w:jc w:val="center"/>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bl>
    <w:p w14:paraId="446ADB96" w14:textId="52716C70" w:rsidR="009B57DA" w:rsidRPr="009B57DA" w:rsidRDefault="009B57DA" w:rsidP="001E11EB"/>
    <w:p w14:paraId="7B1667FA" w14:textId="77777777" w:rsidR="005370B3" w:rsidRPr="009B57DA" w:rsidRDefault="005370B3" w:rsidP="001E11EB"/>
    <w:p w14:paraId="1836106B" w14:textId="4A3164BC" w:rsidR="00400141" w:rsidRDefault="00400141" w:rsidP="001E11EB">
      <w:pPr>
        <w:rPr>
          <w:rFonts w:cs="Arial"/>
        </w:rPr>
      </w:pPr>
      <w:r w:rsidRPr="00400141">
        <w:rPr>
          <w:vertAlign w:val="superscript"/>
        </w:rPr>
        <w:t>1</w:t>
      </w:r>
      <w:r w:rsidRPr="00400141">
        <w:rPr>
          <w:rFonts w:cs="Arial"/>
        </w:rPr>
        <w:t xml:space="preserve"> </w:t>
      </w:r>
      <w:r w:rsidR="008B3EC9">
        <w:rPr>
          <w:rFonts w:cs="Arial"/>
        </w:rPr>
        <w:t xml:space="preserve">The Chief Finance Officer post </w:t>
      </w:r>
      <w:r w:rsidR="005A3E69">
        <w:rPr>
          <w:rFonts w:cs="Arial"/>
        </w:rPr>
        <w:t>had been</w:t>
      </w:r>
      <w:r w:rsidRPr="00400141">
        <w:rPr>
          <w:rFonts w:cs="Arial"/>
        </w:rPr>
        <w:t xml:space="preserve"> held on an interim basis from 22nd of December 2023.</w:t>
      </w:r>
    </w:p>
    <w:p w14:paraId="345B384E" w14:textId="77777777" w:rsidR="009B57DA" w:rsidRDefault="009B57DA" w:rsidP="001E11EB"/>
    <w:p w14:paraId="50F225FD" w14:textId="623F6E70" w:rsidR="001E11EB" w:rsidRPr="007F07C2" w:rsidRDefault="00D313CE" w:rsidP="001E11EB">
      <w:r>
        <w:t>T</w:t>
      </w:r>
      <w:r w:rsidR="001E11EB" w:rsidRPr="00B632DA">
        <w:t>he Authority ma</w:t>
      </w:r>
      <w:r>
        <w:t>kes</w:t>
      </w:r>
      <w:r w:rsidR="001E11EB" w:rsidRPr="00B632DA">
        <w:t xml:space="preserve"> a</w:t>
      </w:r>
      <w:r>
        <w:t>n annual</w:t>
      </w:r>
      <w:r w:rsidR="001E11EB" w:rsidRPr="00B632DA">
        <w:t xml:space="preserve"> contribution to OPFCC </w:t>
      </w:r>
      <w:r>
        <w:t xml:space="preserve">for a share of these posts </w:t>
      </w:r>
      <w:r w:rsidR="001E11EB" w:rsidRPr="00B632DA">
        <w:t xml:space="preserve">and this is referenced further within the </w:t>
      </w:r>
      <w:r w:rsidR="002810EB">
        <w:t>R</w:t>
      </w:r>
      <w:r w:rsidR="001E11EB" w:rsidRPr="00B632DA">
        <w:t xml:space="preserve">elated </w:t>
      </w:r>
      <w:r w:rsidR="002810EB">
        <w:t>P</w:t>
      </w:r>
      <w:r w:rsidR="001E11EB" w:rsidRPr="00B632DA">
        <w:t>arties note.</w:t>
      </w:r>
      <w:r w:rsidR="001E11EB" w:rsidRPr="007F07C2">
        <w:t xml:space="preserve"> </w:t>
      </w:r>
    </w:p>
    <w:p w14:paraId="684978EC" w14:textId="77777777" w:rsidR="005E5FEE" w:rsidRDefault="005E5FEE" w:rsidP="00F85C80"/>
    <w:p w14:paraId="2914190D" w14:textId="77777777" w:rsidR="00E4441B" w:rsidRDefault="00E4441B" w:rsidP="00F85C80"/>
    <w:p w14:paraId="33084F4A" w14:textId="4CF7095C" w:rsidR="002C0A59" w:rsidRPr="006A4726" w:rsidRDefault="00D81472" w:rsidP="002A1ADD">
      <w:pPr>
        <w:pStyle w:val="VAHeadingLevel2"/>
      </w:pPr>
      <w:r w:rsidRPr="006A4726">
        <w:t>Note 5</w:t>
      </w:r>
      <w:r w:rsidR="00445ECD">
        <w:t>.</w:t>
      </w:r>
      <w:r w:rsidRPr="006A4726">
        <w:t xml:space="preserve"> Expenditure and Income Analysed by Nature</w:t>
      </w:r>
    </w:p>
    <w:p w14:paraId="7AC905BD" w14:textId="1DB561B0" w:rsidR="00AC2749" w:rsidRDefault="00AC2749" w:rsidP="002A1ADD">
      <w:pPr>
        <w:pStyle w:val="VAHeadingLevel2"/>
        <w:rPr>
          <w:rFonts w:eastAsiaTheme="minorHAnsi"/>
        </w:rPr>
      </w:pPr>
    </w:p>
    <w:tbl>
      <w:tblPr>
        <w:tblW w:w="5000" w:type="pct"/>
        <w:tblLook w:val="04A0" w:firstRow="1" w:lastRow="0" w:firstColumn="1" w:lastColumn="0" w:noHBand="0" w:noVBand="1"/>
      </w:tblPr>
      <w:tblGrid>
        <w:gridCol w:w="1644"/>
        <w:gridCol w:w="7036"/>
        <w:gridCol w:w="1695"/>
      </w:tblGrid>
      <w:tr w:rsidR="00576E5D" w:rsidRPr="00576E5D" w14:paraId="699636F5" w14:textId="77777777" w:rsidTr="00022345">
        <w:trPr>
          <w:trHeight w:val="300"/>
        </w:trPr>
        <w:tc>
          <w:tcPr>
            <w:tcW w:w="792" w:type="pct"/>
            <w:tcBorders>
              <w:top w:val="nil"/>
              <w:left w:val="nil"/>
              <w:bottom w:val="nil"/>
              <w:right w:val="nil"/>
            </w:tcBorders>
            <w:shd w:val="clear" w:color="000000" w:fill="AB2328"/>
            <w:hideMark/>
          </w:tcPr>
          <w:p w14:paraId="3C3AFC23" w14:textId="77777777" w:rsidR="00576E5D" w:rsidRPr="0040259E" w:rsidRDefault="00576E5D" w:rsidP="00576E5D">
            <w:pPr>
              <w:spacing w:line="240" w:lineRule="auto"/>
              <w:jc w:val="right"/>
              <w:rPr>
                <w:rFonts w:ascii="Calibri" w:eastAsia="Times New Roman" w:hAnsi="Calibri" w:cs="Calibri"/>
                <w:b/>
                <w:color w:val="FFFFFF"/>
                <w:lang w:eastAsia="en-GB"/>
              </w:rPr>
            </w:pPr>
            <w:r w:rsidRPr="0040259E">
              <w:rPr>
                <w:rFonts w:ascii="Calibri" w:eastAsia="Times New Roman" w:hAnsi="Calibri" w:cs="Calibri"/>
                <w:b/>
                <w:color w:val="FFFFFF"/>
                <w:lang w:eastAsia="en-GB"/>
              </w:rPr>
              <w:t>2023/24</w:t>
            </w:r>
          </w:p>
        </w:tc>
        <w:tc>
          <w:tcPr>
            <w:tcW w:w="3391" w:type="pct"/>
            <w:tcBorders>
              <w:top w:val="nil"/>
              <w:left w:val="nil"/>
              <w:bottom w:val="nil"/>
              <w:right w:val="nil"/>
            </w:tcBorders>
            <w:shd w:val="clear" w:color="000000" w:fill="AB2328"/>
            <w:vAlign w:val="center"/>
            <w:hideMark/>
          </w:tcPr>
          <w:p w14:paraId="3DE7A168" w14:textId="77777777" w:rsidR="00576E5D" w:rsidRPr="0040259E" w:rsidRDefault="00576E5D" w:rsidP="00576E5D">
            <w:pPr>
              <w:spacing w:line="240" w:lineRule="auto"/>
              <w:jc w:val="center"/>
              <w:rPr>
                <w:rFonts w:ascii="Calibri" w:eastAsia="Times New Roman" w:hAnsi="Calibri" w:cs="Calibri"/>
                <w:b/>
                <w:color w:val="FFFFFF"/>
                <w:lang w:eastAsia="en-GB"/>
              </w:rPr>
            </w:pPr>
            <w:r w:rsidRPr="0040259E">
              <w:rPr>
                <w:rFonts w:ascii="Calibri" w:eastAsia="Times New Roman" w:hAnsi="Calibri" w:cs="Calibri"/>
                <w:b/>
                <w:color w:val="FFFFFF"/>
                <w:lang w:eastAsia="en-GB"/>
              </w:rPr>
              <w:t>Nature of Expenditure or Income</w:t>
            </w:r>
          </w:p>
        </w:tc>
        <w:tc>
          <w:tcPr>
            <w:tcW w:w="817" w:type="pct"/>
            <w:tcBorders>
              <w:top w:val="nil"/>
              <w:left w:val="nil"/>
              <w:bottom w:val="nil"/>
              <w:right w:val="nil"/>
            </w:tcBorders>
            <w:shd w:val="clear" w:color="000000" w:fill="AB2328"/>
            <w:hideMark/>
          </w:tcPr>
          <w:p w14:paraId="7A27F2B0" w14:textId="77777777" w:rsidR="00576E5D" w:rsidRPr="0040259E" w:rsidRDefault="00576E5D" w:rsidP="00576E5D">
            <w:pPr>
              <w:spacing w:line="240" w:lineRule="auto"/>
              <w:jc w:val="right"/>
              <w:rPr>
                <w:rFonts w:ascii="Calibri" w:eastAsia="Times New Roman" w:hAnsi="Calibri" w:cs="Calibri"/>
                <w:b/>
                <w:color w:val="FFFFFF"/>
                <w:lang w:eastAsia="en-GB"/>
              </w:rPr>
            </w:pPr>
            <w:r w:rsidRPr="0040259E">
              <w:rPr>
                <w:rFonts w:ascii="Calibri" w:eastAsia="Times New Roman" w:hAnsi="Calibri" w:cs="Calibri"/>
                <w:b/>
                <w:color w:val="FFFFFF"/>
                <w:lang w:eastAsia="en-GB"/>
              </w:rPr>
              <w:t>2024/25</w:t>
            </w:r>
          </w:p>
        </w:tc>
      </w:tr>
      <w:tr w:rsidR="00576E5D" w:rsidRPr="00576E5D" w14:paraId="64D043E7" w14:textId="77777777" w:rsidTr="00022345">
        <w:trPr>
          <w:trHeight w:val="300"/>
        </w:trPr>
        <w:tc>
          <w:tcPr>
            <w:tcW w:w="792" w:type="pct"/>
            <w:tcBorders>
              <w:top w:val="nil"/>
              <w:left w:val="nil"/>
              <w:bottom w:val="nil"/>
              <w:right w:val="nil"/>
            </w:tcBorders>
            <w:shd w:val="clear" w:color="000000" w:fill="AB2328"/>
            <w:hideMark/>
          </w:tcPr>
          <w:p w14:paraId="42C739EF" w14:textId="77777777" w:rsidR="00576E5D" w:rsidRPr="0040259E" w:rsidRDefault="00576E5D" w:rsidP="00576E5D">
            <w:pPr>
              <w:spacing w:line="240" w:lineRule="auto"/>
              <w:jc w:val="right"/>
              <w:rPr>
                <w:rFonts w:ascii="Calibri" w:eastAsia="Times New Roman" w:hAnsi="Calibri" w:cs="Calibri"/>
                <w:b/>
                <w:color w:val="FFFFFF"/>
                <w:lang w:eastAsia="en-GB"/>
              </w:rPr>
            </w:pPr>
            <w:r w:rsidRPr="0040259E">
              <w:rPr>
                <w:rFonts w:ascii="Calibri" w:eastAsia="Times New Roman" w:hAnsi="Calibri" w:cs="Calibri"/>
                <w:b/>
                <w:color w:val="FFFFFF"/>
                <w:lang w:eastAsia="en-GB"/>
              </w:rPr>
              <w:t>£000</w:t>
            </w:r>
          </w:p>
        </w:tc>
        <w:tc>
          <w:tcPr>
            <w:tcW w:w="3391" w:type="pct"/>
            <w:tcBorders>
              <w:top w:val="nil"/>
              <w:left w:val="nil"/>
              <w:bottom w:val="nil"/>
              <w:right w:val="nil"/>
            </w:tcBorders>
            <w:shd w:val="clear" w:color="000000" w:fill="AB2328"/>
            <w:hideMark/>
          </w:tcPr>
          <w:p w14:paraId="700652FF" w14:textId="77777777" w:rsidR="00576E5D" w:rsidRPr="0040259E" w:rsidRDefault="00576E5D" w:rsidP="00576E5D">
            <w:pPr>
              <w:spacing w:line="240" w:lineRule="auto"/>
              <w:jc w:val="right"/>
              <w:rPr>
                <w:rFonts w:ascii="Calibri" w:eastAsia="Times New Roman" w:hAnsi="Calibri" w:cs="Calibri"/>
                <w:b/>
                <w:color w:val="FFFFFF"/>
                <w:lang w:eastAsia="en-GB"/>
              </w:rPr>
            </w:pPr>
            <w:r w:rsidRPr="0040259E">
              <w:rPr>
                <w:rFonts w:ascii="Calibri" w:eastAsia="Times New Roman" w:hAnsi="Calibri" w:cs="Calibri"/>
                <w:b/>
                <w:color w:val="FFFFFF"/>
                <w:lang w:eastAsia="en-GB"/>
              </w:rPr>
              <w:t> </w:t>
            </w:r>
          </w:p>
        </w:tc>
        <w:tc>
          <w:tcPr>
            <w:tcW w:w="817" w:type="pct"/>
            <w:tcBorders>
              <w:top w:val="nil"/>
              <w:left w:val="nil"/>
              <w:bottom w:val="nil"/>
              <w:right w:val="nil"/>
            </w:tcBorders>
            <w:shd w:val="clear" w:color="000000" w:fill="AB2328"/>
            <w:hideMark/>
          </w:tcPr>
          <w:p w14:paraId="3DAB0449" w14:textId="77777777" w:rsidR="00576E5D" w:rsidRPr="0040259E" w:rsidRDefault="00576E5D" w:rsidP="00576E5D">
            <w:pPr>
              <w:spacing w:line="240" w:lineRule="auto"/>
              <w:jc w:val="right"/>
              <w:rPr>
                <w:rFonts w:ascii="Calibri" w:eastAsia="Times New Roman" w:hAnsi="Calibri" w:cs="Calibri"/>
                <w:b/>
                <w:color w:val="FFFFFF"/>
                <w:lang w:eastAsia="en-GB"/>
              </w:rPr>
            </w:pPr>
            <w:r w:rsidRPr="0040259E">
              <w:rPr>
                <w:rFonts w:ascii="Calibri" w:eastAsia="Times New Roman" w:hAnsi="Calibri" w:cs="Calibri"/>
                <w:b/>
                <w:color w:val="FFFFFF"/>
                <w:lang w:eastAsia="en-GB"/>
              </w:rPr>
              <w:t>£000</w:t>
            </w:r>
          </w:p>
        </w:tc>
      </w:tr>
      <w:tr w:rsidR="00576E5D" w:rsidRPr="00576E5D" w14:paraId="3B6C7D43" w14:textId="77777777" w:rsidTr="00022345">
        <w:trPr>
          <w:trHeight w:val="300"/>
        </w:trPr>
        <w:tc>
          <w:tcPr>
            <w:tcW w:w="792" w:type="pct"/>
            <w:tcBorders>
              <w:top w:val="nil"/>
              <w:left w:val="nil"/>
              <w:bottom w:val="nil"/>
              <w:right w:val="nil"/>
            </w:tcBorders>
            <w:shd w:val="clear" w:color="000000" w:fill="FFFFFF"/>
            <w:noWrap/>
            <w:vAlign w:val="bottom"/>
            <w:hideMark/>
          </w:tcPr>
          <w:p w14:paraId="24C9D787"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 </w:t>
            </w:r>
          </w:p>
        </w:tc>
        <w:tc>
          <w:tcPr>
            <w:tcW w:w="3391" w:type="pct"/>
            <w:tcBorders>
              <w:top w:val="nil"/>
              <w:left w:val="nil"/>
              <w:bottom w:val="nil"/>
              <w:right w:val="nil"/>
            </w:tcBorders>
            <w:shd w:val="clear" w:color="000000" w:fill="FFFFFF"/>
            <w:noWrap/>
            <w:vAlign w:val="bottom"/>
            <w:hideMark/>
          </w:tcPr>
          <w:p w14:paraId="6E5E0B04" w14:textId="77777777" w:rsidR="00576E5D" w:rsidRPr="00576E5D" w:rsidRDefault="00576E5D" w:rsidP="00576E5D">
            <w:pPr>
              <w:spacing w:line="240" w:lineRule="auto"/>
              <w:jc w:val="left"/>
              <w:rPr>
                <w:rFonts w:ascii="Calibri" w:eastAsia="Times New Roman" w:hAnsi="Calibri" w:cs="Calibri"/>
                <w:b/>
                <w:bCs/>
                <w:lang w:eastAsia="en-GB"/>
              </w:rPr>
            </w:pPr>
            <w:r w:rsidRPr="00576E5D">
              <w:rPr>
                <w:rFonts w:ascii="Calibri" w:eastAsia="Times New Roman" w:hAnsi="Calibri" w:cs="Calibri"/>
                <w:b/>
                <w:bCs/>
                <w:lang w:eastAsia="en-GB"/>
              </w:rPr>
              <w:t>Expenditure</w:t>
            </w:r>
          </w:p>
        </w:tc>
        <w:tc>
          <w:tcPr>
            <w:tcW w:w="817" w:type="pct"/>
            <w:tcBorders>
              <w:top w:val="nil"/>
              <w:left w:val="nil"/>
              <w:bottom w:val="nil"/>
              <w:right w:val="nil"/>
            </w:tcBorders>
            <w:shd w:val="clear" w:color="000000" w:fill="FFE1E1"/>
            <w:vAlign w:val="bottom"/>
            <w:hideMark/>
          </w:tcPr>
          <w:p w14:paraId="28D98267"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 </w:t>
            </w:r>
          </w:p>
        </w:tc>
      </w:tr>
      <w:tr w:rsidR="00576E5D" w:rsidRPr="00576E5D" w14:paraId="73B7B80F" w14:textId="77777777" w:rsidTr="00022345">
        <w:trPr>
          <w:trHeight w:val="300"/>
        </w:trPr>
        <w:tc>
          <w:tcPr>
            <w:tcW w:w="792" w:type="pct"/>
            <w:tcBorders>
              <w:top w:val="nil"/>
              <w:left w:val="nil"/>
              <w:bottom w:val="nil"/>
              <w:right w:val="nil"/>
            </w:tcBorders>
            <w:shd w:val="clear" w:color="000000" w:fill="FFFFFF"/>
            <w:vAlign w:val="bottom"/>
            <w:hideMark/>
          </w:tcPr>
          <w:p w14:paraId="4C0E56FE"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20,181</w:t>
            </w:r>
          </w:p>
        </w:tc>
        <w:tc>
          <w:tcPr>
            <w:tcW w:w="3391" w:type="pct"/>
            <w:tcBorders>
              <w:top w:val="nil"/>
              <w:left w:val="nil"/>
              <w:bottom w:val="nil"/>
              <w:right w:val="nil"/>
            </w:tcBorders>
            <w:shd w:val="clear" w:color="000000" w:fill="FFFFFF"/>
            <w:noWrap/>
            <w:vAlign w:val="bottom"/>
            <w:hideMark/>
          </w:tcPr>
          <w:p w14:paraId="5D2C3E71"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Employee Benefits Expenses</w:t>
            </w:r>
          </w:p>
        </w:tc>
        <w:tc>
          <w:tcPr>
            <w:tcW w:w="817" w:type="pct"/>
            <w:tcBorders>
              <w:top w:val="nil"/>
              <w:left w:val="nil"/>
              <w:bottom w:val="nil"/>
              <w:right w:val="nil"/>
            </w:tcBorders>
            <w:shd w:val="clear" w:color="000000" w:fill="FFE1E1"/>
            <w:vAlign w:val="bottom"/>
            <w:hideMark/>
          </w:tcPr>
          <w:p w14:paraId="05644BAC"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21,239</w:t>
            </w:r>
          </w:p>
        </w:tc>
      </w:tr>
      <w:tr w:rsidR="00576E5D" w:rsidRPr="00576E5D" w14:paraId="3B80050A" w14:textId="77777777" w:rsidTr="00022345">
        <w:trPr>
          <w:trHeight w:val="300"/>
        </w:trPr>
        <w:tc>
          <w:tcPr>
            <w:tcW w:w="792" w:type="pct"/>
            <w:tcBorders>
              <w:top w:val="nil"/>
              <w:left w:val="nil"/>
              <w:bottom w:val="nil"/>
              <w:right w:val="nil"/>
            </w:tcBorders>
            <w:shd w:val="clear" w:color="000000" w:fill="FFFFFF"/>
            <w:vAlign w:val="bottom"/>
            <w:hideMark/>
          </w:tcPr>
          <w:p w14:paraId="6A1D0897"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9,196</w:t>
            </w:r>
          </w:p>
        </w:tc>
        <w:tc>
          <w:tcPr>
            <w:tcW w:w="3391" w:type="pct"/>
            <w:tcBorders>
              <w:top w:val="nil"/>
              <w:left w:val="nil"/>
              <w:bottom w:val="nil"/>
              <w:right w:val="nil"/>
            </w:tcBorders>
            <w:shd w:val="clear" w:color="000000" w:fill="FFFFFF"/>
            <w:noWrap/>
            <w:vAlign w:val="bottom"/>
            <w:hideMark/>
          </w:tcPr>
          <w:p w14:paraId="76DF6D7B"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Other Services Expenses</w:t>
            </w:r>
          </w:p>
        </w:tc>
        <w:tc>
          <w:tcPr>
            <w:tcW w:w="817" w:type="pct"/>
            <w:tcBorders>
              <w:top w:val="nil"/>
              <w:left w:val="nil"/>
              <w:bottom w:val="nil"/>
              <w:right w:val="nil"/>
            </w:tcBorders>
            <w:shd w:val="clear" w:color="000000" w:fill="FFE1E1"/>
            <w:vAlign w:val="bottom"/>
            <w:hideMark/>
          </w:tcPr>
          <w:p w14:paraId="747805B6"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10,325</w:t>
            </w:r>
          </w:p>
        </w:tc>
      </w:tr>
      <w:tr w:rsidR="00576E5D" w:rsidRPr="00576E5D" w14:paraId="328860D0" w14:textId="77777777" w:rsidTr="00022345">
        <w:trPr>
          <w:trHeight w:val="300"/>
        </w:trPr>
        <w:tc>
          <w:tcPr>
            <w:tcW w:w="792" w:type="pct"/>
            <w:tcBorders>
              <w:top w:val="nil"/>
              <w:left w:val="nil"/>
              <w:bottom w:val="nil"/>
              <w:right w:val="nil"/>
            </w:tcBorders>
            <w:shd w:val="clear" w:color="000000" w:fill="FFFFFF"/>
            <w:vAlign w:val="bottom"/>
            <w:hideMark/>
          </w:tcPr>
          <w:p w14:paraId="394E1618"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2,177</w:t>
            </w:r>
          </w:p>
        </w:tc>
        <w:tc>
          <w:tcPr>
            <w:tcW w:w="3391" w:type="pct"/>
            <w:tcBorders>
              <w:top w:val="nil"/>
              <w:left w:val="nil"/>
              <w:bottom w:val="nil"/>
              <w:right w:val="nil"/>
            </w:tcBorders>
            <w:shd w:val="clear" w:color="000000" w:fill="FFFFFF"/>
            <w:noWrap/>
            <w:vAlign w:val="bottom"/>
            <w:hideMark/>
          </w:tcPr>
          <w:p w14:paraId="03B258CF" w14:textId="13B033BF"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Depreciation,</w:t>
            </w:r>
            <w:r w:rsidR="007E2FD4">
              <w:rPr>
                <w:rFonts w:ascii="Calibri" w:eastAsia="Times New Roman" w:hAnsi="Calibri" w:cs="Calibri"/>
                <w:lang w:eastAsia="en-GB"/>
              </w:rPr>
              <w:t xml:space="preserve"> </w:t>
            </w:r>
            <w:r w:rsidR="00FA4141">
              <w:rPr>
                <w:rFonts w:ascii="Calibri" w:eastAsia="Times New Roman" w:hAnsi="Calibri" w:cs="Calibri"/>
                <w:lang w:eastAsia="en-GB"/>
              </w:rPr>
              <w:t>A</w:t>
            </w:r>
            <w:r w:rsidRPr="00576E5D">
              <w:rPr>
                <w:rFonts w:ascii="Calibri" w:eastAsia="Times New Roman" w:hAnsi="Calibri" w:cs="Calibri"/>
                <w:lang w:eastAsia="en-GB"/>
              </w:rPr>
              <w:t xml:space="preserve">mortisation, </w:t>
            </w:r>
            <w:r w:rsidR="00FA4141">
              <w:rPr>
                <w:rFonts w:ascii="Calibri" w:eastAsia="Times New Roman" w:hAnsi="Calibri" w:cs="Calibri"/>
                <w:lang w:eastAsia="en-GB"/>
              </w:rPr>
              <w:t>I</w:t>
            </w:r>
            <w:r w:rsidRPr="00576E5D">
              <w:rPr>
                <w:rFonts w:ascii="Calibri" w:eastAsia="Times New Roman" w:hAnsi="Calibri" w:cs="Calibri"/>
                <w:lang w:eastAsia="en-GB"/>
              </w:rPr>
              <w:t>mpairment</w:t>
            </w:r>
          </w:p>
        </w:tc>
        <w:tc>
          <w:tcPr>
            <w:tcW w:w="817" w:type="pct"/>
            <w:tcBorders>
              <w:top w:val="nil"/>
              <w:left w:val="nil"/>
              <w:bottom w:val="nil"/>
              <w:right w:val="nil"/>
            </w:tcBorders>
            <w:shd w:val="clear" w:color="000000" w:fill="FFE1E1"/>
            <w:vAlign w:val="bottom"/>
            <w:hideMark/>
          </w:tcPr>
          <w:p w14:paraId="6C05B89D" w14:textId="45974E39"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1,</w:t>
            </w:r>
            <w:r w:rsidR="00022345">
              <w:rPr>
                <w:rFonts w:ascii="Calibri" w:eastAsia="Times New Roman" w:hAnsi="Calibri" w:cs="Calibri"/>
                <w:lang w:eastAsia="en-GB"/>
              </w:rPr>
              <w:t>782</w:t>
            </w:r>
          </w:p>
        </w:tc>
      </w:tr>
      <w:tr w:rsidR="00576E5D" w:rsidRPr="00576E5D" w14:paraId="094D4553" w14:textId="77777777" w:rsidTr="00022345">
        <w:trPr>
          <w:trHeight w:val="300"/>
        </w:trPr>
        <w:tc>
          <w:tcPr>
            <w:tcW w:w="792" w:type="pct"/>
            <w:tcBorders>
              <w:top w:val="nil"/>
              <w:left w:val="nil"/>
              <w:bottom w:val="nil"/>
              <w:right w:val="nil"/>
            </w:tcBorders>
            <w:shd w:val="clear" w:color="000000" w:fill="FFFFFF"/>
            <w:vAlign w:val="bottom"/>
            <w:hideMark/>
          </w:tcPr>
          <w:p w14:paraId="34F6D61E"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11,031</w:t>
            </w:r>
          </w:p>
        </w:tc>
        <w:tc>
          <w:tcPr>
            <w:tcW w:w="3391" w:type="pct"/>
            <w:tcBorders>
              <w:top w:val="nil"/>
              <w:left w:val="nil"/>
              <w:bottom w:val="nil"/>
              <w:right w:val="nil"/>
            </w:tcBorders>
            <w:shd w:val="clear" w:color="000000" w:fill="FFFFFF"/>
            <w:noWrap/>
            <w:vAlign w:val="bottom"/>
            <w:hideMark/>
          </w:tcPr>
          <w:p w14:paraId="7C810C78"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Interest Payments</w:t>
            </w:r>
          </w:p>
        </w:tc>
        <w:tc>
          <w:tcPr>
            <w:tcW w:w="817" w:type="pct"/>
            <w:tcBorders>
              <w:top w:val="nil"/>
              <w:left w:val="nil"/>
              <w:bottom w:val="nil"/>
              <w:right w:val="nil"/>
            </w:tcBorders>
            <w:shd w:val="clear" w:color="000000" w:fill="FFE1E1"/>
            <w:vAlign w:val="bottom"/>
            <w:hideMark/>
          </w:tcPr>
          <w:p w14:paraId="7DC8540C"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11,508</w:t>
            </w:r>
          </w:p>
        </w:tc>
      </w:tr>
      <w:tr w:rsidR="00576E5D" w:rsidRPr="00576E5D" w14:paraId="4EEB231D" w14:textId="77777777" w:rsidTr="00022345">
        <w:trPr>
          <w:trHeight w:val="300"/>
        </w:trPr>
        <w:tc>
          <w:tcPr>
            <w:tcW w:w="792" w:type="pct"/>
            <w:tcBorders>
              <w:top w:val="nil"/>
              <w:left w:val="nil"/>
              <w:bottom w:val="nil"/>
              <w:right w:val="nil"/>
            </w:tcBorders>
            <w:shd w:val="clear" w:color="000000" w:fill="FFFFFF"/>
            <w:vAlign w:val="bottom"/>
            <w:hideMark/>
          </w:tcPr>
          <w:p w14:paraId="74694975"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75</w:t>
            </w:r>
          </w:p>
        </w:tc>
        <w:tc>
          <w:tcPr>
            <w:tcW w:w="3391" w:type="pct"/>
            <w:tcBorders>
              <w:top w:val="nil"/>
              <w:left w:val="nil"/>
              <w:bottom w:val="nil"/>
              <w:right w:val="nil"/>
            </w:tcBorders>
            <w:shd w:val="clear" w:color="000000" w:fill="FFFFFF"/>
            <w:noWrap/>
            <w:vAlign w:val="bottom"/>
            <w:hideMark/>
          </w:tcPr>
          <w:p w14:paraId="0633F236" w14:textId="66044A96"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Losses on the Disposal of Non-Current Assets</w:t>
            </w:r>
          </w:p>
        </w:tc>
        <w:tc>
          <w:tcPr>
            <w:tcW w:w="817" w:type="pct"/>
            <w:tcBorders>
              <w:top w:val="nil"/>
              <w:left w:val="nil"/>
              <w:bottom w:val="nil"/>
              <w:right w:val="nil"/>
            </w:tcBorders>
            <w:shd w:val="clear" w:color="000000" w:fill="FFE1E1"/>
            <w:vAlign w:val="bottom"/>
            <w:hideMark/>
          </w:tcPr>
          <w:p w14:paraId="11DFB9E4"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240</w:t>
            </w:r>
          </w:p>
        </w:tc>
      </w:tr>
      <w:tr w:rsidR="00576E5D" w:rsidRPr="00576E5D" w14:paraId="7A54F63B" w14:textId="77777777" w:rsidTr="00022345">
        <w:trPr>
          <w:trHeight w:val="300"/>
        </w:trPr>
        <w:tc>
          <w:tcPr>
            <w:tcW w:w="792" w:type="pct"/>
            <w:tcBorders>
              <w:top w:val="single" w:sz="4" w:space="0" w:color="auto"/>
              <w:left w:val="nil"/>
              <w:bottom w:val="single" w:sz="4" w:space="0" w:color="auto"/>
              <w:right w:val="nil"/>
            </w:tcBorders>
            <w:shd w:val="clear" w:color="000000" w:fill="FFFFFF"/>
            <w:vAlign w:val="bottom"/>
            <w:hideMark/>
          </w:tcPr>
          <w:p w14:paraId="2DAEEDB9" w14:textId="77777777"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lang w:eastAsia="en-GB"/>
              </w:rPr>
              <w:t>42,660</w:t>
            </w:r>
          </w:p>
        </w:tc>
        <w:tc>
          <w:tcPr>
            <w:tcW w:w="3391" w:type="pct"/>
            <w:tcBorders>
              <w:top w:val="single" w:sz="4" w:space="0" w:color="auto"/>
              <w:left w:val="nil"/>
              <w:bottom w:val="single" w:sz="4" w:space="0" w:color="auto"/>
              <w:right w:val="nil"/>
            </w:tcBorders>
            <w:shd w:val="clear" w:color="000000" w:fill="FFFFFF"/>
            <w:noWrap/>
            <w:vAlign w:val="center"/>
            <w:hideMark/>
          </w:tcPr>
          <w:p w14:paraId="2AE2920C" w14:textId="77777777" w:rsidR="00576E5D" w:rsidRPr="00576E5D" w:rsidRDefault="00576E5D" w:rsidP="00576E5D">
            <w:pPr>
              <w:spacing w:line="240" w:lineRule="auto"/>
              <w:jc w:val="left"/>
              <w:rPr>
                <w:rFonts w:ascii="Calibri" w:eastAsia="Times New Roman" w:hAnsi="Calibri" w:cs="Calibri"/>
                <w:b/>
                <w:bCs/>
                <w:color w:val="000000"/>
                <w:lang w:eastAsia="en-GB"/>
              </w:rPr>
            </w:pPr>
            <w:r w:rsidRPr="00576E5D">
              <w:rPr>
                <w:rFonts w:ascii="Calibri" w:eastAsia="Times New Roman" w:hAnsi="Calibri" w:cs="Calibri"/>
                <w:b/>
                <w:bCs/>
                <w:color w:val="000000"/>
                <w:lang w:eastAsia="en-GB"/>
              </w:rPr>
              <w:t>Total Expenditure</w:t>
            </w:r>
          </w:p>
        </w:tc>
        <w:tc>
          <w:tcPr>
            <w:tcW w:w="817" w:type="pct"/>
            <w:tcBorders>
              <w:top w:val="single" w:sz="4" w:space="0" w:color="auto"/>
              <w:left w:val="nil"/>
              <w:bottom w:val="single" w:sz="4" w:space="0" w:color="auto"/>
              <w:right w:val="nil"/>
            </w:tcBorders>
            <w:shd w:val="clear" w:color="000000" w:fill="FFE1E1"/>
            <w:vAlign w:val="bottom"/>
            <w:hideMark/>
          </w:tcPr>
          <w:p w14:paraId="5109A6E8" w14:textId="3369667E"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lang w:eastAsia="en-GB"/>
              </w:rPr>
              <w:t>45,</w:t>
            </w:r>
            <w:r w:rsidR="00022345">
              <w:rPr>
                <w:rFonts w:ascii="Calibri" w:eastAsia="Times New Roman" w:hAnsi="Calibri" w:cs="Calibri"/>
                <w:b/>
                <w:bCs/>
                <w:lang w:eastAsia="en-GB"/>
              </w:rPr>
              <w:t>094</w:t>
            </w:r>
          </w:p>
        </w:tc>
      </w:tr>
      <w:tr w:rsidR="00576E5D" w:rsidRPr="00576E5D" w14:paraId="132189B8" w14:textId="77777777" w:rsidTr="00022345">
        <w:trPr>
          <w:trHeight w:val="300"/>
        </w:trPr>
        <w:tc>
          <w:tcPr>
            <w:tcW w:w="792" w:type="pct"/>
            <w:tcBorders>
              <w:top w:val="nil"/>
              <w:left w:val="nil"/>
              <w:bottom w:val="nil"/>
              <w:right w:val="nil"/>
            </w:tcBorders>
            <w:shd w:val="clear" w:color="000000" w:fill="FFFFFF"/>
            <w:noWrap/>
            <w:vAlign w:val="bottom"/>
            <w:hideMark/>
          </w:tcPr>
          <w:p w14:paraId="2877417A"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 </w:t>
            </w:r>
          </w:p>
        </w:tc>
        <w:tc>
          <w:tcPr>
            <w:tcW w:w="3391" w:type="pct"/>
            <w:tcBorders>
              <w:top w:val="nil"/>
              <w:left w:val="nil"/>
              <w:bottom w:val="nil"/>
              <w:right w:val="nil"/>
            </w:tcBorders>
            <w:shd w:val="clear" w:color="000000" w:fill="FFFFFF"/>
            <w:noWrap/>
            <w:vAlign w:val="bottom"/>
            <w:hideMark/>
          </w:tcPr>
          <w:p w14:paraId="0217AB88" w14:textId="77777777" w:rsidR="00576E5D" w:rsidRPr="00576E5D" w:rsidRDefault="00576E5D" w:rsidP="00576E5D">
            <w:pPr>
              <w:spacing w:line="240" w:lineRule="auto"/>
              <w:jc w:val="left"/>
              <w:rPr>
                <w:rFonts w:ascii="Calibri" w:eastAsia="Times New Roman" w:hAnsi="Calibri" w:cs="Calibri"/>
                <w:b/>
                <w:bCs/>
                <w:lang w:eastAsia="en-GB"/>
              </w:rPr>
            </w:pPr>
            <w:r w:rsidRPr="00576E5D">
              <w:rPr>
                <w:rFonts w:ascii="Calibri" w:eastAsia="Times New Roman" w:hAnsi="Calibri" w:cs="Calibri"/>
                <w:b/>
                <w:bCs/>
                <w:lang w:eastAsia="en-GB"/>
              </w:rPr>
              <w:t>Income</w:t>
            </w:r>
          </w:p>
        </w:tc>
        <w:tc>
          <w:tcPr>
            <w:tcW w:w="817" w:type="pct"/>
            <w:tcBorders>
              <w:top w:val="nil"/>
              <w:left w:val="nil"/>
              <w:bottom w:val="nil"/>
              <w:right w:val="nil"/>
            </w:tcBorders>
            <w:shd w:val="clear" w:color="000000" w:fill="FFE1E1"/>
            <w:vAlign w:val="bottom"/>
            <w:hideMark/>
          </w:tcPr>
          <w:p w14:paraId="611C3B73"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lang w:eastAsia="en-GB"/>
              </w:rPr>
              <w:t> </w:t>
            </w:r>
          </w:p>
        </w:tc>
      </w:tr>
      <w:tr w:rsidR="00576E5D" w:rsidRPr="00576E5D" w14:paraId="250A891C" w14:textId="77777777" w:rsidTr="00022345">
        <w:trPr>
          <w:trHeight w:val="300"/>
        </w:trPr>
        <w:tc>
          <w:tcPr>
            <w:tcW w:w="792" w:type="pct"/>
            <w:tcBorders>
              <w:top w:val="nil"/>
              <w:left w:val="nil"/>
              <w:bottom w:val="nil"/>
              <w:right w:val="nil"/>
            </w:tcBorders>
            <w:shd w:val="clear" w:color="000000" w:fill="FFFFFF"/>
            <w:vAlign w:val="bottom"/>
            <w:hideMark/>
          </w:tcPr>
          <w:p w14:paraId="08AD0148"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(878)</w:t>
            </w:r>
          </w:p>
        </w:tc>
        <w:tc>
          <w:tcPr>
            <w:tcW w:w="3391" w:type="pct"/>
            <w:tcBorders>
              <w:top w:val="nil"/>
              <w:left w:val="nil"/>
              <w:bottom w:val="nil"/>
              <w:right w:val="nil"/>
            </w:tcBorders>
            <w:shd w:val="clear" w:color="000000" w:fill="FFFFFF"/>
            <w:noWrap/>
            <w:vAlign w:val="bottom"/>
            <w:hideMark/>
          </w:tcPr>
          <w:p w14:paraId="7016EBCA"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Fees, Charges and Other Service Income</w:t>
            </w:r>
          </w:p>
        </w:tc>
        <w:tc>
          <w:tcPr>
            <w:tcW w:w="817" w:type="pct"/>
            <w:tcBorders>
              <w:top w:val="nil"/>
              <w:left w:val="nil"/>
              <w:bottom w:val="nil"/>
              <w:right w:val="nil"/>
            </w:tcBorders>
            <w:shd w:val="clear" w:color="000000" w:fill="FFE1E1"/>
            <w:vAlign w:val="bottom"/>
            <w:hideMark/>
          </w:tcPr>
          <w:p w14:paraId="3A608CE9"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(722)</w:t>
            </w:r>
          </w:p>
        </w:tc>
      </w:tr>
      <w:tr w:rsidR="00576E5D" w:rsidRPr="00576E5D" w14:paraId="7E0CBCCD" w14:textId="77777777" w:rsidTr="00022345">
        <w:trPr>
          <w:trHeight w:val="300"/>
        </w:trPr>
        <w:tc>
          <w:tcPr>
            <w:tcW w:w="792" w:type="pct"/>
            <w:tcBorders>
              <w:top w:val="nil"/>
              <w:left w:val="nil"/>
              <w:bottom w:val="nil"/>
              <w:right w:val="nil"/>
            </w:tcBorders>
            <w:shd w:val="clear" w:color="000000" w:fill="FFFFFF"/>
            <w:vAlign w:val="bottom"/>
            <w:hideMark/>
          </w:tcPr>
          <w:p w14:paraId="203AAF12"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(238)</w:t>
            </w:r>
          </w:p>
        </w:tc>
        <w:tc>
          <w:tcPr>
            <w:tcW w:w="3391" w:type="pct"/>
            <w:tcBorders>
              <w:top w:val="nil"/>
              <w:left w:val="nil"/>
              <w:bottom w:val="nil"/>
              <w:right w:val="nil"/>
            </w:tcBorders>
            <w:shd w:val="clear" w:color="000000" w:fill="FFFFFF"/>
            <w:noWrap/>
            <w:vAlign w:val="bottom"/>
            <w:hideMark/>
          </w:tcPr>
          <w:p w14:paraId="065B0C5A"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Interest and Investment Income</w:t>
            </w:r>
          </w:p>
        </w:tc>
        <w:tc>
          <w:tcPr>
            <w:tcW w:w="817" w:type="pct"/>
            <w:tcBorders>
              <w:top w:val="nil"/>
              <w:left w:val="nil"/>
              <w:bottom w:val="nil"/>
              <w:right w:val="nil"/>
            </w:tcBorders>
            <w:shd w:val="clear" w:color="000000" w:fill="FFE1E1"/>
            <w:vAlign w:val="bottom"/>
            <w:hideMark/>
          </w:tcPr>
          <w:p w14:paraId="6DF57EC2"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(389)</w:t>
            </w:r>
          </w:p>
        </w:tc>
      </w:tr>
      <w:tr w:rsidR="00576E5D" w:rsidRPr="00576E5D" w14:paraId="4098FB94" w14:textId="77777777" w:rsidTr="00022345">
        <w:trPr>
          <w:trHeight w:val="300"/>
        </w:trPr>
        <w:tc>
          <w:tcPr>
            <w:tcW w:w="792" w:type="pct"/>
            <w:tcBorders>
              <w:top w:val="nil"/>
              <w:left w:val="nil"/>
              <w:bottom w:val="nil"/>
              <w:right w:val="nil"/>
            </w:tcBorders>
            <w:shd w:val="clear" w:color="000000" w:fill="FFFFFF"/>
            <w:vAlign w:val="bottom"/>
            <w:hideMark/>
          </w:tcPr>
          <w:p w14:paraId="49B40D11"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(29,827)</w:t>
            </w:r>
          </w:p>
        </w:tc>
        <w:tc>
          <w:tcPr>
            <w:tcW w:w="3391" w:type="pct"/>
            <w:tcBorders>
              <w:top w:val="nil"/>
              <w:left w:val="nil"/>
              <w:bottom w:val="nil"/>
              <w:right w:val="nil"/>
            </w:tcBorders>
            <w:shd w:val="clear" w:color="000000" w:fill="FFFFFF"/>
            <w:noWrap/>
            <w:vAlign w:val="bottom"/>
            <w:hideMark/>
          </w:tcPr>
          <w:p w14:paraId="1B66241D"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Income from Council Tax &amp; Non-Domestic Rates</w:t>
            </w:r>
          </w:p>
        </w:tc>
        <w:tc>
          <w:tcPr>
            <w:tcW w:w="817" w:type="pct"/>
            <w:tcBorders>
              <w:top w:val="nil"/>
              <w:left w:val="nil"/>
              <w:bottom w:val="nil"/>
              <w:right w:val="nil"/>
            </w:tcBorders>
            <w:shd w:val="clear" w:color="000000" w:fill="FFE1E1"/>
            <w:vAlign w:val="bottom"/>
            <w:hideMark/>
          </w:tcPr>
          <w:p w14:paraId="38842555"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(32,297)</w:t>
            </w:r>
          </w:p>
        </w:tc>
      </w:tr>
      <w:tr w:rsidR="00576E5D" w:rsidRPr="00576E5D" w14:paraId="50965A23" w14:textId="77777777" w:rsidTr="00022345">
        <w:trPr>
          <w:trHeight w:val="300"/>
        </w:trPr>
        <w:tc>
          <w:tcPr>
            <w:tcW w:w="792" w:type="pct"/>
            <w:tcBorders>
              <w:top w:val="nil"/>
              <w:left w:val="nil"/>
              <w:bottom w:val="nil"/>
              <w:right w:val="nil"/>
            </w:tcBorders>
            <w:shd w:val="clear" w:color="000000" w:fill="FFFFFF"/>
            <w:vAlign w:val="bottom"/>
            <w:hideMark/>
          </w:tcPr>
          <w:p w14:paraId="47F84477"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(6,845)</w:t>
            </w:r>
          </w:p>
        </w:tc>
        <w:tc>
          <w:tcPr>
            <w:tcW w:w="3391" w:type="pct"/>
            <w:tcBorders>
              <w:top w:val="nil"/>
              <w:left w:val="nil"/>
              <w:bottom w:val="nil"/>
              <w:right w:val="nil"/>
            </w:tcBorders>
            <w:shd w:val="clear" w:color="000000" w:fill="FFFFFF"/>
            <w:noWrap/>
            <w:vAlign w:val="bottom"/>
            <w:hideMark/>
          </w:tcPr>
          <w:p w14:paraId="1A67720F" w14:textId="77777777" w:rsidR="00576E5D" w:rsidRPr="00576E5D" w:rsidRDefault="00576E5D" w:rsidP="00576E5D">
            <w:pPr>
              <w:spacing w:line="240" w:lineRule="auto"/>
              <w:jc w:val="left"/>
              <w:rPr>
                <w:rFonts w:ascii="Calibri" w:eastAsia="Times New Roman" w:hAnsi="Calibri" w:cs="Calibri"/>
                <w:lang w:eastAsia="en-GB"/>
              </w:rPr>
            </w:pPr>
            <w:r w:rsidRPr="00576E5D">
              <w:rPr>
                <w:rFonts w:ascii="Calibri" w:eastAsia="Times New Roman" w:hAnsi="Calibri" w:cs="Calibri"/>
                <w:lang w:eastAsia="en-GB"/>
              </w:rPr>
              <w:t>Government Grants and Contributions</w:t>
            </w:r>
          </w:p>
        </w:tc>
        <w:tc>
          <w:tcPr>
            <w:tcW w:w="817" w:type="pct"/>
            <w:tcBorders>
              <w:top w:val="nil"/>
              <w:left w:val="nil"/>
              <w:bottom w:val="nil"/>
              <w:right w:val="nil"/>
            </w:tcBorders>
            <w:shd w:val="clear" w:color="000000" w:fill="FFE1E1"/>
            <w:vAlign w:val="bottom"/>
            <w:hideMark/>
          </w:tcPr>
          <w:p w14:paraId="0D8F6159" w14:textId="77777777" w:rsidR="00576E5D" w:rsidRPr="00576E5D" w:rsidRDefault="00576E5D" w:rsidP="00576E5D">
            <w:pPr>
              <w:spacing w:line="240" w:lineRule="auto"/>
              <w:jc w:val="right"/>
              <w:rPr>
                <w:rFonts w:ascii="Calibri" w:eastAsia="Times New Roman" w:hAnsi="Calibri" w:cs="Calibri"/>
                <w:lang w:eastAsia="en-GB"/>
              </w:rPr>
            </w:pPr>
            <w:r w:rsidRPr="00576E5D">
              <w:rPr>
                <w:rFonts w:ascii="Calibri" w:eastAsia="Times New Roman" w:hAnsi="Calibri" w:cs="Calibri"/>
                <w:color w:val="000000"/>
                <w:lang w:eastAsia="en-GB"/>
              </w:rPr>
              <w:t>(7,390)</w:t>
            </w:r>
          </w:p>
        </w:tc>
      </w:tr>
      <w:tr w:rsidR="00576E5D" w:rsidRPr="00576E5D" w14:paraId="38FA73E5" w14:textId="77777777" w:rsidTr="00022345">
        <w:trPr>
          <w:trHeight w:val="300"/>
        </w:trPr>
        <w:tc>
          <w:tcPr>
            <w:tcW w:w="792" w:type="pct"/>
            <w:tcBorders>
              <w:top w:val="single" w:sz="4" w:space="0" w:color="auto"/>
              <w:left w:val="nil"/>
              <w:bottom w:val="single" w:sz="4" w:space="0" w:color="auto"/>
              <w:right w:val="nil"/>
            </w:tcBorders>
            <w:shd w:val="clear" w:color="000000" w:fill="FFFFFF"/>
            <w:vAlign w:val="bottom"/>
            <w:hideMark/>
          </w:tcPr>
          <w:p w14:paraId="330CE382" w14:textId="77777777"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lang w:eastAsia="en-GB"/>
              </w:rPr>
              <w:t>(37,788)</w:t>
            </w:r>
          </w:p>
        </w:tc>
        <w:tc>
          <w:tcPr>
            <w:tcW w:w="3391" w:type="pct"/>
            <w:tcBorders>
              <w:top w:val="single" w:sz="4" w:space="0" w:color="auto"/>
              <w:left w:val="nil"/>
              <w:bottom w:val="single" w:sz="4" w:space="0" w:color="auto"/>
              <w:right w:val="nil"/>
            </w:tcBorders>
            <w:shd w:val="clear" w:color="000000" w:fill="FFFFFF"/>
            <w:noWrap/>
            <w:vAlign w:val="center"/>
            <w:hideMark/>
          </w:tcPr>
          <w:p w14:paraId="1080B032" w14:textId="77777777" w:rsidR="00576E5D" w:rsidRPr="00576E5D" w:rsidRDefault="00576E5D" w:rsidP="00576E5D">
            <w:pPr>
              <w:spacing w:line="240" w:lineRule="auto"/>
              <w:jc w:val="left"/>
              <w:rPr>
                <w:rFonts w:ascii="Calibri" w:eastAsia="Times New Roman" w:hAnsi="Calibri" w:cs="Calibri"/>
                <w:b/>
                <w:bCs/>
                <w:color w:val="000000"/>
                <w:lang w:eastAsia="en-GB"/>
              </w:rPr>
            </w:pPr>
            <w:r w:rsidRPr="00576E5D">
              <w:rPr>
                <w:rFonts w:ascii="Calibri" w:eastAsia="Times New Roman" w:hAnsi="Calibri" w:cs="Calibri"/>
                <w:b/>
                <w:bCs/>
                <w:color w:val="000000"/>
                <w:lang w:eastAsia="en-GB"/>
              </w:rPr>
              <w:t>Total Income</w:t>
            </w:r>
          </w:p>
        </w:tc>
        <w:tc>
          <w:tcPr>
            <w:tcW w:w="817" w:type="pct"/>
            <w:tcBorders>
              <w:top w:val="single" w:sz="4" w:space="0" w:color="auto"/>
              <w:left w:val="nil"/>
              <w:bottom w:val="single" w:sz="4" w:space="0" w:color="auto"/>
              <w:right w:val="nil"/>
            </w:tcBorders>
            <w:shd w:val="clear" w:color="000000" w:fill="FFE1E1"/>
            <w:vAlign w:val="bottom"/>
            <w:hideMark/>
          </w:tcPr>
          <w:p w14:paraId="33F429F5" w14:textId="77777777"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color w:val="000000"/>
                <w:lang w:eastAsia="en-GB"/>
              </w:rPr>
              <w:t>(40,798)</w:t>
            </w:r>
          </w:p>
        </w:tc>
      </w:tr>
      <w:tr w:rsidR="00576E5D" w:rsidRPr="00576E5D" w14:paraId="24E56C65" w14:textId="77777777" w:rsidTr="00022345">
        <w:trPr>
          <w:trHeight w:val="300"/>
        </w:trPr>
        <w:tc>
          <w:tcPr>
            <w:tcW w:w="792" w:type="pct"/>
            <w:tcBorders>
              <w:top w:val="nil"/>
              <w:left w:val="nil"/>
              <w:bottom w:val="single" w:sz="4" w:space="0" w:color="auto"/>
              <w:right w:val="nil"/>
            </w:tcBorders>
            <w:shd w:val="clear" w:color="000000" w:fill="FFFFFF"/>
            <w:vAlign w:val="bottom"/>
            <w:hideMark/>
          </w:tcPr>
          <w:p w14:paraId="7B3CF480" w14:textId="77777777"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lang w:eastAsia="en-GB"/>
              </w:rPr>
              <w:t>4,872</w:t>
            </w:r>
          </w:p>
        </w:tc>
        <w:tc>
          <w:tcPr>
            <w:tcW w:w="3391" w:type="pct"/>
            <w:tcBorders>
              <w:top w:val="nil"/>
              <w:left w:val="nil"/>
              <w:bottom w:val="single" w:sz="4" w:space="0" w:color="auto"/>
              <w:right w:val="nil"/>
            </w:tcBorders>
            <w:shd w:val="clear" w:color="000000" w:fill="FFFFFF"/>
            <w:noWrap/>
            <w:vAlign w:val="center"/>
            <w:hideMark/>
          </w:tcPr>
          <w:p w14:paraId="6C7CCA4F" w14:textId="0A52C2DF" w:rsidR="00576E5D" w:rsidRPr="00576E5D" w:rsidRDefault="00576E5D" w:rsidP="00576E5D">
            <w:pPr>
              <w:spacing w:line="240" w:lineRule="auto"/>
              <w:jc w:val="left"/>
              <w:rPr>
                <w:rFonts w:ascii="Calibri" w:eastAsia="Times New Roman" w:hAnsi="Calibri" w:cs="Calibri"/>
                <w:b/>
                <w:bCs/>
                <w:color w:val="000000"/>
                <w:lang w:eastAsia="en-GB"/>
              </w:rPr>
            </w:pPr>
            <w:r w:rsidRPr="00576E5D">
              <w:rPr>
                <w:rFonts w:ascii="Calibri" w:eastAsia="Times New Roman" w:hAnsi="Calibri" w:cs="Calibri"/>
                <w:b/>
                <w:bCs/>
                <w:color w:val="000000"/>
                <w:lang w:eastAsia="en-GB"/>
              </w:rPr>
              <w:t>Deficit on the Provision of Services</w:t>
            </w:r>
          </w:p>
        </w:tc>
        <w:tc>
          <w:tcPr>
            <w:tcW w:w="817" w:type="pct"/>
            <w:tcBorders>
              <w:top w:val="nil"/>
              <w:left w:val="nil"/>
              <w:bottom w:val="single" w:sz="4" w:space="0" w:color="auto"/>
              <w:right w:val="nil"/>
            </w:tcBorders>
            <w:shd w:val="clear" w:color="000000" w:fill="FFE1E1"/>
            <w:vAlign w:val="bottom"/>
            <w:hideMark/>
          </w:tcPr>
          <w:p w14:paraId="0A6A23A0" w14:textId="0B489FAE" w:rsidR="00576E5D" w:rsidRPr="00576E5D" w:rsidRDefault="00576E5D" w:rsidP="00576E5D">
            <w:pPr>
              <w:spacing w:line="240" w:lineRule="auto"/>
              <w:jc w:val="right"/>
              <w:rPr>
                <w:rFonts w:ascii="Calibri" w:eastAsia="Times New Roman" w:hAnsi="Calibri" w:cs="Calibri"/>
                <w:b/>
                <w:bCs/>
                <w:lang w:eastAsia="en-GB"/>
              </w:rPr>
            </w:pPr>
            <w:r w:rsidRPr="00576E5D">
              <w:rPr>
                <w:rFonts w:ascii="Calibri" w:eastAsia="Times New Roman" w:hAnsi="Calibri" w:cs="Calibri"/>
                <w:b/>
                <w:bCs/>
                <w:lang w:eastAsia="en-GB"/>
              </w:rPr>
              <w:t>4,</w:t>
            </w:r>
            <w:r w:rsidR="00022345">
              <w:rPr>
                <w:rFonts w:ascii="Calibri" w:eastAsia="Times New Roman" w:hAnsi="Calibri" w:cs="Calibri"/>
                <w:b/>
                <w:bCs/>
                <w:lang w:eastAsia="en-GB"/>
              </w:rPr>
              <w:t>296</w:t>
            </w:r>
          </w:p>
        </w:tc>
      </w:tr>
    </w:tbl>
    <w:p w14:paraId="51876946" w14:textId="4D890C9A" w:rsidR="008309B7" w:rsidRDefault="008309B7" w:rsidP="002A1ADD">
      <w:pPr>
        <w:pStyle w:val="VAHeadingLevel2"/>
      </w:pPr>
    </w:p>
    <w:p w14:paraId="68A6C86E" w14:textId="77777777" w:rsidR="00E23DFB" w:rsidRDefault="00E23DFB" w:rsidP="002A1ADD">
      <w:pPr>
        <w:pStyle w:val="VAHeadingLevel2"/>
      </w:pPr>
    </w:p>
    <w:p w14:paraId="7D3A7F23" w14:textId="77777777" w:rsidR="00880B0B" w:rsidRDefault="00880B0B" w:rsidP="002A1ADD">
      <w:pPr>
        <w:pStyle w:val="VAHeadingLevel2"/>
      </w:pPr>
    </w:p>
    <w:p w14:paraId="4C3A115B" w14:textId="77777777" w:rsidR="00880B0B" w:rsidRDefault="00880B0B" w:rsidP="002A1ADD">
      <w:pPr>
        <w:pStyle w:val="VAHeadingLevel2"/>
      </w:pPr>
    </w:p>
    <w:p w14:paraId="480D3D3A" w14:textId="77777777" w:rsidR="00880B0B" w:rsidRDefault="00880B0B" w:rsidP="002A1ADD">
      <w:pPr>
        <w:pStyle w:val="VAHeadingLevel2"/>
      </w:pPr>
    </w:p>
    <w:p w14:paraId="0281E593" w14:textId="77777777" w:rsidR="00880B0B" w:rsidRDefault="00880B0B" w:rsidP="002A1ADD">
      <w:pPr>
        <w:pStyle w:val="VAHeadingLevel2"/>
      </w:pPr>
    </w:p>
    <w:p w14:paraId="076C1563" w14:textId="77777777" w:rsidR="0049509C" w:rsidRDefault="0049509C" w:rsidP="002A1ADD">
      <w:pPr>
        <w:pStyle w:val="VAHeadingLevel2"/>
      </w:pPr>
    </w:p>
    <w:p w14:paraId="5913D5CA" w14:textId="77777777" w:rsidR="00880B0B" w:rsidRDefault="00880B0B" w:rsidP="002A1ADD">
      <w:pPr>
        <w:pStyle w:val="VAHeadingLevel2"/>
      </w:pPr>
    </w:p>
    <w:p w14:paraId="5184DCC5" w14:textId="636F1E34" w:rsidR="0079406E" w:rsidRPr="006A4726" w:rsidRDefault="00F40B08" w:rsidP="002A1ADD">
      <w:pPr>
        <w:pStyle w:val="VAHeadingLevel2"/>
      </w:pPr>
      <w:r w:rsidRPr="006A4726">
        <w:lastRenderedPageBreak/>
        <w:t xml:space="preserve">Note </w:t>
      </w:r>
      <w:r w:rsidR="00D81472" w:rsidRPr="006A4726">
        <w:t>6</w:t>
      </w:r>
      <w:r w:rsidR="00A54B2B" w:rsidRPr="006A4726">
        <w:t>.</w:t>
      </w:r>
      <w:r w:rsidR="0079406E" w:rsidRPr="006A4726">
        <w:t xml:space="preserve"> Adjustments </w:t>
      </w:r>
      <w:r w:rsidR="006A4726">
        <w:t>B</w:t>
      </w:r>
      <w:r w:rsidR="0079406E" w:rsidRPr="006A4726">
        <w:t xml:space="preserve">etween </w:t>
      </w:r>
      <w:r w:rsidR="006A4726">
        <w:t>A</w:t>
      </w:r>
      <w:r w:rsidR="0079406E" w:rsidRPr="006A4726">
        <w:t xml:space="preserve">ccounting </w:t>
      </w:r>
      <w:r w:rsidR="006A4726">
        <w:t>B</w:t>
      </w:r>
      <w:r w:rsidR="0079406E" w:rsidRPr="006A4726">
        <w:t xml:space="preserve">asis and </w:t>
      </w:r>
      <w:r w:rsidR="006A4726">
        <w:t>F</w:t>
      </w:r>
      <w:r w:rsidR="0079406E" w:rsidRPr="006A4726">
        <w:t xml:space="preserve">unding </w:t>
      </w:r>
      <w:r w:rsidR="006A4726">
        <w:t>B</w:t>
      </w:r>
      <w:r w:rsidR="0079406E" w:rsidRPr="006A4726">
        <w:t xml:space="preserve">asis </w:t>
      </w:r>
      <w:r w:rsidR="006A4726">
        <w:t>U</w:t>
      </w:r>
      <w:r w:rsidR="0079406E" w:rsidRPr="006A4726">
        <w:t xml:space="preserve">nder </w:t>
      </w:r>
      <w:r w:rsidR="006A4726">
        <w:t>R</w:t>
      </w:r>
      <w:r w:rsidR="0079406E" w:rsidRPr="006A4726">
        <w:t xml:space="preserve">egulations </w:t>
      </w:r>
    </w:p>
    <w:p w14:paraId="485FFD89" w14:textId="59ABE46B" w:rsidR="00113AF5" w:rsidRDefault="001748F5" w:rsidP="00D53387">
      <w:r w:rsidRPr="00B81411">
        <w:t xml:space="preserve">This note details the adjustments that are made to the total comprehensive income and expenditure recognised by the Authority in the year in accordance with proper accounting practice to the resources that are specified by statutory provisions as being available to the Authority to meet future capital and revenue expenditure. </w:t>
      </w:r>
    </w:p>
    <w:p w14:paraId="46E9DB5E" w14:textId="2930BB2A" w:rsidR="009D7590" w:rsidRDefault="009D7590" w:rsidP="002A1ADD">
      <w:pPr>
        <w:pStyle w:val="VAHeadingLevel2"/>
        <w:rPr>
          <w:rFonts w:eastAsiaTheme="minorHAnsi"/>
        </w:rPr>
      </w:pPr>
    </w:p>
    <w:tbl>
      <w:tblPr>
        <w:tblW w:w="10469" w:type="dxa"/>
        <w:tblLook w:val="04A0" w:firstRow="1" w:lastRow="0" w:firstColumn="1" w:lastColumn="0" w:noHBand="0" w:noVBand="1"/>
      </w:tblPr>
      <w:tblGrid>
        <w:gridCol w:w="4770"/>
        <w:gridCol w:w="1017"/>
        <w:gridCol w:w="1290"/>
        <w:gridCol w:w="1170"/>
        <w:gridCol w:w="990"/>
        <w:gridCol w:w="1232"/>
      </w:tblGrid>
      <w:tr w:rsidR="009D7590" w:rsidRPr="009D7590" w14:paraId="6AF144E2" w14:textId="77777777" w:rsidTr="5A995008">
        <w:trPr>
          <w:trHeight w:val="300"/>
        </w:trPr>
        <w:tc>
          <w:tcPr>
            <w:tcW w:w="4770" w:type="dxa"/>
            <w:tcBorders>
              <w:top w:val="nil"/>
              <w:left w:val="nil"/>
              <w:bottom w:val="nil"/>
              <w:right w:val="nil"/>
            </w:tcBorders>
            <w:shd w:val="clear" w:color="auto" w:fill="FFFFFF" w:themeFill="background1"/>
            <w:noWrap/>
            <w:vAlign w:val="bottom"/>
            <w:hideMark/>
          </w:tcPr>
          <w:p w14:paraId="294B3826" w14:textId="114CB5DF" w:rsidR="009D7590" w:rsidRPr="009D7590" w:rsidRDefault="009D7590" w:rsidP="009D7590">
            <w:pPr>
              <w:spacing w:line="240" w:lineRule="auto"/>
              <w:jc w:val="right"/>
              <w:rPr>
                <w:rFonts w:ascii="Calibri" w:eastAsia="Times New Roman" w:hAnsi="Calibri" w:cs="Calibri"/>
                <w:color w:val="000000"/>
                <w:lang w:eastAsia="en-GB"/>
              </w:rPr>
            </w:pPr>
            <w:r w:rsidRPr="009D7590">
              <w:rPr>
                <w:rFonts w:ascii="Calibri" w:eastAsia="Times New Roman" w:hAnsi="Calibri" w:cs="Calibri"/>
                <w:color w:val="000000"/>
                <w:lang w:eastAsia="en-GB"/>
              </w:rPr>
              <w:t> </w:t>
            </w:r>
          </w:p>
        </w:tc>
        <w:tc>
          <w:tcPr>
            <w:tcW w:w="5699" w:type="dxa"/>
            <w:gridSpan w:val="5"/>
            <w:tcBorders>
              <w:top w:val="nil"/>
              <w:left w:val="nil"/>
              <w:bottom w:val="nil"/>
              <w:right w:val="nil"/>
            </w:tcBorders>
            <w:shd w:val="clear" w:color="auto" w:fill="AB2328"/>
            <w:vAlign w:val="center"/>
            <w:hideMark/>
          </w:tcPr>
          <w:p w14:paraId="45B5CFCA" w14:textId="77777777" w:rsidR="009D7590" w:rsidRPr="009D7590" w:rsidRDefault="009D7590" w:rsidP="009D7590">
            <w:pPr>
              <w:spacing w:line="240" w:lineRule="auto"/>
              <w:jc w:val="center"/>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Usable Reserves</w:t>
            </w:r>
          </w:p>
        </w:tc>
      </w:tr>
      <w:tr w:rsidR="009D7590" w:rsidRPr="009D7590" w14:paraId="24B546C5" w14:textId="77777777" w:rsidTr="5A995008">
        <w:trPr>
          <w:trHeight w:val="1200"/>
        </w:trPr>
        <w:tc>
          <w:tcPr>
            <w:tcW w:w="4770" w:type="dxa"/>
            <w:tcBorders>
              <w:top w:val="nil"/>
              <w:left w:val="nil"/>
              <w:bottom w:val="nil"/>
              <w:right w:val="nil"/>
            </w:tcBorders>
            <w:shd w:val="clear" w:color="auto" w:fill="AB2328"/>
            <w:vAlign w:val="bottom"/>
            <w:hideMark/>
          </w:tcPr>
          <w:p w14:paraId="44EC7D66" w14:textId="77777777" w:rsidR="009D7590" w:rsidRPr="009D7590" w:rsidRDefault="009D7590" w:rsidP="009D7590">
            <w:pPr>
              <w:spacing w:line="240" w:lineRule="auto"/>
              <w:jc w:val="lef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2023/24</w:t>
            </w:r>
          </w:p>
        </w:tc>
        <w:tc>
          <w:tcPr>
            <w:tcW w:w="1017" w:type="dxa"/>
            <w:tcBorders>
              <w:top w:val="nil"/>
              <w:left w:val="nil"/>
              <w:bottom w:val="nil"/>
              <w:right w:val="nil"/>
            </w:tcBorders>
            <w:shd w:val="clear" w:color="auto" w:fill="AB2328"/>
            <w:vAlign w:val="center"/>
            <w:hideMark/>
          </w:tcPr>
          <w:p w14:paraId="3F939017"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General Fund Balance</w:t>
            </w:r>
          </w:p>
        </w:tc>
        <w:tc>
          <w:tcPr>
            <w:tcW w:w="1290" w:type="dxa"/>
            <w:tcBorders>
              <w:top w:val="nil"/>
              <w:left w:val="nil"/>
              <w:bottom w:val="nil"/>
              <w:right w:val="nil"/>
            </w:tcBorders>
            <w:shd w:val="clear" w:color="auto" w:fill="AB2328"/>
            <w:vAlign w:val="center"/>
            <w:hideMark/>
          </w:tcPr>
          <w:p w14:paraId="1B0B9AA0"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Earmarked Reserves</w:t>
            </w:r>
          </w:p>
        </w:tc>
        <w:tc>
          <w:tcPr>
            <w:tcW w:w="1170" w:type="dxa"/>
            <w:tcBorders>
              <w:top w:val="nil"/>
              <w:left w:val="nil"/>
              <w:bottom w:val="nil"/>
              <w:right w:val="nil"/>
            </w:tcBorders>
            <w:shd w:val="clear" w:color="auto" w:fill="AB2328"/>
            <w:vAlign w:val="center"/>
            <w:hideMark/>
          </w:tcPr>
          <w:p w14:paraId="27379E8E"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Capital Grants Unapplied</w:t>
            </w:r>
          </w:p>
        </w:tc>
        <w:tc>
          <w:tcPr>
            <w:tcW w:w="990" w:type="dxa"/>
            <w:tcBorders>
              <w:top w:val="nil"/>
              <w:left w:val="nil"/>
              <w:bottom w:val="nil"/>
              <w:right w:val="nil"/>
            </w:tcBorders>
            <w:shd w:val="clear" w:color="auto" w:fill="AB2328"/>
            <w:vAlign w:val="center"/>
            <w:hideMark/>
          </w:tcPr>
          <w:p w14:paraId="1BCA6A6E"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Capital Receipts Reserve</w:t>
            </w:r>
          </w:p>
        </w:tc>
        <w:tc>
          <w:tcPr>
            <w:tcW w:w="1232" w:type="dxa"/>
            <w:tcBorders>
              <w:top w:val="nil"/>
              <w:left w:val="nil"/>
              <w:bottom w:val="nil"/>
              <w:right w:val="nil"/>
            </w:tcBorders>
            <w:shd w:val="clear" w:color="auto" w:fill="AB2328"/>
            <w:vAlign w:val="center"/>
            <w:hideMark/>
          </w:tcPr>
          <w:p w14:paraId="3F61C452"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Movement in Unusable Reserves</w:t>
            </w:r>
          </w:p>
        </w:tc>
      </w:tr>
      <w:tr w:rsidR="009D7590" w:rsidRPr="009D7590" w14:paraId="739410E9" w14:textId="77777777" w:rsidTr="5A995008">
        <w:trPr>
          <w:trHeight w:val="300"/>
        </w:trPr>
        <w:tc>
          <w:tcPr>
            <w:tcW w:w="4770" w:type="dxa"/>
            <w:tcBorders>
              <w:top w:val="nil"/>
              <w:left w:val="nil"/>
              <w:bottom w:val="nil"/>
              <w:right w:val="nil"/>
            </w:tcBorders>
            <w:shd w:val="clear" w:color="auto" w:fill="AB2328"/>
            <w:vAlign w:val="bottom"/>
            <w:hideMark/>
          </w:tcPr>
          <w:p w14:paraId="5968CA42" w14:textId="77777777" w:rsidR="009D7590" w:rsidRPr="009D7590" w:rsidRDefault="009D7590" w:rsidP="009D7590">
            <w:pPr>
              <w:spacing w:line="240" w:lineRule="auto"/>
              <w:jc w:val="lef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Adjustments to the Revenue Resources</w:t>
            </w:r>
          </w:p>
        </w:tc>
        <w:tc>
          <w:tcPr>
            <w:tcW w:w="1017" w:type="dxa"/>
            <w:tcBorders>
              <w:top w:val="nil"/>
              <w:left w:val="nil"/>
              <w:bottom w:val="nil"/>
              <w:right w:val="nil"/>
            </w:tcBorders>
            <w:shd w:val="clear" w:color="auto" w:fill="AB2328"/>
            <w:vAlign w:val="center"/>
            <w:hideMark/>
          </w:tcPr>
          <w:p w14:paraId="242425E3"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290" w:type="dxa"/>
            <w:tcBorders>
              <w:top w:val="nil"/>
              <w:left w:val="nil"/>
              <w:bottom w:val="nil"/>
              <w:right w:val="nil"/>
            </w:tcBorders>
            <w:shd w:val="clear" w:color="auto" w:fill="AB2328"/>
            <w:vAlign w:val="center"/>
            <w:hideMark/>
          </w:tcPr>
          <w:p w14:paraId="19CE3C20"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170" w:type="dxa"/>
            <w:tcBorders>
              <w:top w:val="nil"/>
              <w:left w:val="nil"/>
              <w:bottom w:val="nil"/>
              <w:right w:val="nil"/>
            </w:tcBorders>
            <w:shd w:val="clear" w:color="auto" w:fill="AB2328"/>
            <w:vAlign w:val="center"/>
            <w:hideMark/>
          </w:tcPr>
          <w:p w14:paraId="17E5561E"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990" w:type="dxa"/>
            <w:tcBorders>
              <w:top w:val="nil"/>
              <w:left w:val="nil"/>
              <w:bottom w:val="nil"/>
              <w:right w:val="nil"/>
            </w:tcBorders>
            <w:shd w:val="clear" w:color="auto" w:fill="AB2328"/>
            <w:vAlign w:val="center"/>
            <w:hideMark/>
          </w:tcPr>
          <w:p w14:paraId="5425831B"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232" w:type="dxa"/>
            <w:tcBorders>
              <w:top w:val="nil"/>
              <w:left w:val="nil"/>
              <w:bottom w:val="nil"/>
              <w:right w:val="nil"/>
            </w:tcBorders>
            <w:shd w:val="clear" w:color="auto" w:fill="AB2328"/>
            <w:vAlign w:val="center"/>
            <w:hideMark/>
          </w:tcPr>
          <w:p w14:paraId="3E238437"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r>
      <w:tr w:rsidR="009D7590" w:rsidRPr="009D7590" w14:paraId="10B16838" w14:textId="77777777" w:rsidTr="5A995008">
        <w:trPr>
          <w:trHeight w:val="60"/>
        </w:trPr>
        <w:tc>
          <w:tcPr>
            <w:tcW w:w="4770" w:type="dxa"/>
            <w:tcBorders>
              <w:top w:val="nil"/>
              <w:left w:val="nil"/>
              <w:bottom w:val="nil"/>
              <w:right w:val="nil"/>
            </w:tcBorders>
            <w:shd w:val="clear" w:color="auto" w:fill="FFFFFF" w:themeFill="background1"/>
            <w:vAlign w:val="center"/>
            <w:hideMark/>
          </w:tcPr>
          <w:p w14:paraId="1259C02B" w14:textId="77777777" w:rsidR="009D7590" w:rsidRPr="009D7590" w:rsidRDefault="009D7590" w:rsidP="009D7590">
            <w:pPr>
              <w:spacing w:line="240" w:lineRule="auto"/>
              <w:jc w:val="lef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017" w:type="dxa"/>
            <w:tcBorders>
              <w:top w:val="nil"/>
              <w:left w:val="nil"/>
              <w:bottom w:val="nil"/>
              <w:right w:val="nil"/>
            </w:tcBorders>
            <w:shd w:val="clear" w:color="auto" w:fill="FFFFFF" w:themeFill="background1"/>
            <w:vAlign w:val="center"/>
            <w:hideMark/>
          </w:tcPr>
          <w:p w14:paraId="182DFF79"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290" w:type="dxa"/>
            <w:tcBorders>
              <w:top w:val="nil"/>
              <w:left w:val="nil"/>
              <w:bottom w:val="nil"/>
              <w:right w:val="nil"/>
            </w:tcBorders>
            <w:shd w:val="clear" w:color="auto" w:fill="FFFFFF" w:themeFill="background1"/>
            <w:vAlign w:val="center"/>
            <w:hideMark/>
          </w:tcPr>
          <w:p w14:paraId="37AE943B"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170" w:type="dxa"/>
            <w:tcBorders>
              <w:top w:val="nil"/>
              <w:left w:val="nil"/>
              <w:bottom w:val="nil"/>
              <w:right w:val="nil"/>
            </w:tcBorders>
            <w:shd w:val="clear" w:color="auto" w:fill="FFFFFF" w:themeFill="background1"/>
            <w:vAlign w:val="center"/>
            <w:hideMark/>
          </w:tcPr>
          <w:p w14:paraId="3F797C04"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990" w:type="dxa"/>
            <w:tcBorders>
              <w:top w:val="nil"/>
              <w:left w:val="nil"/>
              <w:bottom w:val="nil"/>
              <w:right w:val="nil"/>
            </w:tcBorders>
            <w:shd w:val="clear" w:color="auto" w:fill="FFFFFF" w:themeFill="background1"/>
            <w:vAlign w:val="center"/>
            <w:hideMark/>
          </w:tcPr>
          <w:p w14:paraId="32978477"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232" w:type="dxa"/>
            <w:tcBorders>
              <w:top w:val="nil"/>
              <w:left w:val="nil"/>
              <w:bottom w:val="nil"/>
              <w:right w:val="nil"/>
            </w:tcBorders>
            <w:shd w:val="clear" w:color="auto" w:fill="FFFFFF" w:themeFill="background1"/>
            <w:noWrap/>
            <w:vAlign w:val="center"/>
            <w:hideMark/>
          </w:tcPr>
          <w:p w14:paraId="79C188FE"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r>
      <w:tr w:rsidR="009D7590" w:rsidRPr="009D7590" w14:paraId="652EBDC3" w14:textId="77777777" w:rsidTr="00845114">
        <w:trPr>
          <w:trHeight w:val="630"/>
        </w:trPr>
        <w:tc>
          <w:tcPr>
            <w:tcW w:w="9237" w:type="dxa"/>
            <w:gridSpan w:val="5"/>
            <w:tcBorders>
              <w:top w:val="nil"/>
              <w:left w:val="nil"/>
              <w:bottom w:val="nil"/>
              <w:right w:val="nil"/>
            </w:tcBorders>
            <w:shd w:val="clear" w:color="auto" w:fill="FFFFFF" w:themeFill="background1"/>
            <w:vAlign w:val="center"/>
            <w:hideMark/>
          </w:tcPr>
          <w:p w14:paraId="00F7EE36" w14:textId="77777777" w:rsidR="009D7590" w:rsidRPr="009D7590" w:rsidRDefault="009D7590" w:rsidP="00845114">
            <w:pPr>
              <w:spacing w:line="240" w:lineRule="auto"/>
              <w:jc w:val="lef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Amounts by which income and expenditure included in the CIES are different from Revenue for the year calculated in accordance with Statutory Requirements:</w:t>
            </w:r>
          </w:p>
        </w:tc>
        <w:tc>
          <w:tcPr>
            <w:tcW w:w="1232" w:type="dxa"/>
            <w:tcBorders>
              <w:top w:val="nil"/>
              <w:left w:val="nil"/>
              <w:bottom w:val="nil"/>
              <w:right w:val="nil"/>
            </w:tcBorders>
            <w:shd w:val="clear" w:color="auto" w:fill="FFFFFF" w:themeFill="background1"/>
            <w:noWrap/>
            <w:vAlign w:val="center"/>
            <w:hideMark/>
          </w:tcPr>
          <w:p w14:paraId="427A3421"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r>
      <w:tr w:rsidR="009D7590" w:rsidRPr="009D7590" w14:paraId="625E54E8"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4D32DD19"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Pension costs (transferred to (or from) the Pensions Reserve</w:t>
            </w:r>
          </w:p>
        </w:tc>
        <w:tc>
          <w:tcPr>
            <w:tcW w:w="1017" w:type="dxa"/>
            <w:tcBorders>
              <w:top w:val="nil"/>
              <w:left w:val="nil"/>
              <w:bottom w:val="nil"/>
              <w:right w:val="nil"/>
            </w:tcBorders>
            <w:shd w:val="clear" w:color="auto" w:fill="FFFFFF" w:themeFill="background1"/>
            <w:vAlign w:val="center"/>
            <w:hideMark/>
          </w:tcPr>
          <w:p w14:paraId="3358DA3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(3,685)</w:t>
            </w:r>
          </w:p>
        </w:tc>
        <w:tc>
          <w:tcPr>
            <w:tcW w:w="1290" w:type="dxa"/>
            <w:tcBorders>
              <w:top w:val="nil"/>
              <w:left w:val="nil"/>
              <w:bottom w:val="nil"/>
              <w:right w:val="nil"/>
            </w:tcBorders>
            <w:shd w:val="clear" w:color="auto" w:fill="FFFFFF" w:themeFill="background1"/>
            <w:vAlign w:val="center"/>
            <w:hideMark/>
          </w:tcPr>
          <w:p w14:paraId="72B7D9B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1228906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3939C07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7799CD1A"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3,685</w:t>
            </w:r>
          </w:p>
        </w:tc>
      </w:tr>
      <w:tr w:rsidR="009D7590" w:rsidRPr="009D7590" w14:paraId="51021B2C" w14:textId="77777777" w:rsidTr="00845114">
        <w:trPr>
          <w:trHeight w:val="600"/>
        </w:trPr>
        <w:tc>
          <w:tcPr>
            <w:tcW w:w="4770" w:type="dxa"/>
            <w:tcBorders>
              <w:top w:val="nil"/>
              <w:left w:val="nil"/>
              <w:bottom w:val="nil"/>
              <w:right w:val="nil"/>
            </w:tcBorders>
            <w:shd w:val="clear" w:color="auto" w:fill="FFFFFF" w:themeFill="background1"/>
            <w:vAlign w:val="center"/>
            <w:hideMark/>
          </w:tcPr>
          <w:p w14:paraId="57EC28DD"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Depreciation and Impairment Losses moved to Capital Adj Account</w:t>
            </w:r>
          </w:p>
        </w:tc>
        <w:tc>
          <w:tcPr>
            <w:tcW w:w="1017" w:type="dxa"/>
            <w:tcBorders>
              <w:top w:val="nil"/>
              <w:left w:val="nil"/>
              <w:bottom w:val="nil"/>
              <w:right w:val="nil"/>
            </w:tcBorders>
            <w:shd w:val="clear" w:color="auto" w:fill="FFFFFF" w:themeFill="background1"/>
            <w:vAlign w:val="center"/>
            <w:hideMark/>
          </w:tcPr>
          <w:p w14:paraId="19E8854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(2,250)</w:t>
            </w:r>
          </w:p>
        </w:tc>
        <w:tc>
          <w:tcPr>
            <w:tcW w:w="1290" w:type="dxa"/>
            <w:tcBorders>
              <w:top w:val="nil"/>
              <w:left w:val="nil"/>
              <w:bottom w:val="nil"/>
              <w:right w:val="nil"/>
            </w:tcBorders>
            <w:shd w:val="clear" w:color="auto" w:fill="FFFFFF" w:themeFill="background1"/>
            <w:vAlign w:val="center"/>
            <w:hideMark/>
          </w:tcPr>
          <w:p w14:paraId="084E7461"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44D3507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79C25A36"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300BD549"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2,250</w:t>
            </w:r>
          </w:p>
        </w:tc>
      </w:tr>
      <w:tr w:rsidR="009D7590" w:rsidRPr="009D7590" w14:paraId="3F453890"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58D95607"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Change in Accumulated Absence Charge</w:t>
            </w:r>
          </w:p>
        </w:tc>
        <w:tc>
          <w:tcPr>
            <w:tcW w:w="1017" w:type="dxa"/>
            <w:tcBorders>
              <w:top w:val="nil"/>
              <w:left w:val="nil"/>
              <w:bottom w:val="nil"/>
              <w:right w:val="nil"/>
            </w:tcBorders>
            <w:shd w:val="clear" w:color="auto" w:fill="FFFFFF" w:themeFill="background1"/>
            <w:vAlign w:val="center"/>
            <w:hideMark/>
          </w:tcPr>
          <w:p w14:paraId="24C62BB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(261)</w:t>
            </w:r>
          </w:p>
        </w:tc>
        <w:tc>
          <w:tcPr>
            <w:tcW w:w="1290" w:type="dxa"/>
            <w:tcBorders>
              <w:top w:val="nil"/>
              <w:left w:val="nil"/>
              <w:bottom w:val="nil"/>
              <w:right w:val="nil"/>
            </w:tcBorders>
            <w:shd w:val="clear" w:color="auto" w:fill="FFFFFF" w:themeFill="background1"/>
            <w:vAlign w:val="center"/>
            <w:hideMark/>
          </w:tcPr>
          <w:p w14:paraId="6188489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4456011B"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3275356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558DE2DE"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261</w:t>
            </w:r>
          </w:p>
        </w:tc>
      </w:tr>
      <w:tr w:rsidR="009D7590" w:rsidRPr="009D7590" w14:paraId="759C0F94"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5D97C4F4"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Capital Expenditure Funded by Revenue Funding (RCCO)</w:t>
            </w:r>
          </w:p>
        </w:tc>
        <w:tc>
          <w:tcPr>
            <w:tcW w:w="1017" w:type="dxa"/>
            <w:tcBorders>
              <w:top w:val="nil"/>
              <w:left w:val="nil"/>
              <w:bottom w:val="nil"/>
              <w:right w:val="nil"/>
            </w:tcBorders>
            <w:shd w:val="clear" w:color="auto" w:fill="FFFFFF" w:themeFill="background1"/>
            <w:vAlign w:val="center"/>
            <w:hideMark/>
          </w:tcPr>
          <w:p w14:paraId="226B99E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218</w:t>
            </w:r>
          </w:p>
        </w:tc>
        <w:tc>
          <w:tcPr>
            <w:tcW w:w="1290" w:type="dxa"/>
            <w:tcBorders>
              <w:top w:val="nil"/>
              <w:left w:val="nil"/>
              <w:bottom w:val="nil"/>
              <w:right w:val="nil"/>
            </w:tcBorders>
            <w:shd w:val="clear" w:color="auto" w:fill="FFFFFF" w:themeFill="background1"/>
            <w:vAlign w:val="center"/>
            <w:hideMark/>
          </w:tcPr>
          <w:p w14:paraId="14FC4E3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2E528F1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30494FA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0780DC9C"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(218)</w:t>
            </w:r>
          </w:p>
        </w:tc>
      </w:tr>
      <w:tr w:rsidR="009D7590" w:rsidRPr="009D7590" w14:paraId="3D523841"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7F0EA8D5"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Minimum Revenue Provision (MRP)</w:t>
            </w:r>
          </w:p>
        </w:tc>
        <w:tc>
          <w:tcPr>
            <w:tcW w:w="1017" w:type="dxa"/>
            <w:tcBorders>
              <w:top w:val="nil"/>
              <w:left w:val="nil"/>
              <w:bottom w:val="nil"/>
              <w:right w:val="nil"/>
            </w:tcBorders>
            <w:shd w:val="clear" w:color="auto" w:fill="FFFFFF" w:themeFill="background1"/>
            <w:vAlign w:val="center"/>
            <w:hideMark/>
          </w:tcPr>
          <w:p w14:paraId="706FEE2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166</w:t>
            </w:r>
          </w:p>
        </w:tc>
        <w:tc>
          <w:tcPr>
            <w:tcW w:w="1290" w:type="dxa"/>
            <w:tcBorders>
              <w:top w:val="nil"/>
              <w:left w:val="nil"/>
              <w:bottom w:val="nil"/>
              <w:right w:val="nil"/>
            </w:tcBorders>
            <w:shd w:val="clear" w:color="auto" w:fill="FFFFFF" w:themeFill="background1"/>
            <w:vAlign w:val="center"/>
            <w:hideMark/>
          </w:tcPr>
          <w:p w14:paraId="11117631"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65EFE5A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3F4B20A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403145DE"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(166)</w:t>
            </w:r>
          </w:p>
        </w:tc>
      </w:tr>
      <w:tr w:rsidR="009D7590" w:rsidRPr="009D7590" w14:paraId="534BFDDD"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1644F0F4"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Capital Receipts Received in year</w:t>
            </w:r>
          </w:p>
        </w:tc>
        <w:tc>
          <w:tcPr>
            <w:tcW w:w="1017" w:type="dxa"/>
            <w:tcBorders>
              <w:top w:val="nil"/>
              <w:left w:val="nil"/>
              <w:bottom w:val="nil"/>
              <w:right w:val="nil"/>
            </w:tcBorders>
            <w:shd w:val="clear" w:color="auto" w:fill="FFFFFF" w:themeFill="background1"/>
            <w:vAlign w:val="center"/>
            <w:hideMark/>
          </w:tcPr>
          <w:p w14:paraId="6DDC843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90</w:t>
            </w:r>
          </w:p>
        </w:tc>
        <w:tc>
          <w:tcPr>
            <w:tcW w:w="1290" w:type="dxa"/>
            <w:tcBorders>
              <w:top w:val="nil"/>
              <w:left w:val="nil"/>
              <w:bottom w:val="nil"/>
              <w:right w:val="nil"/>
            </w:tcBorders>
            <w:shd w:val="clear" w:color="auto" w:fill="FFFFFF" w:themeFill="background1"/>
            <w:vAlign w:val="center"/>
            <w:hideMark/>
          </w:tcPr>
          <w:p w14:paraId="3FC978C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2F2ACCF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18072BA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(90)</w:t>
            </w:r>
          </w:p>
        </w:tc>
        <w:tc>
          <w:tcPr>
            <w:tcW w:w="1232" w:type="dxa"/>
            <w:tcBorders>
              <w:top w:val="nil"/>
              <w:left w:val="nil"/>
              <w:bottom w:val="nil"/>
              <w:right w:val="nil"/>
            </w:tcBorders>
            <w:shd w:val="clear" w:color="auto" w:fill="FFFFFF" w:themeFill="background1"/>
            <w:noWrap/>
            <w:vAlign w:val="center"/>
            <w:hideMark/>
          </w:tcPr>
          <w:p w14:paraId="6622776A"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w:t>
            </w:r>
          </w:p>
        </w:tc>
      </w:tr>
      <w:tr w:rsidR="009D7590" w:rsidRPr="009D7590" w14:paraId="6CE086CC"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2556F7C1"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S106 Funding</w:t>
            </w:r>
          </w:p>
        </w:tc>
        <w:tc>
          <w:tcPr>
            <w:tcW w:w="1017" w:type="dxa"/>
            <w:tcBorders>
              <w:top w:val="nil"/>
              <w:left w:val="nil"/>
              <w:bottom w:val="nil"/>
              <w:right w:val="nil"/>
            </w:tcBorders>
            <w:shd w:val="clear" w:color="auto" w:fill="FFFFFF" w:themeFill="background1"/>
            <w:vAlign w:val="center"/>
            <w:hideMark/>
          </w:tcPr>
          <w:p w14:paraId="146B733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90" w:type="dxa"/>
            <w:tcBorders>
              <w:top w:val="nil"/>
              <w:left w:val="nil"/>
              <w:bottom w:val="nil"/>
              <w:right w:val="nil"/>
            </w:tcBorders>
            <w:shd w:val="clear" w:color="auto" w:fill="FFFFFF" w:themeFill="background1"/>
            <w:vAlign w:val="center"/>
            <w:hideMark/>
          </w:tcPr>
          <w:p w14:paraId="7930D9F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34</w:t>
            </w:r>
          </w:p>
        </w:tc>
        <w:tc>
          <w:tcPr>
            <w:tcW w:w="1170" w:type="dxa"/>
            <w:tcBorders>
              <w:top w:val="nil"/>
              <w:left w:val="nil"/>
              <w:bottom w:val="nil"/>
              <w:right w:val="nil"/>
            </w:tcBorders>
            <w:shd w:val="clear" w:color="auto" w:fill="FFFFFF" w:themeFill="background1"/>
            <w:vAlign w:val="center"/>
            <w:hideMark/>
          </w:tcPr>
          <w:p w14:paraId="62273E75"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16940B6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48868D1E"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(34)</w:t>
            </w:r>
          </w:p>
        </w:tc>
      </w:tr>
      <w:tr w:rsidR="009D7590" w:rsidRPr="009D7590" w14:paraId="73F825CD"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7CA02436"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Capital Receipts</w:t>
            </w:r>
          </w:p>
        </w:tc>
        <w:tc>
          <w:tcPr>
            <w:tcW w:w="1017" w:type="dxa"/>
            <w:tcBorders>
              <w:top w:val="nil"/>
              <w:left w:val="nil"/>
              <w:bottom w:val="nil"/>
              <w:right w:val="nil"/>
            </w:tcBorders>
            <w:shd w:val="clear" w:color="auto" w:fill="FFFFFF" w:themeFill="background1"/>
            <w:vAlign w:val="center"/>
            <w:hideMark/>
          </w:tcPr>
          <w:p w14:paraId="269A1F3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90" w:type="dxa"/>
            <w:tcBorders>
              <w:top w:val="nil"/>
              <w:left w:val="nil"/>
              <w:bottom w:val="nil"/>
              <w:right w:val="nil"/>
            </w:tcBorders>
            <w:shd w:val="clear" w:color="auto" w:fill="FFFFFF" w:themeFill="background1"/>
            <w:vAlign w:val="center"/>
            <w:hideMark/>
          </w:tcPr>
          <w:p w14:paraId="01ACFEC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64B660F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43B3EE88"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90</w:t>
            </w:r>
          </w:p>
        </w:tc>
        <w:tc>
          <w:tcPr>
            <w:tcW w:w="1232" w:type="dxa"/>
            <w:tcBorders>
              <w:top w:val="nil"/>
              <w:left w:val="nil"/>
              <w:bottom w:val="nil"/>
              <w:right w:val="nil"/>
            </w:tcBorders>
            <w:shd w:val="clear" w:color="auto" w:fill="FFFFFF" w:themeFill="background1"/>
            <w:noWrap/>
            <w:vAlign w:val="center"/>
            <w:hideMark/>
          </w:tcPr>
          <w:p w14:paraId="68D2A45B"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(90)</w:t>
            </w:r>
          </w:p>
        </w:tc>
      </w:tr>
      <w:tr w:rsidR="009D7590" w:rsidRPr="009D7590" w14:paraId="49FC42BA"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11CF1526"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Capital Grants</w:t>
            </w:r>
          </w:p>
        </w:tc>
        <w:tc>
          <w:tcPr>
            <w:tcW w:w="1017" w:type="dxa"/>
            <w:tcBorders>
              <w:top w:val="nil"/>
              <w:left w:val="nil"/>
              <w:bottom w:val="nil"/>
              <w:right w:val="nil"/>
            </w:tcBorders>
            <w:shd w:val="clear" w:color="auto" w:fill="FFFFFF" w:themeFill="background1"/>
            <w:vAlign w:val="center"/>
            <w:hideMark/>
          </w:tcPr>
          <w:p w14:paraId="506B070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19</w:t>
            </w:r>
          </w:p>
        </w:tc>
        <w:tc>
          <w:tcPr>
            <w:tcW w:w="1290" w:type="dxa"/>
            <w:tcBorders>
              <w:top w:val="nil"/>
              <w:left w:val="nil"/>
              <w:bottom w:val="nil"/>
              <w:right w:val="nil"/>
            </w:tcBorders>
            <w:shd w:val="clear" w:color="auto" w:fill="FFFFFF" w:themeFill="background1"/>
            <w:vAlign w:val="center"/>
            <w:hideMark/>
          </w:tcPr>
          <w:p w14:paraId="34F9888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63F7C64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337FBD0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4683D12B"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(19)</w:t>
            </w:r>
          </w:p>
        </w:tc>
      </w:tr>
      <w:tr w:rsidR="009D7590" w:rsidRPr="009D7590" w14:paraId="1AB2724B"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6D98A6D2"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Collection Fund Income</w:t>
            </w:r>
          </w:p>
        </w:tc>
        <w:tc>
          <w:tcPr>
            <w:tcW w:w="1017" w:type="dxa"/>
            <w:tcBorders>
              <w:top w:val="nil"/>
              <w:left w:val="nil"/>
              <w:bottom w:val="nil"/>
              <w:right w:val="nil"/>
            </w:tcBorders>
            <w:shd w:val="clear" w:color="auto" w:fill="FFFFFF" w:themeFill="background1"/>
            <w:vAlign w:val="center"/>
            <w:hideMark/>
          </w:tcPr>
          <w:p w14:paraId="1444AA8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206</w:t>
            </w:r>
          </w:p>
        </w:tc>
        <w:tc>
          <w:tcPr>
            <w:tcW w:w="1290" w:type="dxa"/>
            <w:tcBorders>
              <w:top w:val="nil"/>
              <w:left w:val="nil"/>
              <w:bottom w:val="nil"/>
              <w:right w:val="nil"/>
            </w:tcBorders>
            <w:shd w:val="clear" w:color="auto" w:fill="FFFFFF" w:themeFill="background1"/>
            <w:vAlign w:val="center"/>
            <w:hideMark/>
          </w:tcPr>
          <w:p w14:paraId="294F71D6"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FFFF" w:themeFill="background1"/>
            <w:vAlign w:val="center"/>
            <w:hideMark/>
          </w:tcPr>
          <w:p w14:paraId="67CEE25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FFFF" w:themeFill="background1"/>
            <w:vAlign w:val="center"/>
            <w:hideMark/>
          </w:tcPr>
          <w:p w14:paraId="06CD843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FFFF" w:themeFill="background1"/>
            <w:noWrap/>
            <w:vAlign w:val="center"/>
            <w:hideMark/>
          </w:tcPr>
          <w:p w14:paraId="1555E157"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(206)</w:t>
            </w:r>
          </w:p>
        </w:tc>
      </w:tr>
      <w:tr w:rsidR="009D7590" w:rsidRPr="009D7590" w14:paraId="07626C21" w14:textId="77777777" w:rsidTr="00845114">
        <w:trPr>
          <w:trHeight w:val="300"/>
        </w:trPr>
        <w:tc>
          <w:tcPr>
            <w:tcW w:w="4770"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4AD756C0" w14:textId="77777777" w:rsidR="009D7590" w:rsidRPr="009D7590" w:rsidRDefault="009D7590" w:rsidP="00845114">
            <w:pPr>
              <w:spacing w:line="240" w:lineRule="auto"/>
              <w:jc w:val="left"/>
              <w:rPr>
                <w:rFonts w:ascii="Calibri" w:eastAsia="Times New Roman" w:hAnsi="Calibri" w:cs="Calibri"/>
                <w:b/>
                <w:bCs/>
                <w:lang w:eastAsia="en-GB"/>
              </w:rPr>
            </w:pPr>
            <w:r w:rsidRPr="009D7590">
              <w:rPr>
                <w:rFonts w:ascii="Calibri" w:eastAsia="Times New Roman" w:hAnsi="Calibri" w:cs="Calibri"/>
                <w:b/>
                <w:bCs/>
                <w:lang w:eastAsia="en-GB"/>
              </w:rPr>
              <w:t>Total Adjustment to Revenue Resources</w:t>
            </w:r>
          </w:p>
        </w:tc>
        <w:tc>
          <w:tcPr>
            <w:tcW w:w="1017"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4227E3B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(5,497)</w:t>
            </w:r>
          </w:p>
        </w:tc>
        <w:tc>
          <w:tcPr>
            <w:tcW w:w="1290"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0F5870ED"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34</w:t>
            </w:r>
          </w:p>
        </w:tc>
        <w:tc>
          <w:tcPr>
            <w:tcW w:w="1170"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4EF0EE7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0BF9382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72ECF43B"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5,463</w:t>
            </w:r>
          </w:p>
        </w:tc>
      </w:tr>
      <w:tr w:rsidR="009D7590" w:rsidRPr="009D7590" w14:paraId="1401AB91" w14:textId="77777777" w:rsidTr="5A995008">
        <w:trPr>
          <w:trHeight w:val="192"/>
        </w:trPr>
        <w:tc>
          <w:tcPr>
            <w:tcW w:w="4770" w:type="dxa"/>
            <w:tcBorders>
              <w:top w:val="nil"/>
              <w:left w:val="nil"/>
              <w:bottom w:val="nil"/>
              <w:right w:val="nil"/>
            </w:tcBorders>
            <w:shd w:val="clear" w:color="auto" w:fill="FFFFFF" w:themeFill="background1"/>
            <w:vAlign w:val="bottom"/>
            <w:hideMark/>
          </w:tcPr>
          <w:p w14:paraId="65DAE8A8" w14:textId="77777777" w:rsidR="009D7590" w:rsidRPr="009D7590" w:rsidRDefault="009D7590" w:rsidP="009D7590">
            <w:pPr>
              <w:spacing w:line="240" w:lineRule="auto"/>
              <w:jc w:val="lef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1017" w:type="dxa"/>
            <w:tcBorders>
              <w:top w:val="nil"/>
              <w:left w:val="nil"/>
              <w:bottom w:val="nil"/>
              <w:right w:val="nil"/>
            </w:tcBorders>
            <w:shd w:val="clear" w:color="auto" w:fill="FFFFFF" w:themeFill="background1"/>
            <w:vAlign w:val="center"/>
            <w:hideMark/>
          </w:tcPr>
          <w:p w14:paraId="1A1C577D" w14:textId="77777777" w:rsidR="009D7590" w:rsidRPr="009D7590" w:rsidRDefault="009D7590" w:rsidP="009D7590">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1290" w:type="dxa"/>
            <w:tcBorders>
              <w:top w:val="nil"/>
              <w:left w:val="nil"/>
              <w:bottom w:val="nil"/>
              <w:right w:val="nil"/>
            </w:tcBorders>
            <w:shd w:val="clear" w:color="auto" w:fill="FFFFFF" w:themeFill="background1"/>
            <w:vAlign w:val="center"/>
            <w:hideMark/>
          </w:tcPr>
          <w:p w14:paraId="4C5523D0" w14:textId="77777777" w:rsidR="009D7590" w:rsidRPr="009D7590" w:rsidRDefault="009D7590" w:rsidP="009D7590">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1170" w:type="dxa"/>
            <w:tcBorders>
              <w:top w:val="nil"/>
              <w:left w:val="nil"/>
              <w:bottom w:val="nil"/>
              <w:right w:val="nil"/>
            </w:tcBorders>
            <w:shd w:val="clear" w:color="auto" w:fill="FFFFFF" w:themeFill="background1"/>
            <w:vAlign w:val="center"/>
            <w:hideMark/>
          </w:tcPr>
          <w:p w14:paraId="794BAE63" w14:textId="77777777" w:rsidR="009D7590" w:rsidRPr="009D7590" w:rsidRDefault="009D7590" w:rsidP="009D7590">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990" w:type="dxa"/>
            <w:tcBorders>
              <w:top w:val="nil"/>
              <w:left w:val="nil"/>
              <w:bottom w:val="nil"/>
              <w:right w:val="nil"/>
            </w:tcBorders>
            <w:shd w:val="clear" w:color="auto" w:fill="FFFFFF" w:themeFill="background1"/>
            <w:vAlign w:val="center"/>
            <w:hideMark/>
          </w:tcPr>
          <w:p w14:paraId="676E0546" w14:textId="77777777" w:rsidR="009D7590" w:rsidRPr="009D7590" w:rsidRDefault="009D7590" w:rsidP="009D7590">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1232" w:type="dxa"/>
            <w:tcBorders>
              <w:top w:val="nil"/>
              <w:left w:val="nil"/>
              <w:bottom w:val="nil"/>
              <w:right w:val="nil"/>
            </w:tcBorders>
            <w:shd w:val="clear" w:color="auto" w:fill="FFFFFF" w:themeFill="background1"/>
            <w:noWrap/>
            <w:vAlign w:val="center"/>
            <w:hideMark/>
          </w:tcPr>
          <w:p w14:paraId="02CD2B45" w14:textId="77777777" w:rsidR="009D7590" w:rsidRPr="009D7590" w:rsidRDefault="009D7590" w:rsidP="009D7590">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 </w:t>
            </w:r>
          </w:p>
        </w:tc>
      </w:tr>
      <w:tr w:rsidR="009D7590" w:rsidRPr="009D7590" w14:paraId="24BA1117" w14:textId="77777777" w:rsidTr="5A995008">
        <w:trPr>
          <w:trHeight w:val="300"/>
        </w:trPr>
        <w:tc>
          <w:tcPr>
            <w:tcW w:w="4770" w:type="dxa"/>
            <w:tcBorders>
              <w:top w:val="nil"/>
              <w:left w:val="nil"/>
              <w:bottom w:val="nil"/>
              <w:right w:val="nil"/>
            </w:tcBorders>
            <w:shd w:val="clear" w:color="auto" w:fill="FFFFFF" w:themeFill="background1"/>
            <w:vAlign w:val="bottom"/>
            <w:hideMark/>
          </w:tcPr>
          <w:p w14:paraId="1F1FA7AE" w14:textId="77777777" w:rsidR="009D7590" w:rsidRPr="009D7590" w:rsidRDefault="009D7590" w:rsidP="009D7590">
            <w:pPr>
              <w:spacing w:line="240" w:lineRule="auto"/>
              <w:jc w:val="left"/>
              <w:rPr>
                <w:rFonts w:ascii="Calibri" w:eastAsia="Times New Roman" w:hAnsi="Calibri" w:cs="Calibri"/>
                <w:b/>
                <w:bCs/>
                <w:lang w:eastAsia="en-GB"/>
              </w:rPr>
            </w:pPr>
            <w:r w:rsidRPr="009D7590">
              <w:rPr>
                <w:rFonts w:ascii="Calibri" w:eastAsia="Times New Roman" w:hAnsi="Calibri" w:cs="Calibri"/>
                <w:b/>
                <w:bCs/>
                <w:lang w:eastAsia="en-GB"/>
              </w:rPr>
              <w:t> </w:t>
            </w:r>
          </w:p>
        </w:tc>
        <w:tc>
          <w:tcPr>
            <w:tcW w:w="5699" w:type="dxa"/>
            <w:gridSpan w:val="5"/>
            <w:tcBorders>
              <w:top w:val="nil"/>
              <w:left w:val="nil"/>
              <w:bottom w:val="nil"/>
              <w:right w:val="nil"/>
            </w:tcBorders>
            <w:shd w:val="clear" w:color="auto" w:fill="AB2328"/>
            <w:vAlign w:val="center"/>
            <w:hideMark/>
          </w:tcPr>
          <w:p w14:paraId="1C708C10" w14:textId="77777777" w:rsidR="009D7590" w:rsidRPr="009D7590" w:rsidRDefault="009D7590" w:rsidP="009D7590">
            <w:pPr>
              <w:spacing w:line="240" w:lineRule="auto"/>
              <w:jc w:val="center"/>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Usable Reserves</w:t>
            </w:r>
          </w:p>
        </w:tc>
      </w:tr>
      <w:tr w:rsidR="009D7590" w:rsidRPr="009D7590" w14:paraId="069ABCF4" w14:textId="77777777" w:rsidTr="5A995008">
        <w:trPr>
          <w:trHeight w:val="1095"/>
        </w:trPr>
        <w:tc>
          <w:tcPr>
            <w:tcW w:w="4770" w:type="dxa"/>
            <w:tcBorders>
              <w:top w:val="nil"/>
              <w:left w:val="nil"/>
              <w:bottom w:val="nil"/>
              <w:right w:val="nil"/>
            </w:tcBorders>
            <w:shd w:val="clear" w:color="auto" w:fill="AB2328"/>
            <w:vAlign w:val="bottom"/>
            <w:hideMark/>
          </w:tcPr>
          <w:p w14:paraId="112E5994" w14:textId="77777777" w:rsidR="009D7590" w:rsidRPr="009D7590" w:rsidRDefault="009D7590" w:rsidP="009D7590">
            <w:pPr>
              <w:spacing w:line="240" w:lineRule="auto"/>
              <w:jc w:val="lef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2024/25</w:t>
            </w:r>
          </w:p>
        </w:tc>
        <w:tc>
          <w:tcPr>
            <w:tcW w:w="1017" w:type="dxa"/>
            <w:tcBorders>
              <w:top w:val="nil"/>
              <w:left w:val="nil"/>
              <w:bottom w:val="nil"/>
              <w:right w:val="nil"/>
            </w:tcBorders>
            <w:shd w:val="clear" w:color="auto" w:fill="AB2328"/>
            <w:vAlign w:val="center"/>
            <w:hideMark/>
          </w:tcPr>
          <w:p w14:paraId="3A2F3B69"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General Fund Balance</w:t>
            </w:r>
          </w:p>
        </w:tc>
        <w:tc>
          <w:tcPr>
            <w:tcW w:w="1290" w:type="dxa"/>
            <w:tcBorders>
              <w:top w:val="nil"/>
              <w:left w:val="nil"/>
              <w:bottom w:val="nil"/>
              <w:right w:val="nil"/>
            </w:tcBorders>
            <w:shd w:val="clear" w:color="auto" w:fill="AB2328"/>
            <w:vAlign w:val="center"/>
            <w:hideMark/>
          </w:tcPr>
          <w:p w14:paraId="41071146"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Earmarked Reserves</w:t>
            </w:r>
          </w:p>
        </w:tc>
        <w:tc>
          <w:tcPr>
            <w:tcW w:w="1170" w:type="dxa"/>
            <w:tcBorders>
              <w:top w:val="nil"/>
              <w:left w:val="nil"/>
              <w:bottom w:val="nil"/>
              <w:right w:val="nil"/>
            </w:tcBorders>
            <w:shd w:val="clear" w:color="auto" w:fill="AB2328"/>
            <w:vAlign w:val="center"/>
            <w:hideMark/>
          </w:tcPr>
          <w:p w14:paraId="472E7402"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Capital Grants Unapplied</w:t>
            </w:r>
          </w:p>
        </w:tc>
        <w:tc>
          <w:tcPr>
            <w:tcW w:w="990" w:type="dxa"/>
            <w:tcBorders>
              <w:top w:val="nil"/>
              <w:left w:val="nil"/>
              <w:bottom w:val="nil"/>
              <w:right w:val="nil"/>
            </w:tcBorders>
            <w:shd w:val="clear" w:color="auto" w:fill="AB2328"/>
            <w:vAlign w:val="center"/>
            <w:hideMark/>
          </w:tcPr>
          <w:p w14:paraId="5C2558CD"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Capital Receipts Reserve</w:t>
            </w:r>
          </w:p>
        </w:tc>
        <w:tc>
          <w:tcPr>
            <w:tcW w:w="1232" w:type="dxa"/>
            <w:tcBorders>
              <w:top w:val="nil"/>
              <w:left w:val="nil"/>
              <w:bottom w:val="nil"/>
              <w:right w:val="nil"/>
            </w:tcBorders>
            <w:shd w:val="clear" w:color="auto" w:fill="AB2328"/>
            <w:vAlign w:val="center"/>
            <w:hideMark/>
          </w:tcPr>
          <w:p w14:paraId="1FCC95C7"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Movement in Unusable Reserves</w:t>
            </w:r>
          </w:p>
        </w:tc>
      </w:tr>
      <w:tr w:rsidR="009D7590" w:rsidRPr="009D7590" w14:paraId="61A3BF60" w14:textId="77777777" w:rsidTr="5A995008">
        <w:trPr>
          <w:trHeight w:val="300"/>
        </w:trPr>
        <w:tc>
          <w:tcPr>
            <w:tcW w:w="4770" w:type="dxa"/>
            <w:tcBorders>
              <w:top w:val="nil"/>
              <w:left w:val="nil"/>
              <w:bottom w:val="nil"/>
              <w:right w:val="nil"/>
            </w:tcBorders>
            <w:shd w:val="clear" w:color="auto" w:fill="AB2328"/>
            <w:vAlign w:val="bottom"/>
            <w:hideMark/>
          </w:tcPr>
          <w:p w14:paraId="794F7EF4" w14:textId="77777777" w:rsidR="009D7590" w:rsidRPr="009D7590" w:rsidRDefault="009D7590" w:rsidP="009D7590">
            <w:pPr>
              <w:spacing w:line="240" w:lineRule="auto"/>
              <w:jc w:val="lef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Adjustments to the Revenue Resources</w:t>
            </w:r>
          </w:p>
        </w:tc>
        <w:tc>
          <w:tcPr>
            <w:tcW w:w="1017" w:type="dxa"/>
            <w:tcBorders>
              <w:top w:val="nil"/>
              <w:left w:val="nil"/>
              <w:bottom w:val="nil"/>
              <w:right w:val="nil"/>
            </w:tcBorders>
            <w:shd w:val="clear" w:color="auto" w:fill="AB2328"/>
            <w:vAlign w:val="center"/>
            <w:hideMark/>
          </w:tcPr>
          <w:p w14:paraId="79C65E2F"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290" w:type="dxa"/>
            <w:tcBorders>
              <w:top w:val="nil"/>
              <w:left w:val="nil"/>
              <w:bottom w:val="nil"/>
              <w:right w:val="nil"/>
            </w:tcBorders>
            <w:shd w:val="clear" w:color="auto" w:fill="AB2328"/>
            <w:vAlign w:val="center"/>
            <w:hideMark/>
          </w:tcPr>
          <w:p w14:paraId="4A18218B"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170" w:type="dxa"/>
            <w:tcBorders>
              <w:top w:val="nil"/>
              <w:left w:val="nil"/>
              <w:bottom w:val="nil"/>
              <w:right w:val="nil"/>
            </w:tcBorders>
            <w:shd w:val="clear" w:color="auto" w:fill="AB2328"/>
            <w:vAlign w:val="center"/>
            <w:hideMark/>
          </w:tcPr>
          <w:p w14:paraId="1ACB9DB3"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990" w:type="dxa"/>
            <w:tcBorders>
              <w:top w:val="nil"/>
              <w:left w:val="nil"/>
              <w:bottom w:val="nil"/>
              <w:right w:val="nil"/>
            </w:tcBorders>
            <w:shd w:val="clear" w:color="auto" w:fill="AB2328"/>
            <w:vAlign w:val="center"/>
            <w:hideMark/>
          </w:tcPr>
          <w:p w14:paraId="106DAB74"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c>
          <w:tcPr>
            <w:tcW w:w="1232" w:type="dxa"/>
            <w:tcBorders>
              <w:top w:val="nil"/>
              <w:left w:val="nil"/>
              <w:bottom w:val="nil"/>
              <w:right w:val="nil"/>
            </w:tcBorders>
            <w:shd w:val="clear" w:color="auto" w:fill="AB2328"/>
            <w:vAlign w:val="center"/>
            <w:hideMark/>
          </w:tcPr>
          <w:p w14:paraId="5A57494C" w14:textId="77777777" w:rsidR="009D7590" w:rsidRPr="009D7590" w:rsidRDefault="009D7590" w:rsidP="009D7590">
            <w:pPr>
              <w:spacing w:line="240" w:lineRule="auto"/>
              <w:jc w:val="right"/>
              <w:rPr>
                <w:rFonts w:ascii="Calibri" w:eastAsia="Times New Roman" w:hAnsi="Calibri" w:cs="Calibri"/>
                <w:b/>
                <w:bCs/>
                <w:color w:val="FFFFFF"/>
                <w:lang w:eastAsia="en-GB"/>
              </w:rPr>
            </w:pPr>
            <w:r w:rsidRPr="009D7590">
              <w:rPr>
                <w:rFonts w:ascii="Calibri" w:eastAsia="Times New Roman" w:hAnsi="Calibri" w:cs="Calibri"/>
                <w:b/>
                <w:bCs/>
                <w:color w:val="FFFFFF"/>
                <w:lang w:eastAsia="en-GB"/>
              </w:rPr>
              <w:t>£000</w:t>
            </w:r>
          </w:p>
        </w:tc>
      </w:tr>
      <w:tr w:rsidR="009D7590" w:rsidRPr="009D7590" w14:paraId="0460CBDE" w14:textId="77777777" w:rsidTr="5A995008">
        <w:trPr>
          <w:trHeight w:val="49"/>
        </w:trPr>
        <w:tc>
          <w:tcPr>
            <w:tcW w:w="4770" w:type="dxa"/>
            <w:tcBorders>
              <w:top w:val="nil"/>
              <w:left w:val="nil"/>
              <w:bottom w:val="nil"/>
              <w:right w:val="nil"/>
            </w:tcBorders>
            <w:shd w:val="clear" w:color="auto" w:fill="FFFFFF" w:themeFill="background1"/>
            <w:vAlign w:val="bottom"/>
            <w:hideMark/>
          </w:tcPr>
          <w:p w14:paraId="61F1ACC0" w14:textId="77777777" w:rsidR="009D7590" w:rsidRPr="009D7590" w:rsidRDefault="009D7590" w:rsidP="009D7590">
            <w:pPr>
              <w:spacing w:line="240" w:lineRule="auto"/>
              <w:jc w:val="lef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017" w:type="dxa"/>
            <w:tcBorders>
              <w:top w:val="nil"/>
              <w:left w:val="nil"/>
              <w:bottom w:val="nil"/>
              <w:right w:val="nil"/>
            </w:tcBorders>
            <w:shd w:val="clear" w:color="auto" w:fill="FFFFFF" w:themeFill="background1"/>
            <w:vAlign w:val="center"/>
            <w:hideMark/>
          </w:tcPr>
          <w:p w14:paraId="0F7D2AA7"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290" w:type="dxa"/>
            <w:tcBorders>
              <w:top w:val="nil"/>
              <w:left w:val="nil"/>
              <w:bottom w:val="nil"/>
              <w:right w:val="nil"/>
            </w:tcBorders>
            <w:shd w:val="clear" w:color="auto" w:fill="FFFFFF" w:themeFill="background1"/>
            <w:vAlign w:val="center"/>
            <w:hideMark/>
          </w:tcPr>
          <w:p w14:paraId="4FDA0788"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170" w:type="dxa"/>
            <w:tcBorders>
              <w:top w:val="nil"/>
              <w:left w:val="nil"/>
              <w:bottom w:val="nil"/>
              <w:right w:val="nil"/>
            </w:tcBorders>
            <w:shd w:val="clear" w:color="auto" w:fill="FFFFFF" w:themeFill="background1"/>
            <w:vAlign w:val="center"/>
            <w:hideMark/>
          </w:tcPr>
          <w:p w14:paraId="7A5FD574"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990" w:type="dxa"/>
            <w:tcBorders>
              <w:top w:val="nil"/>
              <w:left w:val="nil"/>
              <w:bottom w:val="nil"/>
              <w:right w:val="nil"/>
            </w:tcBorders>
            <w:shd w:val="clear" w:color="auto" w:fill="FFFFFF" w:themeFill="background1"/>
            <w:vAlign w:val="center"/>
            <w:hideMark/>
          </w:tcPr>
          <w:p w14:paraId="498CB64E"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c>
          <w:tcPr>
            <w:tcW w:w="1232" w:type="dxa"/>
            <w:tcBorders>
              <w:top w:val="nil"/>
              <w:left w:val="nil"/>
              <w:bottom w:val="nil"/>
              <w:right w:val="nil"/>
            </w:tcBorders>
            <w:shd w:val="clear" w:color="auto" w:fill="FFFFFF" w:themeFill="background1"/>
            <w:noWrap/>
            <w:vAlign w:val="center"/>
            <w:hideMark/>
          </w:tcPr>
          <w:p w14:paraId="363AAF38"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r>
      <w:tr w:rsidR="009D7590" w:rsidRPr="009D7590" w14:paraId="4310CB1F" w14:textId="77777777" w:rsidTr="00845114">
        <w:trPr>
          <w:trHeight w:val="630"/>
        </w:trPr>
        <w:tc>
          <w:tcPr>
            <w:tcW w:w="9237" w:type="dxa"/>
            <w:gridSpan w:val="5"/>
            <w:tcBorders>
              <w:top w:val="nil"/>
              <w:left w:val="nil"/>
              <w:bottom w:val="nil"/>
              <w:right w:val="nil"/>
            </w:tcBorders>
            <w:shd w:val="clear" w:color="auto" w:fill="FFFFFF" w:themeFill="background1"/>
            <w:vAlign w:val="center"/>
            <w:hideMark/>
          </w:tcPr>
          <w:p w14:paraId="1079B2EE" w14:textId="77777777" w:rsidR="009D7590" w:rsidRPr="009D7590" w:rsidRDefault="009D7590" w:rsidP="00845114">
            <w:pPr>
              <w:spacing w:line="240" w:lineRule="auto"/>
              <w:jc w:val="lef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Amounts by which income and expenditure included in the CIES are different from Revenue for the year calculated in accordance with Statutory Requirements:</w:t>
            </w:r>
          </w:p>
        </w:tc>
        <w:tc>
          <w:tcPr>
            <w:tcW w:w="1232" w:type="dxa"/>
            <w:tcBorders>
              <w:top w:val="nil"/>
              <w:left w:val="nil"/>
              <w:bottom w:val="nil"/>
              <w:right w:val="nil"/>
            </w:tcBorders>
            <w:shd w:val="clear" w:color="auto" w:fill="FFFFFF" w:themeFill="background1"/>
            <w:noWrap/>
            <w:vAlign w:val="center"/>
            <w:hideMark/>
          </w:tcPr>
          <w:p w14:paraId="27D21F8A" w14:textId="77777777" w:rsidR="009D7590" w:rsidRPr="009D7590" w:rsidRDefault="009D7590" w:rsidP="009D7590">
            <w:pPr>
              <w:spacing w:line="240" w:lineRule="auto"/>
              <w:jc w:val="center"/>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 </w:t>
            </w:r>
          </w:p>
        </w:tc>
      </w:tr>
      <w:tr w:rsidR="009D7590" w:rsidRPr="009D7590" w14:paraId="0333DC0D"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764D43DE"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Pension costs (transferred to (or from) the Pensions Reserve</w:t>
            </w:r>
          </w:p>
        </w:tc>
        <w:tc>
          <w:tcPr>
            <w:tcW w:w="1017" w:type="dxa"/>
            <w:tcBorders>
              <w:top w:val="nil"/>
              <w:left w:val="nil"/>
              <w:bottom w:val="nil"/>
              <w:right w:val="nil"/>
            </w:tcBorders>
            <w:shd w:val="clear" w:color="auto" w:fill="FFE1E1"/>
            <w:vAlign w:val="center"/>
            <w:hideMark/>
          </w:tcPr>
          <w:p w14:paraId="0D31932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(2,583)</w:t>
            </w:r>
          </w:p>
        </w:tc>
        <w:tc>
          <w:tcPr>
            <w:tcW w:w="1290" w:type="dxa"/>
            <w:tcBorders>
              <w:top w:val="nil"/>
              <w:left w:val="nil"/>
              <w:bottom w:val="nil"/>
              <w:right w:val="nil"/>
            </w:tcBorders>
            <w:shd w:val="clear" w:color="auto" w:fill="FFE1E1"/>
            <w:vAlign w:val="center"/>
            <w:hideMark/>
          </w:tcPr>
          <w:p w14:paraId="41E75AF2"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6398C19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7647A93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3633FB13"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2,583</w:t>
            </w:r>
          </w:p>
        </w:tc>
      </w:tr>
      <w:tr w:rsidR="009D7590" w:rsidRPr="009D7590" w14:paraId="73A317E5" w14:textId="77777777" w:rsidTr="00845114">
        <w:trPr>
          <w:trHeight w:val="600"/>
        </w:trPr>
        <w:tc>
          <w:tcPr>
            <w:tcW w:w="4770" w:type="dxa"/>
            <w:tcBorders>
              <w:top w:val="nil"/>
              <w:left w:val="nil"/>
              <w:bottom w:val="nil"/>
              <w:right w:val="nil"/>
            </w:tcBorders>
            <w:shd w:val="clear" w:color="auto" w:fill="FFFFFF" w:themeFill="background1"/>
            <w:vAlign w:val="center"/>
            <w:hideMark/>
          </w:tcPr>
          <w:p w14:paraId="778D9185"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Depreciation and Impairment Losses moved to Capital Adj Account</w:t>
            </w:r>
          </w:p>
        </w:tc>
        <w:tc>
          <w:tcPr>
            <w:tcW w:w="1017" w:type="dxa"/>
            <w:tcBorders>
              <w:top w:val="nil"/>
              <w:left w:val="nil"/>
              <w:bottom w:val="nil"/>
              <w:right w:val="nil"/>
            </w:tcBorders>
            <w:shd w:val="clear" w:color="auto" w:fill="FFE1E1"/>
            <w:vAlign w:val="center"/>
            <w:hideMark/>
          </w:tcPr>
          <w:p w14:paraId="0D14A15E" w14:textId="0830E5E3"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w:t>
            </w:r>
            <w:r w:rsidR="005819B0">
              <w:rPr>
                <w:rFonts w:ascii="Calibri" w:eastAsia="Times New Roman" w:hAnsi="Calibri" w:cs="Calibri"/>
                <w:color w:val="000000"/>
                <w:lang w:eastAsia="en-GB"/>
              </w:rPr>
              <w:t>782</w:t>
            </w:r>
            <w:r w:rsidRPr="00391AFA">
              <w:rPr>
                <w:rFonts w:ascii="Calibri" w:eastAsia="Times New Roman" w:hAnsi="Calibri" w:cs="Calibri"/>
                <w:color w:val="000000"/>
                <w:lang w:eastAsia="en-GB"/>
              </w:rPr>
              <w:t>)</w:t>
            </w:r>
          </w:p>
        </w:tc>
        <w:tc>
          <w:tcPr>
            <w:tcW w:w="1290" w:type="dxa"/>
            <w:tcBorders>
              <w:top w:val="nil"/>
              <w:left w:val="nil"/>
              <w:bottom w:val="nil"/>
              <w:right w:val="nil"/>
            </w:tcBorders>
            <w:shd w:val="clear" w:color="auto" w:fill="FFE1E1"/>
            <w:vAlign w:val="center"/>
            <w:hideMark/>
          </w:tcPr>
          <w:p w14:paraId="6B7F5BE7"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0FF59512"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5B649998"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3D65560D" w14:textId="4C2A0C7B"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w:t>
            </w:r>
            <w:r w:rsidR="007C4807">
              <w:rPr>
                <w:rFonts w:ascii="Calibri" w:eastAsia="Times New Roman" w:hAnsi="Calibri" w:cs="Calibri"/>
                <w:b/>
                <w:bCs/>
                <w:color w:val="000000"/>
                <w:lang w:eastAsia="en-GB"/>
              </w:rPr>
              <w:t>782</w:t>
            </w:r>
          </w:p>
        </w:tc>
      </w:tr>
      <w:tr w:rsidR="009D7590" w:rsidRPr="009D7590" w14:paraId="2F78B788"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52D8B0F7"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Change in Accumulated Absence Charge</w:t>
            </w:r>
          </w:p>
        </w:tc>
        <w:tc>
          <w:tcPr>
            <w:tcW w:w="1017" w:type="dxa"/>
            <w:tcBorders>
              <w:top w:val="nil"/>
              <w:left w:val="nil"/>
              <w:bottom w:val="nil"/>
              <w:right w:val="nil"/>
            </w:tcBorders>
            <w:shd w:val="clear" w:color="auto" w:fill="FFE1E1"/>
            <w:vAlign w:val="center"/>
            <w:hideMark/>
          </w:tcPr>
          <w:p w14:paraId="5E09C87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118</w:t>
            </w:r>
          </w:p>
        </w:tc>
        <w:tc>
          <w:tcPr>
            <w:tcW w:w="1290" w:type="dxa"/>
            <w:tcBorders>
              <w:top w:val="nil"/>
              <w:left w:val="nil"/>
              <w:bottom w:val="nil"/>
              <w:right w:val="nil"/>
            </w:tcBorders>
            <w:shd w:val="clear" w:color="auto" w:fill="FFE1E1"/>
            <w:vAlign w:val="center"/>
            <w:hideMark/>
          </w:tcPr>
          <w:p w14:paraId="385CB481"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57859DF1"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3C0901A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4091ABCD"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(118)</w:t>
            </w:r>
          </w:p>
        </w:tc>
      </w:tr>
      <w:tr w:rsidR="009D7590" w:rsidRPr="009D7590" w14:paraId="4BA37996"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4525B100"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Capital Expenditure Funded by Revenue Funding (RCCO)</w:t>
            </w:r>
          </w:p>
        </w:tc>
        <w:tc>
          <w:tcPr>
            <w:tcW w:w="1017" w:type="dxa"/>
            <w:tcBorders>
              <w:top w:val="nil"/>
              <w:left w:val="nil"/>
              <w:bottom w:val="nil"/>
              <w:right w:val="nil"/>
            </w:tcBorders>
            <w:shd w:val="clear" w:color="auto" w:fill="FFE1E1"/>
            <w:vAlign w:val="center"/>
            <w:hideMark/>
          </w:tcPr>
          <w:p w14:paraId="5204299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19</w:t>
            </w:r>
          </w:p>
        </w:tc>
        <w:tc>
          <w:tcPr>
            <w:tcW w:w="1290" w:type="dxa"/>
            <w:tcBorders>
              <w:top w:val="nil"/>
              <w:left w:val="nil"/>
              <w:bottom w:val="nil"/>
              <w:right w:val="nil"/>
            </w:tcBorders>
            <w:shd w:val="clear" w:color="auto" w:fill="FFE1E1"/>
            <w:vAlign w:val="center"/>
            <w:hideMark/>
          </w:tcPr>
          <w:p w14:paraId="04BD32F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695A14A2"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3FD68D4D"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24F7A5E1"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(19)</w:t>
            </w:r>
          </w:p>
        </w:tc>
      </w:tr>
      <w:tr w:rsidR="009D7590" w:rsidRPr="009D7590" w14:paraId="524C80C6"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597C48F5"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Minimum Revenue Provision (MRP)</w:t>
            </w:r>
          </w:p>
        </w:tc>
        <w:tc>
          <w:tcPr>
            <w:tcW w:w="1017" w:type="dxa"/>
            <w:tcBorders>
              <w:top w:val="nil"/>
              <w:left w:val="nil"/>
              <w:bottom w:val="nil"/>
              <w:right w:val="nil"/>
            </w:tcBorders>
            <w:shd w:val="clear" w:color="auto" w:fill="FFE1E1"/>
            <w:vAlign w:val="center"/>
            <w:hideMark/>
          </w:tcPr>
          <w:p w14:paraId="1007B43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259</w:t>
            </w:r>
          </w:p>
        </w:tc>
        <w:tc>
          <w:tcPr>
            <w:tcW w:w="1290" w:type="dxa"/>
            <w:tcBorders>
              <w:top w:val="nil"/>
              <w:left w:val="nil"/>
              <w:bottom w:val="nil"/>
              <w:right w:val="nil"/>
            </w:tcBorders>
            <w:shd w:val="clear" w:color="auto" w:fill="FFE1E1"/>
            <w:vAlign w:val="center"/>
            <w:hideMark/>
          </w:tcPr>
          <w:p w14:paraId="1298D02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0B768140"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5C492B3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7E0CF629"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(259)</w:t>
            </w:r>
          </w:p>
        </w:tc>
      </w:tr>
      <w:tr w:rsidR="009D7590" w:rsidRPr="009D7590" w14:paraId="2D45B4FE"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5BF50BC3"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NBV of Disposed Assets</w:t>
            </w:r>
          </w:p>
        </w:tc>
        <w:tc>
          <w:tcPr>
            <w:tcW w:w="1017" w:type="dxa"/>
            <w:tcBorders>
              <w:top w:val="nil"/>
              <w:left w:val="nil"/>
              <w:bottom w:val="nil"/>
              <w:right w:val="nil"/>
            </w:tcBorders>
            <w:shd w:val="clear" w:color="auto" w:fill="FFE1E1"/>
            <w:vAlign w:val="center"/>
            <w:hideMark/>
          </w:tcPr>
          <w:p w14:paraId="62D11DE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(3,500)</w:t>
            </w:r>
          </w:p>
        </w:tc>
        <w:tc>
          <w:tcPr>
            <w:tcW w:w="1290" w:type="dxa"/>
            <w:tcBorders>
              <w:top w:val="nil"/>
              <w:left w:val="nil"/>
              <w:bottom w:val="nil"/>
              <w:right w:val="nil"/>
            </w:tcBorders>
            <w:shd w:val="clear" w:color="auto" w:fill="FFE1E1"/>
            <w:vAlign w:val="center"/>
            <w:hideMark/>
          </w:tcPr>
          <w:p w14:paraId="0B749CC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13B050A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6E13950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0049E0E7"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3,500</w:t>
            </w:r>
          </w:p>
        </w:tc>
      </w:tr>
      <w:tr w:rsidR="009D7590" w:rsidRPr="009D7590" w14:paraId="51888009"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663D3B28"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Capital Receipts Received in year</w:t>
            </w:r>
          </w:p>
        </w:tc>
        <w:tc>
          <w:tcPr>
            <w:tcW w:w="1017" w:type="dxa"/>
            <w:tcBorders>
              <w:top w:val="nil"/>
              <w:left w:val="nil"/>
              <w:bottom w:val="nil"/>
              <w:right w:val="nil"/>
            </w:tcBorders>
            <w:shd w:val="clear" w:color="auto" w:fill="FFE1E1"/>
            <w:vAlign w:val="center"/>
            <w:hideMark/>
          </w:tcPr>
          <w:p w14:paraId="56134F50"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3,260</w:t>
            </w:r>
          </w:p>
        </w:tc>
        <w:tc>
          <w:tcPr>
            <w:tcW w:w="1290" w:type="dxa"/>
            <w:tcBorders>
              <w:top w:val="nil"/>
              <w:left w:val="nil"/>
              <w:bottom w:val="nil"/>
              <w:right w:val="nil"/>
            </w:tcBorders>
            <w:shd w:val="clear" w:color="auto" w:fill="FFE1E1"/>
            <w:vAlign w:val="center"/>
            <w:hideMark/>
          </w:tcPr>
          <w:p w14:paraId="3DD68B7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6AB191D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39360DF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(3,260)</w:t>
            </w:r>
          </w:p>
        </w:tc>
        <w:tc>
          <w:tcPr>
            <w:tcW w:w="1232" w:type="dxa"/>
            <w:tcBorders>
              <w:top w:val="nil"/>
              <w:left w:val="nil"/>
              <w:bottom w:val="nil"/>
              <w:right w:val="nil"/>
            </w:tcBorders>
            <w:shd w:val="clear" w:color="auto" w:fill="FFE1E1"/>
            <w:noWrap/>
            <w:vAlign w:val="center"/>
            <w:hideMark/>
          </w:tcPr>
          <w:p w14:paraId="69C1F95E"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w:t>
            </w:r>
          </w:p>
        </w:tc>
      </w:tr>
      <w:tr w:rsidR="009D7590" w:rsidRPr="009D7590" w14:paraId="244164E5" w14:textId="77777777" w:rsidTr="00845114">
        <w:trPr>
          <w:trHeight w:val="300"/>
        </w:trPr>
        <w:tc>
          <w:tcPr>
            <w:tcW w:w="4770" w:type="dxa"/>
            <w:tcBorders>
              <w:top w:val="nil"/>
              <w:left w:val="nil"/>
              <w:bottom w:val="nil"/>
              <w:right w:val="nil"/>
            </w:tcBorders>
            <w:shd w:val="clear" w:color="auto" w:fill="FFFFFF" w:themeFill="background1"/>
            <w:vAlign w:val="center"/>
            <w:hideMark/>
          </w:tcPr>
          <w:p w14:paraId="74C9525D"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Capital Receipts</w:t>
            </w:r>
          </w:p>
        </w:tc>
        <w:tc>
          <w:tcPr>
            <w:tcW w:w="1017" w:type="dxa"/>
            <w:tcBorders>
              <w:top w:val="nil"/>
              <w:left w:val="nil"/>
              <w:bottom w:val="nil"/>
              <w:right w:val="nil"/>
            </w:tcBorders>
            <w:shd w:val="clear" w:color="auto" w:fill="FFE1E1"/>
            <w:vAlign w:val="center"/>
            <w:hideMark/>
          </w:tcPr>
          <w:p w14:paraId="6A69B424"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90" w:type="dxa"/>
            <w:tcBorders>
              <w:top w:val="nil"/>
              <w:left w:val="nil"/>
              <w:bottom w:val="nil"/>
              <w:right w:val="nil"/>
            </w:tcBorders>
            <w:shd w:val="clear" w:color="auto" w:fill="FFE1E1"/>
            <w:vAlign w:val="center"/>
            <w:hideMark/>
          </w:tcPr>
          <w:p w14:paraId="7430BAB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0C78F9EC"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18187F9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1,153</w:t>
            </w:r>
          </w:p>
        </w:tc>
        <w:tc>
          <w:tcPr>
            <w:tcW w:w="1232" w:type="dxa"/>
            <w:tcBorders>
              <w:top w:val="nil"/>
              <w:left w:val="nil"/>
              <w:bottom w:val="nil"/>
              <w:right w:val="nil"/>
            </w:tcBorders>
            <w:shd w:val="clear" w:color="auto" w:fill="FFE1E1"/>
            <w:noWrap/>
            <w:vAlign w:val="center"/>
            <w:hideMark/>
          </w:tcPr>
          <w:p w14:paraId="7EE4A2AB"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(1,153)</w:t>
            </w:r>
          </w:p>
        </w:tc>
      </w:tr>
      <w:tr w:rsidR="009D7590" w:rsidRPr="009D7590" w14:paraId="12C2F02E" w14:textId="77777777" w:rsidTr="00845114">
        <w:trPr>
          <w:trHeight w:val="315"/>
        </w:trPr>
        <w:tc>
          <w:tcPr>
            <w:tcW w:w="4770" w:type="dxa"/>
            <w:tcBorders>
              <w:top w:val="nil"/>
              <w:left w:val="nil"/>
              <w:bottom w:val="nil"/>
              <w:right w:val="nil"/>
            </w:tcBorders>
            <w:shd w:val="clear" w:color="auto" w:fill="FFFFFF" w:themeFill="background1"/>
            <w:vAlign w:val="center"/>
            <w:hideMark/>
          </w:tcPr>
          <w:p w14:paraId="2190AD5F" w14:textId="77777777" w:rsidR="009D7590" w:rsidRPr="009D7590" w:rsidRDefault="009D7590" w:rsidP="00845114">
            <w:pPr>
              <w:spacing w:line="240" w:lineRule="auto"/>
              <w:jc w:val="left"/>
              <w:rPr>
                <w:rFonts w:ascii="Calibri" w:eastAsia="Times New Roman" w:hAnsi="Calibri" w:cs="Calibri"/>
                <w:color w:val="000000"/>
                <w:lang w:eastAsia="en-GB"/>
              </w:rPr>
            </w:pPr>
            <w:r w:rsidRPr="009D7590">
              <w:rPr>
                <w:rFonts w:ascii="Calibri" w:eastAsia="Times New Roman" w:hAnsi="Calibri" w:cs="Calibri"/>
                <w:color w:val="000000"/>
                <w:lang w:eastAsia="en-GB"/>
              </w:rPr>
              <w:t>Application of Collection Fund Income</w:t>
            </w:r>
          </w:p>
        </w:tc>
        <w:tc>
          <w:tcPr>
            <w:tcW w:w="1017" w:type="dxa"/>
            <w:tcBorders>
              <w:top w:val="nil"/>
              <w:left w:val="nil"/>
              <w:bottom w:val="nil"/>
              <w:right w:val="nil"/>
            </w:tcBorders>
            <w:shd w:val="clear" w:color="auto" w:fill="FFE1E1"/>
            <w:vAlign w:val="center"/>
            <w:hideMark/>
          </w:tcPr>
          <w:p w14:paraId="4657CD09"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(149)</w:t>
            </w:r>
          </w:p>
        </w:tc>
        <w:tc>
          <w:tcPr>
            <w:tcW w:w="1290" w:type="dxa"/>
            <w:tcBorders>
              <w:top w:val="nil"/>
              <w:left w:val="nil"/>
              <w:bottom w:val="nil"/>
              <w:right w:val="nil"/>
            </w:tcBorders>
            <w:shd w:val="clear" w:color="auto" w:fill="FFE1E1"/>
            <w:vAlign w:val="center"/>
            <w:hideMark/>
          </w:tcPr>
          <w:p w14:paraId="31619C9A"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vAlign w:val="center"/>
            <w:hideMark/>
          </w:tcPr>
          <w:p w14:paraId="08C17A9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nil"/>
              <w:left w:val="nil"/>
              <w:bottom w:val="nil"/>
              <w:right w:val="nil"/>
            </w:tcBorders>
            <w:shd w:val="clear" w:color="auto" w:fill="FFE1E1"/>
            <w:vAlign w:val="center"/>
            <w:hideMark/>
          </w:tcPr>
          <w:p w14:paraId="0189BB7F"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232" w:type="dxa"/>
            <w:tcBorders>
              <w:top w:val="nil"/>
              <w:left w:val="nil"/>
              <w:bottom w:val="nil"/>
              <w:right w:val="nil"/>
            </w:tcBorders>
            <w:shd w:val="clear" w:color="auto" w:fill="FFE1E1"/>
            <w:noWrap/>
            <w:vAlign w:val="center"/>
            <w:hideMark/>
          </w:tcPr>
          <w:p w14:paraId="1BEA9E2D" w14:textId="77777777" w:rsidR="009D7590" w:rsidRPr="009D7590" w:rsidRDefault="009D7590" w:rsidP="00845114">
            <w:pPr>
              <w:spacing w:line="240" w:lineRule="auto"/>
              <w:jc w:val="right"/>
              <w:rPr>
                <w:rFonts w:ascii="Calibri" w:eastAsia="Times New Roman" w:hAnsi="Calibri" w:cs="Calibri"/>
                <w:b/>
                <w:bCs/>
                <w:color w:val="000000"/>
                <w:lang w:eastAsia="en-GB"/>
              </w:rPr>
            </w:pPr>
            <w:r w:rsidRPr="009D7590">
              <w:rPr>
                <w:rFonts w:ascii="Calibri" w:eastAsia="Times New Roman" w:hAnsi="Calibri" w:cs="Calibri"/>
                <w:b/>
                <w:bCs/>
                <w:color w:val="000000"/>
                <w:lang w:eastAsia="en-GB"/>
              </w:rPr>
              <w:t>149</w:t>
            </w:r>
          </w:p>
        </w:tc>
      </w:tr>
      <w:tr w:rsidR="009D7590" w:rsidRPr="009D7590" w14:paraId="50FFCB0B" w14:textId="77777777" w:rsidTr="00845114">
        <w:trPr>
          <w:trHeight w:val="315"/>
        </w:trPr>
        <w:tc>
          <w:tcPr>
            <w:tcW w:w="4770" w:type="dxa"/>
            <w:tcBorders>
              <w:top w:val="single" w:sz="4" w:space="0" w:color="auto"/>
              <w:left w:val="nil"/>
              <w:bottom w:val="single" w:sz="4" w:space="0" w:color="auto"/>
              <w:right w:val="nil"/>
            </w:tcBorders>
            <w:shd w:val="clear" w:color="auto" w:fill="FFFFFF" w:themeFill="background1"/>
            <w:vAlign w:val="center"/>
            <w:hideMark/>
          </w:tcPr>
          <w:p w14:paraId="5B84CCCB" w14:textId="77777777" w:rsidR="009D7590" w:rsidRPr="009D7590" w:rsidRDefault="009D7590" w:rsidP="00845114">
            <w:pPr>
              <w:spacing w:line="240" w:lineRule="auto"/>
              <w:jc w:val="left"/>
              <w:rPr>
                <w:rFonts w:ascii="Calibri" w:eastAsia="Times New Roman" w:hAnsi="Calibri" w:cs="Calibri"/>
                <w:b/>
                <w:bCs/>
                <w:lang w:eastAsia="en-GB"/>
              </w:rPr>
            </w:pPr>
            <w:r w:rsidRPr="009D7590">
              <w:rPr>
                <w:rFonts w:ascii="Calibri" w:eastAsia="Times New Roman" w:hAnsi="Calibri" w:cs="Calibri"/>
                <w:b/>
                <w:bCs/>
                <w:lang w:eastAsia="en-GB"/>
              </w:rPr>
              <w:t>Total Adjustment to Revenue Resources</w:t>
            </w:r>
          </w:p>
        </w:tc>
        <w:tc>
          <w:tcPr>
            <w:tcW w:w="1017" w:type="dxa"/>
            <w:tcBorders>
              <w:top w:val="single" w:sz="4" w:space="0" w:color="auto"/>
              <w:left w:val="nil"/>
              <w:bottom w:val="single" w:sz="4" w:space="0" w:color="auto"/>
              <w:right w:val="nil"/>
            </w:tcBorders>
            <w:shd w:val="clear" w:color="auto" w:fill="FFE1E1"/>
            <w:vAlign w:val="center"/>
            <w:hideMark/>
          </w:tcPr>
          <w:p w14:paraId="10B17329" w14:textId="3E5D9317" w:rsidR="009D7590" w:rsidRPr="00391AFA" w:rsidRDefault="009D7590" w:rsidP="00845114">
            <w:pPr>
              <w:spacing w:line="240" w:lineRule="auto"/>
              <w:jc w:val="right"/>
              <w:rPr>
                <w:rFonts w:ascii="Calibri" w:eastAsia="Times New Roman" w:hAnsi="Calibri" w:cs="Calibri"/>
                <w:lang w:eastAsia="en-GB"/>
              </w:rPr>
            </w:pPr>
            <w:r w:rsidRPr="00391AFA">
              <w:rPr>
                <w:rFonts w:ascii="Calibri" w:eastAsia="Times New Roman" w:hAnsi="Calibri" w:cs="Calibri"/>
                <w:lang w:eastAsia="en-GB"/>
              </w:rPr>
              <w:t>(4,</w:t>
            </w:r>
            <w:r w:rsidR="007C4807">
              <w:rPr>
                <w:rFonts w:ascii="Calibri" w:eastAsia="Times New Roman" w:hAnsi="Calibri" w:cs="Calibri"/>
                <w:lang w:eastAsia="en-GB"/>
              </w:rPr>
              <w:t>358</w:t>
            </w:r>
            <w:r w:rsidRPr="00391AFA">
              <w:rPr>
                <w:rFonts w:ascii="Calibri" w:eastAsia="Times New Roman" w:hAnsi="Calibri" w:cs="Calibri"/>
                <w:lang w:eastAsia="en-GB"/>
              </w:rPr>
              <w:t>)</w:t>
            </w:r>
          </w:p>
        </w:tc>
        <w:tc>
          <w:tcPr>
            <w:tcW w:w="1290" w:type="dxa"/>
            <w:tcBorders>
              <w:top w:val="single" w:sz="4" w:space="0" w:color="auto"/>
              <w:left w:val="nil"/>
              <w:bottom w:val="single" w:sz="4" w:space="0" w:color="auto"/>
              <w:right w:val="nil"/>
            </w:tcBorders>
            <w:shd w:val="clear" w:color="auto" w:fill="FFE1E1"/>
            <w:vAlign w:val="center"/>
            <w:hideMark/>
          </w:tcPr>
          <w:p w14:paraId="029B9ACE"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1170" w:type="dxa"/>
            <w:tcBorders>
              <w:top w:val="single" w:sz="4" w:space="0" w:color="auto"/>
              <w:left w:val="nil"/>
              <w:bottom w:val="single" w:sz="4" w:space="0" w:color="auto"/>
              <w:right w:val="nil"/>
            </w:tcBorders>
            <w:shd w:val="clear" w:color="auto" w:fill="FFE1E1"/>
            <w:vAlign w:val="center"/>
            <w:hideMark/>
          </w:tcPr>
          <w:p w14:paraId="268E7913" w14:textId="77777777" w:rsidR="009D7590" w:rsidRPr="00391AFA" w:rsidRDefault="009D7590" w:rsidP="00845114">
            <w:pPr>
              <w:spacing w:line="240" w:lineRule="auto"/>
              <w:jc w:val="right"/>
              <w:rPr>
                <w:rFonts w:ascii="Calibri" w:eastAsia="Times New Roman" w:hAnsi="Calibri" w:cs="Calibri"/>
                <w:color w:val="000000"/>
                <w:lang w:eastAsia="en-GB"/>
              </w:rPr>
            </w:pPr>
            <w:r w:rsidRPr="00391AFA">
              <w:rPr>
                <w:rFonts w:ascii="Calibri" w:eastAsia="Times New Roman" w:hAnsi="Calibri" w:cs="Calibri"/>
                <w:color w:val="000000"/>
                <w:lang w:eastAsia="en-GB"/>
              </w:rPr>
              <w:t>-</w:t>
            </w:r>
          </w:p>
        </w:tc>
        <w:tc>
          <w:tcPr>
            <w:tcW w:w="990" w:type="dxa"/>
            <w:tcBorders>
              <w:top w:val="single" w:sz="4" w:space="0" w:color="auto"/>
              <w:left w:val="nil"/>
              <w:bottom w:val="single" w:sz="4" w:space="0" w:color="auto"/>
              <w:right w:val="nil"/>
            </w:tcBorders>
            <w:shd w:val="clear" w:color="auto" w:fill="FFE1E1"/>
            <w:vAlign w:val="center"/>
            <w:hideMark/>
          </w:tcPr>
          <w:p w14:paraId="42C79623" w14:textId="77777777" w:rsidR="009D7590" w:rsidRPr="00391AFA" w:rsidRDefault="009D7590" w:rsidP="00845114">
            <w:pPr>
              <w:spacing w:line="240" w:lineRule="auto"/>
              <w:jc w:val="right"/>
              <w:rPr>
                <w:rFonts w:ascii="Calibri" w:eastAsia="Times New Roman" w:hAnsi="Calibri" w:cs="Calibri"/>
                <w:lang w:eastAsia="en-GB"/>
              </w:rPr>
            </w:pPr>
            <w:r w:rsidRPr="00391AFA">
              <w:rPr>
                <w:rFonts w:ascii="Calibri" w:eastAsia="Times New Roman" w:hAnsi="Calibri" w:cs="Calibri"/>
                <w:lang w:eastAsia="en-GB"/>
              </w:rPr>
              <w:t>(2,107)</w:t>
            </w:r>
          </w:p>
        </w:tc>
        <w:tc>
          <w:tcPr>
            <w:tcW w:w="1232" w:type="dxa"/>
            <w:tcBorders>
              <w:top w:val="single" w:sz="4" w:space="0" w:color="auto"/>
              <w:left w:val="nil"/>
              <w:bottom w:val="single" w:sz="4" w:space="0" w:color="auto"/>
              <w:right w:val="nil"/>
            </w:tcBorders>
            <w:shd w:val="clear" w:color="auto" w:fill="FFE1E1"/>
            <w:noWrap/>
            <w:vAlign w:val="center"/>
            <w:hideMark/>
          </w:tcPr>
          <w:p w14:paraId="7DD78B16" w14:textId="0B172CF2" w:rsidR="009D7590" w:rsidRPr="009D7590" w:rsidRDefault="009D7590" w:rsidP="00845114">
            <w:pPr>
              <w:spacing w:line="240" w:lineRule="auto"/>
              <w:jc w:val="right"/>
              <w:rPr>
                <w:rFonts w:ascii="Calibri" w:eastAsia="Times New Roman" w:hAnsi="Calibri" w:cs="Calibri"/>
                <w:b/>
                <w:bCs/>
                <w:lang w:eastAsia="en-GB"/>
              </w:rPr>
            </w:pPr>
            <w:r w:rsidRPr="009D7590">
              <w:rPr>
                <w:rFonts w:ascii="Calibri" w:eastAsia="Times New Roman" w:hAnsi="Calibri" w:cs="Calibri"/>
                <w:b/>
                <w:bCs/>
                <w:lang w:eastAsia="en-GB"/>
              </w:rPr>
              <w:t>6,</w:t>
            </w:r>
            <w:r w:rsidR="007C4807">
              <w:rPr>
                <w:rFonts w:ascii="Calibri" w:eastAsia="Times New Roman" w:hAnsi="Calibri" w:cs="Calibri"/>
                <w:b/>
                <w:bCs/>
                <w:lang w:eastAsia="en-GB"/>
              </w:rPr>
              <w:t>465</w:t>
            </w:r>
          </w:p>
        </w:tc>
      </w:tr>
    </w:tbl>
    <w:p w14:paraId="23029081" w14:textId="3FEEE9CB" w:rsidR="5A995008" w:rsidRDefault="5A995008" w:rsidP="5A995008">
      <w:pPr>
        <w:pStyle w:val="VAHeadingLevel2"/>
      </w:pPr>
    </w:p>
    <w:p w14:paraId="5A6A5E99" w14:textId="77B1232E" w:rsidR="00681496" w:rsidRPr="006A4726" w:rsidRDefault="005D1FC3" w:rsidP="002A1ADD">
      <w:pPr>
        <w:pStyle w:val="VAHeadingLevel2"/>
      </w:pPr>
      <w:r w:rsidRPr="006A4726">
        <w:t xml:space="preserve">Note 7. Other Operating Expenditure </w:t>
      </w:r>
    </w:p>
    <w:p w14:paraId="4E7957DC" w14:textId="311DD9FC" w:rsidR="00FF0732" w:rsidRPr="000E58D4" w:rsidRDefault="00207237" w:rsidP="00927E96">
      <w:r>
        <w:t xml:space="preserve">Other Operating expenditure relates </w:t>
      </w:r>
      <w:r w:rsidR="00CD2F7C">
        <w:t xml:space="preserve">solely to Gains/Losses on disposal of </w:t>
      </w:r>
      <w:r w:rsidR="3BB1FD59">
        <w:t>non-current</w:t>
      </w:r>
      <w:r w:rsidR="00CD2F7C">
        <w:t xml:space="preserve"> assets, therefore there are no levies or</w:t>
      </w:r>
      <w:r w:rsidR="007432D9">
        <w:t xml:space="preserve"> other expenditure which cannot be captured elsewhere in the statement of accounts</w:t>
      </w:r>
    </w:p>
    <w:p w14:paraId="1CA45C3D" w14:textId="422DE5FA" w:rsidR="00DF6BA4" w:rsidRDefault="00DF6BA4" w:rsidP="002A1ADD">
      <w:pPr>
        <w:pStyle w:val="VAHeadingLevel2"/>
        <w:rPr>
          <w:rFonts w:eastAsiaTheme="minorHAnsi"/>
        </w:rPr>
      </w:pPr>
    </w:p>
    <w:tbl>
      <w:tblPr>
        <w:tblW w:w="4988" w:type="pct"/>
        <w:tblLook w:val="04A0" w:firstRow="1" w:lastRow="0" w:firstColumn="1" w:lastColumn="0" w:noHBand="0" w:noVBand="1"/>
      </w:tblPr>
      <w:tblGrid>
        <w:gridCol w:w="1996"/>
        <w:gridCol w:w="6359"/>
        <w:gridCol w:w="1995"/>
      </w:tblGrid>
      <w:tr w:rsidR="001223E5" w:rsidRPr="001223E5" w14:paraId="6261C764" w14:textId="77777777" w:rsidTr="004E0BE6">
        <w:trPr>
          <w:trHeight w:val="290"/>
        </w:trPr>
        <w:tc>
          <w:tcPr>
            <w:tcW w:w="964" w:type="pct"/>
            <w:tcBorders>
              <w:top w:val="nil"/>
              <w:left w:val="nil"/>
              <w:bottom w:val="nil"/>
              <w:right w:val="nil"/>
            </w:tcBorders>
            <w:shd w:val="clear" w:color="000000" w:fill="AB2328"/>
            <w:noWrap/>
            <w:vAlign w:val="bottom"/>
            <w:hideMark/>
          </w:tcPr>
          <w:p w14:paraId="41DFCAAE" w14:textId="77777777" w:rsidR="001223E5" w:rsidRPr="001223E5" w:rsidRDefault="001223E5" w:rsidP="001223E5">
            <w:pPr>
              <w:spacing w:line="240" w:lineRule="auto"/>
              <w:jc w:val="right"/>
              <w:rPr>
                <w:rFonts w:ascii="Calibri" w:eastAsia="Times New Roman" w:hAnsi="Calibri" w:cs="Calibri"/>
                <w:b/>
                <w:bCs/>
                <w:color w:val="FFFFFF"/>
                <w:lang w:eastAsia="en-GB"/>
              </w:rPr>
            </w:pPr>
            <w:r w:rsidRPr="001223E5">
              <w:rPr>
                <w:rFonts w:ascii="Calibri" w:eastAsia="Times New Roman" w:hAnsi="Calibri" w:cs="Calibri"/>
                <w:b/>
                <w:bCs/>
                <w:color w:val="FFFFFF"/>
                <w:lang w:eastAsia="en-GB"/>
              </w:rPr>
              <w:t>31 March 2024</w:t>
            </w:r>
          </w:p>
        </w:tc>
        <w:tc>
          <w:tcPr>
            <w:tcW w:w="3072" w:type="pct"/>
            <w:vMerge w:val="restart"/>
            <w:tcBorders>
              <w:top w:val="nil"/>
              <w:left w:val="nil"/>
              <w:bottom w:val="nil"/>
              <w:right w:val="nil"/>
            </w:tcBorders>
            <w:shd w:val="clear" w:color="000000" w:fill="AB2328"/>
            <w:noWrap/>
            <w:vAlign w:val="bottom"/>
            <w:hideMark/>
          </w:tcPr>
          <w:p w14:paraId="416F495B" w14:textId="77777777" w:rsidR="001223E5" w:rsidRPr="001223E5" w:rsidRDefault="001223E5" w:rsidP="001223E5">
            <w:pPr>
              <w:spacing w:line="240" w:lineRule="auto"/>
              <w:jc w:val="center"/>
              <w:rPr>
                <w:rFonts w:ascii="Calibri" w:eastAsia="Times New Roman" w:hAnsi="Calibri" w:cs="Calibri"/>
                <w:b/>
                <w:bCs/>
                <w:color w:val="FFFFFF"/>
                <w:lang w:eastAsia="en-GB"/>
              </w:rPr>
            </w:pPr>
            <w:r w:rsidRPr="001223E5">
              <w:rPr>
                <w:rFonts w:ascii="Calibri" w:eastAsia="Times New Roman" w:hAnsi="Calibri" w:cs="Calibri"/>
                <w:b/>
                <w:bCs/>
                <w:color w:val="FFFFFF"/>
                <w:lang w:eastAsia="en-GB"/>
              </w:rPr>
              <w:t> </w:t>
            </w:r>
          </w:p>
        </w:tc>
        <w:tc>
          <w:tcPr>
            <w:tcW w:w="964" w:type="pct"/>
            <w:tcBorders>
              <w:top w:val="nil"/>
              <w:left w:val="nil"/>
              <w:bottom w:val="nil"/>
              <w:right w:val="nil"/>
            </w:tcBorders>
            <w:shd w:val="clear" w:color="000000" w:fill="AB2328"/>
            <w:noWrap/>
            <w:vAlign w:val="bottom"/>
            <w:hideMark/>
          </w:tcPr>
          <w:p w14:paraId="655E0139" w14:textId="77777777" w:rsidR="001223E5" w:rsidRPr="001223E5" w:rsidRDefault="001223E5" w:rsidP="001223E5">
            <w:pPr>
              <w:spacing w:line="240" w:lineRule="auto"/>
              <w:jc w:val="right"/>
              <w:rPr>
                <w:rFonts w:ascii="Calibri" w:eastAsia="Times New Roman" w:hAnsi="Calibri" w:cs="Calibri"/>
                <w:b/>
                <w:bCs/>
                <w:color w:val="FFFFFF"/>
                <w:lang w:eastAsia="en-GB"/>
              </w:rPr>
            </w:pPr>
            <w:r w:rsidRPr="001223E5">
              <w:rPr>
                <w:rFonts w:ascii="Calibri" w:eastAsia="Times New Roman" w:hAnsi="Calibri" w:cs="Calibri"/>
                <w:b/>
                <w:bCs/>
                <w:color w:val="FFFFFF"/>
                <w:lang w:eastAsia="en-GB"/>
              </w:rPr>
              <w:t>31 March 2025</w:t>
            </w:r>
          </w:p>
        </w:tc>
      </w:tr>
      <w:tr w:rsidR="001223E5" w:rsidRPr="001223E5" w14:paraId="638444ED" w14:textId="77777777" w:rsidTr="004E0BE6">
        <w:trPr>
          <w:trHeight w:val="290"/>
        </w:trPr>
        <w:tc>
          <w:tcPr>
            <w:tcW w:w="964" w:type="pct"/>
            <w:tcBorders>
              <w:top w:val="nil"/>
              <w:left w:val="nil"/>
              <w:bottom w:val="nil"/>
              <w:right w:val="nil"/>
            </w:tcBorders>
            <w:shd w:val="clear" w:color="000000" w:fill="AB2328"/>
            <w:noWrap/>
            <w:vAlign w:val="bottom"/>
            <w:hideMark/>
          </w:tcPr>
          <w:p w14:paraId="5C2B1F71" w14:textId="77777777" w:rsidR="001223E5" w:rsidRPr="001223E5" w:rsidRDefault="001223E5" w:rsidP="001223E5">
            <w:pPr>
              <w:spacing w:line="240" w:lineRule="auto"/>
              <w:jc w:val="right"/>
              <w:rPr>
                <w:rFonts w:ascii="Calibri" w:eastAsia="Times New Roman" w:hAnsi="Calibri" w:cs="Calibri"/>
                <w:b/>
                <w:bCs/>
                <w:color w:val="FFFFFF"/>
                <w:lang w:eastAsia="en-GB"/>
              </w:rPr>
            </w:pPr>
            <w:r w:rsidRPr="001223E5">
              <w:rPr>
                <w:rFonts w:ascii="Calibri" w:eastAsia="Times New Roman" w:hAnsi="Calibri" w:cs="Calibri"/>
                <w:b/>
                <w:bCs/>
                <w:color w:val="FFFFFF"/>
                <w:lang w:eastAsia="en-GB"/>
              </w:rPr>
              <w:t>£000</w:t>
            </w:r>
          </w:p>
        </w:tc>
        <w:tc>
          <w:tcPr>
            <w:tcW w:w="3072" w:type="pct"/>
            <w:vMerge/>
            <w:tcBorders>
              <w:top w:val="nil"/>
              <w:left w:val="nil"/>
              <w:bottom w:val="nil"/>
              <w:right w:val="nil"/>
            </w:tcBorders>
            <w:vAlign w:val="center"/>
            <w:hideMark/>
          </w:tcPr>
          <w:p w14:paraId="7D622344" w14:textId="77777777" w:rsidR="001223E5" w:rsidRPr="001223E5" w:rsidRDefault="001223E5" w:rsidP="001223E5">
            <w:pPr>
              <w:spacing w:line="240" w:lineRule="auto"/>
              <w:jc w:val="left"/>
              <w:rPr>
                <w:rFonts w:ascii="Calibri" w:eastAsia="Times New Roman" w:hAnsi="Calibri" w:cs="Calibri"/>
                <w:b/>
                <w:bCs/>
                <w:color w:val="FFFFFF"/>
                <w:lang w:eastAsia="en-GB"/>
              </w:rPr>
            </w:pPr>
          </w:p>
        </w:tc>
        <w:tc>
          <w:tcPr>
            <w:tcW w:w="964" w:type="pct"/>
            <w:tcBorders>
              <w:top w:val="nil"/>
              <w:left w:val="nil"/>
              <w:bottom w:val="nil"/>
              <w:right w:val="nil"/>
            </w:tcBorders>
            <w:shd w:val="clear" w:color="000000" w:fill="AB2328"/>
            <w:noWrap/>
            <w:vAlign w:val="bottom"/>
            <w:hideMark/>
          </w:tcPr>
          <w:p w14:paraId="38EFD327" w14:textId="77777777" w:rsidR="001223E5" w:rsidRPr="001223E5" w:rsidRDefault="001223E5" w:rsidP="001223E5">
            <w:pPr>
              <w:spacing w:line="240" w:lineRule="auto"/>
              <w:jc w:val="right"/>
              <w:rPr>
                <w:rFonts w:ascii="Calibri" w:eastAsia="Times New Roman" w:hAnsi="Calibri" w:cs="Calibri"/>
                <w:b/>
                <w:bCs/>
                <w:color w:val="FFFFFF"/>
                <w:lang w:eastAsia="en-GB"/>
              </w:rPr>
            </w:pPr>
            <w:r w:rsidRPr="001223E5">
              <w:rPr>
                <w:rFonts w:ascii="Calibri" w:eastAsia="Times New Roman" w:hAnsi="Calibri" w:cs="Calibri"/>
                <w:b/>
                <w:bCs/>
                <w:color w:val="FFFFFF"/>
                <w:lang w:eastAsia="en-GB"/>
              </w:rPr>
              <w:t>£000</w:t>
            </w:r>
          </w:p>
        </w:tc>
      </w:tr>
      <w:tr w:rsidR="001223E5" w:rsidRPr="001223E5" w14:paraId="000F5072" w14:textId="77777777" w:rsidTr="004E0BE6">
        <w:trPr>
          <w:trHeight w:val="290"/>
        </w:trPr>
        <w:tc>
          <w:tcPr>
            <w:tcW w:w="964" w:type="pct"/>
            <w:tcBorders>
              <w:top w:val="nil"/>
              <w:left w:val="nil"/>
              <w:bottom w:val="nil"/>
              <w:right w:val="nil"/>
            </w:tcBorders>
            <w:shd w:val="clear" w:color="000000" w:fill="FFFFFF"/>
            <w:noWrap/>
            <w:vAlign w:val="center"/>
            <w:hideMark/>
          </w:tcPr>
          <w:p w14:paraId="6455160E" w14:textId="77777777" w:rsidR="001223E5" w:rsidRPr="001223E5" w:rsidRDefault="001223E5" w:rsidP="001223E5">
            <w:pPr>
              <w:spacing w:line="240" w:lineRule="auto"/>
              <w:jc w:val="right"/>
              <w:rPr>
                <w:rFonts w:ascii="Calibri" w:eastAsia="Times New Roman" w:hAnsi="Calibri" w:cs="Calibri"/>
                <w:lang w:eastAsia="en-GB"/>
              </w:rPr>
            </w:pPr>
            <w:r w:rsidRPr="001223E5">
              <w:rPr>
                <w:rFonts w:ascii="Calibri" w:eastAsia="Times New Roman" w:hAnsi="Calibri" w:cs="Calibri"/>
                <w:lang w:eastAsia="en-GB"/>
              </w:rPr>
              <w:t>(16)</w:t>
            </w:r>
          </w:p>
        </w:tc>
        <w:tc>
          <w:tcPr>
            <w:tcW w:w="3072" w:type="pct"/>
            <w:tcBorders>
              <w:top w:val="nil"/>
              <w:left w:val="nil"/>
              <w:bottom w:val="nil"/>
              <w:right w:val="nil"/>
            </w:tcBorders>
            <w:shd w:val="clear" w:color="000000" w:fill="FFFFFF"/>
            <w:vAlign w:val="bottom"/>
            <w:hideMark/>
          </w:tcPr>
          <w:p w14:paraId="2F3C0EBF" w14:textId="77777777" w:rsidR="001223E5" w:rsidRPr="001223E5" w:rsidRDefault="001223E5" w:rsidP="001223E5">
            <w:pPr>
              <w:spacing w:line="240" w:lineRule="auto"/>
              <w:jc w:val="left"/>
              <w:rPr>
                <w:rFonts w:ascii="Calibri" w:eastAsia="Times New Roman" w:hAnsi="Calibri" w:cs="Calibri"/>
                <w:color w:val="000000"/>
                <w:lang w:eastAsia="en-GB"/>
              </w:rPr>
            </w:pPr>
            <w:r w:rsidRPr="001223E5">
              <w:rPr>
                <w:rFonts w:ascii="Calibri" w:eastAsia="Times New Roman" w:hAnsi="Calibri" w:cs="Calibri"/>
                <w:color w:val="000000"/>
                <w:lang w:eastAsia="en-GB"/>
              </w:rPr>
              <w:t>(Gains)/Losses on the Disposal of Non-Current Assets</w:t>
            </w:r>
          </w:p>
        </w:tc>
        <w:tc>
          <w:tcPr>
            <w:tcW w:w="964" w:type="pct"/>
            <w:tcBorders>
              <w:top w:val="nil"/>
              <w:left w:val="nil"/>
              <w:bottom w:val="nil"/>
              <w:right w:val="nil"/>
            </w:tcBorders>
            <w:shd w:val="clear" w:color="000000" w:fill="FFE1E1"/>
            <w:noWrap/>
            <w:vAlign w:val="bottom"/>
            <w:hideMark/>
          </w:tcPr>
          <w:p w14:paraId="2E0E924D" w14:textId="77777777" w:rsidR="001223E5" w:rsidRPr="001223E5" w:rsidRDefault="001223E5" w:rsidP="001223E5">
            <w:pPr>
              <w:spacing w:line="240" w:lineRule="auto"/>
              <w:jc w:val="right"/>
              <w:rPr>
                <w:rFonts w:ascii="Calibri" w:eastAsia="Times New Roman" w:hAnsi="Calibri" w:cs="Calibri"/>
                <w:color w:val="000000"/>
                <w:lang w:eastAsia="en-GB"/>
              </w:rPr>
            </w:pPr>
            <w:r w:rsidRPr="001223E5">
              <w:rPr>
                <w:rFonts w:ascii="Calibri" w:eastAsia="Times New Roman" w:hAnsi="Calibri" w:cs="Calibri"/>
                <w:color w:val="000000"/>
                <w:lang w:eastAsia="en-GB"/>
              </w:rPr>
              <w:t xml:space="preserve">240 </w:t>
            </w:r>
          </w:p>
        </w:tc>
      </w:tr>
      <w:tr w:rsidR="001223E5" w:rsidRPr="001223E5" w14:paraId="5FDD0553" w14:textId="77777777" w:rsidTr="004E0BE6">
        <w:trPr>
          <w:trHeight w:val="290"/>
        </w:trPr>
        <w:tc>
          <w:tcPr>
            <w:tcW w:w="964" w:type="pct"/>
            <w:tcBorders>
              <w:top w:val="single" w:sz="4" w:space="0" w:color="000000"/>
              <w:left w:val="nil"/>
              <w:bottom w:val="single" w:sz="4" w:space="0" w:color="000000"/>
              <w:right w:val="nil"/>
            </w:tcBorders>
            <w:shd w:val="clear" w:color="000000" w:fill="FFFFFF"/>
            <w:noWrap/>
            <w:vAlign w:val="center"/>
            <w:hideMark/>
          </w:tcPr>
          <w:p w14:paraId="668DC8EE" w14:textId="77777777" w:rsidR="001223E5" w:rsidRPr="001223E5" w:rsidRDefault="001223E5" w:rsidP="001223E5">
            <w:pPr>
              <w:spacing w:line="240" w:lineRule="auto"/>
              <w:jc w:val="right"/>
              <w:rPr>
                <w:rFonts w:ascii="Calibri" w:eastAsia="Times New Roman" w:hAnsi="Calibri" w:cs="Calibri"/>
                <w:b/>
                <w:bCs/>
                <w:lang w:eastAsia="en-GB"/>
              </w:rPr>
            </w:pPr>
            <w:r w:rsidRPr="001223E5">
              <w:rPr>
                <w:rFonts w:ascii="Calibri" w:eastAsia="Times New Roman" w:hAnsi="Calibri" w:cs="Calibri"/>
                <w:b/>
                <w:bCs/>
                <w:lang w:eastAsia="en-GB"/>
              </w:rPr>
              <w:t>(16)</w:t>
            </w:r>
          </w:p>
        </w:tc>
        <w:tc>
          <w:tcPr>
            <w:tcW w:w="3072" w:type="pct"/>
            <w:tcBorders>
              <w:top w:val="single" w:sz="4" w:space="0" w:color="000000"/>
              <w:left w:val="nil"/>
              <w:bottom w:val="single" w:sz="4" w:space="0" w:color="000000"/>
              <w:right w:val="nil"/>
            </w:tcBorders>
            <w:shd w:val="clear" w:color="000000" w:fill="FFFFFF"/>
            <w:vAlign w:val="bottom"/>
            <w:hideMark/>
          </w:tcPr>
          <w:p w14:paraId="6862300C" w14:textId="77777777" w:rsidR="001223E5" w:rsidRPr="001223E5" w:rsidRDefault="001223E5" w:rsidP="001223E5">
            <w:pPr>
              <w:spacing w:line="240" w:lineRule="auto"/>
              <w:jc w:val="left"/>
              <w:rPr>
                <w:rFonts w:ascii="Calibri" w:eastAsia="Times New Roman" w:hAnsi="Calibri" w:cs="Calibri"/>
                <w:b/>
                <w:bCs/>
                <w:color w:val="000000"/>
                <w:lang w:eastAsia="en-GB"/>
              </w:rPr>
            </w:pPr>
            <w:r w:rsidRPr="001223E5">
              <w:rPr>
                <w:rFonts w:ascii="Calibri" w:eastAsia="Times New Roman" w:hAnsi="Calibri" w:cs="Calibri"/>
                <w:b/>
                <w:bCs/>
                <w:color w:val="000000"/>
                <w:lang w:eastAsia="en-GB"/>
              </w:rPr>
              <w:t>Total Other Operating Expenditure</w:t>
            </w:r>
          </w:p>
        </w:tc>
        <w:tc>
          <w:tcPr>
            <w:tcW w:w="964" w:type="pct"/>
            <w:tcBorders>
              <w:top w:val="single" w:sz="4" w:space="0" w:color="000000"/>
              <w:left w:val="nil"/>
              <w:bottom w:val="single" w:sz="4" w:space="0" w:color="000000"/>
              <w:right w:val="nil"/>
            </w:tcBorders>
            <w:shd w:val="clear" w:color="000000" w:fill="FFE1E1"/>
            <w:noWrap/>
            <w:vAlign w:val="bottom"/>
            <w:hideMark/>
          </w:tcPr>
          <w:p w14:paraId="19DA1ED1" w14:textId="77777777" w:rsidR="001223E5" w:rsidRPr="001223E5" w:rsidRDefault="001223E5" w:rsidP="001223E5">
            <w:pPr>
              <w:spacing w:line="240" w:lineRule="auto"/>
              <w:jc w:val="right"/>
              <w:rPr>
                <w:rFonts w:ascii="Calibri" w:eastAsia="Times New Roman" w:hAnsi="Calibri" w:cs="Calibri"/>
                <w:b/>
                <w:bCs/>
                <w:color w:val="000000"/>
                <w:lang w:eastAsia="en-GB"/>
              </w:rPr>
            </w:pPr>
            <w:r w:rsidRPr="001223E5">
              <w:rPr>
                <w:rFonts w:ascii="Calibri" w:eastAsia="Times New Roman" w:hAnsi="Calibri" w:cs="Calibri"/>
                <w:b/>
                <w:bCs/>
                <w:color w:val="000000"/>
                <w:lang w:eastAsia="en-GB"/>
              </w:rPr>
              <w:t xml:space="preserve">240 </w:t>
            </w:r>
          </w:p>
        </w:tc>
      </w:tr>
    </w:tbl>
    <w:p w14:paraId="7B86D6EB" w14:textId="0D3B9774" w:rsidR="006C17C4" w:rsidRDefault="006C17C4" w:rsidP="002A1ADD">
      <w:pPr>
        <w:pStyle w:val="VAHeadingLevel2"/>
        <w:rPr>
          <w:rFonts w:eastAsiaTheme="minorHAnsi"/>
        </w:rPr>
      </w:pPr>
    </w:p>
    <w:p w14:paraId="28DE9AEA" w14:textId="03B49974" w:rsidR="008B5E10" w:rsidRPr="00067B6C" w:rsidRDefault="00E03E29" w:rsidP="002A1ADD">
      <w:pPr>
        <w:pStyle w:val="VAHeadingLevel2"/>
      </w:pPr>
      <w:r w:rsidRPr="006A4726">
        <w:t>Note 8. Financing and Investment Income</w:t>
      </w:r>
      <w:r w:rsidR="00C35BB9" w:rsidRPr="006A4726">
        <w:t xml:space="preserve"> and Expenditure</w:t>
      </w:r>
    </w:p>
    <w:p w14:paraId="2A141DE2" w14:textId="5A1F7411" w:rsidR="00C30DC3" w:rsidRDefault="00C30DC3" w:rsidP="002A1ADD">
      <w:pPr>
        <w:pStyle w:val="VAHeadingLevel2"/>
        <w:rPr>
          <w:rFonts w:eastAsiaTheme="minorHAnsi"/>
        </w:rPr>
      </w:pPr>
    </w:p>
    <w:tbl>
      <w:tblPr>
        <w:tblW w:w="10353" w:type="dxa"/>
        <w:tblLook w:val="04A0" w:firstRow="1" w:lastRow="0" w:firstColumn="1" w:lastColumn="0" w:noHBand="0" w:noVBand="1"/>
      </w:tblPr>
      <w:tblGrid>
        <w:gridCol w:w="1996"/>
        <w:gridCol w:w="6361"/>
        <w:gridCol w:w="1996"/>
      </w:tblGrid>
      <w:tr w:rsidR="00C30DC3" w:rsidRPr="00C30DC3" w14:paraId="31783836" w14:textId="77777777" w:rsidTr="0058673E">
        <w:trPr>
          <w:divId w:val="402148416"/>
          <w:trHeight w:val="285"/>
        </w:trPr>
        <w:tc>
          <w:tcPr>
            <w:tcW w:w="1996" w:type="dxa"/>
            <w:tcBorders>
              <w:top w:val="nil"/>
              <w:left w:val="nil"/>
              <w:bottom w:val="nil"/>
              <w:right w:val="nil"/>
            </w:tcBorders>
            <w:shd w:val="clear" w:color="000000" w:fill="AB2328"/>
            <w:noWrap/>
            <w:vAlign w:val="bottom"/>
            <w:hideMark/>
          </w:tcPr>
          <w:p w14:paraId="53B9C7DD" w14:textId="56D0FA03" w:rsidR="00C30DC3" w:rsidRPr="00C30DC3" w:rsidRDefault="00C30DC3" w:rsidP="00C30DC3">
            <w:pPr>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6361" w:type="dxa"/>
            <w:tcBorders>
              <w:top w:val="nil"/>
              <w:left w:val="nil"/>
              <w:bottom w:val="nil"/>
              <w:right w:val="nil"/>
            </w:tcBorders>
            <w:shd w:val="clear" w:color="000000" w:fill="AB2328"/>
            <w:noWrap/>
            <w:vAlign w:val="bottom"/>
            <w:hideMark/>
          </w:tcPr>
          <w:p w14:paraId="1935557C"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996" w:type="dxa"/>
            <w:tcBorders>
              <w:top w:val="nil"/>
              <w:left w:val="nil"/>
              <w:bottom w:val="nil"/>
              <w:right w:val="nil"/>
            </w:tcBorders>
            <w:shd w:val="clear" w:color="000000" w:fill="AB2328"/>
            <w:noWrap/>
            <w:vAlign w:val="bottom"/>
            <w:hideMark/>
          </w:tcPr>
          <w:p w14:paraId="2E1D349D"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130C7C4A" w14:textId="77777777" w:rsidTr="0058673E">
        <w:trPr>
          <w:divId w:val="402148416"/>
          <w:trHeight w:val="285"/>
        </w:trPr>
        <w:tc>
          <w:tcPr>
            <w:tcW w:w="1996" w:type="dxa"/>
            <w:tcBorders>
              <w:top w:val="nil"/>
              <w:left w:val="nil"/>
              <w:bottom w:val="nil"/>
              <w:right w:val="nil"/>
            </w:tcBorders>
            <w:shd w:val="clear" w:color="000000" w:fill="AB2328"/>
            <w:noWrap/>
            <w:vAlign w:val="bottom"/>
            <w:hideMark/>
          </w:tcPr>
          <w:p w14:paraId="6C114CE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6361" w:type="dxa"/>
            <w:tcBorders>
              <w:top w:val="nil"/>
              <w:left w:val="nil"/>
              <w:bottom w:val="nil"/>
              <w:right w:val="nil"/>
            </w:tcBorders>
            <w:shd w:val="clear" w:color="000000" w:fill="AB2328"/>
            <w:noWrap/>
            <w:vAlign w:val="bottom"/>
            <w:hideMark/>
          </w:tcPr>
          <w:p w14:paraId="6EC01939"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996" w:type="dxa"/>
            <w:tcBorders>
              <w:top w:val="nil"/>
              <w:left w:val="nil"/>
              <w:bottom w:val="nil"/>
              <w:right w:val="nil"/>
            </w:tcBorders>
            <w:shd w:val="clear" w:color="000000" w:fill="AB2328"/>
            <w:noWrap/>
            <w:vAlign w:val="bottom"/>
            <w:hideMark/>
          </w:tcPr>
          <w:p w14:paraId="5A94A1B5"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07F838D7" w14:textId="77777777" w:rsidTr="0058673E">
        <w:trPr>
          <w:divId w:val="402148416"/>
          <w:trHeight w:val="285"/>
        </w:trPr>
        <w:tc>
          <w:tcPr>
            <w:tcW w:w="1996" w:type="dxa"/>
            <w:tcBorders>
              <w:top w:val="nil"/>
              <w:left w:val="nil"/>
              <w:bottom w:val="nil"/>
              <w:right w:val="nil"/>
            </w:tcBorders>
            <w:shd w:val="clear" w:color="000000" w:fill="FFFFFF"/>
            <w:noWrap/>
            <w:vAlign w:val="center"/>
            <w:hideMark/>
          </w:tcPr>
          <w:p w14:paraId="6108ED0F" w14:textId="2DD9304E" w:rsidR="00C30DC3" w:rsidRPr="00C30DC3" w:rsidRDefault="005706A3" w:rsidP="00C30DC3">
            <w:pPr>
              <w:spacing w:line="240" w:lineRule="auto"/>
              <w:jc w:val="right"/>
              <w:rPr>
                <w:rFonts w:ascii="Calibri" w:eastAsia="Times New Roman" w:hAnsi="Calibri" w:cs="Calibri"/>
                <w:lang w:eastAsia="en-GB"/>
              </w:rPr>
            </w:pPr>
            <w:r>
              <w:rPr>
                <w:rFonts w:ascii="Calibri" w:eastAsia="Times New Roman" w:hAnsi="Calibri" w:cs="Calibri"/>
                <w:lang w:eastAsia="en-GB"/>
              </w:rPr>
              <w:t>62</w:t>
            </w:r>
          </w:p>
        </w:tc>
        <w:tc>
          <w:tcPr>
            <w:tcW w:w="6361" w:type="dxa"/>
            <w:tcBorders>
              <w:top w:val="nil"/>
              <w:left w:val="nil"/>
              <w:bottom w:val="nil"/>
              <w:right w:val="nil"/>
            </w:tcBorders>
            <w:shd w:val="clear" w:color="000000" w:fill="FFFFFF"/>
            <w:vAlign w:val="center"/>
            <w:hideMark/>
          </w:tcPr>
          <w:p w14:paraId="2E7B51E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Interest payable and similar charges</w:t>
            </w:r>
          </w:p>
        </w:tc>
        <w:tc>
          <w:tcPr>
            <w:tcW w:w="1996" w:type="dxa"/>
            <w:tcBorders>
              <w:top w:val="nil"/>
              <w:left w:val="nil"/>
              <w:bottom w:val="nil"/>
              <w:right w:val="nil"/>
            </w:tcBorders>
            <w:shd w:val="clear" w:color="000000" w:fill="FFE1E1"/>
            <w:noWrap/>
            <w:vAlign w:val="center"/>
            <w:hideMark/>
          </w:tcPr>
          <w:p w14:paraId="4C021BFB" w14:textId="26D9682F"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6</w:t>
            </w:r>
            <w:r w:rsidR="008C2EB8">
              <w:rPr>
                <w:rFonts w:ascii="Calibri" w:eastAsia="Times New Roman" w:hAnsi="Calibri" w:cs="Calibri"/>
                <w:color w:val="000000"/>
                <w:lang w:eastAsia="en-GB"/>
              </w:rPr>
              <w:t>6</w:t>
            </w:r>
          </w:p>
        </w:tc>
      </w:tr>
      <w:tr w:rsidR="00C30DC3" w:rsidRPr="00C30DC3" w14:paraId="4B5DD2A7" w14:textId="77777777" w:rsidTr="0058673E">
        <w:trPr>
          <w:divId w:val="402148416"/>
          <w:trHeight w:val="285"/>
        </w:trPr>
        <w:tc>
          <w:tcPr>
            <w:tcW w:w="1996" w:type="dxa"/>
            <w:tcBorders>
              <w:top w:val="nil"/>
              <w:left w:val="nil"/>
              <w:bottom w:val="nil"/>
              <w:right w:val="nil"/>
            </w:tcBorders>
            <w:shd w:val="clear" w:color="000000" w:fill="FFFFFF"/>
            <w:noWrap/>
            <w:vAlign w:val="center"/>
            <w:hideMark/>
          </w:tcPr>
          <w:p w14:paraId="58A93C9D" w14:textId="760976E4" w:rsidR="00C30DC3" w:rsidRPr="00C30DC3" w:rsidRDefault="005706A3" w:rsidP="00C30DC3">
            <w:pPr>
              <w:spacing w:line="240" w:lineRule="auto"/>
              <w:jc w:val="right"/>
              <w:rPr>
                <w:rFonts w:ascii="Calibri" w:eastAsia="Times New Roman" w:hAnsi="Calibri" w:cs="Calibri"/>
                <w:lang w:eastAsia="en-GB"/>
              </w:rPr>
            </w:pPr>
            <w:r>
              <w:rPr>
                <w:rFonts w:ascii="Calibri" w:eastAsia="Times New Roman" w:hAnsi="Calibri" w:cs="Calibri"/>
                <w:lang w:eastAsia="en-GB"/>
              </w:rPr>
              <w:t>10,969</w:t>
            </w:r>
          </w:p>
        </w:tc>
        <w:tc>
          <w:tcPr>
            <w:tcW w:w="6361" w:type="dxa"/>
            <w:tcBorders>
              <w:top w:val="nil"/>
              <w:left w:val="nil"/>
              <w:bottom w:val="nil"/>
              <w:right w:val="nil"/>
            </w:tcBorders>
            <w:shd w:val="clear" w:color="000000" w:fill="FFFFFF"/>
            <w:vAlign w:val="center"/>
            <w:hideMark/>
          </w:tcPr>
          <w:p w14:paraId="6F8728D3"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Net interest on the net defined benefit liability (asset)</w:t>
            </w:r>
          </w:p>
        </w:tc>
        <w:tc>
          <w:tcPr>
            <w:tcW w:w="1996" w:type="dxa"/>
            <w:tcBorders>
              <w:top w:val="nil"/>
              <w:left w:val="nil"/>
              <w:bottom w:val="nil"/>
              <w:right w:val="nil"/>
            </w:tcBorders>
            <w:shd w:val="clear" w:color="000000" w:fill="FFE1E1"/>
            <w:noWrap/>
            <w:vAlign w:val="center"/>
            <w:hideMark/>
          </w:tcPr>
          <w:p w14:paraId="2F36260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11,448</w:t>
            </w:r>
          </w:p>
        </w:tc>
      </w:tr>
      <w:tr w:rsidR="00C30DC3" w:rsidRPr="00C30DC3" w14:paraId="3E7BE1C8" w14:textId="77777777" w:rsidTr="0058673E">
        <w:trPr>
          <w:divId w:val="402148416"/>
          <w:trHeight w:val="285"/>
        </w:trPr>
        <w:tc>
          <w:tcPr>
            <w:tcW w:w="1996" w:type="dxa"/>
            <w:tcBorders>
              <w:top w:val="nil"/>
              <w:left w:val="nil"/>
              <w:bottom w:val="nil"/>
              <w:right w:val="nil"/>
            </w:tcBorders>
            <w:shd w:val="clear" w:color="000000" w:fill="FFFFFF"/>
            <w:noWrap/>
            <w:vAlign w:val="center"/>
            <w:hideMark/>
          </w:tcPr>
          <w:p w14:paraId="69673106"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(238)</w:t>
            </w:r>
          </w:p>
        </w:tc>
        <w:tc>
          <w:tcPr>
            <w:tcW w:w="6361" w:type="dxa"/>
            <w:tcBorders>
              <w:top w:val="nil"/>
              <w:left w:val="nil"/>
              <w:bottom w:val="nil"/>
              <w:right w:val="nil"/>
            </w:tcBorders>
            <w:shd w:val="clear" w:color="000000" w:fill="FFFFFF"/>
            <w:vAlign w:val="center"/>
            <w:hideMark/>
          </w:tcPr>
          <w:p w14:paraId="36D0A3A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Interest receivable and similar income</w:t>
            </w:r>
          </w:p>
        </w:tc>
        <w:tc>
          <w:tcPr>
            <w:tcW w:w="1996" w:type="dxa"/>
            <w:tcBorders>
              <w:top w:val="nil"/>
              <w:left w:val="nil"/>
              <w:bottom w:val="nil"/>
              <w:right w:val="nil"/>
            </w:tcBorders>
            <w:shd w:val="clear" w:color="000000" w:fill="FFE1E1"/>
            <w:noWrap/>
            <w:vAlign w:val="center"/>
            <w:hideMark/>
          </w:tcPr>
          <w:p w14:paraId="7D22E36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(389)</w:t>
            </w:r>
          </w:p>
        </w:tc>
      </w:tr>
      <w:tr w:rsidR="00C30DC3" w:rsidRPr="00C30DC3" w14:paraId="6E24DC95" w14:textId="77777777" w:rsidTr="0058673E">
        <w:trPr>
          <w:divId w:val="402148416"/>
          <w:trHeight w:val="285"/>
        </w:trPr>
        <w:tc>
          <w:tcPr>
            <w:tcW w:w="1996" w:type="dxa"/>
            <w:tcBorders>
              <w:top w:val="single" w:sz="4" w:space="0" w:color="000000"/>
              <w:left w:val="nil"/>
              <w:bottom w:val="single" w:sz="4" w:space="0" w:color="000000"/>
              <w:right w:val="nil"/>
            </w:tcBorders>
            <w:shd w:val="clear" w:color="000000" w:fill="FFFFFF"/>
            <w:noWrap/>
            <w:vAlign w:val="center"/>
            <w:hideMark/>
          </w:tcPr>
          <w:p w14:paraId="31918202"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10,793</w:t>
            </w:r>
          </w:p>
        </w:tc>
        <w:tc>
          <w:tcPr>
            <w:tcW w:w="6361" w:type="dxa"/>
            <w:tcBorders>
              <w:top w:val="single" w:sz="4" w:space="0" w:color="000000"/>
              <w:left w:val="nil"/>
              <w:bottom w:val="single" w:sz="4" w:space="0" w:color="000000"/>
              <w:right w:val="nil"/>
            </w:tcBorders>
            <w:shd w:val="clear" w:color="000000" w:fill="FFFFFF"/>
            <w:vAlign w:val="center"/>
            <w:hideMark/>
          </w:tcPr>
          <w:p w14:paraId="36356417"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Total Other Operating Expenditure</w:t>
            </w:r>
          </w:p>
        </w:tc>
        <w:tc>
          <w:tcPr>
            <w:tcW w:w="1996" w:type="dxa"/>
            <w:tcBorders>
              <w:top w:val="single" w:sz="4" w:space="0" w:color="000000"/>
              <w:left w:val="nil"/>
              <w:bottom w:val="single" w:sz="4" w:space="0" w:color="000000"/>
              <w:right w:val="nil"/>
            </w:tcBorders>
            <w:shd w:val="clear" w:color="000000" w:fill="FFE1E1"/>
            <w:noWrap/>
            <w:vAlign w:val="center"/>
            <w:hideMark/>
          </w:tcPr>
          <w:p w14:paraId="394D8645" w14:textId="53276744"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11,1</w:t>
            </w:r>
            <w:r w:rsidR="008C2EB8">
              <w:rPr>
                <w:rFonts w:ascii="Calibri" w:eastAsia="Times New Roman" w:hAnsi="Calibri" w:cs="Calibri"/>
                <w:b/>
                <w:bCs/>
                <w:color w:val="000000"/>
                <w:lang w:eastAsia="en-GB"/>
              </w:rPr>
              <w:t>25</w:t>
            </w:r>
          </w:p>
        </w:tc>
      </w:tr>
    </w:tbl>
    <w:p w14:paraId="405E9BF5" w14:textId="0AE4EDE5" w:rsidR="006C17C4" w:rsidRDefault="006C17C4" w:rsidP="002A1ADD">
      <w:pPr>
        <w:pStyle w:val="VAHeadingLevel2"/>
        <w:rPr>
          <w:rFonts w:eastAsiaTheme="minorHAnsi"/>
        </w:rPr>
      </w:pPr>
    </w:p>
    <w:p w14:paraId="1B056D8E" w14:textId="20EF7C9E" w:rsidR="006A4726" w:rsidRDefault="00913746" w:rsidP="002A1ADD">
      <w:pPr>
        <w:pStyle w:val="VAHeadingLevel2"/>
      </w:pPr>
      <w:r w:rsidRPr="00913746">
        <w:t>Note 9. Taxation and Non-Specific Grant Income</w:t>
      </w:r>
    </w:p>
    <w:p w14:paraId="12538EFA" w14:textId="47A34182" w:rsidR="00AD2533" w:rsidRDefault="00AD2533" w:rsidP="002A1ADD">
      <w:pPr>
        <w:pStyle w:val="VAHeadingLevel2"/>
        <w:rPr>
          <w:rFonts w:eastAsiaTheme="minorHAnsi"/>
        </w:rPr>
      </w:pPr>
    </w:p>
    <w:tbl>
      <w:tblPr>
        <w:tblW w:w="4988" w:type="pct"/>
        <w:tblLook w:val="04A0" w:firstRow="1" w:lastRow="0" w:firstColumn="1" w:lastColumn="0" w:noHBand="0" w:noVBand="1"/>
      </w:tblPr>
      <w:tblGrid>
        <w:gridCol w:w="1996"/>
        <w:gridCol w:w="6361"/>
        <w:gridCol w:w="1993"/>
      </w:tblGrid>
      <w:tr w:rsidR="009D1B9E" w:rsidRPr="009D1B9E" w14:paraId="5DC7BA68" w14:textId="77777777" w:rsidTr="006E0571">
        <w:trPr>
          <w:trHeight w:val="600"/>
        </w:trPr>
        <w:tc>
          <w:tcPr>
            <w:tcW w:w="964" w:type="pct"/>
            <w:tcBorders>
              <w:top w:val="nil"/>
              <w:left w:val="nil"/>
              <w:bottom w:val="nil"/>
              <w:right w:val="nil"/>
            </w:tcBorders>
            <w:shd w:val="clear" w:color="000000" w:fill="AB2328"/>
            <w:vAlign w:val="bottom"/>
            <w:hideMark/>
          </w:tcPr>
          <w:p w14:paraId="3C4EF86C" w14:textId="77777777" w:rsidR="009D1B9E" w:rsidRPr="009D1B9E" w:rsidRDefault="009D1B9E" w:rsidP="009D1B9E">
            <w:pPr>
              <w:spacing w:line="240" w:lineRule="auto"/>
              <w:jc w:val="right"/>
              <w:rPr>
                <w:rFonts w:ascii="Calibri" w:eastAsia="Times New Roman" w:hAnsi="Calibri" w:cs="Calibri"/>
                <w:b/>
                <w:bCs/>
                <w:color w:val="FFFFFF"/>
                <w:lang w:eastAsia="en-GB"/>
              </w:rPr>
            </w:pPr>
            <w:r w:rsidRPr="009D1B9E">
              <w:rPr>
                <w:rFonts w:ascii="Calibri" w:eastAsia="Times New Roman" w:hAnsi="Calibri" w:cs="Calibri"/>
                <w:b/>
                <w:bCs/>
                <w:color w:val="FFFFFF"/>
                <w:lang w:eastAsia="en-GB"/>
              </w:rPr>
              <w:t xml:space="preserve">12 Months to </w:t>
            </w:r>
            <w:r w:rsidRPr="009D1B9E">
              <w:rPr>
                <w:rFonts w:ascii="Calibri" w:eastAsia="Times New Roman" w:hAnsi="Calibri" w:cs="Calibri"/>
                <w:b/>
                <w:bCs/>
                <w:color w:val="FFFFFF"/>
                <w:lang w:eastAsia="en-GB"/>
              </w:rPr>
              <w:br/>
              <w:t>31 March 2024</w:t>
            </w:r>
          </w:p>
        </w:tc>
        <w:tc>
          <w:tcPr>
            <w:tcW w:w="3073" w:type="pct"/>
            <w:vMerge w:val="restart"/>
            <w:tcBorders>
              <w:top w:val="nil"/>
              <w:left w:val="nil"/>
              <w:bottom w:val="nil"/>
              <w:right w:val="nil"/>
            </w:tcBorders>
            <w:shd w:val="clear" w:color="000000" w:fill="AB2328"/>
            <w:vAlign w:val="center"/>
            <w:hideMark/>
          </w:tcPr>
          <w:p w14:paraId="3C9D0C18" w14:textId="77777777" w:rsidR="009D1B9E" w:rsidRPr="009D1B9E" w:rsidRDefault="009D1B9E" w:rsidP="009D1B9E">
            <w:pPr>
              <w:spacing w:line="240" w:lineRule="auto"/>
              <w:jc w:val="center"/>
              <w:rPr>
                <w:rFonts w:ascii="Calibri" w:eastAsia="Times New Roman" w:hAnsi="Calibri" w:cs="Calibri"/>
                <w:b/>
                <w:bCs/>
                <w:color w:val="FFFFFF"/>
                <w:lang w:eastAsia="en-GB"/>
              </w:rPr>
            </w:pPr>
            <w:r w:rsidRPr="009D1B9E">
              <w:rPr>
                <w:rFonts w:ascii="Calibri" w:eastAsia="Times New Roman" w:hAnsi="Calibri" w:cs="Calibri"/>
                <w:b/>
                <w:bCs/>
                <w:color w:val="FFFFFF"/>
                <w:lang w:eastAsia="en-GB"/>
              </w:rPr>
              <w:t>Council Tax and Non Domestic Rates Income</w:t>
            </w:r>
          </w:p>
        </w:tc>
        <w:tc>
          <w:tcPr>
            <w:tcW w:w="964" w:type="pct"/>
            <w:tcBorders>
              <w:top w:val="nil"/>
              <w:left w:val="nil"/>
              <w:bottom w:val="nil"/>
              <w:right w:val="nil"/>
            </w:tcBorders>
            <w:shd w:val="clear" w:color="000000" w:fill="AB2328"/>
            <w:vAlign w:val="bottom"/>
            <w:hideMark/>
          </w:tcPr>
          <w:p w14:paraId="6FE5CBC8" w14:textId="77777777" w:rsidR="009D1B9E" w:rsidRPr="009D1B9E" w:rsidRDefault="009D1B9E" w:rsidP="009D1B9E">
            <w:pPr>
              <w:spacing w:line="240" w:lineRule="auto"/>
              <w:jc w:val="right"/>
              <w:rPr>
                <w:rFonts w:ascii="Calibri" w:eastAsia="Times New Roman" w:hAnsi="Calibri" w:cs="Calibri"/>
                <w:b/>
                <w:bCs/>
                <w:color w:val="FFFFFF"/>
                <w:lang w:eastAsia="en-GB"/>
              </w:rPr>
            </w:pPr>
            <w:r w:rsidRPr="009D1B9E">
              <w:rPr>
                <w:rFonts w:ascii="Calibri" w:eastAsia="Times New Roman" w:hAnsi="Calibri" w:cs="Calibri"/>
                <w:b/>
                <w:bCs/>
                <w:color w:val="FFFFFF"/>
                <w:lang w:eastAsia="en-GB"/>
              </w:rPr>
              <w:t xml:space="preserve">12 Months to </w:t>
            </w:r>
            <w:r w:rsidRPr="009D1B9E">
              <w:rPr>
                <w:rFonts w:ascii="Calibri" w:eastAsia="Times New Roman" w:hAnsi="Calibri" w:cs="Calibri"/>
                <w:b/>
                <w:bCs/>
                <w:color w:val="FFFFFF"/>
                <w:lang w:eastAsia="en-GB"/>
              </w:rPr>
              <w:br/>
              <w:t>31 March 2025</w:t>
            </w:r>
          </w:p>
        </w:tc>
      </w:tr>
      <w:tr w:rsidR="009D1B9E" w:rsidRPr="009D1B9E" w14:paraId="7983D80D" w14:textId="77777777" w:rsidTr="006E0571">
        <w:trPr>
          <w:trHeight w:val="315"/>
        </w:trPr>
        <w:tc>
          <w:tcPr>
            <w:tcW w:w="964" w:type="pct"/>
            <w:tcBorders>
              <w:top w:val="nil"/>
              <w:left w:val="nil"/>
              <w:bottom w:val="nil"/>
              <w:right w:val="nil"/>
            </w:tcBorders>
            <w:shd w:val="clear" w:color="000000" w:fill="AB2328"/>
            <w:noWrap/>
            <w:vAlign w:val="bottom"/>
            <w:hideMark/>
          </w:tcPr>
          <w:p w14:paraId="52470045" w14:textId="77777777" w:rsidR="009D1B9E" w:rsidRPr="009D1B9E" w:rsidRDefault="009D1B9E" w:rsidP="009D1B9E">
            <w:pPr>
              <w:spacing w:line="240" w:lineRule="auto"/>
              <w:jc w:val="right"/>
              <w:rPr>
                <w:rFonts w:ascii="Calibri" w:eastAsia="Times New Roman" w:hAnsi="Calibri" w:cs="Calibri"/>
                <w:b/>
                <w:bCs/>
                <w:color w:val="FFFFFF"/>
                <w:lang w:eastAsia="en-GB"/>
              </w:rPr>
            </w:pPr>
            <w:r w:rsidRPr="009D1B9E">
              <w:rPr>
                <w:rFonts w:ascii="Calibri" w:eastAsia="Times New Roman" w:hAnsi="Calibri" w:cs="Calibri"/>
                <w:b/>
                <w:bCs/>
                <w:color w:val="FFFFFF"/>
                <w:lang w:eastAsia="en-GB"/>
              </w:rPr>
              <w:t>£000</w:t>
            </w:r>
          </w:p>
        </w:tc>
        <w:tc>
          <w:tcPr>
            <w:tcW w:w="3073" w:type="pct"/>
            <w:vMerge/>
            <w:tcBorders>
              <w:top w:val="nil"/>
              <w:left w:val="nil"/>
              <w:bottom w:val="nil"/>
              <w:right w:val="nil"/>
            </w:tcBorders>
            <w:vAlign w:val="center"/>
            <w:hideMark/>
          </w:tcPr>
          <w:p w14:paraId="08E244C4" w14:textId="77777777" w:rsidR="009D1B9E" w:rsidRPr="009D1B9E" w:rsidRDefault="009D1B9E" w:rsidP="009D1B9E">
            <w:pPr>
              <w:spacing w:line="240" w:lineRule="auto"/>
              <w:jc w:val="left"/>
              <w:rPr>
                <w:rFonts w:ascii="Calibri" w:eastAsia="Times New Roman" w:hAnsi="Calibri" w:cs="Calibri"/>
                <w:b/>
                <w:bCs/>
                <w:color w:val="FFFFFF"/>
                <w:lang w:eastAsia="en-GB"/>
              </w:rPr>
            </w:pPr>
          </w:p>
        </w:tc>
        <w:tc>
          <w:tcPr>
            <w:tcW w:w="964" w:type="pct"/>
            <w:tcBorders>
              <w:top w:val="nil"/>
              <w:left w:val="nil"/>
              <w:bottom w:val="nil"/>
              <w:right w:val="nil"/>
            </w:tcBorders>
            <w:shd w:val="clear" w:color="000000" w:fill="AB2328"/>
            <w:noWrap/>
            <w:vAlign w:val="bottom"/>
            <w:hideMark/>
          </w:tcPr>
          <w:p w14:paraId="6B74C3AE" w14:textId="77777777" w:rsidR="009D1B9E" w:rsidRPr="009D1B9E" w:rsidRDefault="009D1B9E" w:rsidP="009D1B9E">
            <w:pPr>
              <w:spacing w:line="240" w:lineRule="auto"/>
              <w:jc w:val="right"/>
              <w:rPr>
                <w:rFonts w:ascii="Calibri" w:eastAsia="Times New Roman" w:hAnsi="Calibri" w:cs="Calibri"/>
                <w:b/>
                <w:bCs/>
                <w:color w:val="FFFFFF"/>
                <w:lang w:eastAsia="en-GB"/>
              </w:rPr>
            </w:pPr>
            <w:r w:rsidRPr="009D1B9E">
              <w:rPr>
                <w:rFonts w:ascii="Calibri" w:eastAsia="Times New Roman" w:hAnsi="Calibri" w:cs="Calibri"/>
                <w:b/>
                <w:bCs/>
                <w:color w:val="FFFFFF"/>
                <w:lang w:eastAsia="en-GB"/>
              </w:rPr>
              <w:t>£000</w:t>
            </w:r>
          </w:p>
        </w:tc>
      </w:tr>
      <w:tr w:rsidR="009D1B9E" w:rsidRPr="009D1B9E" w14:paraId="77884220" w14:textId="77777777" w:rsidTr="006E0571">
        <w:trPr>
          <w:trHeight w:val="315"/>
        </w:trPr>
        <w:tc>
          <w:tcPr>
            <w:tcW w:w="964" w:type="pct"/>
            <w:tcBorders>
              <w:top w:val="nil"/>
              <w:left w:val="nil"/>
              <w:bottom w:val="nil"/>
              <w:right w:val="nil"/>
            </w:tcBorders>
            <w:shd w:val="clear" w:color="000000" w:fill="FFFFFF"/>
            <w:noWrap/>
            <w:vAlign w:val="bottom"/>
            <w:hideMark/>
          </w:tcPr>
          <w:p w14:paraId="52047603"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(19,019)</w:t>
            </w:r>
          </w:p>
        </w:tc>
        <w:tc>
          <w:tcPr>
            <w:tcW w:w="3073" w:type="pct"/>
            <w:tcBorders>
              <w:top w:val="nil"/>
              <w:left w:val="nil"/>
              <w:bottom w:val="nil"/>
              <w:right w:val="nil"/>
            </w:tcBorders>
            <w:shd w:val="clear" w:color="000000" w:fill="FFFFFF"/>
            <w:noWrap/>
            <w:vAlign w:val="center"/>
            <w:hideMark/>
          </w:tcPr>
          <w:p w14:paraId="103044B5" w14:textId="77777777" w:rsidR="009D1B9E" w:rsidRPr="009D1B9E" w:rsidRDefault="009D1B9E" w:rsidP="009D1B9E">
            <w:pPr>
              <w:spacing w:line="240" w:lineRule="auto"/>
              <w:jc w:val="left"/>
              <w:rPr>
                <w:rFonts w:ascii="Calibri" w:eastAsia="Times New Roman" w:hAnsi="Calibri" w:cs="Calibri"/>
                <w:lang w:eastAsia="en-GB"/>
              </w:rPr>
            </w:pPr>
            <w:r w:rsidRPr="009D1B9E">
              <w:rPr>
                <w:rFonts w:ascii="Calibri" w:eastAsia="Times New Roman" w:hAnsi="Calibri" w:cs="Calibri"/>
                <w:lang w:eastAsia="en-GB"/>
              </w:rPr>
              <w:t>Council Tax Funding</w:t>
            </w:r>
          </w:p>
        </w:tc>
        <w:tc>
          <w:tcPr>
            <w:tcW w:w="964" w:type="pct"/>
            <w:tcBorders>
              <w:top w:val="nil"/>
              <w:left w:val="nil"/>
              <w:bottom w:val="nil"/>
              <w:right w:val="nil"/>
            </w:tcBorders>
            <w:shd w:val="clear" w:color="000000" w:fill="FFE1E1"/>
            <w:noWrap/>
            <w:vAlign w:val="bottom"/>
            <w:hideMark/>
          </w:tcPr>
          <w:p w14:paraId="26C891A6"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(19,804)</w:t>
            </w:r>
          </w:p>
        </w:tc>
      </w:tr>
      <w:tr w:rsidR="009D1B9E" w:rsidRPr="009D1B9E" w14:paraId="3CF0CE9F" w14:textId="77777777" w:rsidTr="006E0571">
        <w:trPr>
          <w:trHeight w:val="315"/>
        </w:trPr>
        <w:tc>
          <w:tcPr>
            <w:tcW w:w="964" w:type="pct"/>
            <w:tcBorders>
              <w:top w:val="nil"/>
              <w:left w:val="nil"/>
              <w:bottom w:val="nil"/>
              <w:right w:val="nil"/>
            </w:tcBorders>
            <w:shd w:val="clear" w:color="000000" w:fill="FFFFFF"/>
            <w:noWrap/>
            <w:vAlign w:val="bottom"/>
            <w:hideMark/>
          </w:tcPr>
          <w:p w14:paraId="415DC800"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(2,587)</w:t>
            </w:r>
          </w:p>
        </w:tc>
        <w:tc>
          <w:tcPr>
            <w:tcW w:w="3073" w:type="pct"/>
            <w:tcBorders>
              <w:top w:val="nil"/>
              <w:left w:val="nil"/>
              <w:bottom w:val="nil"/>
              <w:right w:val="nil"/>
            </w:tcBorders>
            <w:shd w:val="clear" w:color="000000" w:fill="FFFFFF"/>
            <w:noWrap/>
            <w:vAlign w:val="center"/>
            <w:hideMark/>
          </w:tcPr>
          <w:p w14:paraId="45CE83F0" w14:textId="77777777" w:rsidR="009D1B9E" w:rsidRPr="009D1B9E" w:rsidRDefault="009D1B9E" w:rsidP="009D1B9E">
            <w:pPr>
              <w:spacing w:line="240" w:lineRule="auto"/>
              <w:jc w:val="left"/>
              <w:rPr>
                <w:rFonts w:ascii="Calibri" w:eastAsia="Times New Roman" w:hAnsi="Calibri" w:cs="Calibri"/>
                <w:lang w:eastAsia="en-GB"/>
              </w:rPr>
            </w:pPr>
            <w:r w:rsidRPr="009D1B9E">
              <w:rPr>
                <w:rFonts w:ascii="Calibri" w:eastAsia="Times New Roman" w:hAnsi="Calibri" w:cs="Calibri"/>
                <w:lang w:eastAsia="en-GB"/>
              </w:rPr>
              <w:t>Revenue Support Grant</w:t>
            </w:r>
          </w:p>
        </w:tc>
        <w:tc>
          <w:tcPr>
            <w:tcW w:w="964" w:type="pct"/>
            <w:tcBorders>
              <w:top w:val="nil"/>
              <w:left w:val="nil"/>
              <w:bottom w:val="nil"/>
              <w:right w:val="nil"/>
            </w:tcBorders>
            <w:shd w:val="clear" w:color="000000" w:fill="FFE1E1"/>
            <w:noWrap/>
            <w:vAlign w:val="bottom"/>
            <w:hideMark/>
          </w:tcPr>
          <w:p w14:paraId="1EA86329"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(3,944)</w:t>
            </w:r>
          </w:p>
        </w:tc>
      </w:tr>
      <w:tr w:rsidR="009D1B9E" w:rsidRPr="009D1B9E" w14:paraId="05774A71" w14:textId="77777777" w:rsidTr="006E0571">
        <w:trPr>
          <w:trHeight w:val="315"/>
        </w:trPr>
        <w:tc>
          <w:tcPr>
            <w:tcW w:w="964" w:type="pct"/>
            <w:tcBorders>
              <w:top w:val="nil"/>
              <w:left w:val="nil"/>
              <w:bottom w:val="nil"/>
              <w:right w:val="nil"/>
            </w:tcBorders>
            <w:shd w:val="clear" w:color="000000" w:fill="FFFFFF"/>
            <w:noWrap/>
            <w:vAlign w:val="bottom"/>
            <w:hideMark/>
          </w:tcPr>
          <w:p w14:paraId="7D338279"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(8,221)</w:t>
            </w:r>
          </w:p>
        </w:tc>
        <w:tc>
          <w:tcPr>
            <w:tcW w:w="3073" w:type="pct"/>
            <w:tcBorders>
              <w:top w:val="nil"/>
              <w:left w:val="nil"/>
              <w:bottom w:val="nil"/>
              <w:right w:val="nil"/>
            </w:tcBorders>
            <w:shd w:val="clear" w:color="000000" w:fill="FFFFFF"/>
            <w:noWrap/>
            <w:vAlign w:val="center"/>
            <w:hideMark/>
          </w:tcPr>
          <w:p w14:paraId="3C215E8F" w14:textId="77777777" w:rsidR="009D1B9E" w:rsidRPr="009D1B9E" w:rsidRDefault="009D1B9E" w:rsidP="009D1B9E">
            <w:pPr>
              <w:spacing w:line="240" w:lineRule="auto"/>
              <w:jc w:val="left"/>
              <w:rPr>
                <w:rFonts w:ascii="Calibri" w:eastAsia="Times New Roman" w:hAnsi="Calibri" w:cs="Calibri"/>
                <w:lang w:eastAsia="en-GB"/>
              </w:rPr>
            </w:pPr>
            <w:r w:rsidRPr="009D1B9E">
              <w:rPr>
                <w:rFonts w:ascii="Calibri" w:eastAsia="Times New Roman" w:hAnsi="Calibri" w:cs="Calibri"/>
                <w:lang w:eastAsia="en-GB"/>
              </w:rPr>
              <w:t>Non Domestic Rates Funding</w:t>
            </w:r>
          </w:p>
        </w:tc>
        <w:tc>
          <w:tcPr>
            <w:tcW w:w="964" w:type="pct"/>
            <w:tcBorders>
              <w:top w:val="nil"/>
              <w:left w:val="nil"/>
              <w:bottom w:val="nil"/>
              <w:right w:val="nil"/>
            </w:tcBorders>
            <w:shd w:val="clear" w:color="000000" w:fill="FFE1E1"/>
            <w:noWrap/>
            <w:vAlign w:val="bottom"/>
            <w:hideMark/>
          </w:tcPr>
          <w:p w14:paraId="67355E80"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(8,040)</w:t>
            </w:r>
          </w:p>
        </w:tc>
      </w:tr>
      <w:tr w:rsidR="009D1B9E" w:rsidRPr="009D1B9E" w14:paraId="5E41A02C" w14:textId="77777777" w:rsidTr="006E0571">
        <w:trPr>
          <w:trHeight w:val="315"/>
        </w:trPr>
        <w:tc>
          <w:tcPr>
            <w:tcW w:w="964" w:type="pct"/>
            <w:tcBorders>
              <w:top w:val="nil"/>
              <w:left w:val="nil"/>
              <w:bottom w:val="nil"/>
              <w:right w:val="nil"/>
            </w:tcBorders>
            <w:shd w:val="clear" w:color="000000" w:fill="FFFFFF"/>
            <w:noWrap/>
            <w:vAlign w:val="bottom"/>
            <w:hideMark/>
          </w:tcPr>
          <w:p w14:paraId="4C6F80C8" w14:textId="2BEBC9D2" w:rsidR="009D1B9E" w:rsidRPr="009D1B9E" w:rsidRDefault="00EF704C" w:rsidP="009D1B9E">
            <w:pPr>
              <w:spacing w:line="240" w:lineRule="auto"/>
              <w:jc w:val="right"/>
              <w:rPr>
                <w:rFonts w:ascii="Calibri" w:eastAsia="Times New Roman" w:hAnsi="Calibri" w:cs="Calibri"/>
                <w:lang w:eastAsia="en-GB"/>
              </w:rPr>
            </w:pPr>
            <w:r>
              <w:rPr>
                <w:rFonts w:ascii="Calibri" w:eastAsia="Times New Roman" w:hAnsi="Calibri" w:cs="Calibri"/>
                <w:lang w:eastAsia="en-GB"/>
              </w:rPr>
              <w:t>-</w:t>
            </w:r>
          </w:p>
        </w:tc>
        <w:tc>
          <w:tcPr>
            <w:tcW w:w="3073" w:type="pct"/>
            <w:tcBorders>
              <w:top w:val="nil"/>
              <w:left w:val="nil"/>
              <w:bottom w:val="nil"/>
              <w:right w:val="nil"/>
            </w:tcBorders>
            <w:shd w:val="clear" w:color="000000" w:fill="FFFFFF"/>
            <w:noWrap/>
            <w:vAlign w:val="center"/>
            <w:hideMark/>
          </w:tcPr>
          <w:p w14:paraId="6CAC472E" w14:textId="77777777" w:rsidR="009D1B9E" w:rsidRPr="009D1B9E" w:rsidRDefault="009D1B9E" w:rsidP="009D1B9E">
            <w:pPr>
              <w:spacing w:line="240" w:lineRule="auto"/>
              <w:jc w:val="left"/>
              <w:rPr>
                <w:rFonts w:ascii="Calibri" w:eastAsia="Times New Roman" w:hAnsi="Calibri" w:cs="Calibri"/>
                <w:lang w:eastAsia="en-GB"/>
              </w:rPr>
            </w:pPr>
            <w:r w:rsidRPr="009D1B9E">
              <w:rPr>
                <w:rFonts w:ascii="Calibri" w:eastAsia="Times New Roman" w:hAnsi="Calibri" w:cs="Calibri"/>
                <w:lang w:eastAsia="en-GB"/>
              </w:rPr>
              <w:t>Funding guarantee Grant</w:t>
            </w:r>
          </w:p>
        </w:tc>
        <w:tc>
          <w:tcPr>
            <w:tcW w:w="964" w:type="pct"/>
            <w:tcBorders>
              <w:top w:val="nil"/>
              <w:left w:val="nil"/>
              <w:bottom w:val="nil"/>
              <w:right w:val="nil"/>
            </w:tcBorders>
            <w:shd w:val="clear" w:color="000000" w:fill="FFE1E1"/>
            <w:noWrap/>
            <w:vAlign w:val="bottom"/>
            <w:hideMark/>
          </w:tcPr>
          <w:p w14:paraId="28339757" w14:textId="77777777" w:rsidR="009D1B9E" w:rsidRPr="009D1B9E" w:rsidRDefault="009D1B9E" w:rsidP="009D1B9E">
            <w:pPr>
              <w:spacing w:line="240" w:lineRule="auto"/>
              <w:jc w:val="right"/>
              <w:rPr>
                <w:rFonts w:ascii="Calibri" w:eastAsia="Times New Roman" w:hAnsi="Calibri" w:cs="Calibri"/>
                <w:lang w:eastAsia="en-GB"/>
              </w:rPr>
            </w:pPr>
            <w:r w:rsidRPr="009D1B9E">
              <w:rPr>
                <w:rFonts w:ascii="Calibri" w:eastAsia="Times New Roman" w:hAnsi="Calibri" w:cs="Calibri"/>
                <w:lang w:eastAsia="en-GB"/>
              </w:rPr>
              <w:t>(509)</w:t>
            </w:r>
          </w:p>
        </w:tc>
      </w:tr>
      <w:tr w:rsidR="009D1B9E" w:rsidRPr="009D1B9E" w14:paraId="490CC6B2" w14:textId="77777777" w:rsidTr="006E0571">
        <w:trPr>
          <w:trHeight w:val="315"/>
        </w:trPr>
        <w:tc>
          <w:tcPr>
            <w:tcW w:w="964" w:type="pct"/>
            <w:tcBorders>
              <w:top w:val="single" w:sz="4" w:space="0" w:color="auto"/>
              <w:left w:val="nil"/>
              <w:bottom w:val="single" w:sz="4" w:space="0" w:color="auto"/>
              <w:right w:val="nil"/>
            </w:tcBorders>
            <w:shd w:val="clear" w:color="000000" w:fill="FFFFFF"/>
            <w:noWrap/>
            <w:vAlign w:val="bottom"/>
            <w:hideMark/>
          </w:tcPr>
          <w:p w14:paraId="16AAA156" w14:textId="77777777" w:rsidR="009D1B9E" w:rsidRPr="009D1B9E" w:rsidRDefault="009D1B9E" w:rsidP="009D1B9E">
            <w:pPr>
              <w:spacing w:line="240" w:lineRule="auto"/>
              <w:jc w:val="right"/>
              <w:rPr>
                <w:rFonts w:ascii="Calibri" w:eastAsia="Times New Roman" w:hAnsi="Calibri" w:cs="Calibri"/>
                <w:b/>
                <w:bCs/>
                <w:lang w:eastAsia="en-GB"/>
              </w:rPr>
            </w:pPr>
            <w:r w:rsidRPr="009D1B9E">
              <w:rPr>
                <w:rFonts w:ascii="Calibri" w:eastAsia="Times New Roman" w:hAnsi="Calibri" w:cs="Calibri"/>
                <w:b/>
                <w:bCs/>
                <w:lang w:eastAsia="en-GB"/>
              </w:rPr>
              <w:t>(29,827)</w:t>
            </w:r>
          </w:p>
        </w:tc>
        <w:tc>
          <w:tcPr>
            <w:tcW w:w="3073" w:type="pct"/>
            <w:tcBorders>
              <w:top w:val="single" w:sz="4" w:space="0" w:color="auto"/>
              <w:left w:val="nil"/>
              <w:bottom w:val="single" w:sz="4" w:space="0" w:color="auto"/>
              <w:right w:val="nil"/>
            </w:tcBorders>
            <w:shd w:val="clear" w:color="000000" w:fill="FFFFFF"/>
            <w:noWrap/>
            <w:vAlign w:val="center"/>
            <w:hideMark/>
          </w:tcPr>
          <w:p w14:paraId="2AFC228E" w14:textId="77777777" w:rsidR="009D1B9E" w:rsidRPr="009D1B9E" w:rsidRDefault="009D1B9E" w:rsidP="009D1B9E">
            <w:pPr>
              <w:spacing w:line="240" w:lineRule="auto"/>
              <w:jc w:val="left"/>
              <w:rPr>
                <w:rFonts w:ascii="Calibri" w:eastAsia="Times New Roman" w:hAnsi="Calibri" w:cs="Calibri"/>
                <w:b/>
                <w:bCs/>
                <w:lang w:eastAsia="en-GB"/>
              </w:rPr>
            </w:pPr>
            <w:r w:rsidRPr="009D1B9E">
              <w:rPr>
                <w:rFonts w:ascii="Calibri" w:eastAsia="Times New Roman" w:hAnsi="Calibri" w:cs="Calibri"/>
                <w:b/>
                <w:bCs/>
                <w:lang w:eastAsia="en-GB"/>
              </w:rPr>
              <w:t>Total Funding</w:t>
            </w:r>
          </w:p>
        </w:tc>
        <w:tc>
          <w:tcPr>
            <w:tcW w:w="964" w:type="pct"/>
            <w:tcBorders>
              <w:top w:val="single" w:sz="4" w:space="0" w:color="auto"/>
              <w:left w:val="nil"/>
              <w:bottom w:val="single" w:sz="4" w:space="0" w:color="auto"/>
              <w:right w:val="nil"/>
            </w:tcBorders>
            <w:shd w:val="clear" w:color="000000" w:fill="FFE1E1"/>
            <w:noWrap/>
            <w:vAlign w:val="bottom"/>
            <w:hideMark/>
          </w:tcPr>
          <w:p w14:paraId="25C671E9" w14:textId="77777777" w:rsidR="009D1B9E" w:rsidRPr="009D1B9E" w:rsidRDefault="009D1B9E" w:rsidP="009D1B9E">
            <w:pPr>
              <w:spacing w:line="240" w:lineRule="auto"/>
              <w:jc w:val="right"/>
              <w:rPr>
                <w:rFonts w:ascii="Calibri" w:eastAsia="Times New Roman" w:hAnsi="Calibri" w:cs="Calibri"/>
                <w:b/>
                <w:bCs/>
                <w:lang w:eastAsia="en-GB"/>
              </w:rPr>
            </w:pPr>
            <w:r w:rsidRPr="009D1B9E">
              <w:rPr>
                <w:rFonts w:ascii="Calibri" w:eastAsia="Times New Roman" w:hAnsi="Calibri" w:cs="Calibri"/>
                <w:b/>
                <w:bCs/>
                <w:lang w:eastAsia="en-GB"/>
              </w:rPr>
              <w:t>(32,297)</w:t>
            </w:r>
          </w:p>
        </w:tc>
      </w:tr>
    </w:tbl>
    <w:p w14:paraId="3B8E92BE" w14:textId="29980276" w:rsidR="006C17C4" w:rsidRDefault="006C17C4" w:rsidP="002A1ADD">
      <w:pPr>
        <w:pStyle w:val="VAHeadingLevel2"/>
        <w:rPr>
          <w:rFonts w:eastAsiaTheme="minorHAnsi"/>
        </w:rPr>
      </w:pPr>
    </w:p>
    <w:p w14:paraId="4564499A" w14:textId="52CB9C11" w:rsidR="00764D75" w:rsidRPr="00ED4014" w:rsidRDefault="00764D75" w:rsidP="002A1ADD">
      <w:pPr>
        <w:pStyle w:val="VAHeadingLevel2"/>
      </w:pPr>
      <w:r w:rsidRPr="00ED4014">
        <w:t xml:space="preserve">Note 10. Material </w:t>
      </w:r>
      <w:r w:rsidR="00EB1B88" w:rsidRPr="00ED4014">
        <w:t>I</w:t>
      </w:r>
      <w:r w:rsidRPr="00ED4014">
        <w:t xml:space="preserve">tems of </w:t>
      </w:r>
      <w:r w:rsidR="00EB1B88" w:rsidRPr="00ED4014">
        <w:t>I</w:t>
      </w:r>
      <w:r w:rsidRPr="00ED4014">
        <w:t xml:space="preserve">ncome and </w:t>
      </w:r>
      <w:r w:rsidR="00EB1B88" w:rsidRPr="00ED4014">
        <w:t>E</w:t>
      </w:r>
      <w:r w:rsidRPr="00ED4014">
        <w:t>xpenditure</w:t>
      </w:r>
    </w:p>
    <w:p w14:paraId="13DC285B" w14:textId="59C41FD7" w:rsidR="0E545148" w:rsidRDefault="0E545148">
      <w:r w:rsidRPr="5220D33B">
        <w:rPr>
          <w:rFonts w:ascii="Calibri" w:eastAsia="Calibri" w:hAnsi="Calibri" w:cs="Calibri"/>
        </w:rPr>
        <w:t>During the 2024/25 financial year, there was one material item of income or expenditure arising that require</w:t>
      </w:r>
      <w:r w:rsidR="00DF3C90">
        <w:rPr>
          <w:rFonts w:ascii="Calibri" w:eastAsia="Calibri" w:hAnsi="Calibri" w:cs="Calibri"/>
        </w:rPr>
        <w:t>s</w:t>
      </w:r>
      <w:r w:rsidRPr="5220D33B">
        <w:rPr>
          <w:rFonts w:ascii="Calibri" w:eastAsia="Calibri" w:hAnsi="Calibri" w:cs="Calibri"/>
        </w:rPr>
        <w:t xml:space="preserve"> separate disclosure.  At the </w:t>
      </w:r>
      <w:proofErr w:type="gramStart"/>
      <w:r w:rsidRPr="5220D33B">
        <w:rPr>
          <w:rFonts w:ascii="Calibri" w:eastAsia="Calibri" w:hAnsi="Calibri" w:cs="Calibri"/>
        </w:rPr>
        <w:t>31st</w:t>
      </w:r>
      <w:proofErr w:type="gramEnd"/>
      <w:r w:rsidRPr="5220D33B">
        <w:rPr>
          <w:rFonts w:ascii="Calibri" w:eastAsia="Calibri" w:hAnsi="Calibri" w:cs="Calibri"/>
        </w:rPr>
        <w:t xml:space="preserve"> March 2024, NCFRA classified a site as held for sale as the site was actively being marketed, with a valuation of £3.5m.  Subsequently, an offer of £3.3m was accepted for the site, and taking account of the fees involved (£40k), this </w:t>
      </w:r>
      <w:proofErr w:type="gramStart"/>
      <w:r w:rsidRPr="5220D33B">
        <w:rPr>
          <w:rFonts w:ascii="Calibri" w:eastAsia="Calibri" w:hAnsi="Calibri" w:cs="Calibri"/>
        </w:rPr>
        <w:t>lead</w:t>
      </w:r>
      <w:proofErr w:type="gramEnd"/>
      <w:r w:rsidRPr="5220D33B">
        <w:rPr>
          <w:rFonts w:ascii="Calibri" w:eastAsia="Calibri" w:hAnsi="Calibri" w:cs="Calibri"/>
        </w:rPr>
        <w:t xml:space="preserve"> to an accounting loss of £240k (as shown in Note 7) when the asset was sold in August 2024.  The accounting loss reflects the difference between the price at which the asset was listed for sale and the actual sale price, less selling costs.  It is important to note that this does not represent a cash loss, this is reflecting the difference between the accounting assumption and actual sales value. Therefore, there is no impact to the local taxpayer.  </w:t>
      </w:r>
    </w:p>
    <w:p w14:paraId="28CFAC3F" w14:textId="77777777" w:rsidR="00ED4014" w:rsidRDefault="00ED4014" w:rsidP="00764D75"/>
    <w:p w14:paraId="660484E5" w14:textId="0EC7DEF6" w:rsidR="0060060A" w:rsidRPr="006A4726" w:rsidRDefault="3E175245" w:rsidP="0060060A">
      <w:r w:rsidRPr="36D02051">
        <w:rPr>
          <w:rFonts w:eastAsiaTheme="minorEastAsia" w:cstheme="minorBidi"/>
          <w:color w:val="C00000"/>
          <w:sz w:val="24"/>
          <w:szCs w:val="24"/>
        </w:rPr>
        <w:t>Note 11. Critical Judgements in Applying Accounting Policies</w:t>
      </w:r>
    </w:p>
    <w:p w14:paraId="57B14FD7" w14:textId="7C3B5E78" w:rsidR="003903E2" w:rsidRPr="00ED4014" w:rsidRDefault="23A0A9B4" w:rsidP="00927E96">
      <w:r>
        <w:t>There were no critical judgements made</w:t>
      </w:r>
      <w:r w:rsidR="5FB72A78">
        <w:t xml:space="preserve"> by the </w:t>
      </w:r>
      <w:r w:rsidR="000A1E3E">
        <w:t>A</w:t>
      </w:r>
      <w:r w:rsidR="5FB72A78">
        <w:t>uthority</w:t>
      </w:r>
      <w:r>
        <w:t xml:space="preserve"> in 2024/25</w:t>
      </w:r>
    </w:p>
    <w:p w14:paraId="147522B4" w14:textId="5B862427" w:rsidR="36D02051" w:rsidRDefault="36D02051"/>
    <w:p w14:paraId="2D3DABB1" w14:textId="11A4F082" w:rsidR="002C7F8B" w:rsidRPr="006A4726" w:rsidRDefault="002C7F8B" w:rsidP="002A1ADD">
      <w:pPr>
        <w:pStyle w:val="VAHeadingLevel2"/>
      </w:pPr>
      <w:r w:rsidRPr="006A4726">
        <w:t>Note 12. Member Allowances</w:t>
      </w:r>
    </w:p>
    <w:p w14:paraId="32BFADE2" w14:textId="562F4524" w:rsidR="007F742C" w:rsidRDefault="002C7F8B" w:rsidP="00927E96">
      <w:pPr>
        <w:rPr>
          <w:bCs/>
        </w:rPr>
      </w:pPr>
      <w:r w:rsidRPr="002C7F8B">
        <w:t xml:space="preserve">Payments to members of the Joint Independent Assurance Committee (JIAC) </w:t>
      </w:r>
      <w:r w:rsidR="009915F6">
        <w:t>are disclosed in the OPFCC Group accounts.</w:t>
      </w:r>
    </w:p>
    <w:p w14:paraId="5DFC4572" w14:textId="77777777" w:rsidR="003903E2" w:rsidRDefault="003903E2" w:rsidP="00927E96">
      <w:pPr>
        <w:rPr>
          <w:bCs/>
        </w:rPr>
      </w:pPr>
    </w:p>
    <w:p w14:paraId="013E8D61" w14:textId="77777777" w:rsidR="00ED7FB0" w:rsidRDefault="00ED7FB0" w:rsidP="00927E96">
      <w:pPr>
        <w:rPr>
          <w:bCs/>
        </w:rPr>
      </w:pPr>
    </w:p>
    <w:p w14:paraId="58CC0EEE" w14:textId="77777777" w:rsidR="00ED7FB0" w:rsidRDefault="00ED7FB0" w:rsidP="00927E96">
      <w:pPr>
        <w:rPr>
          <w:bCs/>
        </w:rPr>
      </w:pPr>
    </w:p>
    <w:p w14:paraId="65859334" w14:textId="0D4B3601" w:rsidR="007F742C" w:rsidRPr="006A4726" w:rsidRDefault="007F742C" w:rsidP="002A1ADD">
      <w:pPr>
        <w:pStyle w:val="VAHeadingLevel2"/>
      </w:pPr>
      <w:r w:rsidRPr="006A4726">
        <w:lastRenderedPageBreak/>
        <w:t xml:space="preserve">Note 13. External Audit </w:t>
      </w:r>
      <w:r w:rsidR="00AF5832" w:rsidRPr="006A4726">
        <w:t>C</w:t>
      </w:r>
      <w:r w:rsidRPr="006A4726">
        <w:t xml:space="preserve">osts </w:t>
      </w:r>
    </w:p>
    <w:p w14:paraId="3A23B5F2" w14:textId="0CE02C42" w:rsidR="00007AF0" w:rsidRDefault="007F742C" w:rsidP="007F742C">
      <w:pPr>
        <w:rPr>
          <w:rFonts w:cs="Arial"/>
        </w:rPr>
      </w:pPr>
      <w:r>
        <w:t>The Public Sector Audit Appointments (PSAA) have set a scale fee of £</w:t>
      </w:r>
      <w:r w:rsidR="003E6193">
        <w:t>106</w:t>
      </w:r>
      <w:r>
        <w:t>k for external audit services carried out by the appointed auditor (Grant Thornton UK LLP) in 202</w:t>
      </w:r>
      <w:r w:rsidR="003E6193">
        <w:t>4/25</w:t>
      </w:r>
      <w:r w:rsidR="006757ED">
        <w:t xml:space="preserve"> (</w:t>
      </w:r>
      <w:r w:rsidR="006757ED" w:rsidRPr="03A4975C">
        <w:rPr>
          <w:rFonts w:cs="Arial"/>
        </w:rPr>
        <w:t>the scale fee of £95k was payable for 202</w:t>
      </w:r>
      <w:r w:rsidR="00446A07" w:rsidRPr="03A4975C">
        <w:rPr>
          <w:rFonts w:cs="Arial"/>
        </w:rPr>
        <w:t>3</w:t>
      </w:r>
      <w:r w:rsidR="006757ED" w:rsidRPr="03A4975C">
        <w:rPr>
          <w:rFonts w:cs="Arial"/>
        </w:rPr>
        <w:t>/2</w:t>
      </w:r>
      <w:r w:rsidR="00446A07" w:rsidRPr="03A4975C">
        <w:rPr>
          <w:rFonts w:cs="Arial"/>
        </w:rPr>
        <w:t>4</w:t>
      </w:r>
      <w:r w:rsidR="2C6A4104" w:rsidRPr="03A4975C">
        <w:rPr>
          <w:rFonts w:cs="Arial"/>
        </w:rPr>
        <w:t>, a fee variation of £72,020 was also approved by the PSAA).</w:t>
      </w:r>
    </w:p>
    <w:p w14:paraId="6E9E2AD0" w14:textId="77777777" w:rsidR="003903E2" w:rsidRDefault="003903E2" w:rsidP="002A1ADD">
      <w:pPr>
        <w:pStyle w:val="VAHeadingLevel2"/>
        <w:rPr>
          <w:rFonts w:eastAsiaTheme="minorHAnsi"/>
        </w:rPr>
      </w:pPr>
    </w:p>
    <w:p w14:paraId="66C85CEA" w14:textId="77EB311C" w:rsidR="007F742C" w:rsidRPr="006A4726" w:rsidRDefault="007F742C" w:rsidP="002A1ADD">
      <w:pPr>
        <w:pStyle w:val="VAHeadingLevel2"/>
        <w:rPr>
          <w:rFonts w:eastAsiaTheme="minorHAnsi"/>
        </w:rPr>
      </w:pPr>
      <w:r w:rsidRPr="006A4726">
        <w:rPr>
          <w:rFonts w:eastAsiaTheme="minorHAnsi"/>
        </w:rPr>
        <w:t>Note 14. Grant Income</w:t>
      </w:r>
    </w:p>
    <w:p w14:paraId="577348CA" w14:textId="2A6FEE08" w:rsidR="006A4726" w:rsidRDefault="00C36F6C" w:rsidP="00927E96">
      <w:pPr>
        <w:rPr>
          <w:bCs/>
        </w:rPr>
      </w:pPr>
      <w:r w:rsidRPr="00C36F6C">
        <w:t>NCFRA credited the following grants, contributions and donations to the Comprehensive Income and Expenditure Statement.</w:t>
      </w:r>
    </w:p>
    <w:p w14:paraId="50FDB436" w14:textId="369BC649" w:rsidR="001761F9" w:rsidRDefault="001761F9" w:rsidP="00927E96">
      <w:pPr>
        <w:rPr>
          <w:bCs/>
        </w:rPr>
      </w:pPr>
    </w:p>
    <w:tbl>
      <w:tblPr>
        <w:tblW w:w="5000" w:type="pct"/>
        <w:tblLook w:val="04A0" w:firstRow="1" w:lastRow="0" w:firstColumn="1" w:lastColumn="0" w:noHBand="0" w:noVBand="1"/>
      </w:tblPr>
      <w:tblGrid>
        <w:gridCol w:w="2552"/>
        <w:gridCol w:w="5246"/>
        <w:gridCol w:w="2577"/>
      </w:tblGrid>
      <w:tr w:rsidR="001761F9" w:rsidRPr="001761F9" w14:paraId="2BDCE5A6" w14:textId="77777777" w:rsidTr="00FC310B">
        <w:trPr>
          <w:trHeight w:val="315"/>
        </w:trPr>
        <w:tc>
          <w:tcPr>
            <w:tcW w:w="1230" w:type="pct"/>
            <w:tcBorders>
              <w:top w:val="nil"/>
              <w:left w:val="nil"/>
              <w:bottom w:val="nil"/>
              <w:right w:val="nil"/>
            </w:tcBorders>
            <w:shd w:val="clear" w:color="000000" w:fill="AB2328"/>
            <w:noWrap/>
            <w:vAlign w:val="center"/>
            <w:hideMark/>
          </w:tcPr>
          <w:p w14:paraId="6DCAF761" w14:textId="315CD254" w:rsidR="001761F9" w:rsidRPr="001761F9" w:rsidRDefault="001761F9" w:rsidP="001761F9">
            <w:pPr>
              <w:spacing w:line="240" w:lineRule="auto"/>
              <w:jc w:val="right"/>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31 March 2024</w:t>
            </w:r>
          </w:p>
        </w:tc>
        <w:tc>
          <w:tcPr>
            <w:tcW w:w="2527" w:type="pct"/>
            <w:tcBorders>
              <w:top w:val="nil"/>
              <w:left w:val="nil"/>
              <w:bottom w:val="nil"/>
              <w:right w:val="nil"/>
            </w:tcBorders>
            <w:shd w:val="clear" w:color="000000" w:fill="AB2328"/>
            <w:noWrap/>
            <w:vAlign w:val="center"/>
            <w:hideMark/>
          </w:tcPr>
          <w:p w14:paraId="1E81348F" w14:textId="77777777" w:rsidR="001761F9" w:rsidRPr="001761F9" w:rsidRDefault="001761F9" w:rsidP="001761F9">
            <w:pPr>
              <w:spacing w:line="240" w:lineRule="auto"/>
              <w:jc w:val="right"/>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 </w:t>
            </w:r>
          </w:p>
        </w:tc>
        <w:tc>
          <w:tcPr>
            <w:tcW w:w="1242" w:type="pct"/>
            <w:tcBorders>
              <w:top w:val="nil"/>
              <w:left w:val="nil"/>
              <w:bottom w:val="nil"/>
              <w:right w:val="nil"/>
            </w:tcBorders>
            <w:shd w:val="clear" w:color="000000" w:fill="AB2328"/>
            <w:noWrap/>
            <w:vAlign w:val="center"/>
            <w:hideMark/>
          </w:tcPr>
          <w:p w14:paraId="5DCA1037" w14:textId="77777777" w:rsidR="001761F9" w:rsidRPr="001761F9" w:rsidRDefault="001761F9" w:rsidP="001761F9">
            <w:pPr>
              <w:spacing w:line="240" w:lineRule="auto"/>
              <w:jc w:val="right"/>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31 March 2025</w:t>
            </w:r>
          </w:p>
        </w:tc>
      </w:tr>
      <w:tr w:rsidR="001761F9" w:rsidRPr="001761F9" w14:paraId="23FAA985" w14:textId="77777777" w:rsidTr="00FC310B">
        <w:trPr>
          <w:trHeight w:val="315"/>
        </w:trPr>
        <w:tc>
          <w:tcPr>
            <w:tcW w:w="1230" w:type="pct"/>
            <w:tcBorders>
              <w:top w:val="nil"/>
              <w:left w:val="nil"/>
              <w:bottom w:val="nil"/>
              <w:right w:val="nil"/>
            </w:tcBorders>
            <w:shd w:val="clear" w:color="000000" w:fill="AB2328"/>
            <w:noWrap/>
            <w:vAlign w:val="center"/>
            <w:hideMark/>
          </w:tcPr>
          <w:p w14:paraId="5462D8B6" w14:textId="77777777" w:rsidR="001761F9" w:rsidRPr="001761F9" w:rsidRDefault="001761F9" w:rsidP="001761F9">
            <w:pPr>
              <w:spacing w:line="240" w:lineRule="auto"/>
              <w:jc w:val="right"/>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£000</w:t>
            </w:r>
          </w:p>
        </w:tc>
        <w:tc>
          <w:tcPr>
            <w:tcW w:w="2527" w:type="pct"/>
            <w:tcBorders>
              <w:top w:val="nil"/>
              <w:left w:val="nil"/>
              <w:bottom w:val="nil"/>
              <w:right w:val="nil"/>
            </w:tcBorders>
            <w:shd w:val="clear" w:color="000000" w:fill="AB2328"/>
            <w:noWrap/>
            <w:vAlign w:val="center"/>
            <w:hideMark/>
          </w:tcPr>
          <w:p w14:paraId="6F209BED" w14:textId="77777777" w:rsidR="001761F9" w:rsidRPr="001761F9" w:rsidRDefault="001761F9" w:rsidP="001761F9">
            <w:pPr>
              <w:spacing w:line="240" w:lineRule="auto"/>
              <w:jc w:val="center"/>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 </w:t>
            </w:r>
          </w:p>
        </w:tc>
        <w:tc>
          <w:tcPr>
            <w:tcW w:w="1242" w:type="pct"/>
            <w:tcBorders>
              <w:top w:val="nil"/>
              <w:left w:val="nil"/>
              <w:bottom w:val="nil"/>
              <w:right w:val="nil"/>
            </w:tcBorders>
            <w:shd w:val="clear" w:color="000000" w:fill="AB2328"/>
            <w:noWrap/>
            <w:vAlign w:val="center"/>
            <w:hideMark/>
          </w:tcPr>
          <w:p w14:paraId="510ABCD2" w14:textId="77777777" w:rsidR="001761F9" w:rsidRPr="001761F9" w:rsidRDefault="001761F9" w:rsidP="001761F9">
            <w:pPr>
              <w:spacing w:line="240" w:lineRule="auto"/>
              <w:jc w:val="right"/>
              <w:rPr>
                <w:rFonts w:ascii="Calibri" w:eastAsia="Times New Roman" w:hAnsi="Calibri" w:cs="Calibri"/>
                <w:b/>
                <w:bCs/>
                <w:color w:val="FFFFFF"/>
                <w:lang w:eastAsia="en-GB"/>
              </w:rPr>
            </w:pPr>
            <w:r w:rsidRPr="001761F9">
              <w:rPr>
                <w:rFonts w:ascii="Calibri" w:eastAsia="Times New Roman" w:hAnsi="Calibri" w:cs="Calibri"/>
                <w:b/>
                <w:bCs/>
                <w:color w:val="FFFFFF"/>
                <w:lang w:eastAsia="en-GB"/>
              </w:rPr>
              <w:t>£000</w:t>
            </w:r>
          </w:p>
        </w:tc>
      </w:tr>
      <w:tr w:rsidR="00F22AC8" w:rsidRPr="001761F9" w14:paraId="31AE8EBA" w14:textId="77777777" w:rsidTr="00FC310B">
        <w:trPr>
          <w:trHeight w:val="315"/>
        </w:trPr>
        <w:tc>
          <w:tcPr>
            <w:tcW w:w="1230" w:type="pct"/>
            <w:tcBorders>
              <w:top w:val="nil"/>
              <w:left w:val="nil"/>
              <w:bottom w:val="nil"/>
              <w:right w:val="nil"/>
            </w:tcBorders>
            <w:shd w:val="clear" w:color="000000" w:fill="FFFFFF"/>
            <w:noWrap/>
            <w:vAlign w:val="center"/>
            <w:hideMark/>
          </w:tcPr>
          <w:p w14:paraId="62461600" w14:textId="0602FCCA"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(7)</w:t>
            </w:r>
          </w:p>
        </w:tc>
        <w:tc>
          <w:tcPr>
            <w:tcW w:w="2527" w:type="pct"/>
            <w:tcBorders>
              <w:top w:val="nil"/>
              <w:left w:val="nil"/>
              <w:bottom w:val="nil"/>
              <w:right w:val="nil"/>
            </w:tcBorders>
            <w:shd w:val="clear" w:color="000000" w:fill="FFFFFF"/>
            <w:vAlign w:val="center"/>
            <w:hideMark/>
          </w:tcPr>
          <w:p w14:paraId="35C6F12A"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New Dimensions Grant</w:t>
            </w:r>
          </w:p>
        </w:tc>
        <w:tc>
          <w:tcPr>
            <w:tcW w:w="1242" w:type="pct"/>
            <w:tcBorders>
              <w:top w:val="nil"/>
              <w:left w:val="nil"/>
              <w:bottom w:val="nil"/>
              <w:right w:val="nil"/>
            </w:tcBorders>
            <w:shd w:val="clear" w:color="000000" w:fill="FFE1E1"/>
            <w:noWrap/>
            <w:vAlign w:val="center"/>
            <w:hideMark/>
          </w:tcPr>
          <w:p w14:paraId="2C1EB911"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(27)</w:t>
            </w:r>
          </w:p>
        </w:tc>
      </w:tr>
      <w:tr w:rsidR="00F22AC8" w:rsidRPr="001761F9" w14:paraId="73B58072" w14:textId="77777777" w:rsidTr="00FC310B">
        <w:trPr>
          <w:trHeight w:val="315"/>
        </w:trPr>
        <w:tc>
          <w:tcPr>
            <w:tcW w:w="1230" w:type="pct"/>
            <w:tcBorders>
              <w:top w:val="nil"/>
              <w:left w:val="nil"/>
              <w:bottom w:val="nil"/>
              <w:right w:val="nil"/>
            </w:tcBorders>
            <w:shd w:val="clear" w:color="000000" w:fill="FFFFFF"/>
            <w:noWrap/>
            <w:vAlign w:val="center"/>
            <w:hideMark/>
          </w:tcPr>
          <w:p w14:paraId="10A64F56" w14:textId="4D59626F"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(180)</w:t>
            </w:r>
          </w:p>
        </w:tc>
        <w:tc>
          <w:tcPr>
            <w:tcW w:w="2527" w:type="pct"/>
            <w:tcBorders>
              <w:top w:val="nil"/>
              <w:left w:val="nil"/>
              <w:bottom w:val="nil"/>
              <w:right w:val="nil"/>
            </w:tcBorders>
            <w:shd w:val="clear" w:color="000000" w:fill="FFFFFF"/>
            <w:noWrap/>
            <w:vAlign w:val="center"/>
            <w:hideMark/>
          </w:tcPr>
          <w:p w14:paraId="573E60F2"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Firelink Grant</w:t>
            </w:r>
          </w:p>
        </w:tc>
        <w:tc>
          <w:tcPr>
            <w:tcW w:w="1242" w:type="pct"/>
            <w:tcBorders>
              <w:top w:val="nil"/>
              <w:left w:val="nil"/>
              <w:bottom w:val="nil"/>
              <w:right w:val="nil"/>
            </w:tcBorders>
            <w:shd w:val="clear" w:color="000000" w:fill="FFE1E1"/>
            <w:noWrap/>
            <w:vAlign w:val="center"/>
            <w:hideMark/>
          </w:tcPr>
          <w:p w14:paraId="0F1A016E"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(120)</w:t>
            </w:r>
          </w:p>
        </w:tc>
      </w:tr>
      <w:tr w:rsidR="00F22AC8" w:rsidRPr="001761F9" w14:paraId="21133EE1" w14:textId="77777777" w:rsidTr="00FC310B">
        <w:trPr>
          <w:trHeight w:val="315"/>
        </w:trPr>
        <w:tc>
          <w:tcPr>
            <w:tcW w:w="1230" w:type="pct"/>
            <w:tcBorders>
              <w:top w:val="nil"/>
              <w:left w:val="nil"/>
              <w:bottom w:val="nil"/>
              <w:right w:val="nil"/>
            </w:tcBorders>
            <w:shd w:val="clear" w:color="000000" w:fill="FFFFFF"/>
            <w:noWrap/>
            <w:vAlign w:val="center"/>
            <w:hideMark/>
          </w:tcPr>
          <w:p w14:paraId="150D8B0E" w14:textId="2E317E7B"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(106)</w:t>
            </w:r>
          </w:p>
        </w:tc>
        <w:tc>
          <w:tcPr>
            <w:tcW w:w="2527" w:type="pct"/>
            <w:tcBorders>
              <w:top w:val="nil"/>
              <w:left w:val="nil"/>
              <w:bottom w:val="nil"/>
              <w:right w:val="nil"/>
            </w:tcBorders>
            <w:shd w:val="clear" w:color="000000" w:fill="FFFFFF"/>
            <w:noWrap/>
            <w:vAlign w:val="center"/>
            <w:hideMark/>
          </w:tcPr>
          <w:p w14:paraId="439C5275"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Protection Grant</w:t>
            </w:r>
          </w:p>
        </w:tc>
        <w:tc>
          <w:tcPr>
            <w:tcW w:w="1242" w:type="pct"/>
            <w:tcBorders>
              <w:top w:val="nil"/>
              <w:left w:val="nil"/>
              <w:bottom w:val="nil"/>
              <w:right w:val="nil"/>
            </w:tcBorders>
            <w:shd w:val="clear" w:color="000000" w:fill="FFE1E1"/>
            <w:noWrap/>
            <w:vAlign w:val="center"/>
            <w:hideMark/>
          </w:tcPr>
          <w:p w14:paraId="5F141916"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(254)</w:t>
            </w:r>
          </w:p>
        </w:tc>
      </w:tr>
      <w:tr w:rsidR="00F22AC8" w:rsidRPr="001761F9" w14:paraId="00C35765" w14:textId="77777777" w:rsidTr="00FC310B">
        <w:trPr>
          <w:trHeight w:val="315"/>
        </w:trPr>
        <w:tc>
          <w:tcPr>
            <w:tcW w:w="1230" w:type="pct"/>
            <w:tcBorders>
              <w:top w:val="nil"/>
              <w:left w:val="nil"/>
              <w:bottom w:val="nil"/>
              <w:right w:val="nil"/>
            </w:tcBorders>
            <w:shd w:val="clear" w:color="000000" w:fill="FFFFFF"/>
            <w:noWrap/>
            <w:vAlign w:val="center"/>
            <w:hideMark/>
          </w:tcPr>
          <w:p w14:paraId="7A600810" w14:textId="676126C5"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(218)</w:t>
            </w:r>
          </w:p>
        </w:tc>
        <w:tc>
          <w:tcPr>
            <w:tcW w:w="2527" w:type="pct"/>
            <w:tcBorders>
              <w:top w:val="nil"/>
              <w:left w:val="nil"/>
              <w:bottom w:val="nil"/>
              <w:right w:val="nil"/>
            </w:tcBorders>
            <w:shd w:val="clear" w:color="000000" w:fill="FFFFFF"/>
            <w:noWrap/>
            <w:vAlign w:val="center"/>
            <w:hideMark/>
          </w:tcPr>
          <w:p w14:paraId="51225535"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Service Grant</w:t>
            </w:r>
          </w:p>
        </w:tc>
        <w:tc>
          <w:tcPr>
            <w:tcW w:w="1242" w:type="pct"/>
            <w:tcBorders>
              <w:top w:val="nil"/>
              <w:left w:val="nil"/>
              <w:bottom w:val="nil"/>
              <w:right w:val="nil"/>
            </w:tcBorders>
            <w:shd w:val="clear" w:color="000000" w:fill="FFE1E1"/>
            <w:noWrap/>
            <w:vAlign w:val="center"/>
            <w:hideMark/>
          </w:tcPr>
          <w:p w14:paraId="2D2BB4C9"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(38)</w:t>
            </w:r>
          </w:p>
        </w:tc>
      </w:tr>
      <w:tr w:rsidR="00F22AC8" w:rsidRPr="001761F9" w14:paraId="218A0496" w14:textId="77777777" w:rsidTr="00FC310B">
        <w:trPr>
          <w:trHeight w:val="315"/>
        </w:trPr>
        <w:tc>
          <w:tcPr>
            <w:tcW w:w="1230" w:type="pct"/>
            <w:tcBorders>
              <w:top w:val="nil"/>
              <w:left w:val="nil"/>
              <w:bottom w:val="nil"/>
              <w:right w:val="nil"/>
            </w:tcBorders>
            <w:shd w:val="clear" w:color="000000" w:fill="FFFFFF"/>
            <w:noWrap/>
            <w:vAlign w:val="center"/>
            <w:hideMark/>
          </w:tcPr>
          <w:p w14:paraId="60FC5F08" w14:textId="033771B7"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(5,306)</w:t>
            </w:r>
          </w:p>
        </w:tc>
        <w:tc>
          <w:tcPr>
            <w:tcW w:w="2527" w:type="pct"/>
            <w:tcBorders>
              <w:top w:val="nil"/>
              <w:left w:val="nil"/>
              <w:bottom w:val="nil"/>
              <w:right w:val="nil"/>
            </w:tcBorders>
            <w:shd w:val="clear" w:color="000000" w:fill="FFFFFF"/>
            <w:noWrap/>
            <w:vAlign w:val="center"/>
            <w:hideMark/>
          </w:tcPr>
          <w:p w14:paraId="4CD6AF97"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Pensions Grant</w:t>
            </w:r>
          </w:p>
        </w:tc>
        <w:tc>
          <w:tcPr>
            <w:tcW w:w="1242" w:type="pct"/>
            <w:tcBorders>
              <w:top w:val="nil"/>
              <w:left w:val="nil"/>
              <w:bottom w:val="nil"/>
              <w:right w:val="nil"/>
            </w:tcBorders>
            <w:shd w:val="clear" w:color="000000" w:fill="FFE1E1"/>
            <w:noWrap/>
            <w:vAlign w:val="center"/>
            <w:hideMark/>
          </w:tcPr>
          <w:p w14:paraId="631B188F"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(5,164)</w:t>
            </w:r>
          </w:p>
        </w:tc>
      </w:tr>
      <w:tr w:rsidR="00F22AC8" w:rsidRPr="001761F9" w14:paraId="7E5E4039" w14:textId="77777777" w:rsidTr="00FC310B">
        <w:trPr>
          <w:trHeight w:val="315"/>
        </w:trPr>
        <w:tc>
          <w:tcPr>
            <w:tcW w:w="1230" w:type="pct"/>
            <w:tcBorders>
              <w:top w:val="nil"/>
              <w:left w:val="nil"/>
              <w:bottom w:val="nil"/>
              <w:right w:val="nil"/>
            </w:tcBorders>
            <w:shd w:val="clear" w:color="000000" w:fill="FFFFFF"/>
            <w:noWrap/>
            <w:vAlign w:val="center"/>
            <w:hideMark/>
          </w:tcPr>
          <w:p w14:paraId="46DEB1C7" w14:textId="2FD815C0"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(1,483)</w:t>
            </w:r>
          </w:p>
        </w:tc>
        <w:tc>
          <w:tcPr>
            <w:tcW w:w="2527" w:type="pct"/>
            <w:tcBorders>
              <w:top w:val="nil"/>
              <w:left w:val="nil"/>
              <w:bottom w:val="nil"/>
              <w:right w:val="nil"/>
            </w:tcBorders>
            <w:shd w:val="clear" w:color="000000" w:fill="FFFFFF"/>
            <w:noWrap/>
            <w:vAlign w:val="center"/>
            <w:hideMark/>
          </w:tcPr>
          <w:p w14:paraId="6856FD7A"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Business Rates S31 Grants</w:t>
            </w:r>
          </w:p>
        </w:tc>
        <w:tc>
          <w:tcPr>
            <w:tcW w:w="1242" w:type="pct"/>
            <w:tcBorders>
              <w:top w:val="nil"/>
              <w:left w:val="nil"/>
              <w:bottom w:val="nil"/>
              <w:right w:val="nil"/>
            </w:tcBorders>
            <w:shd w:val="clear" w:color="000000" w:fill="FFE1E1"/>
            <w:noWrap/>
            <w:vAlign w:val="center"/>
            <w:hideMark/>
          </w:tcPr>
          <w:p w14:paraId="6C471785"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(1,737)</w:t>
            </w:r>
          </w:p>
        </w:tc>
      </w:tr>
      <w:tr w:rsidR="00F22AC8" w:rsidRPr="001761F9" w14:paraId="61AD4B1E" w14:textId="77777777" w:rsidTr="00FC310B">
        <w:trPr>
          <w:trHeight w:val="315"/>
        </w:trPr>
        <w:tc>
          <w:tcPr>
            <w:tcW w:w="1230" w:type="pct"/>
            <w:tcBorders>
              <w:top w:val="nil"/>
              <w:left w:val="nil"/>
              <w:bottom w:val="nil"/>
              <w:right w:val="nil"/>
            </w:tcBorders>
            <w:shd w:val="clear" w:color="000000" w:fill="FFFFFF"/>
            <w:noWrap/>
            <w:vAlign w:val="center"/>
            <w:hideMark/>
          </w:tcPr>
          <w:p w14:paraId="00D2D51B" w14:textId="68AF6868"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(8)</w:t>
            </w:r>
          </w:p>
        </w:tc>
        <w:tc>
          <w:tcPr>
            <w:tcW w:w="2527" w:type="pct"/>
            <w:tcBorders>
              <w:top w:val="nil"/>
              <w:left w:val="nil"/>
              <w:bottom w:val="nil"/>
              <w:right w:val="nil"/>
            </w:tcBorders>
            <w:shd w:val="clear" w:color="000000" w:fill="FFFFFF"/>
            <w:noWrap/>
            <w:vAlign w:val="center"/>
            <w:hideMark/>
          </w:tcPr>
          <w:p w14:paraId="33460CCE"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New Burdens Grant</w:t>
            </w:r>
          </w:p>
        </w:tc>
        <w:tc>
          <w:tcPr>
            <w:tcW w:w="1242" w:type="pct"/>
            <w:tcBorders>
              <w:top w:val="nil"/>
              <w:left w:val="nil"/>
              <w:bottom w:val="nil"/>
              <w:right w:val="nil"/>
            </w:tcBorders>
            <w:shd w:val="clear" w:color="000000" w:fill="FFE1E1"/>
            <w:noWrap/>
            <w:vAlign w:val="center"/>
            <w:hideMark/>
          </w:tcPr>
          <w:p w14:paraId="216603D2"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(23)</w:t>
            </w:r>
          </w:p>
        </w:tc>
      </w:tr>
      <w:tr w:rsidR="00F22AC8" w:rsidRPr="001761F9" w14:paraId="5B0F4569" w14:textId="77777777" w:rsidTr="00FC310B">
        <w:trPr>
          <w:trHeight w:val="315"/>
        </w:trPr>
        <w:tc>
          <w:tcPr>
            <w:tcW w:w="1230" w:type="pct"/>
            <w:tcBorders>
              <w:top w:val="nil"/>
              <w:left w:val="nil"/>
              <w:bottom w:val="nil"/>
              <w:right w:val="nil"/>
            </w:tcBorders>
            <w:shd w:val="clear" w:color="000000" w:fill="FFFFFF"/>
            <w:noWrap/>
            <w:vAlign w:val="center"/>
            <w:hideMark/>
          </w:tcPr>
          <w:p w14:paraId="5027AC74" w14:textId="7B68B75F" w:rsidR="00F22AC8" w:rsidRPr="001761F9" w:rsidRDefault="00F22AC8" w:rsidP="00F22AC8">
            <w:pPr>
              <w:spacing w:line="240" w:lineRule="auto"/>
              <w:jc w:val="right"/>
              <w:rPr>
                <w:rFonts w:ascii="Calibri" w:eastAsia="Times New Roman" w:hAnsi="Calibri" w:cs="Calibri"/>
                <w:color w:val="000000"/>
                <w:lang w:eastAsia="en-GB"/>
              </w:rPr>
            </w:pPr>
            <w:r>
              <w:rPr>
                <w:rFonts w:ascii="Calibri" w:hAnsi="Calibri" w:cs="Calibri"/>
                <w:color w:val="000000"/>
              </w:rPr>
              <w:t>-</w:t>
            </w:r>
          </w:p>
        </w:tc>
        <w:tc>
          <w:tcPr>
            <w:tcW w:w="2527" w:type="pct"/>
            <w:tcBorders>
              <w:top w:val="nil"/>
              <w:left w:val="nil"/>
              <w:bottom w:val="nil"/>
              <w:right w:val="nil"/>
            </w:tcBorders>
            <w:shd w:val="clear" w:color="000000" w:fill="FFFFFF"/>
            <w:noWrap/>
            <w:vAlign w:val="center"/>
            <w:hideMark/>
          </w:tcPr>
          <w:p w14:paraId="1D0FCB8A" w14:textId="77777777" w:rsidR="00F22AC8" w:rsidRPr="001761F9" w:rsidRDefault="00F22AC8" w:rsidP="00F22AC8">
            <w:pPr>
              <w:spacing w:line="240" w:lineRule="auto"/>
              <w:jc w:val="left"/>
              <w:rPr>
                <w:rFonts w:ascii="Calibri" w:eastAsia="Times New Roman" w:hAnsi="Calibri" w:cs="Calibri"/>
                <w:color w:val="000000"/>
                <w:lang w:eastAsia="en-GB"/>
              </w:rPr>
            </w:pPr>
            <w:r w:rsidRPr="001761F9">
              <w:rPr>
                <w:rFonts w:ascii="Calibri" w:eastAsia="Times New Roman" w:hAnsi="Calibri" w:cs="Calibri"/>
                <w:color w:val="000000"/>
                <w:lang w:eastAsia="en-GB"/>
              </w:rPr>
              <w:t>Redmond Review Grant</w:t>
            </w:r>
          </w:p>
        </w:tc>
        <w:tc>
          <w:tcPr>
            <w:tcW w:w="1242" w:type="pct"/>
            <w:tcBorders>
              <w:top w:val="nil"/>
              <w:left w:val="nil"/>
              <w:bottom w:val="nil"/>
              <w:right w:val="nil"/>
            </w:tcBorders>
            <w:shd w:val="clear" w:color="000000" w:fill="FFE1E1"/>
            <w:noWrap/>
            <w:vAlign w:val="center"/>
            <w:hideMark/>
          </w:tcPr>
          <w:p w14:paraId="0200281B" w14:textId="77777777" w:rsidR="00F22AC8" w:rsidRPr="001761F9" w:rsidRDefault="00F22AC8" w:rsidP="00F22AC8">
            <w:pPr>
              <w:spacing w:line="240" w:lineRule="auto"/>
              <w:jc w:val="right"/>
              <w:rPr>
                <w:rFonts w:ascii="Calibri" w:eastAsia="Times New Roman" w:hAnsi="Calibri" w:cs="Calibri"/>
                <w:color w:val="000000"/>
                <w:lang w:eastAsia="en-GB"/>
              </w:rPr>
            </w:pPr>
            <w:r w:rsidRPr="001761F9">
              <w:rPr>
                <w:rFonts w:ascii="Calibri" w:eastAsia="Times New Roman" w:hAnsi="Calibri" w:cs="Calibri"/>
                <w:color w:val="000000"/>
                <w:lang w:eastAsia="en-GB"/>
              </w:rPr>
              <w:t>(27)</w:t>
            </w:r>
          </w:p>
        </w:tc>
      </w:tr>
      <w:tr w:rsidR="00F22AC8" w:rsidRPr="001761F9" w14:paraId="1BDAB474" w14:textId="77777777" w:rsidTr="00FC310B">
        <w:trPr>
          <w:trHeight w:val="315"/>
        </w:trPr>
        <w:tc>
          <w:tcPr>
            <w:tcW w:w="1230" w:type="pct"/>
            <w:tcBorders>
              <w:top w:val="single" w:sz="4" w:space="0" w:color="auto"/>
              <w:left w:val="nil"/>
              <w:bottom w:val="single" w:sz="4" w:space="0" w:color="auto"/>
              <w:right w:val="nil"/>
            </w:tcBorders>
            <w:shd w:val="clear" w:color="000000" w:fill="FFFFFF"/>
            <w:noWrap/>
            <w:vAlign w:val="center"/>
            <w:hideMark/>
          </w:tcPr>
          <w:p w14:paraId="73E6B06D" w14:textId="3A48103F" w:rsidR="00F22AC8" w:rsidRPr="001761F9" w:rsidRDefault="00F22AC8" w:rsidP="00F22AC8">
            <w:pPr>
              <w:spacing w:line="240" w:lineRule="auto"/>
              <w:jc w:val="right"/>
              <w:rPr>
                <w:rFonts w:ascii="Calibri" w:eastAsia="Times New Roman" w:hAnsi="Calibri" w:cs="Calibri"/>
                <w:b/>
                <w:bCs/>
                <w:lang w:eastAsia="en-GB"/>
              </w:rPr>
            </w:pPr>
            <w:r>
              <w:rPr>
                <w:rFonts w:ascii="Calibri" w:hAnsi="Calibri" w:cs="Calibri"/>
                <w:b/>
                <w:bCs/>
              </w:rPr>
              <w:t>(7,308)</w:t>
            </w:r>
          </w:p>
        </w:tc>
        <w:tc>
          <w:tcPr>
            <w:tcW w:w="2527" w:type="pct"/>
            <w:tcBorders>
              <w:top w:val="single" w:sz="4" w:space="0" w:color="auto"/>
              <w:left w:val="nil"/>
              <w:bottom w:val="single" w:sz="4" w:space="0" w:color="auto"/>
              <w:right w:val="nil"/>
            </w:tcBorders>
            <w:shd w:val="clear" w:color="000000" w:fill="FFFFFF"/>
            <w:noWrap/>
            <w:vAlign w:val="center"/>
            <w:hideMark/>
          </w:tcPr>
          <w:p w14:paraId="740B29EC" w14:textId="77777777" w:rsidR="00F22AC8" w:rsidRPr="001761F9" w:rsidRDefault="00F22AC8" w:rsidP="00F22AC8">
            <w:pPr>
              <w:spacing w:line="240" w:lineRule="auto"/>
              <w:jc w:val="left"/>
              <w:rPr>
                <w:rFonts w:ascii="Calibri" w:eastAsia="Times New Roman" w:hAnsi="Calibri" w:cs="Calibri"/>
                <w:b/>
                <w:bCs/>
                <w:lang w:eastAsia="en-GB"/>
              </w:rPr>
            </w:pPr>
            <w:r w:rsidRPr="001761F9">
              <w:rPr>
                <w:rFonts w:ascii="Calibri" w:eastAsia="Times New Roman" w:hAnsi="Calibri" w:cs="Calibri"/>
                <w:b/>
                <w:bCs/>
                <w:lang w:eastAsia="en-GB"/>
              </w:rPr>
              <w:t>Total</w:t>
            </w:r>
          </w:p>
        </w:tc>
        <w:tc>
          <w:tcPr>
            <w:tcW w:w="1242" w:type="pct"/>
            <w:tcBorders>
              <w:top w:val="single" w:sz="4" w:space="0" w:color="auto"/>
              <w:left w:val="nil"/>
              <w:bottom w:val="single" w:sz="4" w:space="0" w:color="auto"/>
              <w:right w:val="nil"/>
            </w:tcBorders>
            <w:shd w:val="clear" w:color="000000" w:fill="FFE1E1"/>
            <w:noWrap/>
            <w:vAlign w:val="center"/>
            <w:hideMark/>
          </w:tcPr>
          <w:p w14:paraId="6B544B54" w14:textId="77777777" w:rsidR="00F22AC8" w:rsidRPr="001761F9" w:rsidRDefault="00F22AC8" w:rsidP="00F22AC8">
            <w:pPr>
              <w:spacing w:line="240" w:lineRule="auto"/>
              <w:jc w:val="right"/>
              <w:rPr>
                <w:rFonts w:ascii="Calibri" w:eastAsia="Times New Roman" w:hAnsi="Calibri" w:cs="Calibri"/>
                <w:b/>
                <w:bCs/>
                <w:lang w:eastAsia="en-GB"/>
              </w:rPr>
            </w:pPr>
            <w:r w:rsidRPr="001761F9">
              <w:rPr>
                <w:rFonts w:ascii="Calibri" w:eastAsia="Times New Roman" w:hAnsi="Calibri" w:cs="Calibri"/>
                <w:b/>
                <w:bCs/>
                <w:lang w:eastAsia="en-GB"/>
              </w:rPr>
              <w:t>(7,390)</w:t>
            </w:r>
          </w:p>
        </w:tc>
      </w:tr>
    </w:tbl>
    <w:p w14:paraId="1465AD6E" w14:textId="77777777" w:rsidR="00B475C9" w:rsidRDefault="00B475C9" w:rsidP="002A1ADD">
      <w:pPr>
        <w:pStyle w:val="VAHeadingLevel2"/>
      </w:pPr>
    </w:p>
    <w:p w14:paraId="7C07BF8F" w14:textId="06CA27CE" w:rsidR="00173213" w:rsidRDefault="006C4C83" w:rsidP="002A1ADD">
      <w:pPr>
        <w:pStyle w:val="VAHeadingLevel2"/>
      </w:pPr>
      <w:r w:rsidRPr="006C4C83">
        <w:t>Note 14.1 Grant Receipts in Advance</w:t>
      </w:r>
    </w:p>
    <w:p w14:paraId="01CBC869" w14:textId="67040F27" w:rsidR="006C4C83" w:rsidRPr="00EE631C" w:rsidRDefault="00EE631C" w:rsidP="00927E96">
      <w:pPr>
        <w:rPr>
          <w:bCs/>
        </w:rPr>
      </w:pPr>
      <w:r w:rsidRPr="00EE631C">
        <w:t>The Authority has £5,556</w:t>
      </w:r>
      <w:r w:rsidR="00105708">
        <w:t>k</w:t>
      </w:r>
      <w:r w:rsidRPr="00EE631C">
        <w:t xml:space="preserve"> (£954k </w:t>
      </w:r>
      <w:r w:rsidR="0018201D">
        <w:t xml:space="preserve">in </w:t>
      </w:r>
      <w:r w:rsidRPr="00EE631C">
        <w:t>2023/24) grant receipts in advance, all of which is for revenue purposes.</w:t>
      </w:r>
    </w:p>
    <w:p w14:paraId="48C6C01A" w14:textId="4232C678" w:rsidR="00EE631C" w:rsidRDefault="00EE631C" w:rsidP="00927E96">
      <w:pPr>
        <w:rPr>
          <w:bCs/>
        </w:rPr>
      </w:pPr>
    </w:p>
    <w:tbl>
      <w:tblPr>
        <w:tblW w:w="5000" w:type="pct"/>
        <w:tblLook w:val="04A0" w:firstRow="1" w:lastRow="0" w:firstColumn="1" w:lastColumn="0" w:noHBand="0" w:noVBand="1"/>
      </w:tblPr>
      <w:tblGrid>
        <w:gridCol w:w="2586"/>
        <w:gridCol w:w="5206"/>
        <w:gridCol w:w="2583"/>
      </w:tblGrid>
      <w:tr w:rsidR="00EE631C" w:rsidRPr="00EE631C" w14:paraId="3318A9AC" w14:textId="77777777" w:rsidTr="00EE631C">
        <w:trPr>
          <w:trHeight w:val="315"/>
        </w:trPr>
        <w:tc>
          <w:tcPr>
            <w:tcW w:w="1246" w:type="pct"/>
            <w:tcBorders>
              <w:top w:val="nil"/>
              <w:left w:val="nil"/>
              <w:bottom w:val="nil"/>
              <w:right w:val="nil"/>
            </w:tcBorders>
            <w:shd w:val="clear" w:color="000000" w:fill="AB2328"/>
            <w:noWrap/>
            <w:vAlign w:val="center"/>
            <w:hideMark/>
          </w:tcPr>
          <w:p w14:paraId="069FA88E" w14:textId="25AF1509" w:rsidR="00EE631C" w:rsidRPr="00EE631C" w:rsidRDefault="00EE631C" w:rsidP="00EE631C">
            <w:pPr>
              <w:spacing w:line="240" w:lineRule="auto"/>
              <w:jc w:val="right"/>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31 March 2024</w:t>
            </w:r>
          </w:p>
        </w:tc>
        <w:tc>
          <w:tcPr>
            <w:tcW w:w="2509" w:type="pct"/>
            <w:tcBorders>
              <w:top w:val="nil"/>
              <w:left w:val="nil"/>
              <w:bottom w:val="nil"/>
              <w:right w:val="nil"/>
            </w:tcBorders>
            <w:shd w:val="clear" w:color="000000" w:fill="AB2328"/>
            <w:noWrap/>
            <w:vAlign w:val="center"/>
            <w:hideMark/>
          </w:tcPr>
          <w:p w14:paraId="36120396" w14:textId="77777777" w:rsidR="00EE631C" w:rsidRPr="00EE631C" w:rsidRDefault="00EE631C" w:rsidP="00EE631C">
            <w:pPr>
              <w:spacing w:line="240" w:lineRule="auto"/>
              <w:jc w:val="right"/>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 </w:t>
            </w:r>
          </w:p>
        </w:tc>
        <w:tc>
          <w:tcPr>
            <w:tcW w:w="1246" w:type="pct"/>
            <w:tcBorders>
              <w:top w:val="nil"/>
              <w:left w:val="nil"/>
              <w:bottom w:val="nil"/>
              <w:right w:val="nil"/>
            </w:tcBorders>
            <w:shd w:val="clear" w:color="000000" w:fill="AB2328"/>
            <w:noWrap/>
            <w:vAlign w:val="center"/>
            <w:hideMark/>
          </w:tcPr>
          <w:p w14:paraId="6C206D94" w14:textId="77777777" w:rsidR="00EE631C" w:rsidRPr="00EE631C" w:rsidRDefault="00EE631C" w:rsidP="00EE631C">
            <w:pPr>
              <w:spacing w:line="240" w:lineRule="auto"/>
              <w:jc w:val="right"/>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31 March 2025</w:t>
            </w:r>
          </w:p>
        </w:tc>
      </w:tr>
      <w:tr w:rsidR="00EE631C" w:rsidRPr="00EE631C" w14:paraId="4AF395E4" w14:textId="77777777" w:rsidTr="00EE631C">
        <w:trPr>
          <w:trHeight w:val="315"/>
        </w:trPr>
        <w:tc>
          <w:tcPr>
            <w:tcW w:w="1246" w:type="pct"/>
            <w:tcBorders>
              <w:top w:val="nil"/>
              <w:left w:val="nil"/>
              <w:bottom w:val="nil"/>
              <w:right w:val="nil"/>
            </w:tcBorders>
            <w:shd w:val="clear" w:color="000000" w:fill="AB2328"/>
            <w:noWrap/>
            <w:vAlign w:val="center"/>
            <w:hideMark/>
          </w:tcPr>
          <w:p w14:paraId="5431FC55" w14:textId="77777777" w:rsidR="00EE631C" w:rsidRPr="00EE631C" w:rsidRDefault="00EE631C" w:rsidP="00EE631C">
            <w:pPr>
              <w:spacing w:line="240" w:lineRule="auto"/>
              <w:jc w:val="right"/>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£000</w:t>
            </w:r>
          </w:p>
        </w:tc>
        <w:tc>
          <w:tcPr>
            <w:tcW w:w="2509" w:type="pct"/>
            <w:tcBorders>
              <w:top w:val="nil"/>
              <w:left w:val="nil"/>
              <w:bottom w:val="nil"/>
              <w:right w:val="nil"/>
            </w:tcBorders>
            <w:shd w:val="clear" w:color="000000" w:fill="AB2328"/>
            <w:noWrap/>
            <w:vAlign w:val="center"/>
            <w:hideMark/>
          </w:tcPr>
          <w:p w14:paraId="1CAA2259" w14:textId="77777777" w:rsidR="00EE631C" w:rsidRPr="00EE631C" w:rsidRDefault="00EE631C" w:rsidP="00EE631C">
            <w:pPr>
              <w:spacing w:line="240" w:lineRule="auto"/>
              <w:jc w:val="center"/>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 </w:t>
            </w:r>
          </w:p>
        </w:tc>
        <w:tc>
          <w:tcPr>
            <w:tcW w:w="1246" w:type="pct"/>
            <w:tcBorders>
              <w:top w:val="nil"/>
              <w:left w:val="nil"/>
              <w:bottom w:val="nil"/>
              <w:right w:val="nil"/>
            </w:tcBorders>
            <w:shd w:val="clear" w:color="000000" w:fill="AB2328"/>
            <w:noWrap/>
            <w:vAlign w:val="center"/>
            <w:hideMark/>
          </w:tcPr>
          <w:p w14:paraId="45F45F2A" w14:textId="77777777" w:rsidR="00EE631C" w:rsidRPr="00EE631C" w:rsidRDefault="00EE631C" w:rsidP="00EE631C">
            <w:pPr>
              <w:spacing w:line="240" w:lineRule="auto"/>
              <w:jc w:val="right"/>
              <w:rPr>
                <w:rFonts w:ascii="Calibri" w:eastAsia="Times New Roman" w:hAnsi="Calibri" w:cs="Calibri"/>
                <w:b/>
                <w:bCs/>
                <w:color w:val="FFFFFF"/>
                <w:lang w:eastAsia="en-GB"/>
              </w:rPr>
            </w:pPr>
            <w:r w:rsidRPr="00EE631C">
              <w:rPr>
                <w:rFonts w:ascii="Calibri" w:eastAsia="Times New Roman" w:hAnsi="Calibri" w:cs="Calibri"/>
                <w:b/>
                <w:bCs/>
                <w:color w:val="FFFFFF"/>
                <w:lang w:eastAsia="en-GB"/>
              </w:rPr>
              <w:t>£000</w:t>
            </w:r>
          </w:p>
        </w:tc>
      </w:tr>
      <w:tr w:rsidR="00EE631C" w:rsidRPr="00EE631C" w14:paraId="76DBEB2E" w14:textId="77777777" w:rsidTr="00EE631C">
        <w:trPr>
          <w:trHeight w:val="315"/>
        </w:trPr>
        <w:tc>
          <w:tcPr>
            <w:tcW w:w="1246" w:type="pct"/>
            <w:tcBorders>
              <w:top w:val="nil"/>
              <w:left w:val="nil"/>
              <w:bottom w:val="nil"/>
              <w:right w:val="nil"/>
            </w:tcBorders>
            <w:shd w:val="clear" w:color="000000" w:fill="FFFFFF"/>
            <w:noWrap/>
            <w:vAlign w:val="center"/>
            <w:hideMark/>
          </w:tcPr>
          <w:p w14:paraId="7DCA182D"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(651)</w:t>
            </w:r>
          </w:p>
        </w:tc>
        <w:tc>
          <w:tcPr>
            <w:tcW w:w="2509" w:type="pct"/>
            <w:tcBorders>
              <w:top w:val="nil"/>
              <w:left w:val="nil"/>
              <w:bottom w:val="nil"/>
              <w:right w:val="nil"/>
            </w:tcBorders>
            <w:shd w:val="clear" w:color="000000" w:fill="FFFFFF"/>
            <w:vAlign w:val="center"/>
            <w:hideMark/>
          </w:tcPr>
          <w:p w14:paraId="4D0E7A12" w14:textId="77777777" w:rsidR="00EE631C" w:rsidRPr="00EE631C" w:rsidRDefault="00EE631C" w:rsidP="00EE631C">
            <w:pPr>
              <w:spacing w:line="240" w:lineRule="auto"/>
              <w:jc w:val="left"/>
              <w:rPr>
                <w:rFonts w:ascii="Calibri" w:eastAsia="Times New Roman" w:hAnsi="Calibri" w:cs="Calibri"/>
                <w:color w:val="000000"/>
                <w:lang w:eastAsia="en-GB"/>
              </w:rPr>
            </w:pPr>
            <w:r w:rsidRPr="00EE631C">
              <w:rPr>
                <w:rFonts w:ascii="Calibri" w:eastAsia="Times New Roman" w:hAnsi="Calibri" w:cs="Calibri"/>
                <w:color w:val="000000"/>
                <w:lang w:eastAsia="en-GB"/>
              </w:rPr>
              <w:t>Emergency Services Network Grant</w:t>
            </w:r>
          </w:p>
        </w:tc>
        <w:tc>
          <w:tcPr>
            <w:tcW w:w="1246" w:type="pct"/>
            <w:tcBorders>
              <w:top w:val="nil"/>
              <w:left w:val="nil"/>
              <w:bottom w:val="nil"/>
              <w:right w:val="nil"/>
            </w:tcBorders>
            <w:shd w:val="clear" w:color="000000" w:fill="FFE1E1"/>
            <w:noWrap/>
            <w:vAlign w:val="center"/>
            <w:hideMark/>
          </w:tcPr>
          <w:p w14:paraId="3F6DEAF7"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w:t>
            </w:r>
          </w:p>
        </w:tc>
      </w:tr>
      <w:tr w:rsidR="00EE631C" w:rsidRPr="00EE631C" w14:paraId="7DB542D8" w14:textId="77777777" w:rsidTr="00EE631C">
        <w:trPr>
          <w:trHeight w:val="315"/>
        </w:trPr>
        <w:tc>
          <w:tcPr>
            <w:tcW w:w="1246" w:type="pct"/>
            <w:tcBorders>
              <w:top w:val="nil"/>
              <w:left w:val="nil"/>
              <w:bottom w:val="nil"/>
              <w:right w:val="nil"/>
            </w:tcBorders>
            <w:shd w:val="clear" w:color="000000" w:fill="FFFFFF"/>
            <w:noWrap/>
            <w:vAlign w:val="center"/>
            <w:hideMark/>
          </w:tcPr>
          <w:p w14:paraId="6DDA41AA"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(50)</w:t>
            </w:r>
          </w:p>
        </w:tc>
        <w:tc>
          <w:tcPr>
            <w:tcW w:w="2509" w:type="pct"/>
            <w:tcBorders>
              <w:top w:val="nil"/>
              <w:left w:val="nil"/>
              <w:bottom w:val="nil"/>
              <w:right w:val="nil"/>
            </w:tcBorders>
            <w:shd w:val="clear" w:color="000000" w:fill="FFFFFF"/>
            <w:noWrap/>
            <w:vAlign w:val="center"/>
            <w:hideMark/>
          </w:tcPr>
          <w:p w14:paraId="6915FDA2" w14:textId="77777777" w:rsidR="00EE631C" w:rsidRPr="00EE631C" w:rsidRDefault="00EE631C" w:rsidP="00EE631C">
            <w:pPr>
              <w:spacing w:line="240" w:lineRule="auto"/>
              <w:jc w:val="left"/>
              <w:rPr>
                <w:rFonts w:ascii="Calibri" w:eastAsia="Times New Roman" w:hAnsi="Calibri" w:cs="Calibri"/>
                <w:color w:val="000000"/>
                <w:lang w:eastAsia="en-GB"/>
              </w:rPr>
            </w:pPr>
            <w:r w:rsidRPr="00EE631C">
              <w:rPr>
                <w:rFonts w:ascii="Calibri" w:eastAsia="Times New Roman" w:hAnsi="Calibri" w:cs="Calibri"/>
                <w:color w:val="000000"/>
                <w:lang w:eastAsia="en-GB"/>
              </w:rPr>
              <w:t>Fire Protection Grant Building Risk</w:t>
            </w:r>
          </w:p>
        </w:tc>
        <w:tc>
          <w:tcPr>
            <w:tcW w:w="1246" w:type="pct"/>
            <w:tcBorders>
              <w:top w:val="nil"/>
              <w:left w:val="nil"/>
              <w:bottom w:val="nil"/>
              <w:right w:val="nil"/>
            </w:tcBorders>
            <w:shd w:val="clear" w:color="000000" w:fill="FFE1E1"/>
            <w:noWrap/>
            <w:vAlign w:val="center"/>
            <w:hideMark/>
          </w:tcPr>
          <w:p w14:paraId="0BB018D4"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(50)</w:t>
            </w:r>
          </w:p>
        </w:tc>
      </w:tr>
      <w:tr w:rsidR="00EE631C" w:rsidRPr="00EE631C" w14:paraId="0CB81F03" w14:textId="77777777" w:rsidTr="00EE631C">
        <w:trPr>
          <w:trHeight w:val="315"/>
        </w:trPr>
        <w:tc>
          <w:tcPr>
            <w:tcW w:w="1246" w:type="pct"/>
            <w:tcBorders>
              <w:top w:val="nil"/>
              <w:left w:val="nil"/>
              <w:bottom w:val="nil"/>
              <w:right w:val="nil"/>
            </w:tcBorders>
            <w:shd w:val="clear" w:color="000000" w:fill="FFFFFF"/>
            <w:noWrap/>
            <w:vAlign w:val="center"/>
            <w:hideMark/>
          </w:tcPr>
          <w:p w14:paraId="2DD263C3"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(253)</w:t>
            </w:r>
          </w:p>
        </w:tc>
        <w:tc>
          <w:tcPr>
            <w:tcW w:w="2509" w:type="pct"/>
            <w:tcBorders>
              <w:top w:val="nil"/>
              <w:left w:val="nil"/>
              <w:bottom w:val="nil"/>
              <w:right w:val="nil"/>
            </w:tcBorders>
            <w:shd w:val="clear" w:color="000000" w:fill="FFFFFF"/>
            <w:noWrap/>
            <w:vAlign w:val="center"/>
            <w:hideMark/>
          </w:tcPr>
          <w:p w14:paraId="7B49FD16" w14:textId="77777777" w:rsidR="00EE631C" w:rsidRPr="00EE631C" w:rsidRDefault="00EE631C" w:rsidP="00EE631C">
            <w:pPr>
              <w:spacing w:line="240" w:lineRule="auto"/>
              <w:jc w:val="left"/>
              <w:rPr>
                <w:rFonts w:ascii="Calibri" w:eastAsia="Times New Roman" w:hAnsi="Calibri" w:cs="Calibri"/>
                <w:color w:val="000000"/>
                <w:lang w:eastAsia="en-GB"/>
              </w:rPr>
            </w:pPr>
            <w:r w:rsidRPr="00EE631C">
              <w:rPr>
                <w:rFonts w:ascii="Calibri" w:eastAsia="Times New Roman" w:hAnsi="Calibri" w:cs="Calibri"/>
                <w:color w:val="000000"/>
                <w:lang w:eastAsia="en-GB"/>
              </w:rPr>
              <w:t>Fire Protection</w:t>
            </w:r>
          </w:p>
        </w:tc>
        <w:tc>
          <w:tcPr>
            <w:tcW w:w="1246" w:type="pct"/>
            <w:tcBorders>
              <w:top w:val="nil"/>
              <w:left w:val="nil"/>
              <w:bottom w:val="nil"/>
              <w:right w:val="nil"/>
            </w:tcBorders>
            <w:shd w:val="clear" w:color="000000" w:fill="FFE1E1"/>
            <w:noWrap/>
            <w:vAlign w:val="center"/>
            <w:hideMark/>
          </w:tcPr>
          <w:p w14:paraId="607F3F9C"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(104)</w:t>
            </w:r>
          </w:p>
        </w:tc>
      </w:tr>
      <w:tr w:rsidR="00EE631C" w:rsidRPr="00EE631C" w14:paraId="54F4EF07" w14:textId="77777777" w:rsidTr="00EE631C">
        <w:trPr>
          <w:trHeight w:val="315"/>
        </w:trPr>
        <w:tc>
          <w:tcPr>
            <w:tcW w:w="1246" w:type="pct"/>
            <w:tcBorders>
              <w:top w:val="nil"/>
              <w:left w:val="nil"/>
              <w:bottom w:val="nil"/>
              <w:right w:val="nil"/>
            </w:tcBorders>
            <w:shd w:val="clear" w:color="000000" w:fill="FFFFFF"/>
            <w:noWrap/>
            <w:vAlign w:val="center"/>
            <w:hideMark/>
          </w:tcPr>
          <w:p w14:paraId="0E8A79AE"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w:t>
            </w:r>
          </w:p>
        </w:tc>
        <w:tc>
          <w:tcPr>
            <w:tcW w:w="2509" w:type="pct"/>
            <w:tcBorders>
              <w:top w:val="nil"/>
              <w:left w:val="nil"/>
              <w:bottom w:val="nil"/>
              <w:right w:val="nil"/>
            </w:tcBorders>
            <w:shd w:val="clear" w:color="000000" w:fill="FFFFFF"/>
            <w:noWrap/>
            <w:vAlign w:val="center"/>
            <w:hideMark/>
          </w:tcPr>
          <w:p w14:paraId="716AB58A" w14:textId="77777777" w:rsidR="00EE631C" w:rsidRPr="00EE631C" w:rsidRDefault="00EE631C" w:rsidP="00EE631C">
            <w:pPr>
              <w:spacing w:line="240" w:lineRule="auto"/>
              <w:jc w:val="left"/>
              <w:rPr>
                <w:rFonts w:ascii="Calibri" w:eastAsia="Times New Roman" w:hAnsi="Calibri" w:cs="Calibri"/>
                <w:color w:val="000000"/>
                <w:lang w:eastAsia="en-GB"/>
              </w:rPr>
            </w:pPr>
            <w:r w:rsidRPr="00EE631C">
              <w:rPr>
                <w:rFonts w:ascii="Calibri" w:eastAsia="Times New Roman" w:hAnsi="Calibri" w:cs="Calibri"/>
                <w:color w:val="000000"/>
                <w:lang w:eastAsia="en-GB"/>
              </w:rPr>
              <w:t>Firefighters Pension Grant</w:t>
            </w:r>
          </w:p>
        </w:tc>
        <w:tc>
          <w:tcPr>
            <w:tcW w:w="1246" w:type="pct"/>
            <w:tcBorders>
              <w:top w:val="nil"/>
              <w:left w:val="nil"/>
              <w:bottom w:val="nil"/>
              <w:right w:val="nil"/>
            </w:tcBorders>
            <w:shd w:val="clear" w:color="000000" w:fill="FFE1E1"/>
            <w:noWrap/>
            <w:vAlign w:val="center"/>
            <w:hideMark/>
          </w:tcPr>
          <w:p w14:paraId="25C36B37" w14:textId="77777777" w:rsidR="00EE631C" w:rsidRPr="00EE631C" w:rsidRDefault="00EE631C" w:rsidP="00EE631C">
            <w:pPr>
              <w:spacing w:line="240" w:lineRule="auto"/>
              <w:jc w:val="right"/>
              <w:rPr>
                <w:rFonts w:ascii="Calibri" w:eastAsia="Times New Roman" w:hAnsi="Calibri" w:cs="Calibri"/>
                <w:color w:val="000000"/>
                <w:lang w:eastAsia="en-GB"/>
              </w:rPr>
            </w:pPr>
            <w:r w:rsidRPr="00EE631C">
              <w:rPr>
                <w:rFonts w:ascii="Calibri" w:eastAsia="Times New Roman" w:hAnsi="Calibri" w:cs="Calibri"/>
                <w:color w:val="000000"/>
                <w:lang w:eastAsia="en-GB"/>
              </w:rPr>
              <w:t>(5,403)</w:t>
            </w:r>
          </w:p>
        </w:tc>
      </w:tr>
      <w:tr w:rsidR="00EE631C" w:rsidRPr="00EE631C" w14:paraId="4D88CFC4" w14:textId="77777777" w:rsidTr="00EE631C">
        <w:trPr>
          <w:trHeight w:val="315"/>
        </w:trPr>
        <w:tc>
          <w:tcPr>
            <w:tcW w:w="1246" w:type="pct"/>
            <w:tcBorders>
              <w:top w:val="single" w:sz="4" w:space="0" w:color="auto"/>
              <w:left w:val="nil"/>
              <w:bottom w:val="single" w:sz="4" w:space="0" w:color="auto"/>
              <w:right w:val="nil"/>
            </w:tcBorders>
            <w:shd w:val="clear" w:color="000000" w:fill="FFFFFF"/>
            <w:noWrap/>
            <w:vAlign w:val="center"/>
            <w:hideMark/>
          </w:tcPr>
          <w:p w14:paraId="5382B569" w14:textId="77777777" w:rsidR="00EE631C" w:rsidRPr="00EE631C" w:rsidRDefault="00EE631C" w:rsidP="00EE631C">
            <w:pPr>
              <w:spacing w:line="240" w:lineRule="auto"/>
              <w:jc w:val="right"/>
              <w:rPr>
                <w:rFonts w:ascii="Calibri" w:eastAsia="Times New Roman" w:hAnsi="Calibri" w:cs="Calibri"/>
                <w:b/>
                <w:bCs/>
                <w:lang w:eastAsia="en-GB"/>
              </w:rPr>
            </w:pPr>
            <w:r w:rsidRPr="00EE631C">
              <w:rPr>
                <w:rFonts w:ascii="Calibri" w:eastAsia="Times New Roman" w:hAnsi="Calibri" w:cs="Calibri"/>
                <w:b/>
                <w:bCs/>
                <w:lang w:eastAsia="en-GB"/>
              </w:rPr>
              <w:t>(954)</w:t>
            </w:r>
          </w:p>
        </w:tc>
        <w:tc>
          <w:tcPr>
            <w:tcW w:w="2509" w:type="pct"/>
            <w:tcBorders>
              <w:top w:val="single" w:sz="4" w:space="0" w:color="auto"/>
              <w:left w:val="nil"/>
              <w:bottom w:val="single" w:sz="4" w:space="0" w:color="auto"/>
              <w:right w:val="nil"/>
            </w:tcBorders>
            <w:shd w:val="clear" w:color="000000" w:fill="FFFFFF"/>
            <w:noWrap/>
            <w:vAlign w:val="center"/>
            <w:hideMark/>
          </w:tcPr>
          <w:p w14:paraId="58765D20" w14:textId="77777777" w:rsidR="00EE631C" w:rsidRPr="00EE631C" w:rsidRDefault="00EE631C" w:rsidP="00EE631C">
            <w:pPr>
              <w:spacing w:line="240" w:lineRule="auto"/>
              <w:jc w:val="right"/>
              <w:rPr>
                <w:rFonts w:ascii="Calibri" w:eastAsia="Times New Roman" w:hAnsi="Calibri" w:cs="Calibri"/>
                <w:lang w:eastAsia="en-GB"/>
              </w:rPr>
            </w:pPr>
            <w:r w:rsidRPr="00EE631C">
              <w:rPr>
                <w:rFonts w:ascii="Calibri" w:eastAsia="Times New Roman" w:hAnsi="Calibri" w:cs="Calibri"/>
                <w:lang w:eastAsia="en-GB"/>
              </w:rPr>
              <w:t> </w:t>
            </w:r>
          </w:p>
        </w:tc>
        <w:tc>
          <w:tcPr>
            <w:tcW w:w="1246" w:type="pct"/>
            <w:tcBorders>
              <w:top w:val="single" w:sz="4" w:space="0" w:color="auto"/>
              <w:left w:val="nil"/>
              <w:bottom w:val="single" w:sz="4" w:space="0" w:color="auto"/>
              <w:right w:val="nil"/>
            </w:tcBorders>
            <w:shd w:val="clear" w:color="000000" w:fill="FFE1E1"/>
            <w:noWrap/>
            <w:vAlign w:val="center"/>
            <w:hideMark/>
          </w:tcPr>
          <w:p w14:paraId="4FDF889D" w14:textId="77777777" w:rsidR="00EE631C" w:rsidRPr="00EE631C" w:rsidRDefault="00EE631C" w:rsidP="00EE631C">
            <w:pPr>
              <w:spacing w:line="240" w:lineRule="auto"/>
              <w:jc w:val="right"/>
              <w:rPr>
                <w:rFonts w:ascii="Calibri" w:eastAsia="Times New Roman" w:hAnsi="Calibri" w:cs="Calibri"/>
                <w:b/>
                <w:bCs/>
                <w:lang w:eastAsia="en-GB"/>
              </w:rPr>
            </w:pPr>
            <w:r w:rsidRPr="00EE631C">
              <w:rPr>
                <w:rFonts w:ascii="Calibri" w:eastAsia="Times New Roman" w:hAnsi="Calibri" w:cs="Calibri"/>
                <w:b/>
                <w:bCs/>
                <w:lang w:eastAsia="en-GB"/>
              </w:rPr>
              <w:t>(5,556)</w:t>
            </w:r>
          </w:p>
        </w:tc>
      </w:tr>
    </w:tbl>
    <w:p w14:paraId="4EB4CA80" w14:textId="33118547" w:rsidR="004A672E" w:rsidRDefault="004A672E" w:rsidP="00927E96"/>
    <w:p w14:paraId="1C4B9047" w14:textId="7C7AD51F" w:rsidR="0018201D" w:rsidRDefault="00012F30" w:rsidP="00B31996">
      <w:r w:rsidRPr="008151D2">
        <w:t xml:space="preserve">The Firefighters Pension Grant </w:t>
      </w:r>
      <w:r w:rsidR="008353E8" w:rsidRPr="008151D2">
        <w:t xml:space="preserve">figures relate to the McCloud and </w:t>
      </w:r>
      <w:r w:rsidR="0003410F">
        <w:t>Matthews</w:t>
      </w:r>
      <w:r w:rsidR="008353E8" w:rsidRPr="008151D2">
        <w:t xml:space="preserve"> remedies, for which we have received the funding from the Home Office</w:t>
      </w:r>
      <w:r w:rsidR="009C158A">
        <w:t>. I</w:t>
      </w:r>
      <w:r w:rsidR="008151D2" w:rsidRPr="008151D2">
        <w:t xml:space="preserve">n line with that national position, </w:t>
      </w:r>
      <w:r w:rsidR="003E2BDD">
        <w:t xml:space="preserve">at the </w:t>
      </w:r>
      <w:proofErr w:type="gramStart"/>
      <w:r w:rsidR="003E2BDD">
        <w:t>31</w:t>
      </w:r>
      <w:r w:rsidR="003E2BDD" w:rsidRPr="003E2BDD">
        <w:rPr>
          <w:vertAlign w:val="superscript"/>
        </w:rPr>
        <w:t>st</w:t>
      </w:r>
      <w:proofErr w:type="gramEnd"/>
      <w:r w:rsidR="003E2BDD">
        <w:t xml:space="preserve"> March 2025 no payments had been made</w:t>
      </w:r>
      <w:r w:rsidR="008151D2" w:rsidRPr="008151D2">
        <w:t xml:space="preserve"> to those impacted.</w:t>
      </w:r>
    </w:p>
    <w:p w14:paraId="62AFB7E5" w14:textId="77777777" w:rsidR="00B31996" w:rsidRDefault="00B31996" w:rsidP="00B31996">
      <w:pPr>
        <w:rPr>
          <w:rFonts w:eastAsia="Times New Roman" w:cs="Arial"/>
          <w:bCs/>
          <w:color w:val="AB2328"/>
          <w:sz w:val="24"/>
          <w:szCs w:val="24"/>
        </w:rPr>
      </w:pPr>
    </w:p>
    <w:p w14:paraId="4FEB138E" w14:textId="58B469CC" w:rsidR="00C36F6C" w:rsidRPr="006A4726" w:rsidRDefault="00C36F6C" w:rsidP="002A1ADD">
      <w:pPr>
        <w:pStyle w:val="VAHeadingLevel2"/>
      </w:pPr>
      <w:r w:rsidRPr="006A4726">
        <w:t xml:space="preserve">Note 15. Related </w:t>
      </w:r>
      <w:r w:rsidR="006A4726">
        <w:t>P</w:t>
      </w:r>
      <w:r w:rsidRPr="006A4726">
        <w:t xml:space="preserve">arties </w:t>
      </w:r>
    </w:p>
    <w:p w14:paraId="4CDD0A61" w14:textId="77777777" w:rsidR="009913DD" w:rsidRDefault="009913DD" w:rsidP="00C36F6C">
      <w:pPr>
        <w:sectPr w:rsidR="009913DD" w:rsidSect="00000143">
          <w:pgSz w:w="11906" w:h="16838"/>
          <w:pgMar w:top="851" w:right="680" w:bottom="851" w:left="851" w:header="680" w:footer="0" w:gutter="0"/>
          <w:cols w:space="708"/>
          <w:docGrid w:linePitch="360"/>
        </w:sectPr>
      </w:pPr>
    </w:p>
    <w:p w14:paraId="085A12FE" w14:textId="5AE2B847" w:rsidR="00C36F6C" w:rsidRDefault="00C36F6C" w:rsidP="00C36F6C">
      <w:r>
        <w:t>IPSAS 20 Related Party Disclosures, based on IAS 24, requires NCFRA to disclose material transactions and outstanding balances with related parties</w:t>
      </w:r>
      <w:r w:rsidR="006D026B">
        <w:t>;</w:t>
      </w:r>
      <w:r>
        <w:t xml:space="preserve"> bodies or individuals</w:t>
      </w:r>
      <w:r w:rsidR="000D66F7">
        <w:t>,</w:t>
      </w:r>
      <w:r>
        <w:t xml:space="preserve"> that have the potential to control or influence NCFRA or to be controlled or influenced by NCFRA.</w:t>
      </w:r>
    </w:p>
    <w:p w14:paraId="02975D0A" w14:textId="77777777" w:rsidR="00C36F6C" w:rsidRDefault="00C36F6C" w:rsidP="00C36F6C"/>
    <w:p w14:paraId="03D8F60B" w14:textId="77777777" w:rsidR="00C36F6C" w:rsidRDefault="00C36F6C" w:rsidP="00C36F6C">
      <w:r>
        <w:t xml:space="preserve">Central Government has effective control over the general operations of both NCFRA and the OPFCC.  It is responsible for providing the statutory framework within which NCFRA and the OPFCC operates, together with funding in the form of general or specific grants. </w:t>
      </w:r>
    </w:p>
    <w:p w14:paraId="3563BA53" w14:textId="77777777" w:rsidR="00C36F6C" w:rsidRDefault="00C36F6C" w:rsidP="00C36F6C"/>
    <w:p w14:paraId="4DEFC0B5" w14:textId="5AF44D40" w:rsidR="00C36F6C" w:rsidRDefault="00C36F6C" w:rsidP="00C36F6C">
      <w:r>
        <w:t>The Chief Executive (and Monitoring Officer) and Chief Finance Officer of the OPFCC also undertake these roles in NCFRA, and all OPFCC Directors and staff support the governance of NCFRA.  There is also a Joint Communications Team for OPFCC and Fire.  The costs are reviewed annually as part of the budget setting process and in 202</w:t>
      </w:r>
      <w:r w:rsidR="00466B12">
        <w:t>4</w:t>
      </w:r>
      <w:r>
        <w:t>/2</w:t>
      </w:r>
      <w:r w:rsidR="00466B12">
        <w:t>5</w:t>
      </w:r>
      <w:r>
        <w:t>, the sum of £0.3</w:t>
      </w:r>
      <w:r w:rsidR="007B16BE">
        <w:t>96</w:t>
      </w:r>
      <w:r>
        <w:t xml:space="preserve">m was charged to NCFRA for all this support. </w:t>
      </w:r>
    </w:p>
    <w:p w14:paraId="01C0C403" w14:textId="77777777" w:rsidR="00C36F6C" w:rsidRDefault="00C36F6C" w:rsidP="00C36F6C"/>
    <w:p w14:paraId="5B2C5BEA" w14:textId="2CBD643C" w:rsidR="00C36F6C" w:rsidRDefault="00C36F6C" w:rsidP="00C36F6C">
      <w:r>
        <w:t xml:space="preserve">NCFRA and Northamptonshire Police work together on a number of collaboration and other activities or </w:t>
      </w:r>
      <w:r>
        <w:lastRenderedPageBreak/>
        <w:t xml:space="preserve">where one organisation provides services for another.  A separate collaboration agreement is in place which sets out the governance arrangements for existing and future collaborative activities between OPFCC, the Chief Constable (CC) and NCFRA.  This agreement </w:t>
      </w:r>
      <w:r w:rsidR="00553C95">
        <w:t>was</w:t>
      </w:r>
      <w:r>
        <w:t xml:space="preserve"> reviewed </w:t>
      </w:r>
      <w:r w:rsidR="00553C95">
        <w:t xml:space="preserve">and updated </w:t>
      </w:r>
      <w:r>
        <w:t xml:space="preserve">in </w:t>
      </w:r>
      <w:r w:rsidR="00553C95">
        <w:t xml:space="preserve">April </w:t>
      </w:r>
      <w:proofErr w:type="gramStart"/>
      <w:r w:rsidR="00553C95">
        <w:t>2025.</w:t>
      </w:r>
      <w:r>
        <w:t>.</w:t>
      </w:r>
      <w:proofErr w:type="gramEnd"/>
    </w:p>
    <w:p w14:paraId="4FCEFC05" w14:textId="77777777" w:rsidR="00C36F6C" w:rsidRDefault="00C36F6C" w:rsidP="00C36F6C"/>
    <w:p w14:paraId="52A73EC1" w14:textId="7DE604DB" w:rsidR="00C36F6C" w:rsidRDefault="00C36F6C" w:rsidP="00C36F6C">
      <w:r>
        <w:t>NCFRA and Police collaborate on operational and non-operational activities.  Shared support services teams are in place for a number of services and shared accommodation in Darby House.  During 202</w:t>
      </w:r>
      <w:r w:rsidR="00900999">
        <w:t>4</w:t>
      </w:r>
      <w:r>
        <w:t>/2</w:t>
      </w:r>
      <w:r w:rsidR="00900999">
        <w:t>5</w:t>
      </w:r>
      <w:r>
        <w:t>, net charges of £</w:t>
      </w:r>
      <w:r w:rsidR="00900999">
        <w:t>3</w:t>
      </w:r>
      <w:r>
        <w:t>.</w:t>
      </w:r>
      <w:r w:rsidR="00900999">
        <w:t>578</w:t>
      </w:r>
      <w:r>
        <w:t>m were charged by Police to NCFRA.</w:t>
      </w:r>
    </w:p>
    <w:p w14:paraId="751F6460" w14:textId="77777777" w:rsidR="00C36F6C" w:rsidRDefault="00C36F6C" w:rsidP="00C36F6C"/>
    <w:p w14:paraId="505AB727" w14:textId="77777777" w:rsidR="00C36F6C" w:rsidRDefault="00C36F6C" w:rsidP="00C36F6C">
      <w:r>
        <w:t>NCFRA collaborate and deliver mutual aid arrangements to and from other Fire Authorities. They collaborate with Warwickshire for the control room and system.</w:t>
      </w:r>
    </w:p>
    <w:p w14:paraId="43312BCF" w14:textId="77777777" w:rsidR="00C36F6C" w:rsidRDefault="00C36F6C" w:rsidP="00C36F6C"/>
    <w:p w14:paraId="506A7978" w14:textId="77777777" w:rsidR="00C36F6C" w:rsidRDefault="00C36F6C" w:rsidP="00C36F6C">
      <w:r>
        <w:t xml:space="preserve">The OPFCC maintains a register of business interests and key members of staff in the OPFCC and NCFRA </w:t>
      </w:r>
      <w:r>
        <w:t xml:space="preserve">Chief Officers and the JIAC members are required, at the end of each year, to declare whether they, or any member of their immediate family, have had any related party transactions (i.e. significant financial dealings) with the OPFCC and NCFRA.  All returns were received and reviewed by the s151 </w:t>
      </w:r>
      <w:proofErr w:type="gramStart"/>
      <w:r>
        <w:t>Officer</w:t>
      </w:r>
      <w:proofErr w:type="gramEnd"/>
      <w:r>
        <w:t xml:space="preserve"> and no disclosures are required. </w:t>
      </w:r>
    </w:p>
    <w:p w14:paraId="1FC2BF32" w14:textId="77777777" w:rsidR="00C36F6C" w:rsidRDefault="00C36F6C" w:rsidP="00C36F6C"/>
    <w:p w14:paraId="0D2DA966" w14:textId="77777777" w:rsidR="00C36F6C" w:rsidRDefault="00C36F6C" w:rsidP="00C36F6C">
      <w:r>
        <w:t>During the year, whilst NCFRA do not contribute financially, they continued as active participants in the Cadets arrangements with other emergency services in Northamptonshire.</w:t>
      </w:r>
    </w:p>
    <w:p w14:paraId="2BC8656E" w14:textId="77777777" w:rsidR="00C36F6C" w:rsidRDefault="00C36F6C" w:rsidP="00C36F6C"/>
    <w:p w14:paraId="78F00AF7" w14:textId="5E374293" w:rsidR="00C36F6C" w:rsidRDefault="43768201" w:rsidP="00C36F6C">
      <w:r>
        <w:t>A review of accounts payable and receivable transactions was undertaken which confirms that no payments have been made to or from employees of the organisations other than in line with contracts of employment.</w:t>
      </w:r>
    </w:p>
    <w:p w14:paraId="0ADFD57C" w14:textId="11F8A72B" w:rsidR="6C31340A" w:rsidRDefault="6C31340A" w:rsidP="6C31340A"/>
    <w:p w14:paraId="56E4181C" w14:textId="77777777" w:rsidR="009913DD" w:rsidRDefault="009913DD" w:rsidP="00C36F6C">
      <w:pPr>
        <w:sectPr w:rsidR="009913DD" w:rsidSect="009913DD">
          <w:type w:val="continuous"/>
          <w:pgSz w:w="11906" w:h="16838"/>
          <w:pgMar w:top="851" w:right="680" w:bottom="851" w:left="851" w:header="680" w:footer="0" w:gutter="0"/>
          <w:cols w:num="2" w:space="708"/>
          <w:docGrid w:linePitch="360"/>
        </w:sectPr>
      </w:pPr>
    </w:p>
    <w:p w14:paraId="01D2434D" w14:textId="77777777" w:rsidR="00ED7FB0" w:rsidRDefault="00ED7FB0" w:rsidP="00847873">
      <w:pPr>
        <w:pStyle w:val="VAHeadingLevel2"/>
      </w:pPr>
    </w:p>
    <w:p w14:paraId="31E9B891" w14:textId="77777777" w:rsidR="00ED7FB0" w:rsidRDefault="00ED7FB0" w:rsidP="00847873">
      <w:pPr>
        <w:pStyle w:val="VAHeadingLevel2"/>
      </w:pPr>
    </w:p>
    <w:p w14:paraId="46F2A235" w14:textId="7A6C9053" w:rsidR="0079406E" w:rsidRPr="00936376" w:rsidRDefault="6BE7477D" w:rsidP="00847873">
      <w:pPr>
        <w:pStyle w:val="VAHeadingLevel2"/>
      </w:pPr>
      <w:r>
        <w:t xml:space="preserve">Note </w:t>
      </w:r>
      <w:r w:rsidR="241DD842">
        <w:t>16</w:t>
      </w:r>
      <w:r w:rsidR="6A30648E">
        <w:t>.</w:t>
      </w:r>
      <w:r w:rsidR="1D074BB9">
        <w:t xml:space="preserve"> Transfers to/from </w:t>
      </w:r>
      <w:r w:rsidR="4EB57DD4">
        <w:t>E</w:t>
      </w:r>
      <w:r w:rsidR="1D074BB9">
        <w:t xml:space="preserve">armarked </w:t>
      </w:r>
      <w:r w:rsidR="4EB57DD4">
        <w:t>R</w:t>
      </w:r>
      <w:r w:rsidR="1D074BB9">
        <w:t xml:space="preserve">eserves </w:t>
      </w:r>
    </w:p>
    <w:p w14:paraId="6A5D045A" w14:textId="393F4408" w:rsidR="00764C70" w:rsidRDefault="0079406E" w:rsidP="00F40B08">
      <w:r w:rsidRPr="007F07C2">
        <w:t>This note sets out the amounts set aside</w:t>
      </w:r>
      <w:r w:rsidR="00CA666F">
        <w:t xml:space="preserve"> </w:t>
      </w:r>
      <w:r w:rsidRPr="007F07C2">
        <w:t>in earmarked reserves to provide financing</w:t>
      </w:r>
      <w:r w:rsidR="00434B4A" w:rsidRPr="007F07C2">
        <w:t xml:space="preserve"> for future expenditure plans.</w:t>
      </w:r>
    </w:p>
    <w:p w14:paraId="48177F1A" w14:textId="01E7C231" w:rsidR="00436E6D" w:rsidRDefault="00436E6D" w:rsidP="00F40B08">
      <w:pPr>
        <w:rPr>
          <w:rFonts w:cstheme="minorBidi"/>
        </w:rPr>
      </w:pPr>
    </w:p>
    <w:tbl>
      <w:tblPr>
        <w:tblW w:w="10348" w:type="dxa"/>
        <w:tblLayout w:type="fixed"/>
        <w:tblLook w:val="04A0" w:firstRow="1" w:lastRow="0" w:firstColumn="1" w:lastColumn="0" w:noHBand="0" w:noVBand="1"/>
      </w:tblPr>
      <w:tblGrid>
        <w:gridCol w:w="2154"/>
        <w:gridCol w:w="1170"/>
        <w:gridCol w:w="1171"/>
        <w:gridCol w:w="1170"/>
        <w:gridCol w:w="1171"/>
        <w:gridCol w:w="1170"/>
        <w:gridCol w:w="1171"/>
        <w:gridCol w:w="1171"/>
      </w:tblGrid>
      <w:tr w:rsidR="00585A67" w:rsidRPr="00ED6B17" w14:paraId="77C325A5" w14:textId="77777777" w:rsidTr="00277F6E">
        <w:trPr>
          <w:trHeight w:val="995"/>
        </w:trPr>
        <w:tc>
          <w:tcPr>
            <w:tcW w:w="2154" w:type="dxa"/>
            <w:tcBorders>
              <w:top w:val="nil"/>
              <w:left w:val="nil"/>
              <w:bottom w:val="nil"/>
              <w:right w:val="nil"/>
            </w:tcBorders>
            <w:shd w:val="clear" w:color="000000" w:fill="AB2328"/>
            <w:vAlign w:val="center"/>
            <w:hideMark/>
          </w:tcPr>
          <w:p w14:paraId="30FD8FD2" w14:textId="77777777" w:rsidR="00ED6B17" w:rsidRPr="00ED6B17" w:rsidRDefault="00ED6B17" w:rsidP="00ED6B17">
            <w:pPr>
              <w:spacing w:line="240" w:lineRule="auto"/>
              <w:jc w:val="lef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 </w:t>
            </w:r>
          </w:p>
        </w:tc>
        <w:tc>
          <w:tcPr>
            <w:tcW w:w="1170" w:type="dxa"/>
            <w:tcBorders>
              <w:top w:val="nil"/>
              <w:left w:val="nil"/>
              <w:bottom w:val="nil"/>
              <w:right w:val="nil"/>
            </w:tcBorders>
            <w:shd w:val="clear" w:color="000000" w:fill="AB2328"/>
            <w:hideMark/>
          </w:tcPr>
          <w:p w14:paraId="6686E487" w14:textId="77777777" w:rsidR="00FE653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 xml:space="preserve">Opening Balance April </w:t>
            </w:r>
          </w:p>
          <w:p w14:paraId="0A8337F2" w14:textId="3AFBBCCD"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2023</w:t>
            </w:r>
          </w:p>
        </w:tc>
        <w:tc>
          <w:tcPr>
            <w:tcW w:w="1171" w:type="dxa"/>
            <w:tcBorders>
              <w:top w:val="nil"/>
              <w:left w:val="nil"/>
              <w:bottom w:val="nil"/>
              <w:right w:val="nil"/>
            </w:tcBorders>
            <w:shd w:val="clear" w:color="000000" w:fill="AB2328"/>
            <w:hideMark/>
          </w:tcPr>
          <w:p w14:paraId="6705EB6B"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Transfers to Reserve</w:t>
            </w:r>
          </w:p>
        </w:tc>
        <w:tc>
          <w:tcPr>
            <w:tcW w:w="1170" w:type="dxa"/>
            <w:tcBorders>
              <w:top w:val="nil"/>
              <w:left w:val="nil"/>
              <w:bottom w:val="nil"/>
              <w:right w:val="nil"/>
            </w:tcBorders>
            <w:shd w:val="clear" w:color="000000" w:fill="AB2328"/>
            <w:hideMark/>
          </w:tcPr>
          <w:p w14:paraId="69256406"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 xml:space="preserve">Transfers from Reserve </w:t>
            </w:r>
          </w:p>
        </w:tc>
        <w:tc>
          <w:tcPr>
            <w:tcW w:w="1171" w:type="dxa"/>
            <w:tcBorders>
              <w:top w:val="nil"/>
              <w:left w:val="nil"/>
              <w:bottom w:val="nil"/>
              <w:right w:val="nil"/>
            </w:tcBorders>
            <w:shd w:val="clear" w:color="000000" w:fill="AB2328"/>
            <w:hideMark/>
          </w:tcPr>
          <w:p w14:paraId="5A7B398E"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Closing Balance March 2024</w:t>
            </w:r>
          </w:p>
        </w:tc>
        <w:tc>
          <w:tcPr>
            <w:tcW w:w="1170" w:type="dxa"/>
            <w:tcBorders>
              <w:top w:val="nil"/>
              <w:left w:val="nil"/>
              <w:bottom w:val="nil"/>
              <w:right w:val="nil"/>
            </w:tcBorders>
            <w:shd w:val="clear" w:color="000000" w:fill="AB2328"/>
            <w:hideMark/>
          </w:tcPr>
          <w:p w14:paraId="445BF4B2"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Transfers to Reserve</w:t>
            </w:r>
          </w:p>
        </w:tc>
        <w:tc>
          <w:tcPr>
            <w:tcW w:w="1171" w:type="dxa"/>
            <w:tcBorders>
              <w:top w:val="nil"/>
              <w:left w:val="nil"/>
              <w:bottom w:val="nil"/>
              <w:right w:val="nil"/>
            </w:tcBorders>
            <w:shd w:val="clear" w:color="000000" w:fill="AB2328"/>
            <w:hideMark/>
          </w:tcPr>
          <w:p w14:paraId="16C73106"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Transfers from Reserve</w:t>
            </w:r>
          </w:p>
        </w:tc>
        <w:tc>
          <w:tcPr>
            <w:tcW w:w="1171" w:type="dxa"/>
            <w:tcBorders>
              <w:top w:val="nil"/>
              <w:left w:val="nil"/>
              <w:bottom w:val="nil"/>
              <w:right w:val="nil"/>
            </w:tcBorders>
            <w:shd w:val="clear" w:color="000000" w:fill="AB2328"/>
            <w:hideMark/>
          </w:tcPr>
          <w:p w14:paraId="72B07D48"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Closing Balance March 2025</w:t>
            </w:r>
          </w:p>
        </w:tc>
      </w:tr>
      <w:tr w:rsidR="00585A67" w:rsidRPr="00ED6B17" w14:paraId="74726D5A" w14:textId="77777777" w:rsidTr="00277F6E">
        <w:trPr>
          <w:trHeight w:val="316"/>
        </w:trPr>
        <w:tc>
          <w:tcPr>
            <w:tcW w:w="2154" w:type="dxa"/>
            <w:tcBorders>
              <w:top w:val="nil"/>
              <w:left w:val="nil"/>
              <w:bottom w:val="nil"/>
              <w:right w:val="nil"/>
            </w:tcBorders>
            <w:shd w:val="clear" w:color="000000" w:fill="AB2328"/>
            <w:noWrap/>
            <w:vAlign w:val="center"/>
            <w:hideMark/>
          </w:tcPr>
          <w:p w14:paraId="148819C3"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 </w:t>
            </w:r>
          </w:p>
        </w:tc>
        <w:tc>
          <w:tcPr>
            <w:tcW w:w="1170" w:type="dxa"/>
            <w:tcBorders>
              <w:top w:val="nil"/>
              <w:left w:val="nil"/>
              <w:bottom w:val="nil"/>
              <w:right w:val="nil"/>
            </w:tcBorders>
            <w:shd w:val="clear" w:color="000000" w:fill="AB2328"/>
            <w:vAlign w:val="center"/>
            <w:hideMark/>
          </w:tcPr>
          <w:p w14:paraId="44511A31"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1" w:type="dxa"/>
            <w:tcBorders>
              <w:top w:val="nil"/>
              <w:left w:val="nil"/>
              <w:bottom w:val="nil"/>
              <w:right w:val="nil"/>
            </w:tcBorders>
            <w:shd w:val="clear" w:color="000000" w:fill="AB2328"/>
            <w:vAlign w:val="center"/>
            <w:hideMark/>
          </w:tcPr>
          <w:p w14:paraId="7666A729"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0" w:type="dxa"/>
            <w:tcBorders>
              <w:top w:val="nil"/>
              <w:left w:val="nil"/>
              <w:bottom w:val="nil"/>
              <w:right w:val="nil"/>
            </w:tcBorders>
            <w:shd w:val="clear" w:color="000000" w:fill="AB2328"/>
            <w:vAlign w:val="center"/>
            <w:hideMark/>
          </w:tcPr>
          <w:p w14:paraId="5B27B62C"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1" w:type="dxa"/>
            <w:tcBorders>
              <w:top w:val="nil"/>
              <w:left w:val="nil"/>
              <w:bottom w:val="nil"/>
              <w:right w:val="nil"/>
            </w:tcBorders>
            <w:shd w:val="clear" w:color="000000" w:fill="AB2328"/>
            <w:vAlign w:val="center"/>
            <w:hideMark/>
          </w:tcPr>
          <w:p w14:paraId="1D848D94"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0" w:type="dxa"/>
            <w:tcBorders>
              <w:top w:val="nil"/>
              <w:left w:val="nil"/>
              <w:bottom w:val="nil"/>
              <w:right w:val="nil"/>
            </w:tcBorders>
            <w:shd w:val="clear" w:color="000000" w:fill="AB2328"/>
            <w:vAlign w:val="center"/>
            <w:hideMark/>
          </w:tcPr>
          <w:p w14:paraId="01382735"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1" w:type="dxa"/>
            <w:tcBorders>
              <w:top w:val="nil"/>
              <w:left w:val="nil"/>
              <w:bottom w:val="nil"/>
              <w:right w:val="nil"/>
            </w:tcBorders>
            <w:shd w:val="clear" w:color="000000" w:fill="AB2328"/>
            <w:vAlign w:val="center"/>
            <w:hideMark/>
          </w:tcPr>
          <w:p w14:paraId="6244D7D2"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c>
          <w:tcPr>
            <w:tcW w:w="1171" w:type="dxa"/>
            <w:tcBorders>
              <w:top w:val="nil"/>
              <w:left w:val="nil"/>
              <w:bottom w:val="nil"/>
              <w:right w:val="nil"/>
            </w:tcBorders>
            <w:shd w:val="clear" w:color="000000" w:fill="AB2328"/>
            <w:vAlign w:val="center"/>
            <w:hideMark/>
          </w:tcPr>
          <w:p w14:paraId="06187CA5" w14:textId="77777777" w:rsidR="00ED6B17" w:rsidRPr="00ED6B17" w:rsidRDefault="00ED6B17" w:rsidP="00ED6B17">
            <w:pPr>
              <w:spacing w:line="240" w:lineRule="auto"/>
              <w:jc w:val="right"/>
              <w:rPr>
                <w:rFonts w:ascii="Calibri" w:eastAsia="Times New Roman" w:hAnsi="Calibri" w:cs="Calibri"/>
                <w:b/>
                <w:bCs/>
                <w:color w:val="FFFFFF"/>
                <w:lang w:eastAsia="en-GB"/>
              </w:rPr>
            </w:pPr>
            <w:r w:rsidRPr="00ED6B17">
              <w:rPr>
                <w:rFonts w:ascii="Calibri" w:eastAsia="Times New Roman" w:hAnsi="Calibri" w:cs="Calibri"/>
                <w:b/>
                <w:bCs/>
                <w:color w:val="FFFFFF"/>
                <w:lang w:eastAsia="en-GB"/>
              </w:rPr>
              <w:t>£000</w:t>
            </w:r>
          </w:p>
        </w:tc>
      </w:tr>
      <w:tr w:rsidR="00585A67" w:rsidRPr="00ED6B17" w14:paraId="6160DAB5" w14:textId="77777777" w:rsidTr="00277F6E">
        <w:trPr>
          <w:trHeight w:val="316"/>
        </w:trPr>
        <w:tc>
          <w:tcPr>
            <w:tcW w:w="2154" w:type="dxa"/>
            <w:tcBorders>
              <w:top w:val="nil"/>
              <w:left w:val="nil"/>
              <w:bottom w:val="nil"/>
              <w:right w:val="nil"/>
            </w:tcBorders>
            <w:shd w:val="clear" w:color="000000" w:fill="FFFFFF"/>
            <w:noWrap/>
            <w:vAlign w:val="center"/>
            <w:hideMark/>
          </w:tcPr>
          <w:p w14:paraId="64DA045D" w14:textId="77777777" w:rsidR="00ED6B17" w:rsidRPr="00ED6B17" w:rsidRDefault="00ED6B17" w:rsidP="00ED6B17">
            <w:pPr>
              <w:spacing w:line="240" w:lineRule="auto"/>
              <w:jc w:val="lef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Earmarked Reserves:</w:t>
            </w:r>
          </w:p>
        </w:tc>
        <w:tc>
          <w:tcPr>
            <w:tcW w:w="1170" w:type="dxa"/>
            <w:tcBorders>
              <w:top w:val="nil"/>
              <w:left w:val="nil"/>
              <w:bottom w:val="nil"/>
              <w:right w:val="nil"/>
            </w:tcBorders>
            <w:shd w:val="clear" w:color="000000" w:fill="FFE1E1"/>
            <w:noWrap/>
            <w:vAlign w:val="center"/>
            <w:hideMark/>
          </w:tcPr>
          <w:p w14:paraId="1AE64891" w14:textId="77777777" w:rsidR="00ED6B17" w:rsidRPr="00ED6B17" w:rsidRDefault="00ED6B17" w:rsidP="00ED6B1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 </w:t>
            </w:r>
          </w:p>
        </w:tc>
        <w:tc>
          <w:tcPr>
            <w:tcW w:w="1171" w:type="dxa"/>
            <w:tcBorders>
              <w:top w:val="nil"/>
              <w:left w:val="nil"/>
              <w:bottom w:val="nil"/>
              <w:right w:val="nil"/>
            </w:tcBorders>
            <w:shd w:val="clear" w:color="000000" w:fill="FFFFFF"/>
            <w:noWrap/>
            <w:vAlign w:val="center"/>
            <w:hideMark/>
          </w:tcPr>
          <w:p w14:paraId="0F7AA1EB" w14:textId="77777777" w:rsidR="00ED6B17" w:rsidRPr="00ED6B17" w:rsidRDefault="00ED6B17" w:rsidP="00ED6B17">
            <w:pPr>
              <w:spacing w:line="240" w:lineRule="auto"/>
              <w:jc w:val="lef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 </w:t>
            </w:r>
          </w:p>
        </w:tc>
        <w:tc>
          <w:tcPr>
            <w:tcW w:w="1170" w:type="dxa"/>
            <w:tcBorders>
              <w:top w:val="nil"/>
              <w:left w:val="nil"/>
              <w:bottom w:val="nil"/>
              <w:right w:val="nil"/>
            </w:tcBorders>
            <w:shd w:val="clear" w:color="000000" w:fill="FFFFFF"/>
            <w:noWrap/>
            <w:vAlign w:val="center"/>
            <w:hideMark/>
          </w:tcPr>
          <w:p w14:paraId="6EA27388" w14:textId="77777777" w:rsidR="00ED6B17" w:rsidRPr="00ED6B17" w:rsidRDefault="00ED6B17" w:rsidP="00ED6B17">
            <w:pPr>
              <w:spacing w:line="240" w:lineRule="auto"/>
              <w:jc w:val="lef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 </w:t>
            </w:r>
          </w:p>
        </w:tc>
        <w:tc>
          <w:tcPr>
            <w:tcW w:w="1171" w:type="dxa"/>
            <w:tcBorders>
              <w:top w:val="nil"/>
              <w:left w:val="nil"/>
              <w:bottom w:val="nil"/>
              <w:right w:val="nil"/>
            </w:tcBorders>
            <w:shd w:val="clear" w:color="000000" w:fill="FFE1E1"/>
            <w:noWrap/>
            <w:vAlign w:val="center"/>
            <w:hideMark/>
          </w:tcPr>
          <w:p w14:paraId="69372D54" w14:textId="77777777" w:rsidR="00ED6B17" w:rsidRPr="00ED6B17" w:rsidRDefault="00ED6B17" w:rsidP="00ED6B1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 </w:t>
            </w:r>
          </w:p>
        </w:tc>
        <w:tc>
          <w:tcPr>
            <w:tcW w:w="1170" w:type="dxa"/>
            <w:tcBorders>
              <w:top w:val="nil"/>
              <w:left w:val="nil"/>
              <w:bottom w:val="nil"/>
              <w:right w:val="nil"/>
            </w:tcBorders>
            <w:shd w:val="clear" w:color="000000" w:fill="FFFFFF"/>
            <w:noWrap/>
            <w:vAlign w:val="bottom"/>
            <w:hideMark/>
          </w:tcPr>
          <w:p w14:paraId="04D2D25A"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 </w:t>
            </w:r>
          </w:p>
        </w:tc>
        <w:tc>
          <w:tcPr>
            <w:tcW w:w="1171" w:type="dxa"/>
            <w:tcBorders>
              <w:top w:val="nil"/>
              <w:left w:val="nil"/>
              <w:bottom w:val="nil"/>
              <w:right w:val="nil"/>
            </w:tcBorders>
            <w:shd w:val="clear" w:color="000000" w:fill="FFFFFF"/>
            <w:noWrap/>
            <w:vAlign w:val="bottom"/>
            <w:hideMark/>
          </w:tcPr>
          <w:p w14:paraId="26DC6A37"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 </w:t>
            </w:r>
          </w:p>
        </w:tc>
        <w:tc>
          <w:tcPr>
            <w:tcW w:w="1171" w:type="dxa"/>
            <w:tcBorders>
              <w:top w:val="nil"/>
              <w:left w:val="nil"/>
              <w:bottom w:val="nil"/>
              <w:right w:val="nil"/>
            </w:tcBorders>
            <w:shd w:val="clear" w:color="000000" w:fill="FFE1E1"/>
            <w:noWrap/>
            <w:vAlign w:val="center"/>
            <w:hideMark/>
          </w:tcPr>
          <w:p w14:paraId="70E37733" w14:textId="77777777" w:rsidR="00ED6B17" w:rsidRPr="00ED6B17" w:rsidRDefault="00ED6B17" w:rsidP="00ED6B1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 </w:t>
            </w:r>
          </w:p>
        </w:tc>
      </w:tr>
      <w:tr w:rsidR="00585A67" w:rsidRPr="00ED6B17" w14:paraId="6907F700" w14:textId="77777777" w:rsidTr="00277F6E">
        <w:trPr>
          <w:trHeight w:val="316"/>
        </w:trPr>
        <w:tc>
          <w:tcPr>
            <w:tcW w:w="2154" w:type="dxa"/>
            <w:tcBorders>
              <w:top w:val="nil"/>
              <w:left w:val="nil"/>
              <w:bottom w:val="nil"/>
              <w:right w:val="nil"/>
            </w:tcBorders>
            <w:shd w:val="clear" w:color="000000" w:fill="FFFFFF"/>
            <w:noWrap/>
            <w:vAlign w:val="center"/>
            <w:hideMark/>
          </w:tcPr>
          <w:p w14:paraId="5BB34345"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Section 106 Contributions</w:t>
            </w:r>
          </w:p>
        </w:tc>
        <w:tc>
          <w:tcPr>
            <w:tcW w:w="1170" w:type="dxa"/>
            <w:tcBorders>
              <w:top w:val="nil"/>
              <w:left w:val="nil"/>
              <w:bottom w:val="nil"/>
              <w:right w:val="nil"/>
            </w:tcBorders>
            <w:shd w:val="clear" w:color="000000" w:fill="FFE1E1"/>
            <w:noWrap/>
            <w:vAlign w:val="center"/>
            <w:hideMark/>
          </w:tcPr>
          <w:p w14:paraId="07288F07"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34</w:t>
            </w:r>
          </w:p>
        </w:tc>
        <w:tc>
          <w:tcPr>
            <w:tcW w:w="1171" w:type="dxa"/>
            <w:tcBorders>
              <w:top w:val="nil"/>
              <w:left w:val="nil"/>
              <w:bottom w:val="nil"/>
              <w:right w:val="nil"/>
            </w:tcBorders>
            <w:shd w:val="clear" w:color="000000" w:fill="FFFFFF"/>
            <w:noWrap/>
            <w:vAlign w:val="center"/>
            <w:hideMark/>
          </w:tcPr>
          <w:p w14:paraId="3A03B4A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3B36D5A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(34)</w:t>
            </w:r>
          </w:p>
        </w:tc>
        <w:tc>
          <w:tcPr>
            <w:tcW w:w="1171" w:type="dxa"/>
            <w:tcBorders>
              <w:top w:val="nil"/>
              <w:left w:val="nil"/>
              <w:bottom w:val="nil"/>
              <w:right w:val="nil"/>
            </w:tcBorders>
            <w:shd w:val="clear" w:color="000000" w:fill="FFE1E1"/>
            <w:noWrap/>
            <w:vAlign w:val="center"/>
            <w:hideMark/>
          </w:tcPr>
          <w:p w14:paraId="41AEE66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6DC98728"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FFFF"/>
            <w:noWrap/>
            <w:vAlign w:val="center"/>
            <w:hideMark/>
          </w:tcPr>
          <w:p w14:paraId="6752FAE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75701CA6"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w:t>
            </w:r>
          </w:p>
        </w:tc>
      </w:tr>
      <w:tr w:rsidR="00585A67" w:rsidRPr="00ED6B17" w14:paraId="26B52700" w14:textId="77777777" w:rsidTr="00277F6E">
        <w:trPr>
          <w:trHeight w:val="316"/>
        </w:trPr>
        <w:tc>
          <w:tcPr>
            <w:tcW w:w="2154" w:type="dxa"/>
            <w:tcBorders>
              <w:top w:val="nil"/>
              <w:left w:val="nil"/>
              <w:bottom w:val="nil"/>
              <w:right w:val="nil"/>
            </w:tcBorders>
            <w:shd w:val="clear" w:color="000000" w:fill="FFFFFF"/>
            <w:noWrap/>
            <w:vAlign w:val="center"/>
            <w:hideMark/>
          </w:tcPr>
          <w:p w14:paraId="719BAE03"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Insurance reserve</w:t>
            </w:r>
          </w:p>
        </w:tc>
        <w:tc>
          <w:tcPr>
            <w:tcW w:w="1170" w:type="dxa"/>
            <w:tcBorders>
              <w:top w:val="nil"/>
              <w:left w:val="nil"/>
              <w:bottom w:val="nil"/>
              <w:right w:val="nil"/>
            </w:tcBorders>
            <w:shd w:val="clear" w:color="000000" w:fill="FFE1E1"/>
            <w:noWrap/>
            <w:vAlign w:val="center"/>
            <w:hideMark/>
          </w:tcPr>
          <w:p w14:paraId="7C6FA252"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250</w:t>
            </w:r>
          </w:p>
        </w:tc>
        <w:tc>
          <w:tcPr>
            <w:tcW w:w="1171" w:type="dxa"/>
            <w:tcBorders>
              <w:top w:val="nil"/>
              <w:left w:val="nil"/>
              <w:bottom w:val="nil"/>
              <w:right w:val="nil"/>
            </w:tcBorders>
            <w:shd w:val="clear" w:color="000000" w:fill="FFFFFF"/>
            <w:noWrap/>
            <w:vAlign w:val="center"/>
            <w:hideMark/>
          </w:tcPr>
          <w:p w14:paraId="61B32018"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2FE31FBF"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3745B2DC"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250</w:t>
            </w:r>
          </w:p>
        </w:tc>
        <w:tc>
          <w:tcPr>
            <w:tcW w:w="1170" w:type="dxa"/>
            <w:tcBorders>
              <w:top w:val="nil"/>
              <w:left w:val="nil"/>
              <w:bottom w:val="nil"/>
              <w:right w:val="nil"/>
            </w:tcBorders>
            <w:shd w:val="clear" w:color="000000" w:fill="FFFFFF"/>
            <w:noWrap/>
            <w:vAlign w:val="center"/>
            <w:hideMark/>
          </w:tcPr>
          <w:p w14:paraId="07EB7EE9"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FFFF"/>
            <w:noWrap/>
            <w:vAlign w:val="center"/>
            <w:hideMark/>
          </w:tcPr>
          <w:p w14:paraId="70707414"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25220F64"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250</w:t>
            </w:r>
          </w:p>
        </w:tc>
      </w:tr>
      <w:tr w:rsidR="00585A67" w:rsidRPr="00ED6B17" w14:paraId="70A95DE2" w14:textId="77777777" w:rsidTr="00277F6E">
        <w:trPr>
          <w:trHeight w:val="316"/>
        </w:trPr>
        <w:tc>
          <w:tcPr>
            <w:tcW w:w="2154" w:type="dxa"/>
            <w:tcBorders>
              <w:top w:val="nil"/>
              <w:left w:val="nil"/>
              <w:bottom w:val="nil"/>
              <w:right w:val="nil"/>
            </w:tcBorders>
            <w:shd w:val="clear" w:color="000000" w:fill="FFFFFF"/>
            <w:noWrap/>
            <w:vAlign w:val="center"/>
            <w:hideMark/>
          </w:tcPr>
          <w:p w14:paraId="0EA60345" w14:textId="077467AF" w:rsidR="00ED6B17" w:rsidRPr="00ED6B17" w:rsidRDefault="00C039D7" w:rsidP="00ED6B17">
            <w:pPr>
              <w:spacing w:line="240" w:lineRule="auto"/>
              <w:jc w:val="left"/>
              <w:rPr>
                <w:rFonts w:ascii="Calibri" w:eastAsia="Times New Roman" w:hAnsi="Calibri" w:cs="Calibri"/>
                <w:color w:val="000000"/>
                <w:lang w:eastAsia="en-GB"/>
              </w:rPr>
            </w:pPr>
            <w:r w:rsidRPr="004D02EB">
              <w:rPr>
                <w:rFonts w:ascii="Calibri" w:eastAsia="Times New Roman" w:hAnsi="Calibri" w:cs="Calibri"/>
                <w:color w:val="000000"/>
                <w:lang w:eastAsia="en-GB"/>
              </w:rPr>
              <w:t>Smoothing</w:t>
            </w:r>
            <w:r w:rsidR="00ED6B17" w:rsidRPr="004D02EB">
              <w:rPr>
                <w:rFonts w:ascii="Calibri" w:eastAsia="Times New Roman" w:hAnsi="Calibri" w:cs="Calibri"/>
                <w:color w:val="000000"/>
                <w:lang w:eastAsia="en-GB"/>
              </w:rPr>
              <w:t xml:space="preserve"> Reserve</w:t>
            </w:r>
          </w:p>
        </w:tc>
        <w:tc>
          <w:tcPr>
            <w:tcW w:w="1170" w:type="dxa"/>
            <w:tcBorders>
              <w:top w:val="nil"/>
              <w:left w:val="nil"/>
              <w:bottom w:val="nil"/>
              <w:right w:val="nil"/>
            </w:tcBorders>
            <w:shd w:val="clear" w:color="000000" w:fill="FFE1E1"/>
            <w:noWrap/>
            <w:vAlign w:val="center"/>
            <w:hideMark/>
          </w:tcPr>
          <w:p w14:paraId="11D8207F"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292</w:t>
            </w:r>
          </w:p>
        </w:tc>
        <w:tc>
          <w:tcPr>
            <w:tcW w:w="1171" w:type="dxa"/>
            <w:tcBorders>
              <w:top w:val="nil"/>
              <w:left w:val="nil"/>
              <w:bottom w:val="nil"/>
              <w:right w:val="nil"/>
            </w:tcBorders>
            <w:shd w:val="clear" w:color="000000" w:fill="FFFFFF"/>
            <w:noWrap/>
            <w:vAlign w:val="center"/>
            <w:hideMark/>
          </w:tcPr>
          <w:p w14:paraId="2B6364F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675</w:t>
            </w:r>
          </w:p>
        </w:tc>
        <w:tc>
          <w:tcPr>
            <w:tcW w:w="1170" w:type="dxa"/>
            <w:tcBorders>
              <w:top w:val="nil"/>
              <w:left w:val="nil"/>
              <w:bottom w:val="nil"/>
              <w:right w:val="nil"/>
            </w:tcBorders>
            <w:shd w:val="clear" w:color="000000" w:fill="FFFFFF"/>
            <w:noWrap/>
            <w:vAlign w:val="center"/>
            <w:hideMark/>
          </w:tcPr>
          <w:p w14:paraId="1F25B78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04FF187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967</w:t>
            </w:r>
          </w:p>
        </w:tc>
        <w:tc>
          <w:tcPr>
            <w:tcW w:w="1170" w:type="dxa"/>
            <w:tcBorders>
              <w:top w:val="nil"/>
              <w:left w:val="nil"/>
              <w:bottom w:val="nil"/>
              <w:right w:val="nil"/>
            </w:tcBorders>
            <w:shd w:val="clear" w:color="000000" w:fill="FFFFFF"/>
            <w:noWrap/>
            <w:vAlign w:val="center"/>
            <w:hideMark/>
          </w:tcPr>
          <w:p w14:paraId="495AD703"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230</w:t>
            </w:r>
          </w:p>
        </w:tc>
        <w:tc>
          <w:tcPr>
            <w:tcW w:w="1171" w:type="dxa"/>
            <w:tcBorders>
              <w:top w:val="nil"/>
              <w:left w:val="nil"/>
              <w:bottom w:val="nil"/>
              <w:right w:val="nil"/>
            </w:tcBorders>
            <w:shd w:val="clear" w:color="000000" w:fill="FFFFFF"/>
            <w:noWrap/>
            <w:vAlign w:val="center"/>
            <w:hideMark/>
          </w:tcPr>
          <w:p w14:paraId="3CF76E00"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7B43BCA7"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1,197</w:t>
            </w:r>
          </w:p>
        </w:tc>
      </w:tr>
      <w:tr w:rsidR="00585A67" w:rsidRPr="00ED6B17" w14:paraId="2AD515F8" w14:textId="77777777" w:rsidTr="00277F6E">
        <w:trPr>
          <w:trHeight w:val="316"/>
        </w:trPr>
        <w:tc>
          <w:tcPr>
            <w:tcW w:w="2154" w:type="dxa"/>
            <w:tcBorders>
              <w:top w:val="nil"/>
              <w:left w:val="nil"/>
              <w:bottom w:val="nil"/>
              <w:right w:val="nil"/>
            </w:tcBorders>
            <w:shd w:val="clear" w:color="000000" w:fill="FFFFFF"/>
            <w:noWrap/>
            <w:vAlign w:val="center"/>
            <w:hideMark/>
          </w:tcPr>
          <w:p w14:paraId="2C8393D3"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Transformation Reserve</w:t>
            </w:r>
          </w:p>
        </w:tc>
        <w:tc>
          <w:tcPr>
            <w:tcW w:w="1170" w:type="dxa"/>
            <w:tcBorders>
              <w:top w:val="nil"/>
              <w:left w:val="nil"/>
              <w:bottom w:val="nil"/>
              <w:right w:val="nil"/>
            </w:tcBorders>
            <w:shd w:val="clear" w:color="000000" w:fill="FFE1E1"/>
            <w:noWrap/>
            <w:vAlign w:val="center"/>
            <w:hideMark/>
          </w:tcPr>
          <w:p w14:paraId="4ECACEB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1,000</w:t>
            </w:r>
          </w:p>
        </w:tc>
        <w:tc>
          <w:tcPr>
            <w:tcW w:w="1171" w:type="dxa"/>
            <w:tcBorders>
              <w:top w:val="nil"/>
              <w:left w:val="nil"/>
              <w:bottom w:val="nil"/>
              <w:right w:val="nil"/>
            </w:tcBorders>
            <w:shd w:val="clear" w:color="000000" w:fill="FFFFFF"/>
            <w:noWrap/>
            <w:vAlign w:val="center"/>
            <w:hideMark/>
          </w:tcPr>
          <w:p w14:paraId="5568D36A"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3183654C"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18D1DBA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1,000</w:t>
            </w:r>
          </w:p>
        </w:tc>
        <w:tc>
          <w:tcPr>
            <w:tcW w:w="1170" w:type="dxa"/>
            <w:tcBorders>
              <w:top w:val="nil"/>
              <w:left w:val="nil"/>
              <w:bottom w:val="nil"/>
              <w:right w:val="nil"/>
            </w:tcBorders>
            <w:shd w:val="clear" w:color="000000" w:fill="FFFFFF"/>
            <w:noWrap/>
            <w:vAlign w:val="center"/>
            <w:hideMark/>
          </w:tcPr>
          <w:p w14:paraId="45E403E9"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FFFF"/>
            <w:noWrap/>
            <w:vAlign w:val="center"/>
            <w:hideMark/>
          </w:tcPr>
          <w:p w14:paraId="5776D99C"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(147)</w:t>
            </w:r>
          </w:p>
        </w:tc>
        <w:tc>
          <w:tcPr>
            <w:tcW w:w="1171" w:type="dxa"/>
            <w:tcBorders>
              <w:top w:val="nil"/>
              <w:left w:val="nil"/>
              <w:bottom w:val="nil"/>
              <w:right w:val="nil"/>
            </w:tcBorders>
            <w:shd w:val="clear" w:color="000000" w:fill="FFE1E1"/>
            <w:noWrap/>
            <w:vAlign w:val="center"/>
            <w:hideMark/>
          </w:tcPr>
          <w:p w14:paraId="058718F5"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853</w:t>
            </w:r>
          </w:p>
        </w:tc>
      </w:tr>
      <w:tr w:rsidR="00585A67" w:rsidRPr="00ED6B17" w14:paraId="5BF87F83" w14:textId="77777777" w:rsidTr="00277F6E">
        <w:trPr>
          <w:trHeight w:val="316"/>
        </w:trPr>
        <w:tc>
          <w:tcPr>
            <w:tcW w:w="2154" w:type="dxa"/>
            <w:tcBorders>
              <w:top w:val="nil"/>
              <w:left w:val="nil"/>
              <w:bottom w:val="nil"/>
              <w:right w:val="nil"/>
            </w:tcBorders>
            <w:shd w:val="clear" w:color="000000" w:fill="FFFFFF"/>
            <w:noWrap/>
            <w:vAlign w:val="center"/>
            <w:hideMark/>
          </w:tcPr>
          <w:p w14:paraId="4BB88FF4" w14:textId="4BF2EC3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Capital &amp;</w:t>
            </w:r>
            <w:r w:rsidR="008F753C">
              <w:rPr>
                <w:rFonts w:ascii="Calibri" w:eastAsia="Times New Roman" w:hAnsi="Calibri" w:cs="Calibri"/>
                <w:color w:val="000000"/>
                <w:lang w:eastAsia="en-GB"/>
              </w:rPr>
              <w:t xml:space="preserve"> </w:t>
            </w:r>
            <w:r w:rsidRPr="00ED6B17">
              <w:rPr>
                <w:rFonts w:ascii="Calibri" w:eastAsia="Times New Roman" w:hAnsi="Calibri" w:cs="Calibri"/>
                <w:color w:val="000000"/>
                <w:lang w:eastAsia="en-GB"/>
              </w:rPr>
              <w:t>ESN</w:t>
            </w:r>
          </w:p>
        </w:tc>
        <w:tc>
          <w:tcPr>
            <w:tcW w:w="1170" w:type="dxa"/>
            <w:tcBorders>
              <w:top w:val="nil"/>
              <w:left w:val="nil"/>
              <w:bottom w:val="nil"/>
              <w:right w:val="nil"/>
            </w:tcBorders>
            <w:shd w:val="clear" w:color="000000" w:fill="FFE1E1"/>
            <w:noWrap/>
            <w:vAlign w:val="center"/>
            <w:hideMark/>
          </w:tcPr>
          <w:p w14:paraId="02775AB6"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314</w:t>
            </w:r>
          </w:p>
        </w:tc>
        <w:tc>
          <w:tcPr>
            <w:tcW w:w="1171" w:type="dxa"/>
            <w:tcBorders>
              <w:top w:val="nil"/>
              <w:left w:val="nil"/>
              <w:bottom w:val="nil"/>
              <w:right w:val="nil"/>
            </w:tcBorders>
            <w:shd w:val="clear" w:color="000000" w:fill="FFFFFF"/>
            <w:noWrap/>
            <w:vAlign w:val="center"/>
            <w:hideMark/>
          </w:tcPr>
          <w:p w14:paraId="37DFAE24"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1B287380"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79E3A680"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314</w:t>
            </w:r>
          </w:p>
        </w:tc>
        <w:tc>
          <w:tcPr>
            <w:tcW w:w="1170" w:type="dxa"/>
            <w:tcBorders>
              <w:top w:val="nil"/>
              <w:left w:val="nil"/>
              <w:bottom w:val="nil"/>
              <w:right w:val="nil"/>
            </w:tcBorders>
            <w:shd w:val="clear" w:color="000000" w:fill="FFFFFF"/>
            <w:noWrap/>
            <w:vAlign w:val="center"/>
            <w:hideMark/>
          </w:tcPr>
          <w:p w14:paraId="2D7774C3"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FFFF"/>
            <w:noWrap/>
            <w:vAlign w:val="center"/>
            <w:hideMark/>
          </w:tcPr>
          <w:p w14:paraId="5AC724D8"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24DD61AA"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314</w:t>
            </w:r>
          </w:p>
        </w:tc>
      </w:tr>
      <w:tr w:rsidR="00585A67" w:rsidRPr="00ED6B17" w14:paraId="76E8AAFC" w14:textId="77777777" w:rsidTr="00277F6E">
        <w:trPr>
          <w:trHeight w:val="316"/>
        </w:trPr>
        <w:tc>
          <w:tcPr>
            <w:tcW w:w="2154" w:type="dxa"/>
            <w:tcBorders>
              <w:top w:val="nil"/>
              <w:left w:val="nil"/>
              <w:bottom w:val="nil"/>
              <w:right w:val="nil"/>
            </w:tcBorders>
            <w:shd w:val="clear" w:color="000000" w:fill="FFFFFF"/>
            <w:noWrap/>
            <w:vAlign w:val="center"/>
            <w:hideMark/>
          </w:tcPr>
          <w:p w14:paraId="6740ACBD"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Equipment Reserve</w:t>
            </w:r>
          </w:p>
        </w:tc>
        <w:tc>
          <w:tcPr>
            <w:tcW w:w="1170" w:type="dxa"/>
            <w:tcBorders>
              <w:top w:val="nil"/>
              <w:left w:val="nil"/>
              <w:bottom w:val="nil"/>
              <w:right w:val="nil"/>
            </w:tcBorders>
            <w:shd w:val="clear" w:color="000000" w:fill="FFE1E1"/>
            <w:noWrap/>
            <w:vAlign w:val="center"/>
            <w:hideMark/>
          </w:tcPr>
          <w:p w14:paraId="372FBAEF"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100</w:t>
            </w:r>
          </w:p>
        </w:tc>
        <w:tc>
          <w:tcPr>
            <w:tcW w:w="1171" w:type="dxa"/>
            <w:tcBorders>
              <w:top w:val="nil"/>
              <w:left w:val="nil"/>
              <w:bottom w:val="nil"/>
              <w:right w:val="nil"/>
            </w:tcBorders>
            <w:shd w:val="clear" w:color="000000" w:fill="FFFFFF"/>
            <w:noWrap/>
            <w:vAlign w:val="center"/>
            <w:hideMark/>
          </w:tcPr>
          <w:p w14:paraId="3D23285C"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08D01A7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(30)</w:t>
            </w:r>
          </w:p>
        </w:tc>
        <w:tc>
          <w:tcPr>
            <w:tcW w:w="1171" w:type="dxa"/>
            <w:tcBorders>
              <w:top w:val="nil"/>
              <w:left w:val="nil"/>
              <w:bottom w:val="nil"/>
              <w:right w:val="nil"/>
            </w:tcBorders>
            <w:shd w:val="clear" w:color="000000" w:fill="FFE1E1"/>
            <w:noWrap/>
            <w:vAlign w:val="center"/>
            <w:hideMark/>
          </w:tcPr>
          <w:p w14:paraId="329497FB"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70</w:t>
            </w:r>
          </w:p>
        </w:tc>
        <w:tc>
          <w:tcPr>
            <w:tcW w:w="1170" w:type="dxa"/>
            <w:tcBorders>
              <w:top w:val="nil"/>
              <w:left w:val="nil"/>
              <w:bottom w:val="nil"/>
              <w:right w:val="nil"/>
            </w:tcBorders>
            <w:shd w:val="clear" w:color="000000" w:fill="FFFFFF"/>
            <w:noWrap/>
            <w:vAlign w:val="center"/>
            <w:hideMark/>
          </w:tcPr>
          <w:p w14:paraId="099753F9"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5</w:t>
            </w:r>
          </w:p>
        </w:tc>
        <w:tc>
          <w:tcPr>
            <w:tcW w:w="1171" w:type="dxa"/>
            <w:tcBorders>
              <w:top w:val="nil"/>
              <w:left w:val="nil"/>
              <w:bottom w:val="nil"/>
              <w:right w:val="nil"/>
            </w:tcBorders>
            <w:shd w:val="clear" w:color="000000" w:fill="FFFFFF"/>
            <w:noWrap/>
            <w:vAlign w:val="center"/>
            <w:hideMark/>
          </w:tcPr>
          <w:p w14:paraId="0D7D3E7E"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E1E1"/>
            <w:noWrap/>
            <w:vAlign w:val="center"/>
            <w:hideMark/>
          </w:tcPr>
          <w:p w14:paraId="18D322BF"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75</w:t>
            </w:r>
          </w:p>
        </w:tc>
      </w:tr>
      <w:tr w:rsidR="00585A67" w:rsidRPr="00ED6B17" w14:paraId="7DD680FD" w14:textId="77777777" w:rsidTr="00277F6E">
        <w:trPr>
          <w:trHeight w:val="316"/>
        </w:trPr>
        <w:tc>
          <w:tcPr>
            <w:tcW w:w="2154" w:type="dxa"/>
            <w:tcBorders>
              <w:top w:val="nil"/>
              <w:left w:val="nil"/>
              <w:bottom w:val="nil"/>
              <w:right w:val="nil"/>
            </w:tcBorders>
            <w:shd w:val="clear" w:color="000000" w:fill="FFFFFF"/>
            <w:noWrap/>
            <w:vAlign w:val="center"/>
            <w:hideMark/>
          </w:tcPr>
          <w:p w14:paraId="56F48F30" w14:textId="77777777" w:rsidR="00ED6B17" w:rsidRPr="00ED6B17" w:rsidRDefault="00ED6B17" w:rsidP="00ED6B17">
            <w:pPr>
              <w:spacing w:line="240" w:lineRule="auto"/>
              <w:jc w:val="left"/>
              <w:rPr>
                <w:rFonts w:ascii="Calibri" w:eastAsia="Times New Roman" w:hAnsi="Calibri" w:cs="Calibri"/>
                <w:color w:val="000000"/>
                <w:lang w:eastAsia="en-GB"/>
              </w:rPr>
            </w:pPr>
            <w:r w:rsidRPr="00ED6B17">
              <w:rPr>
                <w:rFonts w:ascii="Calibri" w:eastAsia="Times New Roman" w:hAnsi="Calibri" w:cs="Calibri"/>
                <w:color w:val="000000"/>
                <w:lang w:eastAsia="en-GB"/>
              </w:rPr>
              <w:t>Service Carry Forwards</w:t>
            </w:r>
          </w:p>
        </w:tc>
        <w:tc>
          <w:tcPr>
            <w:tcW w:w="1170" w:type="dxa"/>
            <w:tcBorders>
              <w:top w:val="nil"/>
              <w:left w:val="nil"/>
              <w:bottom w:val="nil"/>
              <w:right w:val="nil"/>
            </w:tcBorders>
            <w:shd w:val="clear" w:color="000000" w:fill="FFE1E1"/>
            <w:noWrap/>
            <w:vAlign w:val="center"/>
            <w:hideMark/>
          </w:tcPr>
          <w:p w14:paraId="7F261833"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45</w:t>
            </w:r>
          </w:p>
        </w:tc>
        <w:tc>
          <w:tcPr>
            <w:tcW w:w="1171" w:type="dxa"/>
            <w:tcBorders>
              <w:top w:val="nil"/>
              <w:left w:val="nil"/>
              <w:bottom w:val="nil"/>
              <w:right w:val="nil"/>
            </w:tcBorders>
            <w:shd w:val="clear" w:color="000000" w:fill="FFFFFF"/>
            <w:noWrap/>
            <w:vAlign w:val="center"/>
            <w:hideMark/>
          </w:tcPr>
          <w:p w14:paraId="737B4EB7"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0" w:type="dxa"/>
            <w:tcBorders>
              <w:top w:val="nil"/>
              <w:left w:val="nil"/>
              <w:bottom w:val="nil"/>
              <w:right w:val="nil"/>
            </w:tcBorders>
            <w:shd w:val="clear" w:color="000000" w:fill="FFFFFF"/>
            <w:noWrap/>
            <w:vAlign w:val="center"/>
            <w:hideMark/>
          </w:tcPr>
          <w:p w14:paraId="5C87BBCA"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(20)</w:t>
            </w:r>
          </w:p>
        </w:tc>
        <w:tc>
          <w:tcPr>
            <w:tcW w:w="1171" w:type="dxa"/>
            <w:tcBorders>
              <w:top w:val="nil"/>
              <w:left w:val="nil"/>
              <w:bottom w:val="nil"/>
              <w:right w:val="nil"/>
            </w:tcBorders>
            <w:shd w:val="clear" w:color="000000" w:fill="FFE1E1"/>
            <w:noWrap/>
            <w:vAlign w:val="center"/>
            <w:hideMark/>
          </w:tcPr>
          <w:p w14:paraId="5E3C1138"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25</w:t>
            </w:r>
          </w:p>
        </w:tc>
        <w:tc>
          <w:tcPr>
            <w:tcW w:w="1170" w:type="dxa"/>
            <w:tcBorders>
              <w:top w:val="nil"/>
              <w:left w:val="nil"/>
              <w:bottom w:val="nil"/>
              <w:right w:val="nil"/>
            </w:tcBorders>
            <w:shd w:val="clear" w:color="000000" w:fill="FFFFFF"/>
            <w:noWrap/>
            <w:vAlign w:val="center"/>
            <w:hideMark/>
          </w:tcPr>
          <w:p w14:paraId="416D6D35"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w:t>
            </w:r>
          </w:p>
        </w:tc>
        <w:tc>
          <w:tcPr>
            <w:tcW w:w="1171" w:type="dxa"/>
            <w:tcBorders>
              <w:top w:val="nil"/>
              <w:left w:val="nil"/>
              <w:bottom w:val="nil"/>
              <w:right w:val="nil"/>
            </w:tcBorders>
            <w:shd w:val="clear" w:color="000000" w:fill="FFFFFF"/>
            <w:noWrap/>
            <w:vAlign w:val="center"/>
            <w:hideMark/>
          </w:tcPr>
          <w:p w14:paraId="1E035842" w14:textId="77777777" w:rsidR="00ED6B17" w:rsidRPr="00ED6B17" w:rsidRDefault="00ED6B17" w:rsidP="00585A67">
            <w:pPr>
              <w:spacing w:line="240" w:lineRule="auto"/>
              <w:jc w:val="right"/>
              <w:rPr>
                <w:rFonts w:ascii="Calibri" w:eastAsia="Times New Roman" w:hAnsi="Calibri" w:cs="Calibri"/>
                <w:color w:val="000000"/>
                <w:lang w:eastAsia="en-GB"/>
              </w:rPr>
            </w:pPr>
            <w:r w:rsidRPr="00ED6B17">
              <w:rPr>
                <w:rFonts w:ascii="Calibri" w:eastAsia="Times New Roman" w:hAnsi="Calibri" w:cs="Calibri"/>
                <w:color w:val="000000"/>
                <w:lang w:eastAsia="en-GB"/>
              </w:rPr>
              <w:t>(25)</w:t>
            </w:r>
          </w:p>
        </w:tc>
        <w:tc>
          <w:tcPr>
            <w:tcW w:w="1171" w:type="dxa"/>
            <w:tcBorders>
              <w:top w:val="nil"/>
              <w:left w:val="nil"/>
              <w:bottom w:val="nil"/>
              <w:right w:val="nil"/>
            </w:tcBorders>
            <w:shd w:val="clear" w:color="000000" w:fill="FFE1E1"/>
            <w:noWrap/>
            <w:vAlign w:val="center"/>
            <w:hideMark/>
          </w:tcPr>
          <w:p w14:paraId="015D92D4"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w:t>
            </w:r>
          </w:p>
        </w:tc>
      </w:tr>
      <w:tr w:rsidR="00585A67" w:rsidRPr="00ED6B17" w14:paraId="5F82E8EC" w14:textId="77777777" w:rsidTr="00277F6E">
        <w:trPr>
          <w:trHeight w:val="316"/>
        </w:trPr>
        <w:tc>
          <w:tcPr>
            <w:tcW w:w="2154" w:type="dxa"/>
            <w:tcBorders>
              <w:top w:val="single" w:sz="4" w:space="0" w:color="auto"/>
              <w:left w:val="nil"/>
              <w:bottom w:val="single" w:sz="4" w:space="0" w:color="auto"/>
              <w:right w:val="nil"/>
            </w:tcBorders>
            <w:shd w:val="clear" w:color="000000" w:fill="FFFFFF"/>
            <w:noWrap/>
            <w:vAlign w:val="center"/>
            <w:hideMark/>
          </w:tcPr>
          <w:p w14:paraId="291F7009" w14:textId="77777777" w:rsidR="00ED6B17" w:rsidRPr="00ED6B17" w:rsidRDefault="00ED6B17" w:rsidP="00ED6B17">
            <w:pPr>
              <w:spacing w:line="240" w:lineRule="auto"/>
              <w:jc w:val="left"/>
              <w:rPr>
                <w:rFonts w:ascii="Calibri" w:eastAsia="Times New Roman" w:hAnsi="Calibri" w:cs="Calibri"/>
                <w:b/>
                <w:bCs/>
                <w:lang w:eastAsia="en-GB"/>
              </w:rPr>
            </w:pPr>
            <w:r w:rsidRPr="00ED6B17">
              <w:rPr>
                <w:rFonts w:ascii="Calibri" w:eastAsia="Times New Roman" w:hAnsi="Calibri" w:cs="Calibri"/>
                <w:b/>
                <w:bCs/>
                <w:lang w:eastAsia="en-GB"/>
              </w:rPr>
              <w:t>Total General Fund and Earmarked Reserves</w:t>
            </w:r>
          </w:p>
        </w:tc>
        <w:tc>
          <w:tcPr>
            <w:tcW w:w="1170" w:type="dxa"/>
            <w:tcBorders>
              <w:top w:val="single" w:sz="4" w:space="0" w:color="auto"/>
              <w:left w:val="nil"/>
              <w:bottom w:val="single" w:sz="4" w:space="0" w:color="auto"/>
              <w:right w:val="nil"/>
            </w:tcBorders>
            <w:shd w:val="clear" w:color="000000" w:fill="FFE1E1"/>
            <w:noWrap/>
            <w:vAlign w:val="center"/>
            <w:hideMark/>
          </w:tcPr>
          <w:p w14:paraId="3619CD88" w14:textId="77777777"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2,035</w:t>
            </w:r>
          </w:p>
        </w:tc>
        <w:tc>
          <w:tcPr>
            <w:tcW w:w="1171" w:type="dxa"/>
            <w:tcBorders>
              <w:top w:val="single" w:sz="4" w:space="0" w:color="auto"/>
              <w:left w:val="nil"/>
              <w:bottom w:val="single" w:sz="4" w:space="0" w:color="auto"/>
              <w:right w:val="nil"/>
            </w:tcBorders>
            <w:shd w:val="clear" w:color="000000" w:fill="FFFFFF"/>
            <w:noWrap/>
            <w:vAlign w:val="center"/>
            <w:hideMark/>
          </w:tcPr>
          <w:p w14:paraId="16EEA018" w14:textId="77777777"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675</w:t>
            </w:r>
          </w:p>
        </w:tc>
        <w:tc>
          <w:tcPr>
            <w:tcW w:w="1170" w:type="dxa"/>
            <w:tcBorders>
              <w:top w:val="single" w:sz="4" w:space="0" w:color="000000"/>
              <w:left w:val="nil"/>
              <w:bottom w:val="single" w:sz="4" w:space="0" w:color="000000"/>
              <w:right w:val="nil"/>
            </w:tcBorders>
            <w:shd w:val="clear" w:color="000000" w:fill="FFFFFF"/>
            <w:noWrap/>
            <w:vAlign w:val="center"/>
            <w:hideMark/>
          </w:tcPr>
          <w:p w14:paraId="5B806959" w14:textId="77777777" w:rsidR="00ED6B17" w:rsidRPr="00ED6B17" w:rsidRDefault="00ED6B17" w:rsidP="00585A67">
            <w:pPr>
              <w:spacing w:line="240" w:lineRule="auto"/>
              <w:jc w:val="right"/>
              <w:rPr>
                <w:rFonts w:ascii="Calibri" w:eastAsia="Times New Roman" w:hAnsi="Calibri" w:cs="Calibri"/>
                <w:b/>
                <w:bCs/>
                <w:color w:val="000000"/>
                <w:lang w:eastAsia="en-GB"/>
              </w:rPr>
            </w:pPr>
            <w:r w:rsidRPr="00ED6B17">
              <w:rPr>
                <w:rFonts w:ascii="Calibri" w:eastAsia="Times New Roman" w:hAnsi="Calibri" w:cs="Calibri"/>
                <w:b/>
                <w:bCs/>
                <w:color w:val="000000"/>
                <w:lang w:eastAsia="en-GB"/>
              </w:rPr>
              <w:t>(84)</w:t>
            </w:r>
          </w:p>
        </w:tc>
        <w:tc>
          <w:tcPr>
            <w:tcW w:w="1171" w:type="dxa"/>
            <w:tcBorders>
              <w:top w:val="single" w:sz="4" w:space="0" w:color="auto"/>
              <w:left w:val="nil"/>
              <w:bottom w:val="single" w:sz="4" w:space="0" w:color="auto"/>
              <w:right w:val="nil"/>
            </w:tcBorders>
            <w:shd w:val="clear" w:color="000000" w:fill="FFE1E1"/>
            <w:noWrap/>
            <w:vAlign w:val="center"/>
            <w:hideMark/>
          </w:tcPr>
          <w:p w14:paraId="685650C0" w14:textId="77777777"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2,626</w:t>
            </w:r>
          </w:p>
        </w:tc>
        <w:tc>
          <w:tcPr>
            <w:tcW w:w="1170" w:type="dxa"/>
            <w:tcBorders>
              <w:top w:val="single" w:sz="4" w:space="0" w:color="auto"/>
              <w:left w:val="nil"/>
              <w:bottom w:val="single" w:sz="4" w:space="0" w:color="auto"/>
              <w:right w:val="nil"/>
            </w:tcBorders>
            <w:shd w:val="clear" w:color="000000" w:fill="FFFFFF"/>
            <w:noWrap/>
            <w:vAlign w:val="center"/>
            <w:hideMark/>
          </w:tcPr>
          <w:p w14:paraId="5264B249" w14:textId="77777777"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235</w:t>
            </w:r>
          </w:p>
        </w:tc>
        <w:tc>
          <w:tcPr>
            <w:tcW w:w="1171" w:type="dxa"/>
            <w:tcBorders>
              <w:top w:val="single" w:sz="4" w:space="0" w:color="auto"/>
              <w:left w:val="nil"/>
              <w:bottom w:val="single" w:sz="4" w:space="0" w:color="auto"/>
              <w:right w:val="nil"/>
            </w:tcBorders>
            <w:shd w:val="clear" w:color="000000" w:fill="FFFFFF"/>
            <w:noWrap/>
            <w:vAlign w:val="center"/>
            <w:hideMark/>
          </w:tcPr>
          <w:p w14:paraId="7C1880DE" w14:textId="77777777"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(172)</w:t>
            </w:r>
          </w:p>
        </w:tc>
        <w:tc>
          <w:tcPr>
            <w:tcW w:w="1171" w:type="dxa"/>
            <w:tcBorders>
              <w:top w:val="single" w:sz="4" w:space="0" w:color="auto"/>
              <w:left w:val="nil"/>
              <w:bottom w:val="single" w:sz="4" w:space="0" w:color="auto"/>
              <w:right w:val="nil"/>
            </w:tcBorders>
            <w:shd w:val="clear" w:color="000000" w:fill="FFE1E1"/>
            <w:noWrap/>
            <w:vAlign w:val="center"/>
            <w:hideMark/>
          </w:tcPr>
          <w:p w14:paraId="5314C97F" w14:textId="18B02210" w:rsidR="00ED6B17" w:rsidRPr="00ED6B17" w:rsidRDefault="00ED6B17" w:rsidP="00585A67">
            <w:pPr>
              <w:spacing w:line="240" w:lineRule="auto"/>
              <w:jc w:val="right"/>
              <w:rPr>
                <w:rFonts w:ascii="Calibri" w:eastAsia="Times New Roman" w:hAnsi="Calibri" w:cs="Calibri"/>
                <w:b/>
                <w:bCs/>
                <w:lang w:eastAsia="en-GB"/>
              </w:rPr>
            </w:pPr>
            <w:r w:rsidRPr="00ED6B17">
              <w:rPr>
                <w:rFonts w:ascii="Calibri" w:eastAsia="Times New Roman" w:hAnsi="Calibri" w:cs="Calibri"/>
                <w:b/>
                <w:bCs/>
                <w:lang w:eastAsia="en-GB"/>
              </w:rPr>
              <w:t>2,689</w:t>
            </w:r>
          </w:p>
        </w:tc>
      </w:tr>
    </w:tbl>
    <w:p w14:paraId="55ADABF0" w14:textId="77777777" w:rsidR="005B52EC" w:rsidRDefault="005B52EC" w:rsidP="00F40B08">
      <w:pPr>
        <w:rPr>
          <w:rFonts w:cs="Arial"/>
        </w:rPr>
      </w:pPr>
    </w:p>
    <w:p w14:paraId="29146536" w14:textId="77777777" w:rsidR="00ED7FB0" w:rsidRDefault="00ED7FB0" w:rsidP="00F40B08">
      <w:pPr>
        <w:rPr>
          <w:rFonts w:cs="Arial"/>
        </w:rPr>
      </w:pPr>
    </w:p>
    <w:p w14:paraId="34B2FB1B" w14:textId="77777777" w:rsidR="00ED7FB0" w:rsidRDefault="00ED7FB0" w:rsidP="00F40B08">
      <w:pPr>
        <w:rPr>
          <w:rFonts w:cs="Arial"/>
        </w:rPr>
      </w:pPr>
    </w:p>
    <w:p w14:paraId="373782DA" w14:textId="77777777" w:rsidR="00ED7FB0" w:rsidRDefault="00ED7FB0" w:rsidP="00F40B08">
      <w:pPr>
        <w:rPr>
          <w:rFonts w:cs="Arial"/>
        </w:rPr>
      </w:pPr>
    </w:p>
    <w:p w14:paraId="11689C7C" w14:textId="77777777" w:rsidR="00ED7FB0" w:rsidRDefault="00ED7FB0" w:rsidP="00F40B08">
      <w:pPr>
        <w:rPr>
          <w:rFonts w:cs="Arial"/>
        </w:rPr>
      </w:pPr>
    </w:p>
    <w:p w14:paraId="67484A26" w14:textId="77777777" w:rsidR="00ED7FB0" w:rsidRDefault="00ED7FB0" w:rsidP="00F40B08">
      <w:pPr>
        <w:rPr>
          <w:rFonts w:cs="Arial"/>
        </w:rPr>
      </w:pPr>
    </w:p>
    <w:p w14:paraId="5F4C9493" w14:textId="77777777" w:rsidR="00ED7FB0" w:rsidRDefault="00ED7FB0" w:rsidP="00F40B08">
      <w:pPr>
        <w:rPr>
          <w:rFonts w:cs="Arial"/>
        </w:rPr>
      </w:pPr>
    </w:p>
    <w:p w14:paraId="706320F7" w14:textId="77777777" w:rsidR="00ED7FB0" w:rsidRDefault="00ED7FB0" w:rsidP="00F40B08">
      <w:pPr>
        <w:rPr>
          <w:rFonts w:cs="Arial"/>
        </w:rPr>
      </w:pPr>
    </w:p>
    <w:p w14:paraId="30F20B3C" w14:textId="77777777" w:rsidR="00ED7FB0" w:rsidRPr="00ED6B17" w:rsidRDefault="00ED7FB0" w:rsidP="00F40B08">
      <w:pPr>
        <w:rPr>
          <w:rFonts w:cs="Arial"/>
        </w:rPr>
      </w:pPr>
    </w:p>
    <w:p w14:paraId="33A38B47" w14:textId="77777777" w:rsidR="007832E0" w:rsidRDefault="0025086C" w:rsidP="002A1ADD">
      <w:pPr>
        <w:pStyle w:val="VAHeadingLevel2"/>
      </w:pPr>
      <w:r w:rsidRPr="006A4726">
        <w:t xml:space="preserve">Note 16.1 Usable </w:t>
      </w:r>
      <w:r w:rsidRPr="00DA34CA">
        <w:t>Reserves</w:t>
      </w:r>
    </w:p>
    <w:p w14:paraId="46773E8F" w14:textId="68A09966" w:rsidR="00436E6D" w:rsidRPr="007832E0" w:rsidRDefault="007832E0" w:rsidP="007832E0">
      <w:r w:rsidRPr="007832E0">
        <w:t>Movements in the Authority’s usable reserves are summarised in the Movement in Reserves Statement.  The nature and purpose of these reserves is set out below:</w:t>
      </w:r>
    </w:p>
    <w:p w14:paraId="2A646F76" w14:textId="625EC461" w:rsidR="00C30DC3" w:rsidRDefault="00C30DC3" w:rsidP="002A1ADD">
      <w:pPr>
        <w:pStyle w:val="VAHeadingLevel2"/>
        <w:rPr>
          <w:rFonts w:eastAsiaTheme="minorHAnsi"/>
        </w:rPr>
      </w:pPr>
    </w:p>
    <w:tbl>
      <w:tblPr>
        <w:tblW w:w="5000" w:type="pct"/>
        <w:tblLook w:val="04A0" w:firstRow="1" w:lastRow="0" w:firstColumn="1" w:lastColumn="0" w:noHBand="0" w:noVBand="1"/>
      </w:tblPr>
      <w:tblGrid>
        <w:gridCol w:w="2489"/>
        <w:gridCol w:w="362"/>
        <w:gridCol w:w="5036"/>
        <w:gridCol w:w="2488"/>
      </w:tblGrid>
      <w:tr w:rsidR="00C30DC3" w:rsidRPr="00C30DC3" w14:paraId="5BA05DE5" w14:textId="77777777" w:rsidTr="009A5CDE">
        <w:trPr>
          <w:divId w:val="1966812425"/>
          <w:trHeight w:val="310"/>
        </w:trPr>
        <w:tc>
          <w:tcPr>
            <w:tcW w:w="1199" w:type="pct"/>
            <w:tcBorders>
              <w:top w:val="nil"/>
              <w:left w:val="nil"/>
              <w:bottom w:val="nil"/>
              <w:right w:val="nil"/>
            </w:tcBorders>
            <w:shd w:val="clear" w:color="000000" w:fill="AB2328"/>
            <w:noWrap/>
            <w:vAlign w:val="bottom"/>
            <w:hideMark/>
          </w:tcPr>
          <w:p w14:paraId="39156F47" w14:textId="66A6DC75" w:rsidR="00C30DC3" w:rsidRPr="00C30DC3" w:rsidRDefault="00C30DC3" w:rsidP="00C30DC3">
            <w:pPr>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174" w:type="pct"/>
            <w:tcBorders>
              <w:top w:val="nil"/>
              <w:left w:val="nil"/>
              <w:bottom w:val="nil"/>
              <w:right w:val="nil"/>
            </w:tcBorders>
            <w:shd w:val="clear" w:color="000000" w:fill="AB2328"/>
            <w:noWrap/>
            <w:vAlign w:val="bottom"/>
            <w:hideMark/>
          </w:tcPr>
          <w:p w14:paraId="065ABE94"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427" w:type="pct"/>
            <w:tcBorders>
              <w:top w:val="nil"/>
              <w:left w:val="nil"/>
              <w:bottom w:val="nil"/>
              <w:right w:val="nil"/>
            </w:tcBorders>
            <w:shd w:val="clear" w:color="000000" w:fill="AB2328"/>
            <w:noWrap/>
            <w:vAlign w:val="bottom"/>
            <w:hideMark/>
          </w:tcPr>
          <w:p w14:paraId="624DE7B0"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199" w:type="pct"/>
            <w:tcBorders>
              <w:top w:val="nil"/>
              <w:left w:val="nil"/>
              <w:bottom w:val="nil"/>
              <w:right w:val="nil"/>
            </w:tcBorders>
            <w:shd w:val="clear" w:color="000000" w:fill="AB2328"/>
            <w:noWrap/>
            <w:vAlign w:val="bottom"/>
            <w:hideMark/>
          </w:tcPr>
          <w:p w14:paraId="61BE466B"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440E5508" w14:textId="77777777" w:rsidTr="009A5CDE">
        <w:trPr>
          <w:divId w:val="1966812425"/>
          <w:trHeight w:val="310"/>
        </w:trPr>
        <w:tc>
          <w:tcPr>
            <w:tcW w:w="1199" w:type="pct"/>
            <w:tcBorders>
              <w:top w:val="nil"/>
              <w:left w:val="nil"/>
              <w:bottom w:val="nil"/>
              <w:right w:val="nil"/>
            </w:tcBorders>
            <w:shd w:val="clear" w:color="000000" w:fill="AB2328"/>
            <w:noWrap/>
            <w:vAlign w:val="bottom"/>
            <w:hideMark/>
          </w:tcPr>
          <w:p w14:paraId="323F110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174" w:type="pct"/>
            <w:tcBorders>
              <w:top w:val="nil"/>
              <w:left w:val="nil"/>
              <w:bottom w:val="nil"/>
              <w:right w:val="nil"/>
            </w:tcBorders>
            <w:shd w:val="clear" w:color="000000" w:fill="AB2328"/>
            <w:noWrap/>
            <w:vAlign w:val="bottom"/>
            <w:hideMark/>
          </w:tcPr>
          <w:p w14:paraId="387D1688"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427" w:type="pct"/>
            <w:tcBorders>
              <w:top w:val="nil"/>
              <w:left w:val="nil"/>
              <w:bottom w:val="nil"/>
              <w:right w:val="nil"/>
            </w:tcBorders>
            <w:shd w:val="clear" w:color="000000" w:fill="AB2328"/>
            <w:noWrap/>
            <w:vAlign w:val="bottom"/>
            <w:hideMark/>
          </w:tcPr>
          <w:p w14:paraId="31D622D8"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199" w:type="pct"/>
            <w:tcBorders>
              <w:top w:val="nil"/>
              <w:left w:val="nil"/>
              <w:bottom w:val="nil"/>
              <w:right w:val="nil"/>
            </w:tcBorders>
            <w:shd w:val="clear" w:color="000000" w:fill="AB2328"/>
            <w:noWrap/>
            <w:vAlign w:val="bottom"/>
            <w:hideMark/>
          </w:tcPr>
          <w:p w14:paraId="7F037E39"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012FBAF6" w14:textId="77777777" w:rsidTr="009A5CDE">
        <w:trPr>
          <w:divId w:val="1966812425"/>
          <w:trHeight w:val="310"/>
        </w:trPr>
        <w:tc>
          <w:tcPr>
            <w:tcW w:w="1199" w:type="pct"/>
            <w:tcBorders>
              <w:top w:val="nil"/>
              <w:left w:val="nil"/>
              <w:bottom w:val="nil"/>
              <w:right w:val="nil"/>
            </w:tcBorders>
            <w:shd w:val="clear" w:color="000000" w:fill="FFFFFF"/>
            <w:noWrap/>
            <w:hideMark/>
          </w:tcPr>
          <w:p w14:paraId="74E0E55A"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(2,000)</w:t>
            </w:r>
          </w:p>
        </w:tc>
        <w:tc>
          <w:tcPr>
            <w:tcW w:w="174" w:type="pct"/>
            <w:tcBorders>
              <w:top w:val="nil"/>
              <w:left w:val="nil"/>
              <w:bottom w:val="nil"/>
              <w:right w:val="nil"/>
            </w:tcBorders>
            <w:shd w:val="clear" w:color="000000" w:fill="FFFFFF"/>
            <w:noWrap/>
            <w:hideMark/>
          </w:tcPr>
          <w:p w14:paraId="72CB988A"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07A7E73D"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General Fund</w:t>
            </w:r>
          </w:p>
        </w:tc>
        <w:tc>
          <w:tcPr>
            <w:tcW w:w="1199" w:type="pct"/>
            <w:tcBorders>
              <w:top w:val="nil"/>
              <w:left w:val="nil"/>
              <w:bottom w:val="nil"/>
              <w:right w:val="nil"/>
            </w:tcBorders>
            <w:shd w:val="clear" w:color="000000" w:fill="FFE1E1"/>
            <w:noWrap/>
            <w:hideMark/>
          </w:tcPr>
          <w:p w14:paraId="4F5EC170"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(2,000)</w:t>
            </w:r>
          </w:p>
        </w:tc>
      </w:tr>
      <w:tr w:rsidR="00C30DC3" w:rsidRPr="00C30DC3" w14:paraId="5AD565D8" w14:textId="77777777" w:rsidTr="009A5CDE">
        <w:trPr>
          <w:divId w:val="1966812425"/>
          <w:trHeight w:val="310"/>
        </w:trPr>
        <w:tc>
          <w:tcPr>
            <w:tcW w:w="1199" w:type="pct"/>
            <w:tcBorders>
              <w:top w:val="nil"/>
              <w:left w:val="nil"/>
              <w:bottom w:val="nil"/>
              <w:right w:val="nil"/>
            </w:tcBorders>
            <w:shd w:val="clear" w:color="000000" w:fill="FFFFFF"/>
            <w:noWrap/>
            <w:hideMark/>
          </w:tcPr>
          <w:p w14:paraId="1F24179B"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c>
          <w:tcPr>
            <w:tcW w:w="174" w:type="pct"/>
            <w:tcBorders>
              <w:top w:val="nil"/>
              <w:left w:val="nil"/>
              <w:bottom w:val="nil"/>
              <w:right w:val="nil"/>
            </w:tcBorders>
            <w:shd w:val="clear" w:color="000000" w:fill="FFFFFF"/>
            <w:noWrap/>
            <w:hideMark/>
          </w:tcPr>
          <w:p w14:paraId="46AA5D8A"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10D3605F"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Section 106 Receipts</w:t>
            </w:r>
          </w:p>
        </w:tc>
        <w:tc>
          <w:tcPr>
            <w:tcW w:w="1199" w:type="pct"/>
            <w:tcBorders>
              <w:top w:val="nil"/>
              <w:left w:val="nil"/>
              <w:bottom w:val="nil"/>
              <w:right w:val="nil"/>
            </w:tcBorders>
            <w:shd w:val="clear" w:color="000000" w:fill="FFE1E1"/>
            <w:noWrap/>
            <w:hideMark/>
          </w:tcPr>
          <w:p w14:paraId="1824E79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0D62589C" w14:textId="77777777" w:rsidTr="009A5CDE">
        <w:trPr>
          <w:divId w:val="1966812425"/>
          <w:trHeight w:val="310"/>
        </w:trPr>
        <w:tc>
          <w:tcPr>
            <w:tcW w:w="1199" w:type="pct"/>
            <w:tcBorders>
              <w:top w:val="nil"/>
              <w:left w:val="nil"/>
              <w:bottom w:val="nil"/>
              <w:right w:val="nil"/>
            </w:tcBorders>
            <w:shd w:val="clear" w:color="000000" w:fill="FFFFFF"/>
            <w:noWrap/>
            <w:hideMark/>
          </w:tcPr>
          <w:p w14:paraId="47B0EF14"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(250)</w:t>
            </w:r>
          </w:p>
        </w:tc>
        <w:tc>
          <w:tcPr>
            <w:tcW w:w="174" w:type="pct"/>
            <w:tcBorders>
              <w:top w:val="nil"/>
              <w:left w:val="nil"/>
              <w:bottom w:val="nil"/>
              <w:right w:val="nil"/>
            </w:tcBorders>
            <w:shd w:val="clear" w:color="000000" w:fill="FFFFFF"/>
            <w:noWrap/>
            <w:hideMark/>
          </w:tcPr>
          <w:p w14:paraId="69D0A369"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0419E87C"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Insurance Fund External</w:t>
            </w:r>
          </w:p>
        </w:tc>
        <w:tc>
          <w:tcPr>
            <w:tcW w:w="1199" w:type="pct"/>
            <w:tcBorders>
              <w:top w:val="nil"/>
              <w:left w:val="nil"/>
              <w:bottom w:val="nil"/>
              <w:right w:val="nil"/>
            </w:tcBorders>
            <w:shd w:val="clear" w:color="000000" w:fill="FFE1E1"/>
            <w:noWrap/>
            <w:hideMark/>
          </w:tcPr>
          <w:p w14:paraId="70F8A1C1"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(250)</w:t>
            </w:r>
          </w:p>
        </w:tc>
      </w:tr>
      <w:tr w:rsidR="00C30DC3" w:rsidRPr="00C30DC3" w14:paraId="1BC8A8DC" w14:textId="77777777" w:rsidTr="009A5CDE">
        <w:trPr>
          <w:divId w:val="1966812425"/>
          <w:trHeight w:val="310"/>
        </w:trPr>
        <w:tc>
          <w:tcPr>
            <w:tcW w:w="1199" w:type="pct"/>
            <w:tcBorders>
              <w:top w:val="nil"/>
              <w:left w:val="nil"/>
              <w:bottom w:val="nil"/>
              <w:right w:val="nil"/>
            </w:tcBorders>
            <w:shd w:val="clear" w:color="000000" w:fill="FFFFFF"/>
            <w:noWrap/>
            <w:hideMark/>
          </w:tcPr>
          <w:p w14:paraId="10EE16F1"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color w:val="000000"/>
                <w:lang w:eastAsia="en-GB"/>
              </w:rPr>
              <w:t>(967)</w:t>
            </w:r>
          </w:p>
        </w:tc>
        <w:tc>
          <w:tcPr>
            <w:tcW w:w="174" w:type="pct"/>
            <w:tcBorders>
              <w:top w:val="nil"/>
              <w:left w:val="nil"/>
              <w:bottom w:val="nil"/>
              <w:right w:val="nil"/>
            </w:tcBorders>
            <w:shd w:val="clear" w:color="000000" w:fill="FFFFFF"/>
            <w:noWrap/>
            <w:hideMark/>
          </w:tcPr>
          <w:p w14:paraId="18F2CCDB"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35A9B4F7" w14:textId="02ACAEA7" w:rsidR="00C30DC3" w:rsidRPr="00C30DC3" w:rsidRDefault="004D02EB" w:rsidP="00C30DC3">
            <w:pPr>
              <w:spacing w:line="240" w:lineRule="auto"/>
              <w:jc w:val="left"/>
              <w:rPr>
                <w:rFonts w:ascii="Calibri" w:eastAsia="Times New Roman" w:hAnsi="Calibri" w:cs="Calibri"/>
                <w:lang w:eastAsia="en-GB"/>
              </w:rPr>
            </w:pPr>
            <w:r w:rsidRPr="004D02EB">
              <w:rPr>
                <w:rFonts w:ascii="Calibri" w:eastAsia="Times New Roman" w:hAnsi="Calibri" w:cs="Calibri"/>
                <w:color w:val="000000"/>
                <w:lang w:eastAsia="en-GB"/>
              </w:rPr>
              <w:t>Smoothing Reserve</w:t>
            </w:r>
          </w:p>
        </w:tc>
        <w:tc>
          <w:tcPr>
            <w:tcW w:w="1199" w:type="pct"/>
            <w:tcBorders>
              <w:top w:val="nil"/>
              <w:left w:val="nil"/>
              <w:bottom w:val="nil"/>
              <w:right w:val="nil"/>
            </w:tcBorders>
            <w:shd w:val="clear" w:color="000000" w:fill="FFE1E1"/>
            <w:noWrap/>
            <w:hideMark/>
          </w:tcPr>
          <w:p w14:paraId="4A90458A"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(1,197)</w:t>
            </w:r>
          </w:p>
        </w:tc>
      </w:tr>
      <w:tr w:rsidR="00C30DC3" w:rsidRPr="00C30DC3" w14:paraId="7B9C4194" w14:textId="77777777" w:rsidTr="009A5CDE">
        <w:trPr>
          <w:divId w:val="1966812425"/>
          <w:trHeight w:val="310"/>
        </w:trPr>
        <w:tc>
          <w:tcPr>
            <w:tcW w:w="1199" w:type="pct"/>
            <w:tcBorders>
              <w:top w:val="nil"/>
              <w:left w:val="nil"/>
              <w:bottom w:val="nil"/>
              <w:right w:val="nil"/>
            </w:tcBorders>
            <w:shd w:val="clear" w:color="000000" w:fill="FFFFFF"/>
            <w:noWrap/>
            <w:hideMark/>
          </w:tcPr>
          <w:p w14:paraId="7C02BEB5"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color w:val="000000"/>
                <w:lang w:eastAsia="en-GB"/>
              </w:rPr>
              <w:t>(25)</w:t>
            </w:r>
          </w:p>
        </w:tc>
        <w:tc>
          <w:tcPr>
            <w:tcW w:w="174" w:type="pct"/>
            <w:tcBorders>
              <w:top w:val="nil"/>
              <w:left w:val="nil"/>
              <w:bottom w:val="nil"/>
              <w:right w:val="nil"/>
            </w:tcBorders>
            <w:shd w:val="clear" w:color="000000" w:fill="FFFFFF"/>
            <w:noWrap/>
            <w:hideMark/>
          </w:tcPr>
          <w:p w14:paraId="105B2E34"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15082B87"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Carry Forwards</w:t>
            </w:r>
          </w:p>
        </w:tc>
        <w:tc>
          <w:tcPr>
            <w:tcW w:w="1199" w:type="pct"/>
            <w:tcBorders>
              <w:top w:val="nil"/>
              <w:left w:val="nil"/>
              <w:bottom w:val="nil"/>
              <w:right w:val="nil"/>
            </w:tcBorders>
            <w:shd w:val="clear" w:color="000000" w:fill="FFE1E1"/>
            <w:noWrap/>
            <w:hideMark/>
          </w:tcPr>
          <w:p w14:paraId="757A9B14"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4978EDC3" w14:textId="77777777" w:rsidTr="009A5CDE">
        <w:trPr>
          <w:divId w:val="1966812425"/>
          <w:trHeight w:val="310"/>
        </w:trPr>
        <w:tc>
          <w:tcPr>
            <w:tcW w:w="1199" w:type="pct"/>
            <w:tcBorders>
              <w:top w:val="nil"/>
              <w:left w:val="nil"/>
              <w:bottom w:val="nil"/>
              <w:right w:val="nil"/>
            </w:tcBorders>
            <w:shd w:val="clear" w:color="000000" w:fill="FFFFFF"/>
            <w:noWrap/>
            <w:hideMark/>
          </w:tcPr>
          <w:p w14:paraId="348CB996"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color w:val="000000"/>
                <w:lang w:eastAsia="en-GB"/>
              </w:rPr>
              <w:t>(1,000)</w:t>
            </w:r>
          </w:p>
        </w:tc>
        <w:tc>
          <w:tcPr>
            <w:tcW w:w="174" w:type="pct"/>
            <w:tcBorders>
              <w:top w:val="nil"/>
              <w:left w:val="nil"/>
              <w:bottom w:val="nil"/>
              <w:right w:val="nil"/>
            </w:tcBorders>
            <w:shd w:val="clear" w:color="000000" w:fill="FFFFFF"/>
            <w:noWrap/>
            <w:hideMark/>
          </w:tcPr>
          <w:p w14:paraId="15B87BD9"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6173EAD4"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Transformation Reserve</w:t>
            </w:r>
          </w:p>
        </w:tc>
        <w:tc>
          <w:tcPr>
            <w:tcW w:w="1199" w:type="pct"/>
            <w:tcBorders>
              <w:top w:val="nil"/>
              <w:left w:val="nil"/>
              <w:bottom w:val="nil"/>
              <w:right w:val="nil"/>
            </w:tcBorders>
            <w:shd w:val="clear" w:color="000000" w:fill="FFE1E1"/>
            <w:noWrap/>
            <w:hideMark/>
          </w:tcPr>
          <w:p w14:paraId="3704AD4B"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(853)</w:t>
            </w:r>
          </w:p>
        </w:tc>
      </w:tr>
      <w:tr w:rsidR="00C30DC3" w:rsidRPr="00C30DC3" w14:paraId="33345E47" w14:textId="77777777" w:rsidTr="009A5CDE">
        <w:trPr>
          <w:divId w:val="1966812425"/>
          <w:trHeight w:val="310"/>
        </w:trPr>
        <w:tc>
          <w:tcPr>
            <w:tcW w:w="1199" w:type="pct"/>
            <w:tcBorders>
              <w:top w:val="nil"/>
              <w:left w:val="nil"/>
              <w:bottom w:val="nil"/>
              <w:right w:val="nil"/>
            </w:tcBorders>
            <w:shd w:val="clear" w:color="000000" w:fill="FFFFFF"/>
            <w:noWrap/>
            <w:hideMark/>
          </w:tcPr>
          <w:p w14:paraId="3F4631AC"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color w:val="000000"/>
                <w:lang w:eastAsia="en-GB"/>
              </w:rPr>
              <w:t>(314)</w:t>
            </w:r>
          </w:p>
        </w:tc>
        <w:tc>
          <w:tcPr>
            <w:tcW w:w="174" w:type="pct"/>
            <w:tcBorders>
              <w:top w:val="nil"/>
              <w:left w:val="nil"/>
              <w:bottom w:val="nil"/>
              <w:right w:val="nil"/>
            </w:tcBorders>
            <w:shd w:val="clear" w:color="000000" w:fill="FFFFFF"/>
            <w:noWrap/>
            <w:hideMark/>
          </w:tcPr>
          <w:p w14:paraId="02EC798A"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44FF65BE"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Capital</w:t>
            </w:r>
          </w:p>
        </w:tc>
        <w:tc>
          <w:tcPr>
            <w:tcW w:w="1199" w:type="pct"/>
            <w:tcBorders>
              <w:top w:val="nil"/>
              <w:left w:val="nil"/>
              <w:bottom w:val="nil"/>
              <w:right w:val="nil"/>
            </w:tcBorders>
            <w:shd w:val="clear" w:color="000000" w:fill="FFE1E1"/>
            <w:noWrap/>
            <w:hideMark/>
          </w:tcPr>
          <w:p w14:paraId="14EF163A"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(314)</w:t>
            </w:r>
          </w:p>
        </w:tc>
      </w:tr>
      <w:tr w:rsidR="00C30DC3" w:rsidRPr="00C30DC3" w14:paraId="259FFAD2" w14:textId="77777777" w:rsidTr="009A5CDE">
        <w:trPr>
          <w:divId w:val="1966812425"/>
          <w:trHeight w:val="310"/>
        </w:trPr>
        <w:tc>
          <w:tcPr>
            <w:tcW w:w="1199" w:type="pct"/>
            <w:tcBorders>
              <w:top w:val="nil"/>
              <w:left w:val="nil"/>
              <w:bottom w:val="nil"/>
              <w:right w:val="nil"/>
            </w:tcBorders>
            <w:shd w:val="clear" w:color="000000" w:fill="FFFFFF"/>
            <w:noWrap/>
            <w:hideMark/>
          </w:tcPr>
          <w:p w14:paraId="7B118DE6"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color w:val="000000"/>
                <w:lang w:eastAsia="en-GB"/>
              </w:rPr>
              <w:t>(70)</w:t>
            </w:r>
          </w:p>
        </w:tc>
        <w:tc>
          <w:tcPr>
            <w:tcW w:w="174" w:type="pct"/>
            <w:tcBorders>
              <w:top w:val="nil"/>
              <w:left w:val="nil"/>
              <w:bottom w:val="nil"/>
              <w:right w:val="nil"/>
            </w:tcBorders>
            <w:shd w:val="clear" w:color="000000" w:fill="FFFFFF"/>
            <w:noWrap/>
            <w:hideMark/>
          </w:tcPr>
          <w:p w14:paraId="6B7DB507"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5096ACC7"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Equipment Reserve</w:t>
            </w:r>
          </w:p>
        </w:tc>
        <w:tc>
          <w:tcPr>
            <w:tcW w:w="1199" w:type="pct"/>
            <w:tcBorders>
              <w:top w:val="nil"/>
              <w:left w:val="nil"/>
              <w:bottom w:val="nil"/>
              <w:right w:val="nil"/>
            </w:tcBorders>
            <w:shd w:val="clear" w:color="000000" w:fill="FFE1E1"/>
            <w:noWrap/>
            <w:hideMark/>
          </w:tcPr>
          <w:p w14:paraId="3F6F230A"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(75)</w:t>
            </w:r>
          </w:p>
        </w:tc>
      </w:tr>
      <w:tr w:rsidR="00C30DC3" w:rsidRPr="00C30DC3" w14:paraId="6E70890F" w14:textId="77777777" w:rsidTr="009A5CDE">
        <w:trPr>
          <w:divId w:val="1966812425"/>
          <w:trHeight w:val="310"/>
        </w:trPr>
        <w:tc>
          <w:tcPr>
            <w:tcW w:w="1199" w:type="pct"/>
            <w:tcBorders>
              <w:top w:val="single" w:sz="4" w:space="0" w:color="auto"/>
              <w:left w:val="nil"/>
              <w:bottom w:val="single" w:sz="4" w:space="0" w:color="auto"/>
              <w:right w:val="nil"/>
            </w:tcBorders>
            <w:shd w:val="clear" w:color="000000" w:fill="FFFFFF"/>
            <w:noWrap/>
            <w:hideMark/>
          </w:tcPr>
          <w:p w14:paraId="05660902"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(4,626)</w:t>
            </w:r>
          </w:p>
        </w:tc>
        <w:tc>
          <w:tcPr>
            <w:tcW w:w="174" w:type="pct"/>
            <w:tcBorders>
              <w:top w:val="single" w:sz="4" w:space="0" w:color="auto"/>
              <w:left w:val="nil"/>
              <w:bottom w:val="single" w:sz="4" w:space="0" w:color="auto"/>
              <w:right w:val="nil"/>
            </w:tcBorders>
            <w:shd w:val="clear" w:color="000000" w:fill="FFFFFF"/>
            <w:noWrap/>
            <w:hideMark/>
          </w:tcPr>
          <w:p w14:paraId="3674467A"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single" w:sz="4" w:space="0" w:color="auto"/>
              <w:left w:val="nil"/>
              <w:bottom w:val="single" w:sz="4" w:space="0" w:color="auto"/>
              <w:right w:val="nil"/>
            </w:tcBorders>
            <w:shd w:val="clear" w:color="000000" w:fill="FFFFFF"/>
            <w:hideMark/>
          </w:tcPr>
          <w:p w14:paraId="25C08B5E"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General Fund + Earmarked Reserves</w:t>
            </w:r>
          </w:p>
        </w:tc>
        <w:tc>
          <w:tcPr>
            <w:tcW w:w="1199" w:type="pct"/>
            <w:tcBorders>
              <w:top w:val="single" w:sz="4" w:space="0" w:color="auto"/>
              <w:left w:val="nil"/>
              <w:bottom w:val="single" w:sz="4" w:space="0" w:color="auto"/>
              <w:right w:val="nil"/>
            </w:tcBorders>
            <w:shd w:val="clear" w:color="000000" w:fill="FFE1E1"/>
            <w:noWrap/>
            <w:hideMark/>
          </w:tcPr>
          <w:p w14:paraId="66AF4ED7"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(4,689)</w:t>
            </w:r>
          </w:p>
        </w:tc>
      </w:tr>
      <w:tr w:rsidR="00C30DC3" w:rsidRPr="00C30DC3" w14:paraId="2F13D695" w14:textId="77777777" w:rsidTr="009A5CDE">
        <w:trPr>
          <w:divId w:val="1966812425"/>
          <w:trHeight w:val="310"/>
        </w:trPr>
        <w:tc>
          <w:tcPr>
            <w:tcW w:w="1199" w:type="pct"/>
            <w:tcBorders>
              <w:top w:val="nil"/>
              <w:left w:val="nil"/>
              <w:bottom w:val="nil"/>
              <w:right w:val="nil"/>
            </w:tcBorders>
            <w:shd w:val="clear" w:color="000000" w:fill="FFFFFF"/>
            <w:noWrap/>
            <w:hideMark/>
          </w:tcPr>
          <w:p w14:paraId="6E47076C"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174" w:type="pct"/>
            <w:tcBorders>
              <w:top w:val="nil"/>
              <w:left w:val="nil"/>
              <w:bottom w:val="nil"/>
              <w:right w:val="nil"/>
            </w:tcBorders>
            <w:shd w:val="clear" w:color="000000" w:fill="FFFFFF"/>
            <w:noWrap/>
            <w:hideMark/>
          </w:tcPr>
          <w:p w14:paraId="35F4A78E"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nil"/>
              <w:left w:val="nil"/>
              <w:bottom w:val="nil"/>
              <w:right w:val="nil"/>
            </w:tcBorders>
            <w:shd w:val="clear" w:color="000000" w:fill="FFFFFF"/>
            <w:hideMark/>
          </w:tcPr>
          <w:p w14:paraId="05CCCD07"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1199" w:type="pct"/>
            <w:tcBorders>
              <w:top w:val="nil"/>
              <w:left w:val="nil"/>
              <w:bottom w:val="nil"/>
              <w:right w:val="nil"/>
            </w:tcBorders>
            <w:shd w:val="clear" w:color="000000" w:fill="FFE1E1"/>
            <w:noWrap/>
            <w:hideMark/>
          </w:tcPr>
          <w:p w14:paraId="1CE2423D"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r>
      <w:tr w:rsidR="00C30DC3" w:rsidRPr="00C30DC3" w14:paraId="0AD5BC7A" w14:textId="77777777" w:rsidTr="009A5CDE">
        <w:trPr>
          <w:divId w:val="1966812425"/>
          <w:trHeight w:val="310"/>
        </w:trPr>
        <w:tc>
          <w:tcPr>
            <w:tcW w:w="1199" w:type="pct"/>
            <w:tcBorders>
              <w:top w:val="nil"/>
              <w:left w:val="nil"/>
              <w:bottom w:val="nil"/>
              <w:right w:val="nil"/>
            </w:tcBorders>
            <w:shd w:val="clear" w:color="000000" w:fill="FFFFFF"/>
            <w:noWrap/>
            <w:hideMark/>
          </w:tcPr>
          <w:p w14:paraId="271BE35A"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(418)</w:t>
            </w:r>
          </w:p>
        </w:tc>
        <w:tc>
          <w:tcPr>
            <w:tcW w:w="174" w:type="pct"/>
            <w:tcBorders>
              <w:top w:val="nil"/>
              <w:left w:val="nil"/>
              <w:bottom w:val="nil"/>
              <w:right w:val="nil"/>
            </w:tcBorders>
            <w:shd w:val="clear" w:color="000000" w:fill="FFFFFF"/>
            <w:noWrap/>
            <w:hideMark/>
          </w:tcPr>
          <w:p w14:paraId="73EDC9A3"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hideMark/>
          </w:tcPr>
          <w:p w14:paraId="045D592C"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Capital Grants Unapplied Account</w:t>
            </w:r>
          </w:p>
        </w:tc>
        <w:tc>
          <w:tcPr>
            <w:tcW w:w="1199" w:type="pct"/>
            <w:tcBorders>
              <w:top w:val="nil"/>
              <w:left w:val="nil"/>
              <w:bottom w:val="nil"/>
              <w:right w:val="nil"/>
            </w:tcBorders>
            <w:shd w:val="clear" w:color="000000" w:fill="FFE1E1"/>
            <w:noWrap/>
            <w:hideMark/>
          </w:tcPr>
          <w:p w14:paraId="0C329047"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(418)</w:t>
            </w:r>
          </w:p>
        </w:tc>
      </w:tr>
      <w:tr w:rsidR="00C30DC3" w:rsidRPr="00C30DC3" w14:paraId="0AF07269" w14:textId="77777777" w:rsidTr="009A5CDE">
        <w:trPr>
          <w:divId w:val="1966812425"/>
          <w:trHeight w:val="315"/>
        </w:trPr>
        <w:tc>
          <w:tcPr>
            <w:tcW w:w="1199" w:type="pct"/>
            <w:tcBorders>
              <w:top w:val="single" w:sz="4" w:space="0" w:color="auto"/>
              <w:left w:val="nil"/>
              <w:bottom w:val="single" w:sz="4" w:space="0" w:color="auto"/>
              <w:right w:val="nil"/>
            </w:tcBorders>
            <w:shd w:val="clear" w:color="000000" w:fill="FFFFFF"/>
            <w:noWrap/>
            <w:hideMark/>
          </w:tcPr>
          <w:p w14:paraId="44AC4F24"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(418)</w:t>
            </w:r>
          </w:p>
        </w:tc>
        <w:tc>
          <w:tcPr>
            <w:tcW w:w="174" w:type="pct"/>
            <w:tcBorders>
              <w:top w:val="single" w:sz="4" w:space="0" w:color="auto"/>
              <w:left w:val="nil"/>
              <w:bottom w:val="single" w:sz="4" w:space="0" w:color="auto"/>
              <w:right w:val="nil"/>
            </w:tcBorders>
            <w:shd w:val="clear" w:color="000000" w:fill="FFFFFF"/>
            <w:noWrap/>
            <w:hideMark/>
          </w:tcPr>
          <w:p w14:paraId="2164E21C"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single" w:sz="4" w:space="0" w:color="auto"/>
              <w:left w:val="nil"/>
              <w:bottom w:val="single" w:sz="4" w:space="0" w:color="auto"/>
              <w:right w:val="nil"/>
            </w:tcBorders>
            <w:shd w:val="clear" w:color="000000" w:fill="FFFFFF"/>
            <w:hideMark/>
          </w:tcPr>
          <w:p w14:paraId="36431155"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Capital Grants Unapplied Account</w:t>
            </w:r>
          </w:p>
        </w:tc>
        <w:tc>
          <w:tcPr>
            <w:tcW w:w="1199" w:type="pct"/>
            <w:tcBorders>
              <w:top w:val="single" w:sz="4" w:space="0" w:color="auto"/>
              <w:left w:val="nil"/>
              <w:bottom w:val="single" w:sz="4" w:space="0" w:color="auto"/>
              <w:right w:val="nil"/>
            </w:tcBorders>
            <w:shd w:val="clear" w:color="000000" w:fill="FFE1E1"/>
            <w:noWrap/>
            <w:hideMark/>
          </w:tcPr>
          <w:p w14:paraId="45FCB675"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(418)</w:t>
            </w:r>
          </w:p>
        </w:tc>
      </w:tr>
      <w:tr w:rsidR="00C30DC3" w:rsidRPr="00C30DC3" w14:paraId="15C6C9F4" w14:textId="77777777" w:rsidTr="009A5CDE">
        <w:trPr>
          <w:divId w:val="1966812425"/>
          <w:trHeight w:val="310"/>
        </w:trPr>
        <w:tc>
          <w:tcPr>
            <w:tcW w:w="1199" w:type="pct"/>
            <w:tcBorders>
              <w:top w:val="nil"/>
              <w:left w:val="nil"/>
              <w:bottom w:val="nil"/>
              <w:right w:val="nil"/>
            </w:tcBorders>
            <w:shd w:val="clear" w:color="000000" w:fill="FFFFFF"/>
            <w:noWrap/>
            <w:hideMark/>
          </w:tcPr>
          <w:p w14:paraId="4561D9B2"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174" w:type="pct"/>
            <w:tcBorders>
              <w:top w:val="nil"/>
              <w:left w:val="nil"/>
              <w:bottom w:val="nil"/>
              <w:right w:val="nil"/>
            </w:tcBorders>
            <w:shd w:val="clear" w:color="000000" w:fill="FFFFFF"/>
            <w:noWrap/>
            <w:hideMark/>
          </w:tcPr>
          <w:p w14:paraId="55E95A4E"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nil"/>
              <w:left w:val="nil"/>
              <w:bottom w:val="nil"/>
              <w:right w:val="nil"/>
            </w:tcBorders>
            <w:shd w:val="clear" w:color="000000" w:fill="FFFFFF"/>
            <w:hideMark/>
          </w:tcPr>
          <w:p w14:paraId="743A379A"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1199" w:type="pct"/>
            <w:tcBorders>
              <w:top w:val="nil"/>
              <w:left w:val="nil"/>
              <w:bottom w:val="nil"/>
              <w:right w:val="nil"/>
            </w:tcBorders>
            <w:shd w:val="clear" w:color="000000" w:fill="FFE1E1"/>
            <w:noWrap/>
            <w:hideMark/>
          </w:tcPr>
          <w:p w14:paraId="787403E8"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 </w:t>
            </w:r>
          </w:p>
        </w:tc>
      </w:tr>
      <w:tr w:rsidR="00C30DC3" w:rsidRPr="00C30DC3" w14:paraId="1313E611" w14:textId="77777777" w:rsidTr="009A5CDE">
        <w:trPr>
          <w:divId w:val="1966812425"/>
          <w:trHeight w:val="310"/>
        </w:trPr>
        <w:tc>
          <w:tcPr>
            <w:tcW w:w="1199" w:type="pct"/>
            <w:tcBorders>
              <w:top w:val="nil"/>
              <w:left w:val="nil"/>
              <w:bottom w:val="nil"/>
              <w:right w:val="nil"/>
            </w:tcBorders>
            <w:shd w:val="clear" w:color="000000" w:fill="FFFFFF"/>
            <w:noWrap/>
            <w:hideMark/>
          </w:tcPr>
          <w:p w14:paraId="063E540F"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c>
          <w:tcPr>
            <w:tcW w:w="174" w:type="pct"/>
            <w:tcBorders>
              <w:top w:val="nil"/>
              <w:left w:val="nil"/>
              <w:bottom w:val="nil"/>
              <w:right w:val="nil"/>
            </w:tcBorders>
            <w:shd w:val="clear" w:color="000000" w:fill="FFFFFF"/>
            <w:noWrap/>
            <w:hideMark/>
          </w:tcPr>
          <w:p w14:paraId="202B82B1"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c>
          <w:tcPr>
            <w:tcW w:w="2427" w:type="pct"/>
            <w:tcBorders>
              <w:top w:val="nil"/>
              <w:left w:val="nil"/>
              <w:bottom w:val="nil"/>
              <w:right w:val="nil"/>
            </w:tcBorders>
            <w:shd w:val="clear" w:color="000000" w:fill="FFFFFF"/>
            <w:noWrap/>
            <w:hideMark/>
          </w:tcPr>
          <w:p w14:paraId="40417F77"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Capital Receipts Reserve</w:t>
            </w:r>
          </w:p>
        </w:tc>
        <w:tc>
          <w:tcPr>
            <w:tcW w:w="1199" w:type="pct"/>
            <w:tcBorders>
              <w:top w:val="nil"/>
              <w:left w:val="nil"/>
              <w:bottom w:val="nil"/>
              <w:right w:val="nil"/>
            </w:tcBorders>
            <w:shd w:val="clear" w:color="000000" w:fill="FFE1E1"/>
            <w:noWrap/>
            <w:hideMark/>
          </w:tcPr>
          <w:p w14:paraId="2BC3D6CB"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(2,107)</w:t>
            </w:r>
          </w:p>
        </w:tc>
      </w:tr>
      <w:tr w:rsidR="00C30DC3" w:rsidRPr="00C30DC3" w14:paraId="405FBF7F" w14:textId="77777777" w:rsidTr="009A5CDE">
        <w:trPr>
          <w:divId w:val="1966812425"/>
          <w:trHeight w:val="310"/>
        </w:trPr>
        <w:tc>
          <w:tcPr>
            <w:tcW w:w="1199" w:type="pct"/>
            <w:tcBorders>
              <w:top w:val="single" w:sz="4" w:space="0" w:color="auto"/>
              <w:left w:val="nil"/>
              <w:bottom w:val="single" w:sz="4" w:space="0" w:color="auto"/>
              <w:right w:val="nil"/>
            </w:tcBorders>
            <w:shd w:val="clear" w:color="000000" w:fill="FFFFFF"/>
            <w:noWrap/>
            <w:hideMark/>
          </w:tcPr>
          <w:p w14:paraId="7D6DD61D" w14:textId="77777777"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w:t>
            </w:r>
          </w:p>
        </w:tc>
        <w:tc>
          <w:tcPr>
            <w:tcW w:w="174" w:type="pct"/>
            <w:tcBorders>
              <w:top w:val="single" w:sz="4" w:space="0" w:color="auto"/>
              <w:left w:val="nil"/>
              <w:bottom w:val="single" w:sz="4" w:space="0" w:color="auto"/>
              <w:right w:val="nil"/>
            </w:tcBorders>
            <w:shd w:val="clear" w:color="000000" w:fill="FFFFFF"/>
            <w:noWrap/>
            <w:hideMark/>
          </w:tcPr>
          <w:p w14:paraId="79BC22B9"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single" w:sz="4" w:space="0" w:color="auto"/>
              <w:left w:val="nil"/>
              <w:bottom w:val="single" w:sz="4" w:space="0" w:color="auto"/>
              <w:right w:val="nil"/>
            </w:tcBorders>
            <w:shd w:val="clear" w:color="000000" w:fill="FFFFFF"/>
            <w:hideMark/>
          </w:tcPr>
          <w:p w14:paraId="418D0DB7"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Capital Receipts Reserves</w:t>
            </w:r>
          </w:p>
        </w:tc>
        <w:tc>
          <w:tcPr>
            <w:tcW w:w="1199" w:type="pct"/>
            <w:tcBorders>
              <w:top w:val="single" w:sz="4" w:space="0" w:color="auto"/>
              <w:left w:val="nil"/>
              <w:bottom w:val="single" w:sz="4" w:space="0" w:color="auto"/>
              <w:right w:val="nil"/>
            </w:tcBorders>
            <w:shd w:val="clear" w:color="000000" w:fill="FFE1E1"/>
            <w:noWrap/>
            <w:hideMark/>
          </w:tcPr>
          <w:p w14:paraId="5B53FEB8"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(2,107)</w:t>
            </w:r>
          </w:p>
        </w:tc>
      </w:tr>
      <w:tr w:rsidR="00C30DC3" w:rsidRPr="00C30DC3" w14:paraId="7B7075E3" w14:textId="77777777" w:rsidTr="009A5CDE">
        <w:trPr>
          <w:divId w:val="1966812425"/>
          <w:trHeight w:val="310"/>
        </w:trPr>
        <w:tc>
          <w:tcPr>
            <w:tcW w:w="1199" w:type="pct"/>
            <w:tcBorders>
              <w:top w:val="nil"/>
              <w:left w:val="nil"/>
              <w:bottom w:val="nil"/>
              <w:right w:val="nil"/>
            </w:tcBorders>
            <w:shd w:val="clear" w:color="000000" w:fill="FFFFFF"/>
            <w:noWrap/>
            <w:hideMark/>
          </w:tcPr>
          <w:p w14:paraId="34423F22"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174" w:type="pct"/>
            <w:tcBorders>
              <w:top w:val="nil"/>
              <w:left w:val="nil"/>
              <w:bottom w:val="nil"/>
              <w:right w:val="nil"/>
            </w:tcBorders>
            <w:shd w:val="clear" w:color="000000" w:fill="FFFFFF"/>
            <w:noWrap/>
            <w:hideMark/>
          </w:tcPr>
          <w:p w14:paraId="6C7CC694"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nil"/>
              <w:left w:val="nil"/>
              <w:bottom w:val="nil"/>
              <w:right w:val="nil"/>
            </w:tcBorders>
            <w:shd w:val="clear" w:color="000000" w:fill="FFFFFF"/>
            <w:hideMark/>
          </w:tcPr>
          <w:p w14:paraId="09DB03B2"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 </w:t>
            </w:r>
          </w:p>
        </w:tc>
        <w:tc>
          <w:tcPr>
            <w:tcW w:w="1199" w:type="pct"/>
            <w:tcBorders>
              <w:top w:val="nil"/>
              <w:left w:val="nil"/>
              <w:bottom w:val="nil"/>
              <w:right w:val="nil"/>
            </w:tcBorders>
            <w:shd w:val="clear" w:color="000000" w:fill="FFE1E1"/>
            <w:noWrap/>
            <w:hideMark/>
          </w:tcPr>
          <w:p w14:paraId="322974BE" w14:textId="77777777" w:rsidR="00C30DC3" w:rsidRPr="00C30DC3" w:rsidRDefault="00C30DC3" w:rsidP="00C30DC3">
            <w:pPr>
              <w:spacing w:line="240" w:lineRule="auto"/>
              <w:jc w:val="left"/>
              <w:rPr>
                <w:rFonts w:ascii="Calibri" w:eastAsia="Times New Roman" w:hAnsi="Calibri" w:cs="Calibri"/>
                <w:lang w:eastAsia="en-GB"/>
              </w:rPr>
            </w:pPr>
            <w:r w:rsidRPr="00C30DC3">
              <w:rPr>
                <w:rFonts w:ascii="Calibri" w:eastAsia="Times New Roman" w:hAnsi="Calibri" w:cs="Calibri"/>
                <w:lang w:eastAsia="en-GB"/>
              </w:rPr>
              <w:t> </w:t>
            </w:r>
          </w:p>
        </w:tc>
      </w:tr>
      <w:tr w:rsidR="00C30DC3" w:rsidRPr="00C30DC3" w14:paraId="79153605" w14:textId="77777777" w:rsidTr="009A5CDE">
        <w:trPr>
          <w:divId w:val="1966812425"/>
          <w:trHeight w:val="310"/>
        </w:trPr>
        <w:tc>
          <w:tcPr>
            <w:tcW w:w="1199" w:type="pct"/>
            <w:tcBorders>
              <w:top w:val="single" w:sz="4" w:space="0" w:color="auto"/>
              <w:left w:val="nil"/>
              <w:bottom w:val="single" w:sz="4" w:space="0" w:color="auto"/>
              <w:right w:val="nil"/>
            </w:tcBorders>
            <w:shd w:val="clear" w:color="000000" w:fill="FFFFFF"/>
            <w:noWrap/>
            <w:hideMark/>
          </w:tcPr>
          <w:p w14:paraId="24676FA4"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(5,044)</w:t>
            </w:r>
          </w:p>
        </w:tc>
        <w:tc>
          <w:tcPr>
            <w:tcW w:w="174" w:type="pct"/>
            <w:tcBorders>
              <w:top w:val="single" w:sz="4" w:space="0" w:color="auto"/>
              <w:left w:val="nil"/>
              <w:bottom w:val="single" w:sz="4" w:space="0" w:color="auto"/>
              <w:right w:val="nil"/>
            </w:tcBorders>
            <w:shd w:val="clear" w:color="000000" w:fill="FFFFFF"/>
            <w:noWrap/>
            <w:hideMark/>
          </w:tcPr>
          <w:p w14:paraId="2F32A8E4"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 </w:t>
            </w:r>
          </w:p>
        </w:tc>
        <w:tc>
          <w:tcPr>
            <w:tcW w:w="2427" w:type="pct"/>
            <w:tcBorders>
              <w:top w:val="single" w:sz="4" w:space="0" w:color="auto"/>
              <w:left w:val="nil"/>
              <w:bottom w:val="single" w:sz="4" w:space="0" w:color="auto"/>
              <w:right w:val="nil"/>
            </w:tcBorders>
            <w:shd w:val="clear" w:color="000000" w:fill="FFFFFF"/>
            <w:hideMark/>
          </w:tcPr>
          <w:p w14:paraId="45860327"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Total Usable Reserves</w:t>
            </w:r>
          </w:p>
        </w:tc>
        <w:tc>
          <w:tcPr>
            <w:tcW w:w="1199" w:type="pct"/>
            <w:tcBorders>
              <w:top w:val="single" w:sz="4" w:space="0" w:color="auto"/>
              <w:left w:val="nil"/>
              <w:bottom w:val="single" w:sz="4" w:space="0" w:color="auto"/>
              <w:right w:val="nil"/>
            </w:tcBorders>
            <w:shd w:val="clear" w:color="000000" w:fill="FFE1E1"/>
            <w:noWrap/>
            <w:hideMark/>
          </w:tcPr>
          <w:p w14:paraId="4133BE38"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(7,214)</w:t>
            </w:r>
          </w:p>
        </w:tc>
      </w:tr>
    </w:tbl>
    <w:p w14:paraId="54A0C9D3" w14:textId="1DF563C2" w:rsidR="00D22CDA" w:rsidRDefault="00D22CDA" w:rsidP="6C31340A"/>
    <w:p w14:paraId="00FB2A9F" w14:textId="77777777" w:rsidR="0017439A" w:rsidRDefault="0017439A" w:rsidP="00ED7FB0">
      <w:pPr>
        <w:pStyle w:val="VAHeadingLevel2"/>
      </w:pPr>
    </w:p>
    <w:p w14:paraId="70ED1A4A" w14:textId="2F559328" w:rsidR="005C4AE8" w:rsidRPr="00ED7FB0" w:rsidRDefault="3927F0C4" w:rsidP="00ED7FB0">
      <w:pPr>
        <w:pStyle w:val="VAHeadingLevel2"/>
      </w:pPr>
      <w:r>
        <w:t xml:space="preserve">Note 17. Unusable Reserves </w:t>
      </w:r>
    </w:p>
    <w:p w14:paraId="22E37F53" w14:textId="45C6F7FE" w:rsidR="005C4AE8" w:rsidRPr="00400112" w:rsidRDefault="005C4AE8" w:rsidP="005C4AE8">
      <w:r w:rsidRPr="007F07C2">
        <w:t xml:space="preserve">An analysis of the unusable reserves is shown below: </w:t>
      </w:r>
    </w:p>
    <w:p w14:paraId="7E417E1F" w14:textId="33FF7DCE" w:rsidR="00C30DC3" w:rsidRDefault="00C30DC3" w:rsidP="005C4AE8">
      <w:pPr>
        <w:rPr>
          <w:rFonts w:cstheme="minorBidi"/>
        </w:rPr>
      </w:pPr>
    </w:p>
    <w:tbl>
      <w:tblPr>
        <w:tblW w:w="5000" w:type="pct"/>
        <w:tblLook w:val="04A0" w:firstRow="1" w:lastRow="0" w:firstColumn="1" w:lastColumn="0" w:noHBand="0" w:noVBand="1"/>
      </w:tblPr>
      <w:tblGrid>
        <w:gridCol w:w="2409"/>
        <w:gridCol w:w="349"/>
        <w:gridCol w:w="5588"/>
        <w:gridCol w:w="2029"/>
      </w:tblGrid>
      <w:tr w:rsidR="00C679BD" w:rsidRPr="00C30DC3" w14:paraId="1C59AB49" w14:textId="77777777" w:rsidTr="6C31340A">
        <w:trPr>
          <w:divId w:val="1730104649"/>
          <w:trHeight w:val="317"/>
        </w:trPr>
        <w:tc>
          <w:tcPr>
            <w:tcW w:w="1161" w:type="pct"/>
            <w:tcBorders>
              <w:top w:val="nil"/>
              <w:left w:val="nil"/>
              <w:bottom w:val="nil"/>
              <w:right w:val="nil"/>
            </w:tcBorders>
            <w:shd w:val="clear" w:color="auto" w:fill="AB2328"/>
            <w:noWrap/>
            <w:vAlign w:val="bottom"/>
            <w:hideMark/>
          </w:tcPr>
          <w:p w14:paraId="1B7B39D3" w14:textId="6727D5C9"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168" w:type="pct"/>
            <w:tcBorders>
              <w:top w:val="nil"/>
              <w:left w:val="nil"/>
              <w:bottom w:val="nil"/>
              <w:right w:val="nil"/>
            </w:tcBorders>
            <w:shd w:val="clear" w:color="auto" w:fill="AB2328"/>
            <w:noWrap/>
            <w:vAlign w:val="bottom"/>
            <w:hideMark/>
          </w:tcPr>
          <w:p w14:paraId="616602B5"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693" w:type="pct"/>
            <w:tcBorders>
              <w:top w:val="nil"/>
              <w:left w:val="nil"/>
              <w:bottom w:val="nil"/>
              <w:right w:val="nil"/>
            </w:tcBorders>
            <w:shd w:val="clear" w:color="auto" w:fill="AB2328"/>
            <w:vAlign w:val="bottom"/>
            <w:hideMark/>
          </w:tcPr>
          <w:p w14:paraId="2182B64B"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978" w:type="pct"/>
            <w:tcBorders>
              <w:top w:val="nil"/>
              <w:left w:val="nil"/>
              <w:bottom w:val="nil"/>
              <w:right w:val="nil"/>
            </w:tcBorders>
            <w:shd w:val="clear" w:color="auto" w:fill="AB2328"/>
            <w:noWrap/>
            <w:vAlign w:val="bottom"/>
            <w:hideMark/>
          </w:tcPr>
          <w:p w14:paraId="2E981B3C"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214EE1DA" w14:textId="77777777" w:rsidTr="6C31340A">
        <w:trPr>
          <w:divId w:val="1730104649"/>
          <w:trHeight w:val="317"/>
        </w:trPr>
        <w:tc>
          <w:tcPr>
            <w:tcW w:w="1161" w:type="pct"/>
            <w:tcBorders>
              <w:top w:val="nil"/>
              <w:left w:val="nil"/>
              <w:bottom w:val="nil"/>
              <w:right w:val="nil"/>
            </w:tcBorders>
            <w:shd w:val="clear" w:color="auto" w:fill="AB2328"/>
            <w:noWrap/>
            <w:vAlign w:val="bottom"/>
            <w:hideMark/>
          </w:tcPr>
          <w:p w14:paraId="370CC4DF"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168" w:type="pct"/>
            <w:tcBorders>
              <w:top w:val="nil"/>
              <w:left w:val="nil"/>
              <w:bottom w:val="nil"/>
              <w:right w:val="nil"/>
            </w:tcBorders>
            <w:shd w:val="clear" w:color="auto" w:fill="AB2328"/>
            <w:noWrap/>
            <w:vAlign w:val="bottom"/>
            <w:hideMark/>
          </w:tcPr>
          <w:p w14:paraId="7FE95F12"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693" w:type="pct"/>
            <w:tcBorders>
              <w:top w:val="nil"/>
              <w:left w:val="nil"/>
              <w:bottom w:val="nil"/>
              <w:right w:val="nil"/>
            </w:tcBorders>
            <w:shd w:val="clear" w:color="auto" w:fill="AB2328"/>
            <w:vAlign w:val="bottom"/>
            <w:hideMark/>
          </w:tcPr>
          <w:p w14:paraId="36F1415B"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978" w:type="pct"/>
            <w:tcBorders>
              <w:top w:val="nil"/>
              <w:left w:val="nil"/>
              <w:bottom w:val="nil"/>
              <w:right w:val="nil"/>
            </w:tcBorders>
            <w:shd w:val="clear" w:color="auto" w:fill="AB2328"/>
            <w:noWrap/>
            <w:vAlign w:val="bottom"/>
            <w:hideMark/>
          </w:tcPr>
          <w:p w14:paraId="606517CC"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00F94B42" w14:textId="77777777" w:rsidTr="6C31340A">
        <w:trPr>
          <w:divId w:val="1730104649"/>
          <w:trHeight w:val="317"/>
        </w:trPr>
        <w:tc>
          <w:tcPr>
            <w:tcW w:w="1161" w:type="pct"/>
            <w:tcBorders>
              <w:top w:val="nil"/>
              <w:left w:val="nil"/>
              <w:bottom w:val="nil"/>
              <w:right w:val="nil"/>
            </w:tcBorders>
            <w:shd w:val="clear" w:color="auto" w:fill="FFFFFF" w:themeFill="background1"/>
            <w:noWrap/>
            <w:vAlign w:val="bottom"/>
            <w:hideMark/>
          </w:tcPr>
          <w:p w14:paraId="6A3B1B85"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(9,584)</w:t>
            </w:r>
          </w:p>
        </w:tc>
        <w:tc>
          <w:tcPr>
            <w:tcW w:w="168" w:type="pct"/>
            <w:tcBorders>
              <w:top w:val="nil"/>
              <w:left w:val="nil"/>
              <w:bottom w:val="nil"/>
              <w:right w:val="nil"/>
            </w:tcBorders>
            <w:shd w:val="clear" w:color="auto" w:fill="FFFFFF" w:themeFill="background1"/>
            <w:noWrap/>
            <w:vAlign w:val="bottom"/>
            <w:hideMark/>
          </w:tcPr>
          <w:p w14:paraId="789BA76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06726F25"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Revaluation Reserve</w:t>
            </w:r>
          </w:p>
        </w:tc>
        <w:tc>
          <w:tcPr>
            <w:tcW w:w="978" w:type="pct"/>
            <w:tcBorders>
              <w:top w:val="nil"/>
              <w:left w:val="nil"/>
              <w:bottom w:val="nil"/>
              <w:right w:val="nil"/>
            </w:tcBorders>
            <w:shd w:val="clear" w:color="auto" w:fill="FFE1E1"/>
            <w:noWrap/>
            <w:vAlign w:val="bottom"/>
            <w:hideMark/>
          </w:tcPr>
          <w:p w14:paraId="6F1E85A0" w14:textId="61624563" w:rsidR="00C30DC3" w:rsidRPr="00C30DC3" w:rsidRDefault="3B3ADE29" w:rsidP="00C30DC3">
            <w:pPr>
              <w:spacing w:line="240" w:lineRule="auto"/>
              <w:jc w:val="right"/>
              <w:rPr>
                <w:rFonts w:ascii="Calibri" w:eastAsia="Times New Roman" w:hAnsi="Calibri" w:cs="Calibri"/>
                <w:color w:val="000000"/>
                <w:lang w:eastAsia="en-GB"/>
              </w:rPr>
            </w:pPr>
            <w:r w:rsidRPr="6C31340A">
              <w:rPr>
                <w:rFonts w:ascii="Calibri" w:eastAsia="Times New Roman" w:hAnsi="Calibri" w:cs="Calibri"/>
                <w:color w:val="000000" w:themeColor="text1"/>
                <w:lang w:eastAsia="en-GB"/>
              </w:rPr>
              <w:t>(8,</w:t>
            </w:r>
            <w:r w:rsidR="57BAA03A" w:rsidRPr="6C31340A">
              <w:rPr>
                <w:rFonts w:ascii="Calibri" w:eastAsia="Times New Roman" w:hAnsi="Calibri" w:cs="Calibri"/>
                <w:color w:val="000000" w:themeColor="text1"/>
                <w:lang w:eastAsia="en-GB"/>
              </w:rPr>
              <w:t>896</w:t>
            </w:r>
            <w:r w:rsidRPr="6C31340A">
              <w:rPr>
                <w:rFonts w:ascii="Calibri" w:eastAsia="Times New Roman" w:hAnsi="Calibri" w:cs="Calibri"/>
                <w:color w:val="000000" w:themeColor="text1"/>
                <w:lang w:eastAsia="en-GB"/>
              </w:rPr>
              <w:t>)</w:t>
            </w:r>
          </w:p>
        </w:tc>
      </w:tr>
      <w:tr w:rsidR="00C30DC3" w:rsidRPr="00C30DC3" w14:paraId="79C780E9" w14:textId="77777777" w:rsidTr="6C31340A">
        <w:trPr>
          <w:divId w:val="1730104649"/>
          <w:trHeight w:val="317"/>
        </w:trPr>
        <w:tc>
          <w:tcPr>
            <w:tcW w:w="1161" w:type="pct"/>
            <w:tcBorders>
              <w:top w:val="nil"/>
              <w:left w:val="nil"/>
              <w:bottom w:val="nil"/>
              <w:right w:val="nil"/>
            </w:tcBorders>
            <w:shd w:val="clear" w:color="auto" w:fill="FFFFFF" w:themeFill="background1"/>
            <w:noWrap/>
            <w:vAlign w:val="bottom"/>
            <w:hideMark/>
          </w:tcPr>
          <w:p w14:paraId="76C8C77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(32,389)</w:t>
            </w:r>
          </w:p>
        </w:tc>
        <w:tc>
          <w:tcPr>
            <w:tcW w:w="168" w:type="pct"/>
            <w:tcBorders>
              <w:top w:val="nil"/>
              <w:left w:val="nil"/>
              <w:bottom w:val="nil"/>
              <w:right w:val="nil"/>
            </w:tcBorders>
            <w:shd w:val="clear" w:color="auto" w:fill="FFFFFF" w:themeFill="background1"/>
            <w:noWrap/>
            <w:vAlign w:val="bottom"/>
            <w:hideMark/>
          </w:tcPr>
          <w:p w14:paraId="0F990BAF"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7D61E35B"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Capital Adjustment Account</w:t>
            </w:r>
          </w:p>
        </w:tc>
        <w:tc>
          <w:tcPr>
            <w:tcW w:w="978" w:type="pct"/>
            <w:tcBorders>
              <w:top w:val="nil"/>
              <w:left w:val="nil"/>
              <w:bottom w:val="nil"/>
              <w:right w:val="nil"/>
            </w:tcBorders>
            <w:shd w:val="clear" w:color="auto" w:fill="FFE1E1"/>
            <w:noWrap/>
            <w:vAlign w:val="bottom"/>
            <w:hideMark/>
          </w:tcPr>
          <w:p w14:paraId="2F5C0F66" w14:textId="71897AFA"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(28,</w:t>
            </w:r>
            <w:r w:rsidR="009C3859">
              <w:rPr>
                <w:rFonts w:ascii="Calibri" w:eastAsia="Times New Roman" w:hAnsi="Calibri" w:cs="Calibri"/>
                <w:color w:val="000000"/>
                <w:lang w:eastAsia="en-GB"/>
              </w:rPr>
              <w:t>537</w:t>
            </w:r>
            <w:r w:rsidRPr="00C30DC3">
              <w:rPr>
                <w:rFonts w:ascii="Calibri" w:eastAsia="Times New Roman" w:hAnsi="Calibri" w:cs="Calibri"/>
                <w:color w:val="000000"/>
                <w:lang w:eastAsia="en-GB"/>
              </w:rPr>
              <w:t>)</w:t>
            </w:r>
          </w:p>
        </w:tc>
      </w:tr>
      <w:tr w:rsidR="00C30DC3" w:rsidRPr="00C30DC3" w14:paraId="78E4A25E" w14:textId="77777777" w:rsidTr="6C31340A">
        <w:trPr>
          <w:divId w:val="1730104649"/>
          <w:trHeight w:val="317"/>
        </w:trPr>
        <w:tc>
          <w:tcPr>
            <w:tcW w:w="1161" w:type="pct"/>
            <w:tcBorders>
              <w:top w:val="nil"/>
              <w:left w:val="nil"/>
              <w:bottom w:val="nil"/>
              <w:right w:val="nil"/>
            </w:tcBorders>
            <w:shd w:val="clear" w:color="auto" w:fill="FFFFFF" w:themeFill="background1"/>
            <w:noWrap/>
            <w:vAlign w:val="center"/>
            <w:hideMark/>
          </w:tcPr>
          <w:p w14:paraId="75A96812"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245,881</w:t>
            </w:r>
          </w:p>
        </w:tc>
        <w:tc>
          <w:tcPr>
            <w:tcW w:w="168" w:type="pct"/>
            <w:tcBorders>
              <w:top w:val="nil"/>
              <w:left w:val="nil"/>
              <w:bottom w:val="nil"/>
              <w:right w:val="nil"/>
            </w:tcBorders>
            <w:shd w:val="clear" w:color="auto" w:fill="FFFFFF" w:themeFill="background1"/>
            <w:noWrap/>
            <w:vAlign w:val="bottom"/>
            <w:hideMark/>
          </w:tcPr>
          <w:p w14:paraId="7F0A7D6F"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507B181D"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Pensions Reserve</w:t>
            </w:r>
          </w:p>
        </w:tc>
        <w:tc>
          <w:tcPr>
            <w:tcW w:w="978" w:type="pct"/>
            <w:tcBorders>
              <w:top w:val="nil"/>
              <w:left w:val="nil"/>
              <w:bottom w:val="nil"/>
              <w:right w:val="nil"/>
            </w:tcBorders>
            <w:shd w:val="clear" w:color="auto" w:fill="FFE1E1"/>
            <w:noWrap/>
            <w:vAlign w:val="bottom"/>
            <w:hideMark/>
          </w:tcPr>
          <w:p w14:paraId="1D58F611"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222,470</w:t>
            </w:r>
          </w:p>
        </w:tc>
      </w:tr>
      <w:tr w:rsidR="00C30DC3" w:rsidRPr="00C30DC3" w14:paraId="7E07BDCE" w14:textId="77777777" w:rsidTr="6C31340A">
        <w:trPr>
          <w:divId w:val="1730104649"/>
          <w:trHeight w:val="317"/>
        </w:trPr>
        <w:tc>
          <w:tcPr>
            <w:tcW w:w="1161" w:type="pct"/>
            <w:tcBorders>
              <w:top w:val="nil"/>
              <w:left w:val="nil"/>
              <w:bottom w:val="nil"/>
              <w:right w:val="nil"/>
            </w:tcBorders>
            <w:shd w:val="clear" w:color="auto" w:fill="FFFFFF" w:themeFill="background1"/>
            <w:noWrap/>
            <w:vAlign w:val="center"/>
            <w:hideMark/>
          </w:tcPr>
          <w:p w14:paraId="7635F930"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347</w:t>
            </w:r>
          </w:p>
        </w:tc>
        <w:tc>
          <w:tcPr>
            <w:tcW w:w="168" w:type="pct"/>
            <w:tcBorders>
              <w:top w:val="nil"/>
              <w:left w:val="nil"/>
              <w:bottom w:val="nil"/>
              <w:right w:val="nil"/>
            </w:tcBorders>
            <w:shd w:val="clear" w:color="auto" w:fill="FFFFFF" w:themeFill="background1"/>
            <w:noWrap/>
            <w:vAlign w:val="bottom"/>
            <w:hideMark/>
          </w:tcPr>
          <w:p w14:paraId="0FA5AF2F"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623E6494"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Accumulated Absences Account</w:t>
            </w:r>
          </w:p>
        </w:tc>
        <w:tc>
          <w:tcPr>
            <w:tcW w:w="978" w:type="pct"/>
            <w:tcBorders>
              <w:top w:val="nil"/>
              <w:left w:val="nil"/>
              <w:bottom w:val="nil"/>
              <w:right w:val="nil"/>
            </w:tcBorders>
            <w:shd w:val="clear" w:color="auto" w:fill="FFE1E1"/>
            <w:noWrap/>
            <w:vAlign w:val="bottom"/>
            <w:hideMark/>
          </w:tcPr>
          <w:p w14:paraId="0EA57F0D"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229</w:t>
            </w:r>
          </w:p>
        </w:tc>
      </w:tr>
      <w:tr w:rsidR="00C30DC3" w:rsidRPr="00C30DC3" w14:paraId="7FDD93D8" w14:textId="77777777" w:rsidTr="6C31340A">
        <w:trPr>
          <w:divId w:val="1730104649"/>
          <w:trHeight w:val="317"/>
        </w:trPr>
        <w:tc>
          <w:tcPr>
            <w:tcW w:w="1161" w:type="pct"/>
            <w:tcBorders>
              <w:top w:val="nil"/>
              <w:left w:val="nil"/>
              <w:bottom w:val="nil"/>
              <w:right w:val="nil"/>
            </w:tcBorders>
            <w:shd w:val="clear" w:color="auto" w:fill="FFFFFF" w:themeFill="background1"/>
            <w:noWrap/>
            <w:vAlign w:val="bottom"/>
            <w:hideMark/>
          </w:tcPr>
          <w:p w14:paraId="0A098ED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(224)</w:t>
            </w:r>
          </w:p>
        </w:tc>
        <w:tc>
          <w:tcPr>
            <w:tcW w:w="168" w:type="pct"/>
            <w:tcBorders>
              <w:top w:val="nil"/>
              <w:left w:val="nil"/>
              <w:bottom w:val="nil"/>
              <w:right w:val="nil"/>
            </w:tcBorders>
            <w:shd w:val="clear" w:color="auto" w:fill="FFFFFF" w:themeFill="background1"/>
            <w:noWrap/>
            <w:vAlign w:val="bottom"/>
            <w:hideMark/>
          </w:tcPr>
          <w:p w14:paraId="2BBA4DB0"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25432285"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Donated Assets Reserve</w:t>
            </w:r>
          </w:p>
        </w:tc>
        <w:tc>
          <w:tcPr>
            <w:tcW w:w="978" w:type="pct"/>
            <w:tcBorders>
              <w:top w:val="nil"/>
              <w:left w:val="nil"/>
              <w:bottom w:val="nil"/>
              <w:right w:val="nil"/>
            </w:tcBorders>
            <w:shd w:val="clear" w:color="auto" w:fill="FFE1E1"/>
            <w:noWrap/>
            <w:vAlign w:val="bottom"/>
            <w:hideMark/>
          </w:tcPr>
          <w:p w14:paraId="1B900A0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(224)</w:t>
            </w:r>
          </w:p>
        </w:tc>
      </w:tr>
      <w:tr w:rsidR="00C30DC3" w:rsidRPr="00C30DC3" w14:paraId="38E7E683" w14:textId="77777777" w:rsidTr="6C31340A">
        <w:trPr>
          <w:divId w:val="1730104649"/>
          <w:trHeight w:val="317"/>
        </w:trPr>
        <w:tc>
          <w:tcPr>
            <w:tcW w:w="1161" w:type="pct"/>
            <w:tcBorders>
              <w:top w:val="nil"/>
              <w:left w:val="nil"/>
              <w:bottom w:val="nil"/>
              <w:right w:val="nil"/>
            </w:tcBorders>
            <w:shd w:val="clear" w:color="auto" w:fill="FFFFFF" w:themeFill="background1"/>
            <w:noWrap/>
            <w:vAlign w:val="bottom"/>
            <w:hideMark/>
          </w:tcPr>
          <w:p w14:paraId="727DB57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(167)</w:t>
            </w:r>
          </w:p>
        </w:tc>
        <w:tc>
          <w:tcPr>
            <w:tcW w:w="168" w:type="pct"/>
            <w:tcBorders>
              <w:top w:val="nil"/>
              <w:left w:val="nil"/>
              <w:bottom w:val="nil"/>
              <w:right w:val="nil"/>
            </w:tcBorders>
            <w:shd w:val="clear" w:color="auto" w:fill="FFFFFF" w:themeFill="background1"/>
            <w:noWrap/>
            <w:vAlign w:val="bottom"/>
            <w:hideMark/>
          </w:tcPr>
          <w:p w14:paraId="5BA8452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93" w:type="pct"/>
            <w:tcBorders>
              <w:top w:val="nil"/>
              <w:left w:val="nil"/>
              <w:bottom w:val="nil"/>
              <w:right w:val="nil"/>
            </w:tcBorders>
            <w:shd w:val="clear" w:color="auto" w:fill="FFFFFF" w:themeFill="background1"/>
            <w:vAlign w:val="bottom"/>
            <w:hideMark/>
          </w:tcPr>
          <w:p w14:paraId="6172447B"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Council Tax and NDR Collection Fund Account</w:t>
            </w:r>
          </w:p>
        </w:tc>
        <w:tc>
          <w:tcPr>
            <w:tcW w:w="978" w:type="pct"/>
            <w:tcBorders>
              <w:top w:val="nil"/>
              <w:left w:val="nil"/>
              <w:bottom w:val="nil"/>
              <w:right w:val="nil"/>
            </w:tcBorders>
            <w:shd w:val="clear" w:color="auto" w:fill="FFE1E1"/>
            <w:noWrap/>
            <w:vAlign w:val="bottom"/>
            <w:hideMark/>
          </w:tcPr>
          <w:p w14:paraId="77BA15E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(17)</w:t>
            </w:r>
          </w:p>
        </w:tc>
      </w:tr>
      <w:tr w:rsidR="00C30DC3" w:rsidRPr="00C30DC3" w14:paraId="76E2DD0F" w14:textId="77777777" w:rsidTr="6C31340A">
        <w:trPr>
          <w:divId w:val="1730104649"/>
          <w:trHeight w:val="317"/>
        </w:trPr>
        <w:tc>
          <w:tcPr>
            <w:tcW w:w="1161" w:type="pct"/>
            <w:tcBorders>
              <w:top w:val="single" w:sz="4" w:space="0" w:color="auto"/>
              <w:left w:val="nil"/>
              <w:bottom w:val="single" w:sz="4" w:space="0" w:color="auto"/>
              <w:right w:val="nil"/>
            </w:tcBorders>
            <w:shd w:val="clear" w:color="auto" w:fill="FFFFFF" w:themeFill="background1"/>
            <w:noWrap/>
            <w:vAlign w:val="bottom"/>
            <w:hideMark/>
          </w:tcPr>
          <w:p w14:paraId="3382F918" w14:textId="77777777"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203,864</w:t>
            </w:r>
          </w:p>
        </w:tc>
        <w:tc>
          <w:tcPr>
            <w:tcW w:w="168" w:type="pct"/>
            <w:tcBorders>
              <w:top w:val="single" w:sz="4" w:space="0" w:color="auto"/>
              <w:left w:val="nil"/>
              <w:bottom w:val="single" w:sz="4" w:space="0" w:color="auto"/>
              <w:right w:val="nil"/>
            </w:tcBorders>
            <w:shd w:val="clear" w:color="auto" w:fill="FFFFFF" w:themeFill="background1"/>
            <w:noWrap/>
            <w:vAlign w:val="bottom"/>
            <w:hideMark/>
          </w:tcPr>
          <w:p w14:paraId="429AEED3"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 </w:t>
            </w:r>
          </w:p>
        </w:tc>
        <w:tc>
          <w:tcPr>
            <w:tcW w:w="2693" w:type="pct"/>
            <w:tcBorders>
              <w:top w:val="single" w:sz="4" w:space="0" w:color="auto"/>
              <w:left w:val="nil"/>
              <w:bottom w:val="single" w:sz="4" w:space="0" w:color="auto"/>
              <w:right w:val="nil"/>
            </w:tcBorders>
            <w:shd w:val="clear" w:color="auto" w:fill="FFFFFF" w:themeFill="background1"/>
            <w:vAlign w:val="bottom"/>
            <w:hideMark/>
          </w:tcPr>
          <w:p w14:paraId="4CC8FE13"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Total Unusable Reserves</w:t>
            </w:r>
          </w:p>
        </w:tc>
        <w:tc>
          <w:tcPr>
            <w:tcW w:w="978" w:type="pct"/>
            <w:tcBorders>
              <w:top w:val="single" w:sz="4" w:space="0" w:color="auto"/>
              <w:left w:val="nil"/>
              <w:bottom w:val="single" w:sz="4" w:space="0" w:color="auto"/>
              <w:right w:val="nil"/>
            </w:tcBorders>
            <w:shd w:val="clear" w:color="auto" w:fill="FFE1E1"/>
            <w:noWrap/>
            <w:vAlign w:val="bottom"/>
            <w:hideMark/>
          </w:tcPr>
          <w:p w14:paraId="55C80E8B" w14:textId="30E25B42"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185,</w:t>
            </w:r>
            <w:r w:rsidR="009C3859">
              <w:rPr>
                <w:rFonts w:ascii="Calibri" w:eastAsia="Times New Roman" w:hAnsi="Calibri" w:cs="Calibri"/>
                <w:b/>
                <w:bCs/>
                <w:color w:val="000000"/>
                <w:lang w:eastAsia="en-GB"/>
              </w:rPr>
              <w:t>025</w:t>
            </w:r>
          </w:p>
        </w:tc>
      </w:tr>
    </w:tbl>
    <w:p w14:paraId="459C5657" w14:textId="77777777" w:rsidR="00D85BCB" w:rsidRDefault="00D85BCB" w:rsidP="005C4AE8"/>
    <w:p w14:paraId="6992DDC0" w14:textId="77777777" w:rsidR="0017439A" w:rsidRDefault="0017439A" w:rsidP="002A1ADD">
      <w:pPr>
        <w:pStyle w:val="VAHeadingLevel2"/>
      </w:pPr>
    </w:p>
    <w:p w14:paraId="5D010742" w14:textId="77777777" w:rsidR="0017439A" w:rsidRDefault="0017439A" w:rsidP="002A1ADD">
      <w:pPr>
        <w:pStyle w:val="VAHeadingLevel2"/>
      </w:pPr>
    </w:p>
    <w:p w14:paraId="535C6CC3" w14:textId="77777777" w:rsidR="0017439A" w:rsidRDefault="0017439A" w:rsidP="002A1ADD">
      <w:pPr>
        <w:pStyle w:val="VAHeadingLevel2"/>
      </w:pPr>
    </w:p>
    <w:p w14:paraId="7B261DDB" w14:textId="77777777" w:rsidR="0017439A" w:rsidRDefault="0017439A" w:rsidP="002A1ADD">
      <w:pPr>
        <w:pStyle w:val="VAHeadingLevel2"/>
      </w:pPr>
    </w:p>
    <w:p w14:paraId="2B066F44" w14:textId="77777777" w:rsidR="006D3967" w:rsidRDefault="006D3967" w:rsidP="002A1ADD">
      <w:pPr>
        <w:pStyle w:val="VAHeadingLevel2"/>
      </w:pPr>
    </w:p>
    <w:p w14:paraId="36447772" w14:textId="77777777" w:rsidR="006D3967" w:rsidRDefault="006D3967" w:rsidP="002A1ADD">
      <w:pPr>
        <w:pStyle w:val="VAHeadingLevel2"/>
      </w:pPr>
    </w:p>
    <w:p w14:paraId="3C0E807C" w14:textId="77777777" w:rsidR="0017439A" w:rsidRDefault="0017439A" w:rsidP="002A1ADD">
      <w:pPr>
        <w:pStyle w:val="VAHeadingLevel2"/>
      </w:pPr>
    </w:p>
    <w:p w14:paraId="7C6E7368" w14:textId="77777777" w:rsidR="0017439A" w:rsidRDefault="0017439A" w:rsidP="002A1ADD">
      <w:pPr>
        <w:pStyle w:val="VAHeadingLevel2"/>
      </w:pPr>
    </w:p>
    <w:p w14:paraId="03F57FDB" w14:textId="1363F303" w:rsidR="005C4AE8" w:rsidRPr="00DA34CA" w:rsidRDefault="005C4AE8" w:rsidP="002A1ADD">
      <w:pPr>
        <w:pStyle w:val="VAHeadingLevel2"/>
      </w:pPr>
      <w:r w:rsidRPr="00DA34CA">
        <w:lastRenderedPageBreak/>
        <w:t xml:space="preserve">Note 17.1. Revaluation Reserve </w:t>
      </w:r>
    </w:p>
    <w:p w14:paraId="7C36B658" w14:textId="77777777" w:rsidR="005C4AE8" w:rsidRDefault="005C4AE8" w:rsidP="005C4AE8">
      <w:r w:rsidRPr="007F07C2">
        <w:t>The Revaluation Reserve contains the gains/losses made by the Authority arising in the value of its Property, Plant and Equipment.</w:t>
      </w:r>
    </w:p>
    <w:p w14:paraId="56FCDD07" w14:textId="77777777" w:rsidR="00AA19E8" w:rsidRDefault="00AA19E8" w:rsidP="005C4AE8"/>
    <w:tbl>
      <w:tblPr>
        <w:tblW w:w="5000" w:type="pct"/>
        <w:tblLook w:val="04A0" w:firstRow="1" w:lastRow="0" w:firstColumn="1" w:lastColumn="0" w:noHBand="0" w:noVBand="1"/>
      </w:tblPr>
      <w:tblGrid>
        <w:gridCol w:w="2171"/>
        <w:gridCol w:w="313"/>
        <w:gridCol w:w="5721"/>
        <w:gridCol w:w="2170"/>
      </w:tblGrid>
      <w:tr w:rsidR="006F507F" w:rsidRPr="006F507F" w14:paraId="1421B34F" w14:textId="77777777" w:rsidTr="000C00C8">
        <w:trPr>
          <w:trHeight w:val="317"/>
        </w:trPr>
        <w:tc>
          <w:tcPr>
            <w:tcW w:w="1046" w:type="pct"/>
            <w:tcBorders>
              <w:top w:val="nil"/>
              <w:left w:val="nil"/>
              <w:bottom w:val="nil"/>
              <w:right w:val="nil"/>
            </w:tcBorders>
            <w:shd w:val="clear" w:color="000000" w:fill="AB2328"/>
            <w:noWrap/>
            <w:vAlign w:val="bottom"/>
            <w:hideMark/>
          </w:tcPr>
          <w:p w14:paraId="5754D019"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31 March 2024</w:t>
            </w:r>
          </w:p>
        </w:tc>
        <w:tc>
          <w:tcPr>
            <w:tcW w:w="151" w:type="pct"/>
            <w:tcBorders>
              <w:top w:val="nil"/>
              <w:left w:val="nil"/>
              <w:bottom w:val="nil"/>
              <w:right w:val="nil"/>
            </w:tcBorders>
            <w:shd w:val="clear" w:color="000000" w:fill="AB2328"/>
            <w:noWrap/>
            <w:vAlign w:val="bottom"/>
            <w:hideMark/>
          </w:tcPr>
          <w:p w14:paraId="6BC02D1D"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 </w:t>
            </w:r>
          </w:p>
        </w:tc>
        <w:tc>
          <w:tcPr>
            <w:tcW w:w="2757" w:type="pct"/>
            <w:tcBorders>
              <w:top w:val="nil"/>
              <w:left w:val="nil"/>
              <w:bottom w:val="nil"/>
              <w:right w:val="nil"/>
            </w:tcBorders>
            <w:shd w:val="clear" w:color="000000" w:fill="AB2328"/>
            <w:vAlign w:val="bottom"/>
            <w:hideMark/>
          </w:tcPr>
          <w:p w14:paraId="468FB02A" w14:textId="77777777" w:rsidR="006F507F" w:rsidRPr="006F507F" w:rsidRDefault="006F507F" w:rsidP="006F507F">
            <w:pPr>
              <w:spacing w:line="240" w:lineRule="auto"/>
              <w:jc w:val="lef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 </w:t>
            </w:r>
          </w:p>
        </w:tc>
        <w:tc>
          <w:tcPr>
            <w:tcW w:w="1046" w:type="pct"/>
            <w:tcBorders>
              <w:top w:val="nil"/>
              <w:left w:val="nil"/>
              <w:bottom w:val="nil"/>
              <w:right w:val="nil"/>
            </w:tcBorders>
            <w:shd w:val="clear" w:color="000000" w:fill="AB2328"/>
            <w:noWrap/>
            <w:vAlign w:val="bottom"/>
            <w:hideMark/>
          </w:tcPr>
          <w:p w14:paraId="11661433"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31 March 2025</w:t>
            </w:r>
          </w:p>
        </w:tc>
      </w:tr>
      <w:tr w:rsidR="006F507F" w:rsidRPr="006F507F" w14:paraId="6CF365D5" w14:textId="77777777" w:rsidTr="000C00C8">
        <w:trPr>
          <w:trHeight w:val="317"/>
        </w:trPr>
        <w:tc>
          <w:tcPr>
            <w:tcW w:w="1046" w:type="pct"/>
            <w:tcBorders>
              <w:top w:val="nil"/>
              <w:left w:val="nil"/>
              <w:bottom w:val="nil"/>
              <w:right w:val="nil"/>
            </w:tcBorders>
            <w:shd w:val="clear" w:color="000000" w:fill="AB2328"/>
            <w:noWrap/>
            <w:vAlign w:val="bottom"/>
            <w:hideMark/>
          </w:tcPr>
          <w:p w14:paraId="6BE89BD0"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£000</w:t>
            </w:r>
          </w:p>
        </w:tc>
        <w:tc>
          <w:tcPr>
            <w:tcW w:w="151" w:type="pct"/>
            <w:tcBorders>
              <w:top w:val="nil"/>
              <w:left w:val="nil"/>
              <w:bottom w:val="nil"/>
              <w:right w:val="nil"/>
            </w:tcBorders>
            <w:shd w:val="clear" w:color="000000" w:fill="AB2328"/>
            <w:noWrap/>
            <w:vAlign w:val="bottom"/>
            <w:hideMark/>
          </w:tcPr>
          <w:p w14:paraId="55AE6AA7"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 </w:t>
            </w:r>
          </w:p>
        </w:tc>
        <w:tc>
          <w:tcPr>
            <w:tcW w:w="2757" w:type="pct"/>
            <w:tcBorders>
              <w:top w:val="nil"/>
              <w:left w:val="nil"/>
              <w:bottom w:val="nil"/>
              <w:right w:val="nil"/>
            </w:tcBorders>
            <w:shd w:val="clear" w:color="000000" w:fill="AB2328"/>
            <w:vAlign w:val="bottom"/>
            <w:hideMark/>
          </w:tcPr>
          <w:p w14:paraId="1F3E7EAF" w14:textId="77777777" w:rsidR="006F507F" w:rsidRPr="006F507F" w:rsidRDefault="006F507F" w:rsidP="006F507F">
            <w:pPr>
              <w:spacing w:line="240" w:lineRule="auto"/>
              <w:jc w:val="lef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 </w:t>
            </w:r>
          </w:p>
        </w:tc>
        <w:tc>
          <w:tcPr>
            <w:tcW w:w="1046" w:type="pct"/>
            <w:tcBorders>
              <w:top w:val="nil"/>
              <w:left w:val="nil"/>
              <w:bottom w:val="nil"/>
              <w:right w:val="nil"/>
            </w:tcBorders>
            <w:shd w:val="clear" w:color="000000" w:fill="AB2328"/>
            <w:noWrap/>
            <w:vAlign w:val="bottom"/>
            <w:hideMark/>
          </w:tcPr>
          <w:p w14:paraId="3B8EB646" w14:textId="77777777" w:rsidR="006F507F" w:rsidRPr="006F507F" w:rsidRDefault="006F507F" w:rsidP="006F507F">
            <w:pPr>
              <w:spacing w:line="240" w:lineRule="auto"/>
              <w:jc w:val="right"/>
              <w:rPr>
                <w:rFonts w:ascii="Calibri" w:eastAsia="Times New Roman" w:hAnsi="Calibri" w:cs="Calibri"/>
                <w:b/>
                <w:bCs/>
                <w:color w:val="FFFFFF"/>
                <w:lang w:eastAsia="en-GB"/>
              </w:rPr>
            </w:pPr>
            <w:r w:rsidRPr="006F507F">
              <w:rPr>
                <w:rFonts w:ascii="Calibri" w:eastAsia="Times New Roman" w:hAnsi="Calibri" w:cs="Calibri"/>
                <w:b/>
                <w:bCs/>
                <w:color w:val="FFFFFF"/>
                <w:lang w:eastAsia="en-GB"/>
              </w:rPr>
              <w:t>£000</w:t>
            </w:r>
          </w:p>
        </w:tc>
      </w:tr>
      <w:tr w:rsidR="006F507F" w:rsidRPr="006F507F" w14:paraId="7C7A5B27" w14:textId="77777777" w:rsidTr="000C00C8">
        <w:trPr>
          <w:trHeight w:val="317"/>
        </w:trPr>
        <w:tc>
          <w:tcPr>
            <w:tcW w:w="1046" w:type="pct"/>
            <w:tcBorders>
              <w:top w:val="nil"/>
              <w:left w:val="nil"/>
              <w:bottom w:val="nil"/>
              <w:right w:val="nil"/>
            </w:tcBorders>
            <w:shd w:val="clear" w:color="000000" w:fill="FFFFFF"/>
            <w:noWrap/>
            <w:vAlign w:val="bottom"/>
            <w:hideMark/>
          </w:tcPr>
          <w:p w14:paraId="50968461"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(7,351)</w:t>
            </w:r>
          </w:p>
        </w:tc>
        <w:tc>
          <w:tcPr>
            <w:tcW w:w="151" w:type="pct"/>
            <w:tcBorders>
              <w:top w:val="nil"/>
              <w:left w:val="nil"/>
              <w:bottom w:val="nil"/>
              <w:right w:val="nil"/>
            </w:tcBorders>
            <w:shd w:val="clear" w:color="000000" w:fill="FFFFFF"/>
            <w:noWrap/>
            <w:vAlign w:val="bottom"/>
            <w:hideMark/>
          </w:tcPr>
          <w:p w14:paraId="39615B93"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 </w:t>
            </w:r>
          </w:p>
        </w:tc>
        <w:tc>
          <w:tcPr>
            <w:tcW w:w="2757" w:type="pct"/>
            <w:tcBorders>
              <w:top w:val="nil"/>
              <w:left w:val="nil"/>
              <w:bottom w:val="nil"/>
              <w:right w:val="nil"/>
            </w:tcBorders>
            <w:shd w:val="clear" w:color="000000" w:fill="FFFFFF"/>
            <w:vAlign w:val="bottom"/>
            <w:hideMark/>
          </w:tcPr>
          <w:p w14:paraId="6702E42D"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Opening Balance</w:t>
            </w:r>
          </w:p>
        </w:tc>
        <w:tc>
          <w:tcPr>
            <w:tcW w:w="1046" w:type="pct"/>
            <w:tcBorders>
              <w:top w:val="nil"/>
              <w:left w:val="nil"/>
              <w:bottom w:val="nil"/>
              <w:right w:val="nil"/>
            </w:tcBorders>
            <w:shd w:val="clear" w:color="000000" w:fill="FFE1E1"/>
            <w:noWrap/>
            <w:vAlign w:val="bottom"/>
            <w:hideMark/>
          </w:tcPr>
          <w:p w14:paraId="74F88104"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(9,584)</w:t>
            </w:r>
          </w:p>
        </w:tc>
      </w:tr>
      <w:tr w:rsidR="006F507F" w:rsidRPr="006F507F" w14:paraId="7F07FDF6" w14:textId="77777777" w:rsidTr="000C00C8">
        <w:trPr>
          <w:trHeight w:val="317"/>
        </w:trPr>
        <w:tc>
          <w:tcPr>
            <w:tcW w:w="1046" w:type="pct"/>
            <w:tcBorders>
              <w:top w:val="nil"/>
              <w:left w:val="nil"/>
              <w:bottom w:val="nil"/>
              <w:right w:val="nil"/>
            </w:tcBorders>
            <w:shd w:val="clear" w:color="000000" w:fill="FFFFFF"/>
            <w:noWrap/>
            <w:vAlign w:val="bottom"/>
            <w:hideMark/>
          </w:tcPr>
          <w:p w14:paraId="7D07EC2A"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(2,606)</w:t>
            </w:r>
          </w:p>
        </w:tc>
        <w:tc>
          <w:tcPr>
            <w:tcW w:w="151" w:type="pct"/>
            <w:tcBorders>
              <w:top w:val="nil"/>
              <w:left w:val="nil"/>
              <w:bottom w:val="nil"/>
              <w:right w:val="nil"/>
            </w:tcBorders>
            <w:shd w:val="clear" w:color="000000" w:fill="FFFFFF"/>
            <w:noWrap/>
            <w:vAlign w:val="bottom"/>
            <w:hideMark/>
          </w:tcPr>
          <w:p w14:paraId="33FBF0FC"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 </w:t>
            </w:r>
          </w:p>
        </w:tc>
        <w:tc>
          <w:tcPr>
            <w:tcW w:w="2757" w:type="pct"/>
            <w:tcBorders>
              <w:top w:val="nil"/>
              <w:left w:val="nil"/>
              <w:bottom w:val="nil"/>
              <w:right w:val="nil"/>
            </w:tcBorders>
            <w:shd w:val="clear" w:color="000000" w:fill="FFFFFF"/>
            <w:vAlign w:val="bottom"/>
            <w:hideMark/>
          </w:tcPr>
          <w:p w14:paraId="6358B269"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Upward revaluation of assets</w:t>
            </w:r>
          </w:p>
        </w:tc>
        <w:tc>
          <w:tcPr>
            <w:tcW w:w="1046" w:type="pct"/>
            <w:tcBorders>
              <w:top w:val="nil"/>
              <w:left w:val="nil"/>
              <w:bottom w:val="nil"/>
              <w:right w:val="nil"/>
            </w:tcBorders>
            <w:shd w:val="clear" w:color="000000" w:fill="FFE1E1"/>
            <w:noWrap/>
            <w:vAlign w:val="bottom"/>
            <w:hideMark/>
          </w:tcPr>
          <w:p w14:paraId="5CC14F31"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(47)</w:t>
            </w:r>
          </w:p>
        </w:tc>
      </w:tr>
      <w:tr w:rsidR="006F507F" w:rsidRPr="006F507F" w14:paraId="5455D140" w14:textId="77777777" w:rsidTr="000C00C8">
        <w:trPr>
          <w:trHeight w:val="317"/>
        </w:trPr>
        <w:tc>
          <w:tcPr>
            <w:tcW w:w="1046" w:type="pct"/>
            <w:tcBorders>
              <w:top w:val="nil"/>
              <w:left w:val="nil"/>
              <w:bottom w:val="nil"/>
              <w:right w:val="nil"/>
            </w:tcBorders>
            <w:shd w:val="clear" w:color="000000" w:fill="FFFFFF"/>
            <w:noWrap/>
            <w:vAlign w:val="bottom"/>
            <w:hideMark/>
          </w:tcPr>
          <w:p w14:paraId="70A6CD89"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373</w:t>
            </w:r>
          </w:p>
        </w:tc>
        <w:tc>
          <w:tcPr>
            <w:tcW w:w="151" w:type="pct"/>
            <w:tcBorders>
              <w:top w:val="nil"/>
              <w:left w:val="nil"/>
              <w:bottom w:val="nil"/>
              <w:right w:val="nil"/>
            </w:tcBorders>
            <w:shd w:val="clear" w:color="000000" w:fill="FFFFFF"/>
            <w:noWrap/>
            <w:vAlign w:val="bottom"/>
          </w:tcPr>
          <w:p w14:paraId="4A27F4AF" w14:textId="402A9841" w:rsidR="006F507F" w:rsidRPr="006F507F" w:rsidRDefault="006F507F" w:rsidP="006F507F">
            <w:pPr>
              <w:spacing w:line="240" w:lineRule="auto"/>
              <w:jc w:val="left"/>
              <w:rPr>
                <w:rFonts w:ascii="Calibri" w:eastAsia="Times New Roman" w:hAnsi="Calibri" w:cs="Calibri"/>
                <w:color w:val="000000"/>
                <w:lang w:eastAsia="en-GB"/>
              </w:rPr>
            </w:pPr>
          </w:p>
        </w:tc>
        <w:tc>
          <w:tcPr>
            <w:tcW w:w="2757" w:type="pct"/>
            <w:tcBorders>
              <w:top w:val="nil"/>
              <w:left w:val="nil"/>
              <w:bottom w:val="nil"/>
              <w:right w:val="nil"/>
            </w:tcBorders>
            <w:shd w:val="clear" w:color="000000" w:fill="FFFFFF"/>
            <w:vAlign w:val="bottom"/>
            <w:hideMark/>
          </w:tcPr>
          <w:p w14:paraId="79E2B769" w14:textId="2BEDB338"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Downward re</w:t>
            </w:r>
            <w:r w:rsidRPr="00B2231E">
              <w:rPr>
                <w:rFonts w:ascii="Calibri" w:eastAsia="Times New Roman" w:hAnsi="Calibri" w:cs="Calibri"/>
                <w:color w:val="000000"/>
                <w:lang w:eastAsia="en-GB"/>
              </w:rPr>
              <w:t>va</w:t>
            </w:r>
            <w:r w:rsidRPr="006F507F">
              <w:rPr>
                <w:rFonts w:ascii="Calibri" w:eastAsia="Times New Roman" w:hAnsi="Calibri" w:cs="Calibri"/>
                <w:color w:val="000000"/>
                <w:lang w:eastAsia="en-GB"/>
              </w:rPr>
              <w:t xml:space="preserve">luation of assets and impairment losses not charged to </w:t>
            </w:r>
            <w:r w:rsidRPr="00B2231E">
              <w:rPr>
                <w:rFonts w:ascii="Calibri" w:eastAsia="Times New Roman" w:hAnsi="Calibri" w:cs="Calibri"/>
                <w:color w:val="000000"/>
                <w:lang w:eastAsia="en-GB"/>
              </w:rPr>
              <w:t xml:space="preserve">the </w:t>
            </w:r>
            <w:r w:rsidR="00B2231E" w:rsidRPr="00B2231E">
              <w:rPr>
                <w:rFonts w:ascii="Calibri" w:eastAsia="Times New Roman" w:hAnsi="Calibri" w:cs="Calibri"/>
                <w:color w:val="000000"/>
                <w:lang w:eastAsia="en-GB"/>
              </w:rPr>
              <w:t>(</w:t>
            </w:r>
            <w:r w:rsidRPr="00B2231E">
              <w:rPr>
                <w:rFonts w:ascii="Calibri" w:eastAsia="Times New Roman" w:hAnsi="Calibri" w:cs="Calibri"/>
                <w:color w:val="000000"/>
                <w:lang w:eastAsia="en-GB"/>
              </w:rPr>
              <w:t>surplus</w:t>
            </w:r>
            <w:r w:rsidR="00B2231E" w:rsidRPr="00B2231E">
              <w:rPr>
                <w:rFonts w:ascii="Calibri" w:eastAsia="Times New Roman" w:hAnsi="Calibri" w:cs="Calibri"/>
                <w:color w:val="000000"/>
                <w:lang w:eastAsia="en-GB"/>
              </w:rPr>
              <w:t>)</w:t>
            </w:r>
            <w:r w:rsidRPr="00B2231E">
              <w:rPr>
                <w:rFonts w:ascii="Calibri" w:eastAsia="Times New Roman" w:hAnsi="Calibri" w:cs="Calibri"/>
                <w:color w:val="000000"/>
                <w:lang w:eastAsia="en-GB"/>
              </w:rPr>
              <w:t>/deficit on</w:t>
            </w:r>
            <w:r w:rsidRPr="006F507F">
              <w:rPr>
                <w:rFonts w:ascii="Calibri" w:eastAsia="Times New Roman" w:hAnsi="Calibri" w:cs="Calibri"/>
                <w:color w:val="000000"/>
                <w:lang w:eastAsia="en-GB"/>
              </w:rPr>
              <w:t xml:space="preserve"> the provision of services</w:t>
            </w:r>
          </w:p>
        </w:tc>
        <w:tc>
          <w:tcPr>
            <w:tcW w:w="1046" w:type="pct"/>
            <w:tcBorders>
              <w:top w:val="nil"/>
              <w:left w:val="nil"/>
              <w:bottom w:val="nil"/>
              <w:right w:val="nil"/>
            </w:tcBorders>
            <w:shd w:val="clear" w:color="000000" w:fill="FFE1E1"/>
            <w:noWrap/>
            <w:vAlign w:val="bottom"/>
            <w:hideMark/>
          </w:tcPr>
          <w:p w14:paraId="09A32F2F"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875</w:t>
            </w:r>
          </w:p>
        </w:tc>
      </w:tr>
      <w:tr w:rsidR="006F507F" w:rsidRPr="006F507F" w14:paraId="7E35DECD" w14:textId="77777777" w:rsidTr="000C00C8">
        <w:trPr>
          <w:trHeight w:val="317"/>
        </w:trPr>
        <w:tc>
          <w:tcPr>
            <w:tcW w:w="1046" w:type="pct"/>
            <w:tcBorders>
              <w:top w:val="single" w:sz="4" w:space="0" w:color="auto"/>
              <w:left w:val="nil"/>
              <w:bottom w:val="single" w:sz="4" w:space="0" w:color="auto"/>
              <w:right w:val="nil"/>
            </w:tcBorders>
            <w:shd w:val="clear" w:color="000000" w:fill="FFFFFF"/>
            <w:noWrap/>
            <w:vAlign w:val="bottom"/>
            <w:hideMark/>
          </w:tcPr>
          <w:p w14:paraId="7B496069"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(2,233)</w:t>
            </w:r>
          </w:p>
        </w:tc>
        <w:tc>
          <w:tcPr>
            <w:tcW w:w="151" w:type="pct"/>
            <w:tcBorders>
              <w:top w:val="single" w:sz="4" w:space="0" w:color="auto"/>
              <w:left w:val="nil"/>
              <w:bottom w:val="single" w:sz="4" w:space="0" w:color="auto"/>
              <w:right w:val="nil"/>
            </w:tcBorders>
            <w:shd w:val="clear" w:color="000000" w:fill="FFFFFF"/>
            <w:noWrap/>
            <w:vAlign w:val="bottom"/>
            <w:hideMark/>
          </w:tcPr>
          <w:p w14:paraId="49048605" w14:textId="77777777" w:rsidR="006F507F" w:rsidRPr="006F507F" w:rsidRDefault="006F507F" w:rsidP="006F507F">
            <w:pPr>
              <w:spacing w:line="240" w:lineRule="auto"/>
              <w:jc w:val="lef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 </w:t>
            </w:r>
          </w:p>
        </w:tc>
        <w:tc>
          <w:tcPr>
            <w:tcW w:w="2757" w:type="pct"/>
            <w:tcBorders>
              <w:top w:val="single" w:sz="4" w:space="0" w:color="auto"/>
              <w:left w:val="nil"/>
              <w:bottom w:val="single" w:sz="4" w:space="0" w:color="auto"/>
              <w:right w:val="nil"/>
            </w:tcBorders>
            <w:shd w:val="clear" w:color="000000" w:fill="FFFFFF"/>
            <w:vAlign w:val="bottom"/>
            <w:hideMark/>
          </w:tcPr>
          <w:p w14:paraId="4D963A9E" w14:textId="66CD48B7" w:rsidR="006F507F" w:rsidRPr="006F507F" w:rsidRDefault="00B2231E" w:rsidP="006F507F">
            <w:pPr>
              <w:spacing w:line="240" w:lineRule="auto"/>
              <w:jc w:val="left"/>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6F507F" w:rsidRPr="00B2231E">
              <w:rPr>
                <w:rFonts w:ascii="Calibri" w:eastAsia="Times New Roman" w:hAnsi="Calibri" w:cs="Calibri"/>
                <w:b/>
                <w:bCs/>
                <w:color w:val="000000"/>
                <w:lang w:eastAsia="en-GB"/>
              </w:rPr>
              <w:t>Surplus</w:t>
            </w:r>
            <w:r>
              <w:rPr>
                <w:rFonts w:ascii="Calibri" w:eastAsia="Times New Roman" w:hAnsi="Calibri" w:cs="Calibri"/>
                <w:b/>
                <w:bCs/>
                <w:color w:val="000000"/>
                <w:lang w:eastAsia="en-GB"/>
              </w:rPr>
              <w:t>)/</w:t>
            </w:r>
            <w:r w:rsidR="006F507F" w:rsidRPr="00B2231E">
              <w:rPr>
                <w:rFonts w:ascii="Calibri" w:eastAsia="Times New Roman" w:hAnsi="Calibri" w:cs="Calibri"/>
                <w:b/>
                <w:bCs/>
                <w:color w:val="000000"/>
                <w:lang w:eastAsia="en-GB"/>
              </w:rPr>
              <w:t>deficit</w:t>
            </w:r>
            <w:r w:rsidR="006F507F" w:rsidRPr="006F507F">
              <w:rPr>
                <w:rFonts w:ascii="Calibri" w:eastAsia="Times New Roman" w:hAnsi="Calibri" w:cs="Calibri"/>
                <w:b/>
                <w:bCs/>
                <w:color w:val="000000"/>
                <w:lang w:eastAsia="en-GB"/>
              </w:rPr>
              <w:t xml:space="preserve"> on revaluation of non-current assets not posted to the surplus or deficit on the provision of services</w:t>
            </w:r>
          </w:p>
        </w:tc>
        <w:tc>
          <w:tcPr>
            <w:tcW w:w="1046" w:type="pct"/>
            <w:tcBorders>
              <w:top w:val="single" w:sz="4" w:space="0" w:color="auto"/>
              <w:left w:val="nil"/>
              <w:bottom w:val="single" w:sz="4" w:space="0" w:color="auto"/>
              <w:right w:val="nil"/>
            </w:tcBorders>
            <w:shd w:val="clear" w:color="000000" w:fill="FFE1E1"/>
            <w:noWrap/>
            <w:vAlign w:val="bottom"/>
            <w:hideMark/>
          </w:tcPr>
          <w:p w14:paraId="1753A035"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828</w:t>
            </w:r>
          </w:p>
        </w:tc>
      </w:tr>
      <w:tr w:rsidR="006F507F" w:rsidRPr="006F507F" w14:paraId="439B47BC" w14:textId="77777777" w:rsidTr="000C00C8">
        <w:trPr>
          <w:trHeight w:val="317"/>
        </w:trPr>
        <w:tc>
          <w:tcPr>
            <w:tcW w:w="1046" w:type="pct"/>
            <w:tcBorders>
              <w:top w:val="nil"/>
              <w:left w:val="nil"/>
              <w:bottom w:val="nil"/>
              <w:right w:val="nil"/>
            </w:tcBorders>
            <w:shd w:val="clear" w:color="000000" w:fill="FFFFFF"/>
            <w:noWrap/>
            <w:vAlign w:val="bottom"/>
            <w:hideMark/>
          </w:tcPr>
          <w:p w14:paraId="73B15E99"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w:t>
            </w:r>
          </w:p>
        </w:tc>
        <w:tc>
          <w:tcPr>
            <w:tcW w:w="151" w:type="pct"/>
            <w:tcBorders>
              <w:top w:val="nil"/>
              <w:left w:val="nil"/>
              <w:bottom w:val="nil"/>
              <w:right w:val="nil"/>
            </w:tcBorders>
            <w:shd w:val="clear" w:color="000000" w:fill="FFFFFF"/>
            <w:noWrap/>
            <w:vAlign w:val="bottom"/>
            <w:hideMark/>
          </w:tcPr>
          <w:p w14:paraId="768704CC"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 </w:t>
            </w:r>
          </w:p>
        </w:tc>
        <w:tc>
          <w:tcPr>
            <w:tcW w:w="2757" w:type="pct"/>
            <w:tcBorders>
              <w:top w:val="nil"/>
              <w:left w:val="nil"/>
              <w:bottom w:val="nil"/>
              <w:right w:val="nil"/>
            </w:tcBorders>
            <w:shd w:val="clear" w:color="000000" w:fill="FFFFFF"/>
            <w:vAlign w:val="bottom"/>
            <w:hideMark/>
          </w:tcPr>
          <w:p w14:paraId="34CFF1A2"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Difference between fair value depreciation and historical cost depreciation</w:t>
            </w:r>
          </w:p>
        </w:tc>
        <w:tc>
          <w:tcPr>
            <w:tcW w:w="1046" w:type="pct"/>
            <w:tcBorders>
              <w:top w:val="nil"/>
              <w:left w:val="nil"/>
              <w:bottom w:val="nil"/>
              <w:right w:val="nil"/>
            </w:tcBorders>
            <w:shd w:val="clear" w:color="000000" w:fill="FFE1E1"/>
            <w:noWrap/>
            <w:vAlign w:val="bottom"/>
            <w:hideMark/>
          </w:tcPr>
          <w:p w14:paraId="2875A081"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(140)</w:t>
            </w:r>
          </w:p>
        </w:tc>
      </w:tr>
      <w:tr w:rsidR="006F507F" w:rsidRPr="006F507F" w14:paraId="6721B358" w14:textId="77777777" w:rsidTr="000C00C8">
        <w:trPr>
          <w:trHeight w:val="317"/>
        </w:trPr>
        <w:tc>
          <w:tcPr>
            <w:tcW w:w="1046" w:type="pct"/>
            <w:tcBorders>
              <w:top w:val="nil"/>
              <w:left w:val="nil"/>
              <w:bottom w:val="single" w:sz="4" w:space="0" w:color="auto"/>
              <w:right w:val="nil"/>
            </w:tcBorders>
            <w:shd w:val="clear" w:color="000000" w:fill="FFFFFF"/>
            <w:noWrap/>
            <w:vAlign w:val="bottom"/>
            <w:hideMark/>
          </w:tcPr>
          <w:p w14:paraId="371BCD17"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w:t>
            </w:r>
          </w:p>
        </w:tc>
        <w:tc>
          <w:tcPr>
            <w:tcW w:w="151" w:type="pct"/>
            <w:tcBorders>
              <w:top w:val="nil"/>
              <w:left w:val="nil"/>
              <w:bottom w:val="nil"/>
              <w:right w:val="nil"/>
            </w:tcBorders>
            <w:shd w:val="clear" w:color="000000" w:fill="FFFFFF"/>
            <w:noWrap/>
            <w:vAlign w:val="bottom"/>
            <w:hideMark/>
          </w:tcPr>
          <w:p w14:paraId="4097C45F"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 </w:t>
            </w:r>
          </w:p>
        </w:tc>
        <w:tc>
          <w:tcPr>
            <w:tcW w:w="2757" w:type="pct"/>
            <w:tcBorders>
              <w:top w:val="nil"/>
              <w:left w:val="nil"/>
              <w:bottom w:val="nil"/>
              <w:right w:val="nil"/>
            </w:tcBorders>
            <w:shd w:val="clear" w:color="000000" w:fill="FFFFFF"/>
            <w:vAlign w:val="bottom"/>
            <w:hideMark/>
          </w:tcPr>
          <w:p w14:paraId="19554243" w14:textId="77777777" w:rsidR="006F507F" w:rsidRPr="006F507F" w:rsidRDefault="006F507F" w:rsidP="006F507F">
            <w:pPr>
              <w:spacing w:line="240" w:lineRule="auto"/>
              <w:jc w:val="left"/>
              <w:rPr>
                <w:rFonts w:ascii="Calibri" w:eastAsia="Times New Roman" w:hAnsi="Calibri" w:cs="Calibri"/>
                <w:color w:val="000000"/>
                <w:lang w:eastAsia="en-GB"/>
              </w:rPr>
            </w:pPr>
            <w:r w:rsidRPr="006F507F">
              <w:rPr>
                <w:rFonts w:ascii="Calibri" w:eastAsia="Times New Roman" w:hAnsi="Calibri" w:cs="Calibri"/>
                <w:color w:val="000000"/>
                <w:lang w:eastAsia="en-GB"/>
              </w:rPr>
              <w:t>Accumulated gains on assets sold or scrapped</w:t>
            </w:r>
          </w:p>
        </w:tc>
        <w:tc>
          <w:tcPr>
            <w:tcW w:w="1046" w:type="pct"/>
            <w:tcBorders>
              <w:top w:val="nil"/>
              <w:left w:val="nil"/>
              <w:bottom w:val="nil"/>
              <w:right w:val="nil"/>
            </w:tcBorders>
            <w:shd w:val="clear" w:color="000000" w:fill="FFE1E1"/>
            <w:noWrap/>
            <w:vAlign w:val="bottom"/>
            <w:hideMark/>
          </w:tcPr>
          <w:p w14:paraId="76DBBE55" w14:textId="77777777" w:rsidR="006F507F" w:rsidRPr="006F507F" w:rsidRDefault="006F507F" w:rsidP="006F507F">
            <w:pPr>
              <w:spacing w:line="240" w:lineRule="auto"/>
              <w:jc w:val="right"/>
              <w:rPr>
                <w:rFonts w:ascii="Calibri" w:eastAsia="Times New Roman" w:hAnsi="Calibri" w:cs="Calibri"/>
                <w:color w:val="000000"/>
                <w:lang w:eastAsia="en-GB"/>
              </w:rPr>
            </w:pPr>
            <w:r w:rsidRPr="006F507F">
              <w:rPr>
                <w:rFonts w:ascii="Calibri" w:eastAsia="Times New Roman" w:hAnsi="Calibri" w:cs="Calibri"/>
                <w:color w:val="000000"/>
                <w:lang w:eastAsia="en-GB"/>
              </w:rPr>
              <w:t>-</w:t>
            </w:r>
          </w:p>
        </w:tc>
      </w:tr>
      <w:tr w:rsidR="006F507F" w:rsidRPr="006F507F" w14:paraId="32E4F077" w14:textId="77777777" w:rsidTr="000C00C8">
        <w:trPr>
          <w:trHeight w:val="317"/>
        </w:trPr>
        <w:tc>
          <w:tcPr>
            <w:tcW w:w="1046" w:type="pct"/>
            <w:tcBorders>
              <w:top w:val="nil"/>
              <w:left w:val="nil"/>
              <w:bottom w:val="nil"/>
              <w:right w:val="nil"/>
            </w:tcBorders>
            <w:shd w:val="clear" w:color="000000" w:fill="FFFFFF"/>
            <w:noWrap/>
            <w:vAlign w:val="bottom"/>
            <w:hideMark/>
          </w:tcPr>
          <w:p w14:paraId="12EA298A"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w:t>
            </w:r>
          </w:p>
        </w:tc>
        <w:tc>
          <w:tcPr>
            <w:tcW w:w="151" w:type="pct"/>
            <w:tcBorders>
              <w:top w:val="single" w:sz="4" w:space="0" w:color="auto"/>
              <w:left w:val="nil"/>
              <w:bottom w:val="single" w:sz="4" w:space="0" w:color="auto"/>
              <w:right w:val="nil"/>
            </w:tcBorders>
            <w:shd w:val="clear" w:color="000000" w:fill="FFFFFF"/>
            <w:noWrap/>
            <w:vAlign w:val="bottom"/>
            <w:hideMark/>
          </w:tcPr>
          <w:p w14:paraId="3C483C32" w14:textId="77777777" w:rsidR="006F507F" w:rsidRPr="006F507F" w:rsidRDefault="006F507F" w:rsidP="006F507F">
            <w:pPr>
              <w:spacing w:line="240" w:lineRule="auto"/>
              <w:jc w:val="lef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 </w:t>
            </w:r>
          </w:p>
        </w:tc>
        <w:tc>
          <w:tcPr>
            <w:tcW w:w="2757" w:type="pct"/>
            <w:tcBorders>
              <w:top w:val="single" w:sz="4" w:space="0" w:color="auto"/>
              <w:left w:val="nil"/>
              <w:bottom w:val="single" w:sz="4" w:space="0" w:color="auto"/>
              <w:right w:val="nil"/>
            </w:tcBorders>
            <w:shd w:val="clear" w:color="000000" w:fill="FFFFFF"/>
            <w:vAlign w:val="bottom"/>
            <w:hideMark/>
          </w:tcPr>
          <w:p w14:paraId="3A3A1252" w14:textId="77777777" w:rsidR="006F507F" w:rsidRPr="006F507F" w:rsidRDefault="006F507F" w:rsidP="006F507F">
            <w:pPr>
              <w:spacing w:line="240" w:lineRule="auto"/>
              <w:jc w:val="lef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Amount written off to the capital adjustment account</w:t>
            </w:r>
          </w:p>
        </w:tc>
        <w:tc>
          <w:tcPr>
            <w:tcW w:w="1046" w:type="pct"/>
            <w:tcBorders>
              <w:top w:val="single" w:sz="4" w:space="0" w:color="auto"/>
              <w:left w:val="nil"/>
              <w:bottom w:val="single" w:sz="4" w:space="0" w:color="auto"/>
              <w:right w:val="nil"/>
            </w:tcBorders>
            <w:shd w:val="clear" w:color="000000" w:fill="FFE1E1"/>
            <w:noWrap/>
            <w:vAlign w:val="bottom"/>
            <w:hideMark/>
          </w:tcPr>
          <w:p w14:paraId="60DDAA8E"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(140)</w:t>
            </w:r>
          </w:p>
        </w:tc>
      </w:tr>
      <w:tr w:rsidR="006F507F" w:rsidRPr="006F507F" w14:paraId="08DE06B7" w14:textId="77777777" w:rsidTr="000C00C8">
        <w:trPr>
          <w:trHeight w:val="317"/>
        </w:trPr>
        <w:tc>
          <w:tcPr>
            <w:tcW w:w="1046" w:type="pct"/>
            <w:tcBorders>
              <w:top w:val="single" w:sz="4" w:space="0" w:color="auto"/>
              <w:left w:val="nil"/>
              <w:bottom w:val="single" w:sz="4" w:space="0" w:color="auto"/>
              <w:right w:val="nil"/>
            </w:tcBorders>
            <w:shd w:val="clear" w:color="000000" w:fill="FFFFFF"/>
            <w:noWrap/>
            <w:vAlign w:val="bottom"/>
            <w:hideMark/>
          </w:tcPr>
          <w:p w14:paraId="13E9C7C5"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(9,584)</w:t>
            </w:r>
          </w:p>
        </w:tc>
        <w:tc>
          <w:tcPr>
            <w:tcW w:w="151" w:type="pct"/>
            <w:tcBorders>
              <w:top w:val="nil"/>
              <w:left w:val="nil"/>
              <w:bottom w:val="single" w:sz="4" w:space="0" w:color="auto"/>
              <w:right w:val="nil"/>
            </w:tcBorders>
            <w:shd w:val="clear" w:color="000000" w:fill="FFFFFF"/>
            <w:noWrap/>
            <w:vAlign w:val="bottom"/>
            <w:hideMark/>
          </w:tcPr>
          <w:p w14:paraId="0AA18F6F" w14:textId="77777777" w:rsidR="006F507F" w:rsidRPr="006F507F" w:rsidRDefault="006F507F" w:rsidP="006F507F">
            <w:pPr>
              <w:spacing w:line="240" w:lineRule="auto"/>
              <w:jc w:val="lef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 </w:t>
            </w:r>
          </w:p>
        </w:tc>
        <w:tc>
          <w:tcPr>
            <w:tcW w:w="2757" w:type="pct"/>
            <w:tcBorders>
              <w:top w:val="nil"/>
              <w:left w:val="nil"/>
              <w:bottom w:val="single" w:sz="4" w:space="0" w:color="auto"/>
              <w:right w:val="nil"/>
            </w:tcBorders>
            <w:shd w:val="clear" w:color="000000" w:fill="FFFFFF"/>
            <w:vAlign w:val="bottom"/>
            <w:hideMark/>
          </w:tcPr>
          <w:p w14:paraId="73085802" w14:textId="77777777" w:rsidR="006F507F" w:rsidRPr="006F507F" w:rsidRDefault="006F507F" w:rsidP="006F507F">
            <w:pPr>
              <w:spacing w:line="240" w:lineRule="auto"/>
              <w:jc w:val="lef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Revaluation Reserve</w:t>
            </w:r>
          </w:p>
        </w:tc>
        <w:tc>
          <w:tcPr>
            <w:tcW w:w="1046" w:type="pct"/>
            <w:tcBorders>
              <w:top w:val="nil"/>
              <w:left w:val="nil"/>
              <w:bottom w:val="single" w:sz="4" w:space="0" w:color="auto"/>
              <w:right w:val="nil"/>
            </w:tcBorders>
            <w:shd w:val="clear" w:color="000000" w:fill="FFE1E1"/>
            <w:noWrap/>
            <w:vAlign w:val="bottom"/>
            <w:hideMark/>
          </w:tcPr>
          <w:p w14:paraId="222537E5" w14:textId="77777777" w:rsidR="006F507F" w:rsidRPr="006F507F" w:rsidRDefault="006F507F" w:rsidP="006F507F">
            <w:pPr>
              <w:spacing w:line="240" w:lineRule="auto"/>
              <w:jc w:val="right"/>
              <w:rPr>
                <w:rFonts w:ascii="Calibri" w:eastAsia="Times New Roman" w:hAnsi="Calibri" w:cs="Calibri"/>
                <w:b/>
                <w:bCs/>
                <w:color w:val="000000"/>
                <w:lang w:eastAsia="en-GB"/>
              </w:rPr>
            </w:pPr>
            <w:r w:rsidRPr="006F507F">
              <w:rPr>
                <w:rFonts w:ascii="Calibri" w:eastAsia="Times New Roman" w:hAnsi="Calibri" w:cs="Calibri"/>
                <w:b/>
                <w:bCs/>
                <w:color w:val="000000"/>
                <w:lang w:eastAsia="en-GB"/>
              </w:rPr>
              <w:t>(8,896)</w:t>
            </w:r>
          </w:p>
        </w:tc>
      </w:tr>
    </w:tbl>
    <w:p w14:paraId="59043C87" w14:textId="77777777" w:rsidR="008D525E" w:rsidRDefault="008D525E" w:rsidP="005C4AE8"/>
    <w:p w14:paraId="0802B727" w14:textId="7BD683E3" w:rsidR="005C4AE8" w:rsidRPr="00DF5AE1" w:rsidRDefault="005C4AE8" w:rsidP="005C4AE8">
      <w:pPr>
        <w:rPr>
          <w:sz w:val="16"/>
          <w:szCs w:val="16"/>
        </w:rPr>
      </w:pPr>
      <w:r w:rsidRPr="007F07C2">
        <w:t>The Reserve contains only revaluation gains/losses accumulated since 1</w:t>
      </w:r>
      <w:r w:rsidR="00CF64C5" w:rsidRPr="00CF64C5">
        <w:rPr>
          <w:vertAlign w:val="superscript"/>
        </w:rPr>
        <w:t>st</w:t>
      </w:r>
      <w:r w:rsidRPr="007F07C2">
        <w:t xml:space="preserve"> January 2019, the date that the Reserve was created. </w:t>
      </w:r>
    </w:p>
    <w:p w14:paraId="5D1B7E7D" w14:textId="77777777" w:rsidR="009A5CDE" w:rsidRPr="00DF5AE1" w:rsidRDefault="009A5CDE" w:rsidP="005C4AE8">
      <w:pPr>
        <w:rPr>
          <w:sz w:val="16"/>
          <w:szCs w:val="16"/>
        </w:rPr>
      </w:pPr>
    </w:p>
    <w:p w14:paraId="6B38FCAD" w14:textId="39467B60" w:rsidR="005C4AE8" w:rsidRPr="00864FE6" w:rsidRDefault="005C4AE8" w:rsidP="002A1ADD">
      <w:pPr>
        <w:pStyle w:val="VAHeadingLevel2"/>
      </w:pPr>
      <w:r w:rsidRPr="00864FE6">
        <w:t>Note 17.2. Capital Adjustment Account (CAA)</w:t>
      </w:r>
    </w:p>
    <w:p w14:paraId="48359B1E" w14:textId="77777777" w:rsidR="00C10A76" w:rsidRDefault="005C4AE8" w:rsidP="005C4AE8">
      <w:r w:rsidRPr="00ED2A06">
        <w:t>The Capital Adjustment Account absorbs the timing differences arising from the different arrangements for accounting for the consumption of non-current assets and for financing the acquisition, construction or enhancement of those assets under statutory provisions.</w:t>
      </w:r>
      <w:r>
        <w:t xml:space="preserve"> </w:t>
      </w:r>
      <w:r w:rsidRPr="00ED2A06">
        <w:t xml:space="preserve"> The Account is debited with the cost of acquisition, construction or enhancement as depreciation, impairment losses and amortisations are charged to the Comprehensive Income and Expenditure Statement (with reconciling postings from the Revaluation Reserve to convert fair value figures to a historical cost basis).</w:t>
      </w:r>
      <w:r>
        <w:t xml:space="preserve"> </w:t>
      </w:r>
      <w:r w:rsidRPr="00ED2A06">
        <w:t xml:space="preserve"> The Account is credited with the amounts set aside by the Authority as finance for the costs of acquisition, construction and enhancement. </w:t>
      </w:r>
      <w:r>
        <w:t xml:space="preserve"> </w:t>
      </w:r>
    </w:p>
    <w:p w14:paraId="6EC3C70D" w14:textId="77777777" w:rsidR="00C10A76" w:rsidRDefault="00C10A76" w:rsidP="005C4AE8"/>
    <w:p w14:paraId="27CB93ED" w14:textId="295E6235" w:rsidR="009A5CDE" w:rsidRDefault="005C4AE8" w:rsidP="005C4AE8">
      <w:r w:rsidRPr="00ED2A06">
        <w:t>The Account contains accumulated gains and losses on Investment Properties and gains recognised on donated assets that have yet to be consumed by the Authority.</w:t>
      </w:r>
      <w:r>
        <w:t xml:space="preserve"> </w:t>
      </w:r>
      <w:r w:rsidRPr="00ED2A06">
        <w:t xml:space="preserve"> </w:t>
      </w:r>
      <w:r w:rsidRPr="00B635CE">
        <w:t>The Account also contains revaluation gains accumulated on Property, Plant and Equipment before 1 January 2019,</w:t>
      </w:r>
      <w:r w:rsidRPr="00ED2A06">
        <w:t xml:space="preserve"> the date that the Revaluation Reserve was created to hold such gains. </w:t>
      </w:r>
      <w:r>
        <w:t xml:space="preserve"> </w:t>
      </w:r>
      <w:r w:rsidRPr="00ED2A06">
        <w:t xml:space="preserve">Note </w:t>
      </w:r>
      <w:r w:rsidR="007E5445">
        <w:t>1</w:t>
      </w:r>
      <w:r w:rsidRPr="00ED2A06">
        <w:t>7</w:t>
      </w:r>
      <w:r w:rsidR="00850C20">
        <w:t>.2</w:t>
      </w:r>
      <w:r w:rsidRPr="00ED2A06">
        <w:t xml:space="preserve"> provides details of the source of all the transactions posted to the Account, apart from those involving the Revaluation Reserve.</w:t>
      </w:r>
      <w:r>
        <w:t xml:space="preserve">  </w:t>
      </w:r>
      <w:r w:rsidRPr="00ED2A06">
        <w:t>A breakdown of the CAA balance is set out below:</w:t>
      </w:r>
    </w:p>
    <w:p w14:paraId="5F649938" w14:textId="77777777" w:rsidR="00D85BCB" w:rsidRDefault="00D85BCB" w:rsidP="005C4AE8"/>
    <w:p w14:paraId="6BA2BBBA" w14:textId="77777777" w:rsidR="00D85BCB" w:rsidRDefault="00D85BCB" w:rsidP="005C4AE8">
      <w:pPr>
        <w:rPr>
          <w:rFonts w:cstheme="minorBidi"/>
        </w:rPr>
      </w:pPr>
    </w:p>
    <w:tbl>
      <w:tblPr>
        <w:tblW w:w="4994" w:type="pct"/>
        <w:tblLook w:val="04A0" w:firstRow="1" w:lastRow="0" w:firstColumn="1" w:lastColumn="0" w:noHBand="0" w:noVBand="1"/>
      </w:tblPr>
      <w:tblGrid>
        <w:gridCol w:w="2296"/>
        <w:gridCol w:w="334"/>
        <w:gridCol w:w="5443"/>
        <w:gridCol w:w="2290"/>
      </w:tblGrid>
      <w:tr w:rsidR="00C30DC3" w:rsidRPr="00C30DC3" w14:paraId="2441A0DB" w14:textId="77777777" w:rsidTr="004555CE">
        <w:trPr>
          <w:divId w:val="1174996311"/>
          <w:trHeight w:val="290"/>
        </w:trPr>
        <w:tc>
          <w:tcPr>
            <w:tcW w:w="1108" w:type="pct"/>
            <w:tcBorders>
              <w:top w:val="nil"/>
              <w:left w:val="nil"/>
              <w:bottom w:val="nil"/>
              <w:right w:val="nil"/>
            </w:tcBorders>
            <w:shd w:val="clear" w:color="000000" w:fill="AB2328"/>
            <w:noWrap/>
            <w:vAlign w:val="bottom"/>
            <w:hideMark/>
          </w:tcPr>
          <w:p w14:paraId="600669C1" w14:textId="65BE4CE5" w:rsidR="00C30DC3" w:rsidRPr="00C30DC3" w:rsidRDefault="00C30DC3" w:rsidP="00C30DC3">
            <w:pPr>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161" w:type="pct"/>
            <w:tcBorders>
              <w:top w:val="nil"/>
              <w:left w:val="nil"/>
              <w:bottom w:val="nil"/>
              <w:right w:val="nil"/>
            </w:tcBorders>
            <w:shd w:val="clear" w:color="000000" w:fill="AB2328"/>
            <w:noWrap/>
            <w:vAlign w:val="bottom"/>
            <w:hideMark/>
          </w:tcPr>
          <w:p w14:paraId="7113F644"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626" w:type="pct"/>
            <w:tcBorders>
              <w:top w:val="nil"/>
              <w:left w:val="nil"/>
              <w:bottom w:val="nil"/>
              <w:right w:val="nil"/>
            </w:tcBorders>
            <w:shd w:val="clear" w:color="000000" w:fill="AB2328"/>
            <w:vAlign w:val="bottom"/>
            <w:hideMark/>
          </w:tcPr>
          <w:p w14:paraId="25DB70C9"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105" w:type="pct"/>
            <w:tcBorders>
              <w:top w:val="nil"/>
              <w:left w:val="nil"/>
              <w:bottom w:val="nil"/>
              <w:right w:val="nil"/>
            </w:tcBorders>
            <w:shd w:val="clear" w:color="000000" w:fill="AB2328"/>
            <w:noWrap/>
            <w:vAlign w:val="bottom"/>
            <w:hideMark/>
          </w:tcPr>
          <w:p w14:paraId="6E82A004"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6E83B380" w14:textId="77777777" w:rsidTr="004555CE">
        <w:trPr>
          <w:divId w:val="1174996311"/>
          <w:trHeight w:val="290"/>
        </w:trPr>
        <w:tc>
          <w:tcPr>
            <w:tcW w:w="1108" w:type="pct"/>
            <w:tcBorders>
              <w:top w:val="nil"/>
              <w:left w:val="nil"/>
              <w:bottom w:val="nil"/>
              <w:right w:val="nil"/>
            </w:tcBorders>
            <w:shd w:val="clear" w:color="000000" w:fill="AB2328"/>
            <w:noWrap/>
            <w:vAlign w:val="bottom"/>
            <w:hideMark/>
          </w:tcPr>
          <w:p w14:paraId="04C4BE84"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161" w:type="pct"/>
            <w:tcBorders>
              <w:top w:val="nil"/>
              <w:left w:val="nil"/>
              <w:bottom w:val="nil"/>
              <w:right w:val="nil"/>
            </w:tcBorders>
            <w:shd w:val="clear" w:color="000000" w:fill="AB2328"/>
            <w:noWrap/>
            <w:vAlign w:val="bottom"/>
            <w:hideMark/>
          </w:tcPr>
          <w:p w14:paraId="0ACD6FF9"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626" w:type="pct"/>
            <w:tcBorders>
              <w:top w:val="nil"/>
              <w:left w:val="nil"/>
              <w:bottom w:val="nil"/>
              <w:right w:val="nil"/>
            </w:tcBorders>
            <w:shd w:val="clear" w:color="000000" w:fill="AB2328"/>
            <w:vAlign w:val="bottom"/>
            <w:hideMark/>
          </w:tcPr>
          <w:p w14:paraId="064D68C5"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105" w:type="pct"/>
            <w:tcBorders>
              <w:top w:val="nil"/>
              <w:left w:val="nil"/>
              <w:bottom w:val="nil"/>
              <w:right w:val="nil"/>
            </w:tcBorders>
            <w:shd w:val="clear" w:color="000000" w:fill="AB2328"/>
            <w:noWrap/>
            <w:vAlign w:val="bottom"/>
            <w:hideMark/>
          </w:tcPr>
          <w:p w14:paraId="62B901B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49C7741D"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4D8A368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(34,336)</w:t>
            </w:r>
          </w:p>
        </w:tc>
        <w:tc>
          <w:tcPr>
            <w:tcW w:w="161" w:type="pct"/>
            <w:tcBorders>
              <w:top w:val="nil"/>
              <w:left w:val="nil"/>
              <w:bottom w:val="nil"/>
              <w:right w:val="nil"/>
            </w:tcBorders>
            <w:shd w:val="clear" w:color="000000" w:fill="FFFFFF"/>
            <w:noWrap/>
            <w:vAlign w:val="bottom"/>
            <w:hideMark/>
          </w:tcPr>
          <w:p w14:paraId="4A5AAAC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1356E7BE"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Opening Balance</w:t>
            </w:r>
          </w:p>
        </w:tc>
        <w:tc>
          <w:tcPr>
            <w:tcW w:w="1105" w:type="pct"/>
            <w:tcBorders>
              <w:top w:val="nil"/>
              <w:left w:val="nil"/>
              <w:bottom w:val="nil"/>
              <w:right w:val="nil"/>
            </w:tcBorders>
            <w:shd w:val="clear" w:color="000000" w:fill="FFE1E1"/>
            <w:noWrap/>
            <w:vAlign w:val="bottom"/>
            <w:hideMark/>
          </w:tcPr>
          <w:p w14:paraId="08052E22"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(32,389)</w:t>
            </w:r>
          </w:p>
        </w:tc>
      </w:tr>
      <w:tr w:rsidR="00C30DC3" w:rsidRPr="00C30DC3" w14:paraId="7F650263"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03BE6B5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(403)</w:t>
            </w:r>
          </w:p>
        </w:tc>
        <w:tc>
          <w:tcPr>
            <w:tcW w:w="161" w:type="pct"/>
            <w:tcBorders>
              <w:top w:val="nil"/>
              <w:left w:val="nil"/>
              <w:bottom w:val="nil"/>
              <w:right w:val="nil"/>
            </w:tcBorders>
            <w:shd w:val="clear" w:color="000000" w:fill="FFFFFF"/>
            <w:noWrap/>
            <w:vAlign w:val="bottom"/>
            <w:hideMark/>
          </w:tcPr>
          <w:p w14:paraId="3B294E5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3AAF0FA3"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Additions funded by revenue funding</w:t>
            </w:r>
          </w:p>
        </w:tc>
        <w:tc>
          <w:tcPr>
            <w:tcW w:w="1105" w:type="pct"/>
            <w:tcBorders>
              <w:top w:val="nil"/>
              <w:left w:val="nil"/>
              <w:bottom w:val="nil"/>
              <w:right w:val="nil"/>
            </w:tcBorders>
            <w:shd w:val="clear" w:color="000000" w:fill="FFE1E1"/>
            <w:noWrap/>
            <w:vAlign w:val="bottom"/>
            <w:hideMark/>
          </w:tcPr>
          <w:p w14:paraId="68F7A43F"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(278)</w:t>
            </w:r>
          </w:p>
        </w:tc>
      </w:tr>
      <w:tr w:rsidR="00C30DC3" w:rsidRPr="00C30DC3" w14:paraId="2277C713"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611999A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(34)</w:t>
            </w:r>
          </w:p>
        </w:tc>
        <w:tc>
          <w:tcPr>
            <w:tcW w:w="161" w:type="pct"/>
            <w:tcBorders>
              <w:top w:val="nil"/>
              <w:left w:val="nil"/>
              <w:bottom w:val="nil"/>
              <w:right w:val="nil"/>
            </w:tcBorders>
            <w:shd w:val="clear" w:color="000000" w:fill="FFFFFF"/>
            <w:noWrap/>
            <w:vAlign w:val="bottom"/>
            <w:hideMark/>
          </w:tcPr>
          <w:p w14:paraId="2E29A305"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0E5FC57F"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Additions funded by S106 Funding</w:t>
            </w:r>
          </w:p>
        </w:tc>
        <w:tc>
          <w:tcPr>
            <w:tcW w:w="1105" w:type="pct"/>
            <w:tcBorders>
              <w:top w:val="nil"/>
              <w:left w:val="nil"/>
              <w:bottom w:val="nil"/>
              <w:right w:val="nil"/>
            </w:tcBorders>
            <w:shd w:val="clear" w:color="000000" w:fill="FFE1E1"/>
            <w:noWrap/>
            <w:vAlign w:val="bottom"/>
            <w:hideMark/>
          </w:tcPr>
          <w:p w14:paraId="0B2841FA"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25107DA6" w14:textId="77777777" w:rsidTr="004555CE">
        <w:trPr>
          <w:divId w:val="1174996311"/>
          <w:trHeight w:val="330"/>
        </w:trPr>
        <w:tc>
          <w:tcPr>
            <w:tcW w:w="1108" w:type="pct"/>
            <w:tcBorders>
              <w:top w:val="nil"/>
              <w:left w:val="nil"/>
              <w:bottom w:val="nil"/>
              <w:right w:val="nil"/>
            </w:tcBorders>
            <w:shd w:val="clear" w:color="000000" w:fill="FFFFFF"/>
            <w:noWrap/>
            <w:vAlign w:val="bottom"/>
            <w:hideMark/>
          </w:tcPr>
          <w:p w14:paraId="681CE0AB"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c>
          <w:tcPr>
            <w:tcW w:w="161" w:type="pct"/>
            <w:tcBorders>
              <w:top w:val="nil"/>
              <w:left w:val="nil"/>
              <w:bottom w:val="nil"/>
              <w:right w:val="nil"/>
            </w:tcBorders>
            <w:shd w:val="clear" w:color="000000" w:fill="FFFFFF"/>
            <w:noWrap/>
            <w:vAlign w:val="bottom"/>
            <w:hideMark/>
          </w:tcPr>
          <w:p w14:paraId="36E3E5E0"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5FF68F7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Additions funded by Capital Grants Unapplied</w:t>
            </w:r>
          </w:p>
        </w:tc>
        <w:tc>
          <w:tcPr>
            <w:tcW w:w="1105" w:type="pct"/>
            <w:tcBorders>
              <w:top w:val="nil"/>
              <w:left w:val="nil"/>
              <w:bottom w:val="nil"/>
              <w:right w:val="nil"/>
            </w:tcBorders>
            <w:shd w:val="clear" w:color="000000" w:fill="FFE1E1"/>
            <w:noWrap/>
            <w:vAlign w:val="bottom"/>
            <w:hideMark/>
          </w:tcPr>
          <w:p w14:paraId="10EB11A4"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r>
      <w:tr w:rsidR="00C30DC3" w:rsidRPr="00C30DC3" w14:paraId="657721FD"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04B0FE35"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(90)</w:t>
            </w:r>
          </w:p>
        </w:tc>
        <w:tc>
          <w:tcPr>
            <w:tcW w:w="161" w:type="pct"/>
            <w:tcBorders>
              <w:top w:val="nil"/>
              <w:left w:val="nil"/>
              <w:bottom w:val="nil"/>
              <w:right w:val="nil"/>
            </w:tcBorders>
            <w:shd w:val="clear" w:color="000000" w:fill="FFFFFF"/>
            <w:noWrap/>
            <w:vAlign w:val="bottom"/>
            <w:hideMark/>
          </w:tcPr>
          <w:p w14:paraId="1514F3E0"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5FDC89D3"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Additions funded by Capital Receipts</w:t>
            </w:r>
          </w:p>
        </w:tc>
        <w:tc>
          <w:tcPr>
            <w:tcW w:w="1105" w:type="pct"/>
            <w:tcBorders>
              <w:top w:val="nil"/>
              <w:left w:val="nil"/>
              <w:bottom w:val="nil"/>
              <w:right w:val="nil"/>
            </w:tcBorders>
            <w:shd w:val="clear" w:color="000000" w:fill="FFE1E1"/>
            <w:noWrap/>
            <w:vAlign w:val="bottom"/>
            <w:hideMark/>
          </w:tcPr>
          <w:p w14:paraId="2AA05F5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(1,153)</w:t>
            </w:r>
          </w:p>
        </w:tc>
      </w:tr>
      <w:tr w:rsidR="00C30DC3" w:rsidRPr="00C30DC3" w14:paraId="3288AF5E"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265FD163"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1,862</w:t>
            </w:r>
          </w:p>
        </w:tc>
        <w:tc>
          <w:tcPr>
            <w:tcW w:w="161" w:type="pct"/>
            <w:tcBorders>
              <w:top w:val="nil"/>
              <w:left w:val="nil"/>
              <w:bottom w:val="nil"/>
              <w:right w:val="nil"/>
            </w:tcBorders>
            <w:shd w:val="clear" w:color="000000" w:fill="FFFFFF"/>
            <w:noWrap/>
            <w:vAlign w:val="bottom"/>
            <w:hideMark/>
          </w:tcPr>
          <w:p w14:paraId="44F07AB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58A0775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Depreciation</w:t>
            </w:r>
          </w:p>
        </w:tc>
        <w:tc>
          <w:tcPr>
            <w:tcW w:w="1105" w:type="pct"/>
            <w:tcBorders>
              <w:top w:val="nil"/>
              <w:left w:val="nil"/>
              <w:bottom w:val="nil"/>
              <w:right w:val="nil"/>
            </w:tcBorders>
            <w:shd w:val="clear" w:color="000000" w:fill="FFE1E1"/>
            <w:noWrap/>
            <w:vAlign w:val="bottom"/>
            <w:hideMark/>
          </w:tcPr>
          <w:p w14:paraId="1F0F8C5E" w14:textId="35A7ACA2"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w:t>
            </w:r>
            <w:r w:rsidR="006D6333">
              <w:rPr>
                <w:rFonts w:ascii="Calibri" w:eastAsia="Times New Roman" w:hAnsi="Calibri" w:cs="Calibri"/>
                <w:color w:val="000000"/>
                <w:lang w:eastAsia="en-GB"/>
              </w:rPr>
              <w:t>738</w:t>
            </w:r>
          </w:p>
        </w:tc>
      </w:tr>
      <w:tr w:rsidR="00C30DC3" w:rsidRPr="00C30DC3" w14:paraId="762CC3F7" w14:textId="77777777" w:rsidTr="004555CE">
        <w:trPr>
          <w:divId w:val="1174996311"/>
          <w:trHeight w:val="290"/>
        </w:trPr>
        <w:tc>
          <w:tcPr>
            <w:tcW w:w="1108" w:type="pct"/>
            <w:tcBorders>
              <w:top w:val="nil"/>
              <w:left w:val="nil"/>
              <w:bottom w:val="nil"/>
              <w:right w:val="nil"/>
            </w:tcBorders>
            <w:shd w:val="clear" w:color="000000" w:fill="FFFFFF"/>
            <w:noWrap/>
            <w:vAlign w:val="bottom"/>
            <w:hideMark/>
          </w:tcPr>
          <w:p w14:paraId="40BC6BF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612</w:t>
            </w:r>
          </w:p>
        </w:tc>
        <w:tc>
          <w:tcPr>
            <w:tcW w:w="161" w:type="pct"/>
            <w:tcBorders>
              <w:top w:val="nil"/>
              <w:left w:val="nil"/>
              <w:bottom w:val="nil"/>
              <w:right w:val="nil"/>
            </w:tcBorders>
            <w:shd w:val="clear" w:color="000000" w:fill="FFFFFF"/>
            <w:noWrap/>
            <w:vAlign w:val="bottom"/>
            <w:hideMark/>
          </w:tcPr>
          <w:p w14:paraId="17877D4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626" w:type="pct"/>
            <w:tcBorders>
              <w:top w:val="nil"/>
              <w:left w:val="nil"/>
              <w:bottom w:val="nil"/>
              <w:right w:val="nil"/>
            </w:tcBorders>
            <w:shd w:val="clear" w:color="000000" w:fill="FFFFFF"/>
            <w:vAlign w:val="bottom"/>
            <w:hideMark/>
          </w:tcPr>
          <w:p w14:paraId="43DE321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Revaluation Losses + Disposals</w:t>
            </w:r>
          </w:p>
        </w:tc>
        <w:tc>
          <w:tcPr>
            <w:tcW w:w="1105" w:type="pct"/>
            <w:tcBorders>
              <w:top w:val="nil"/>
              <w:left w:val="nil"/>
              <w:bottom w:val="nil"/>
              <w:right w:val="nil"/>
            </w:tcBorders>
            <w:shd w:val="clear" w:color="000000" w:fill="FFE1E1"/>
            <w:noWrap/>
            <w:vAlign w:val="bottom"/>
            <w:hideMark/>
          </w:tcPr>
          <w:p w14:paraId="3E34444B"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3,545</w:t>
            </w:r>
          </w:p>
        </w:tc>
      </w:tr>
      <w:tr w:rsidR="00C30DC3" w:rsidRPr="00C30DC3" w14:paraId="6E459C76" w14:textId="77777777" w:rsidTr="004555CE">
        <w:trPr>
          <w:divId w:val="1174996311"/>
          <w:trHeight w:val="290"/>
        </w:trPr>
        <w:tc>
          <w:tcPr>
            <w:tcW w:w="1108" w:type="pct"/>
            <w:tcBorders>
              <w:top w:val="single" w:sz="4" w:space="0" w:color="auto"/>
              <w:left w:val="nil"/>
              <w:bottom w:val="single" w:sz="4" w:space="0" w:color="auto"/>
              <w:right w:val="nil"/>
            </w:tcBorders>
            <w:shd w:val="clear" w:color="000000" w:fill="FFFFFF"/>
            <w:noWrap/>
            <w:vAlign w:val="bottom"/>
            <w:hideMark/>
          </w:tcPr>
          <w:p w14:paraId="2E66C8F4" w14:textId="77777777"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(32,389)</w:t>
            </w:r>
          </w:p>
        </w:tc>
        <w:tc>
          <w:tcPr>
            <w:tcW w:w="161" w:type="pct"/>
            <w:tcBorders>
              <w:top w:val="single" w:sz="4" w:space="0" w:color="auto"/>
              <w:left w:val="nil"/>
              <w:bottom w:val="single" w:sz="4" w:space="0" w:color="auto"/>
              <w:right w:val="nil"/>
            </w:tcBorders>
            <w:shd w:val="clear" w:color="000000" w:fill="FFFFFF"/>
            <w:noWrap/>
            <w:vAlign w:val="bottom"/>
            <w:hideMark/>
          </w:tcPr>
          <w:p w14:paraId="3837F39C"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 </w:t>
            </w:r>
          </w:p>
        </w:tc>
        <w:tc>
          <w:tcPr>
            <w:tcW w:w="2626" w:type="pct"/>
            <w:tcBorders>
              <w:top w:val="single" w:sz="4" w:space="0" w:color="auto"/>
              <w:left w:val="nil"/>
              <w:bottom w:val="single" w:sz="4" w:space="0" w:color="auto"/>
              <w:right w:val="nil"/>
            </w:tcBorders>
            <w:shd w:val="clear" w:color="000000" w:fill="FFFFFF"/>
            <w:vAlign w:val="bottom"/>
            <w:hideMark/>
          </w:tcPr>
          <w:p w14:paraId="55897FA3"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Capital Adjustment Reserves</w:t>
            </w:r>
          </w:p>
        </w:tc>
        <w:tc>
          <w:tcPr>
            <w:tcW w:w="1105" w:type="pct"/>
            <w:tcBorders>
              <w:top w:val="single" w:sz="4" w:space="0" w:color="auto"/>
              <w:left w:val="nil"/>
              <w:bottom w:val="single" w:sz="4" w:space="0" w:color="auto"/>
              <w:right w:val="nil"/>
            </w:tcBorders>
            <w:shd w:val="clear" w:color="000000" w:fill="FFE1E1"/>
            <w:noWrap/>
            <w:vAlign w:val="bottom"/>
            <w:hideMark/>
          </w:tcPr>
          <w:p w14:paraId="16F2737F" w14:textId="6B00D015"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(28,</w:t>
            </w:r>
            <w:r w:rsidR="006D6333">
              <w:rPr>
                <w:rFonts w:ascii="Calibri" w:eastAsia="Times New Roman" w:hAnsi="Calibri" w:cs="Calibri"/>
                <w:b/>
                <w:bCs/>
                <w:color w:val="000000"/>
                <w:lang w:eastAsia="en-GB"/>
              </w:rPr>
              <w:t>537</w:t>
            </w:r>
            <w:r w:rsidRPr="00C30DC3">
              <w:rPr>
                <w:rFonts w:ascii="Calibri" w:eastAsia="Times New Roman" w:hAnsi="Calibri" w:cs="Calibri"/>
                <w:b/>
                <w:bCs/>
                <w:color w:val="000000"/>
                <w:lang w:eastAsia="en-GB"/>
              </w:rPr>
              <w:t>)</w:t>
            </w:r>
          </w:p>
        </w:tc>
      </w:tr>
    </w:tbl>
    <w:p w14:paraId="1BAD725C" w14:textId="39AFC8AC" w:rsidR="008D525E" w:rsidRDefault="008D525E" w:rsidP="005C4AE8">
      <w:pPr>
        <w:rPr>
          <w:rFonts w:cs="Arial"/>
        </w:rPr>
      </w:pPr>
    </w:p>
    <w:p w14:paraId="35F6254C" w14:textId="77777777" w:rsidR="00011B0F" w:rsidRDefault="00011B0F" w:rsidP="002A1ADD">
      <w:pPr>
        <w:pStyle w:val="VAHeadingLevel2"/>
        <w:rPr>
          <w:lang w:eastAsia="en-GB"/>
        </w:rPr>
      </w:pPr>
    </w:p>
    <w:p w14:paraId="3EA2628B" w14:textId="77777777" w:rsidR="00011B0F" w:rsidRDefault="00011B0F" w:rsidP="002A1ADD">
      <w:pPr>
        <w:pStyle w:val="VAHeadingLevel2"/>
        <w:rPr>
          <w:lang w:eastAsia="en-GB"/>
        </w:rPr>
      </w:pPr>
    </w:p>
    <w:p w14:paraId="255EAD44" w14:textId="77777777" w:rsidR="00011B0F" w:rsidRDefault="00011B0F" w:rsidP="002A1ADD">
      <w:pPr>
        <w:pStyle w:val="VAHeadingLevel2"/>
        <w:rPr>
          <w:lang w:eastAsia="en-GB"/>
        </w:rPr>
      </w:pPr>
    </w:p>
    <w:p w14:paraId="367E7946" w14:textId="76AB5166" w:rsidR="005C4AE8" w:rsidRPr="00864FE6" w:rsidRDefault="005C4AE8" w:rsidP="002A1ADD">
      <w:pPr>
        <w:pStyle w:val="VAHeadingLevel2"/>
        <w:rPr>
          <w:lang w:eastAsia="en-GB"/>
        </w:rPr>
      </w:pPr>
      <w:r w:rsidRPr="00864FE6">
        <w:rPr>
          <w:lang w:eastAsia="en-GB"/>
        </w:rPr>
        <w:lastRenderedPageBreak/>
        <w:t xml:space="preserve">Note 17.3. Pension Reserve </w:t>
      </w:r>
    </w:p>
    <w:p w14:paraId="56AE00CD" w14:textId="0DF374B3" w:rsidR="005C4AE8" w:rsidRPr="003B0B3A" w:rsidRDefault="005C4AE8" w:rsidP="005C4AE8">
      <w:r w:rsidRPr="007F07C2">
        <w:t xml:space="preserve">The Pension Reserve absorbs the timing differences arising from the different arrangements for accounting for post-employment benefits and for funding benefits in accordance with statutory provisions. </w:t>
      </w:r>
      <w:r>
        <w:t xml:space="preserve"> </w:t>
      </w:r>
      <w:r w:rsidRPr="007F07C2">
        <w:t xml:space="preserve">The Authority accounts for post-employment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w:t>
      </w:r>
      <w:r>
        <w:t xml:space="preserve"> </w:t>
      </w:r>
      <w:r w:rsidRPr="007F07C2">
        <w:t xml:space="preserve">However, statutory arrangements require benefits earned to be financed as the Authority makes employer’s contributions to pension funds or eventually pay any pensions for which it is directly responsible. </w:t>
      </w:r>
      <w:r>
        <w:t xml:space="preserve"> </w:t>
      </w:r>
      <w:r w:rsidRPr="007F07C2">
        <w:t xml:space="preserve">The debit balance on the Pensions Reserve therefore shows a substantial shortfall in the benefits earned by past and current employees and the resources the Authority has set aside to meet them. </w:t>
      </w:r>
      <w:r>
        <w:t xml:space="preserve"> </w:t>
      </w:r>
      <w:r w:rsidRPr="007F07C2">
        <w:t xml:space="preserve">The statutory arrangements will ensure that funding will have been set aside by the time the benefits come to be paid. </w:t>
      </w:r>
    </w:p>
    <w:p w14:paraId="17B41F8F" w14:textId="630B0AF2" w:rsidR="00BA00AC" w:rsidRDefault="00BA00AC" w:rsidP="005C4AE8">
      <w:pPr>
        <w:rPr>
          <w:rFonts w:cstheme="minorBidi"/>
        </w:rPr>
      </w:pPr>
    </w:p>
    <w:tbl>
      <w:tblPr>
        <w:tblW w:w="5000" w:type="pct"/>
        <w:tblLook w:val="04A0" w:firstRow="1" w:lastRow="0" w:firstColumn="1" w:lastColumn="0" w:noHBand="0" w:noVBand="1"/>
      </w:tblPr>
      <w:tblGrid>
        <w:gridCol w:w="2294"/>
        <w:gridCol w:w="349"/>
        <w:gridCol w:w="5441"/>
        <w:gridCol w:w="2291"/>
      </w:tblGrid>
      <w:tr w:rsidR="00BA00AC" w:rsidRPr="00BA00AC" w14:paraId="45BD6DDD" w14:textId="77777777" w:rsidTr="009A5CDE">
        <w:trPr>
          <w:trHeight w:val="269"/>
        </w:trPr>
        <w:tc>
          <w:tcPr>
            <w:tcW w:w="1106" w:type="pct"/>
            <w:tcBorders>
              <w:top w:val="nil"/>
              <w:left w:val="nil"/>
              <w:bottom w:val="nil"/>
              <w:right w:val="nil"/>
            </w:tcBorders>
            <w:shd w:val="clear" w:color="000000" w:fill="AB2328"/>
            <w:noWrap/>
            <w:vAlign w:val="bottom"/>
            <w:hideMark/>
          </w:tcPr>
          <w:p w14:paraId="6B628F21" w14:textId="5D621B09"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31 March 2024</w:t>
            </w:r>
          </w:p>
        </w:tc>
        <w:tc>
          <w:tcPr>
            <w:tcW w:w="168" w:type="pct"/>
            <w:tcBorders>
              <w:top w:val="nil"/>
              <w:left w:val="nil"/>
              <w:bottom w:val="nil"/>
              <w:right w:val="nil"/>
            </w:tcBorders>
            <w:shd w:val="clear" w:color="000000" w:fill="AB2328"/>
            <w:noWrap/>
            <w:vAlign w:val="bottom"/>
            <w:hideMark/>
          </w:tcPr>
          <w:p w14:paraId="3F19CFE9" w14:textId="77777777"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 </w:t>
            </w:r>
          </w:p>
        </w:tc>
        <w:tc>
          <w:tcPr>
            <w:tcW w:w="2622" w:type="pct"/>
            <w:tcBorders>
              <w:top w:val="nil"/>
              <w:left w:val="nil"/>
              <w:bottom w:val="nil"/>
              <w:right w:val="nil"/>
            </w:tcBorders>
            <w:shd w:val="clear" w:color="000000" w:fill="AB2328"/>
            <w:vAlign w:val="bottom"/>
            <w:hideMark/>
          </w:tcPr>
          <w:p w14:paraId="5C49FF46" w14:textId="77777777" w:rsidR="00BA00AC" w:rsidRPr="00BA00AC" w:rsidRDefault="00BA00AC" w:rsidP="00BA00AC">
            <w:pPr>
              <w:spacing w:line="240" w:lineRule="auto"/>
              <w:jc w:val="lef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 </w:t>
            </w:r>
          </w:p>
        </w:tc>
        <w:tc>
          <w:tcPr>
            <w:tcW w:w="1104" w:type="pct"/>
            <w:tcBorders>
              <w:top w:val="nil"/>
              <w:left w:val="nil"/>
              <w:bottom w:val="nil"/>
              <w:right w:val="nil"/>
            </w:tcBorders>
            <w:shd w:val="clear" w:color="000000" w:fill="AB2328"/>
            <w:noWrap/>
            <w:vAlign w:val="bottom"/>
            <w:hideMark/>
          </w:tcPr>
          <w:p w14:paraId="1DD31445" w14:textId="77777777"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31 March 2025</w:t>
            </w:r>
          </w:p>
        </w:tc>
      </w:tr>
      <w:tr w:rsidR="00BA00AC" w:rsidRPr="00BA00AC" w14:paraId="57BEFE94" w14:textId="77777777" w:rsidTr="009A5CDE">
        <w:trPr>
          <w:trHeight w:val="269"/>
        </w:trPr>
        <w:tc>
          <w:tcPr>
            <w:tcW w:w="1106" w:type="pct"/>
            <w:tcBorders>
              <w:top w:val="nil"/>
              <w:left w:val="nil"/>
              <w:bottom w:val="nil"/>
              <w:right w:val="nil"/>
            </w:tcBorders>
            <w:shd w:val="clear" w:color="000000" w:fill="AB2328"/>
            <w:noWrap/>
            <w:vAlign w:val="bottom"/>
            <w:hideMark/>
          </w:tcPr>
          <w:p w14:paraId="0F2C861D" w14:textId="77777777"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£000</w:t>
            </w:r>
          </w:p>
        </w:tc>
        <w:tc>
          <w:tcPr>
            <w:tcW w:w="168" w:type="pct"/>
            <w:tcBorders>
              <w:top w:val="nil"/>
              <w:left w:val="nil"/>
              <w:bottom w:val="nil"/>
              <w:right w:val="nil"/>
            </w:tcBorders>
            <w:shd w:val="clear" w:color="000000" w:fill="AB2328"/>
            <w:noWrap/>
            <w:vAlign w:val="bottom"/>
            <w:hideMark/>
          </w:tcPr>
          <w:p w14:paraId="3A21BD4F" w14:textId="77777777"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 </w:t>
            </w:r>
          </w:p>
        </w:tc>
        <w:tc>
          <w:tcPr>
            <w:tcW w:w="2622" w:type="pct"/>
            <w:tcBorders>
              <w:top w:val="nil"/>
              <w:left w:val="nil"/>
              <w:bottom w:val="nil"/>
              <w:right w:val="nil"/>
            </w:tcBorders>
            <w:shd w:val="clear" w:color="000000" w:fill="AB2328"/>
            <w:vAlign w:val="bottom"/>
            <w:hideMark/>
          </w:tcPr>
          <w:p w14:paraId="3B685112" w14:textId="77777777" w:rsidR="00BA00AC" w:rsidRPr="00BA00AC" w:rsidRDefault="00BA00AC" w:rsidP="00BA00AC">
            <w:pPr>
              <w:spacing w:line="240" w:lineRule="auto"/>
              <w:jc w:val="lef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 </w:t>
            </w:r>
          </w:p>
        </w:tc>
        <w:tc>
          <w:tcPr>
            <w:tcW w:w="1104" w:type="pct"/>
            <w:tcBorders>
              <w:top w:val="nil"/>
              <w:left w:val="nil"/>
              <w:bottom w:val="nil"/>
              <w:right w:val="nil"/>
            </w:tcBorders>
            <w:shd w:val="clear" w:color="000000" w:fill="AB2328"/>
            <w:noWrap/>
            <w:vAlign w:val="bottom"/>
            <w:hideMark/>
          </w:tcPr>
          <w:p w14:paraId="2BFB036C" w14:textId="77777777" w:rsidR="00BA00AC" w:rsidRPr="00BA00AC" w:rsidRDefault="00BA00AC" w:rsidP="00BA00AC">
            <w:pPr>
              <w:spacing w:line="240" w:lineRule="auto"/>
              <w:jc w:val="right"/>
              <w:rPr>
                <w:rFonts w:ascii="Calibri" w:eastAsia="Times New Roman" w:hAnsi="Calibri" w:cs="Calibri"/>
                <w:b/>
                <w:bCs/>
                <w:color w:val="FFFFFF"/>
                <w:lang w:eastAsia="en-GB"/>
              </w:rPr>
            </w:pPr>
            <w:r w:rsidRPr="00BA00AC">
              <w:rPr>
                <w:rFonts w:ascii="Calibri" w:eastAsia="Times New Roman" w:hAnsi="Calibri" w:cs="Calibri"/>
                <w:b/>
                <w:bCs/>
                <w:color w:val="FFFFFF"/>
                <w:lang w:eastAsia="en-GB"/>
              </w:rPr>
              <w:t>£000</w:t>
            </w:r>
          </w:p>
        </w:tc>
      </w:tr>
      <w:tr w:rsidR="00BA00AC" w:rsidRPr="00BA00AC" w14:paraId="2A35C76B" w14:textId="77777777" w:rsidTr="009A5CDE">
        <w:trPr>
          <w:trHeight w:val="269"/>
        </w:trPr>
        <w:tc>
          <w:tcPr>
            <w:tcW w:w="1106" w:type="pct"/>
            <w:tcBorders>
              <w:top w:val="nil"/>
              <w:left w:val="nil"/>
              <w:bottom w:val="nil"/>
              <w:right w:val="nil"/>
            </w:tcBorders>
            <w:shd w:val="clear" w:color="000000" w:fill="FFFFFF"/>
            <w:noWrap/>
            <w:vAlign w:val="bottom"/>
            <w:hideMark/>
          </w:tcPr>
          <w:p w14:paraId="55396462" w14:textId="77777777" w:rsidR="00BA00AC" w:rsidRPr="00BA00AC" w:rsidRDefault="00BA00AC" w:rsidP="00BA00AC">
            <w:pPr>
              <w:spacing w:line="240" w:lineRule="auto"/>
              <w:jc w:val="right"/>
              <w:rPr>
                <w:rFonts w:ascii="Calibri" w:eastAsia="Times New Roman" w:hAnsi="Calibri" w:cs="Calibri"/>
                <w:color w:val="000000"/>
                <w:lang w:eastAsia="en-GB"/>
              </w:rPr>
            </w:pPr>
            <w:r w:rsidRPr="00BA00AC">
              <w:rPr>
                <w:rFonts w:ascii="Calibri" w:eastAsia="Times New Roman" w:hAnsi="Calibri" w:cs="Calibri"/>
                <w:color w:val="000000"/>
                <w:lang w:eastAsia="en-GB"/>
              </w:rPr>
              <w:t>239,524</w:t>
            </w:r>
          </w:p>
        </w:tc>
        <w:tc>
          <w:tcPr>
            <w:tcW w:w="168" w:type="pct"/>
            <w:tcBorders>
              <w:top w:val="nil"/>
              <w:left w:val="nil"/>
              <w:bottom w:val="nil"/>
              <w:right w:val="nil"/>
            </w:tcBorders>
            <w:shd w:val="clear" w:color="000000" w:fill="FFFFFF"/>
            <w:noWrap/>
            <w:vAlign w:val="bottom"/>
            <w:hideMark/>
          </w:tcPr>
          <w:p w14:paraId="15CCDDAB" w14:textId="77777777" w:rsidR="00BA00AC" w:rsidRPr="00BA00AC" w:rsidRDefault="00BA00AC" w:rsidP="00BA00AC">
            <w:pPr>
              <w:spacing w:line="240" w:lineRule="auto"/>
              <w:jc w:val="left"/>
              <w:rPr>
                <w:rFonts w:ascii="Calibri" w:eastAsia="Times New Roman" w:hAnsi="Calibri" w:cs="Calibri"/>
                <w:color w:val="000000"/>
                <w:lang w:eastAsia="en-GB"/>
              </w:rPr>
            </w:pPr>
            <w:r w:rsidRPr="00BA00AC">
              <w:rPr>
                <w:rFonts w:ascii="Calibri" w:eastAsia="Times New Roman" w:hAnsi="Calibri" w:cs="Calibri"/>
                <w:color w:val="000000"/>
                <w:lang w:eastAsia="en-GB"/>
              </w:rPr>
              <w:t> </w:t>
            </w:r>
          </w:p>
        </w:tc>
        <w:tc>
          <w:tcPr>
            <w:tcW w:w="2622" w:type="pct"/>
            <w:tcBorders>
              <w:top w:val="nil"/>
              <w:left w:val="nil"/>
              <w:bottom w:val="nil"/>
              <w:right w:val="nil"/>
            </w:tcBorders>
            <w:shd w:val="clear" w:color="000000" w:fill="FFFFFF"/>
            <w:vAlign w:val="bottom"/>
            <w:hideMark/>
          </w:tcPr>
          <w:p w14:paraId="6F60A955" w14:textId="77777777" w:rsidR="00BA00AC" w:rsidRPr="00BA00AC" w:rsidRDefault="00BA00AC" w:rsidP="00BA00AC">
            <w:pPr>
              <w:spacing w:line="240" w:lineRule="auto"/>
              <w:jc w:val="left"/>
              <w:rPr>
                <w:rFonts w:ascii="Calibri" w:eastAsia="Times New Roman" w:hAnsi="Calibri" w:cs="Calibri"/>
                <w:color w:val="000000"/>
                <w:lang w:eastAsia="en-GB"/>
              </w:rPr>
            </w:pPr>
            <w:r w:rsidRPr="00BA00AC">
              <w:rPr>
                <w:rFonts w:ascii="Calibri" w:eastAsia="Times New Roman" w:hAnsi="Calibri" w:cs="Calibri"/>
                <w:color w:val="000000"/>
                <w:lang w:eastAsia="en-GB"/>
              </w:rPr>
              <w:t>Opening Balance</w:t>
            </w:r>
          </w:p>
        </w:tc>
        <w:tc>
          <w:tcPr>
            <w:tcW w:w="1104" w:type="pct"/>
            <w:tcBorders>
              <w:top w:val="nil"/>
              <w:left w:val="nil"/>
              <w:bottom w:val="nil"/>
              <w:right w:val="nil"/>
            </w:tcBorders>
            <w:shd w:val="clear" w:color="000000" w:fill="FFE1E1"/>
            <w:noWrap/>
            <w:vAlign w:val="bottom"/>
            <w:hideMark/>
          </w:tcPr>
          <w:p w14:paraId="6A4D1544" w14:textId="77777777" w:rsidR="00BA00AC" w:rsidRPr="00BA00AC" w:rsidRDefault="00BA00AC" w:rsidP="00BA00AC">
            <w:pPr>
              <w:spacing w:line="240" w:lineRule="auto"/>
              <w:jc w:val="right"/>
              <w:rPr>
                <w:rFonts w:ascii="Calibri" w:eastAsia="Times New Roman" w:hAnsi="Calibri" w:cs="Calibri"/>
                <w:color w:val="000000"/>
                <w:lang w:eastAsia="en-GB"/>
              </w:rPr>
            </w:pPr>
            <w:r w:rsidRPr="00BA00AC">
              <w:rPr>
                <w:rFonts w:ascii="Calibri" w:eastAsia="Times New Roman" w:hAnsi="Calibri" w:cs="Calibri"/>
                <w:color w:val="000000"/>
                <w:lang w:eastAsia="en-GB"/>
              </w:rPr>
              <w:t>245,881</w:t>
            </w:r>
          </w:p>
        </w:tc>
      </w:tr>
      <w:tr w:rsidR="00BA00AC" w:rsidRPr="00BA00AC" w14:paraId="615F7BC6" w14:textId="77777777" w:rsidTr="009A5CDE">
        <w:trPr>
          <w:trHeight w:val="269"/>
        </w:trPr>
        <w:tc>
          <w:tcPr>
            <w:tcW w:w="1106" w:type="pct"/>
            <w:tcBorders>
              <w:top w:val="nil"/>
              <w:left w:val="nil"/>
              <w:bottom w:val="nil"/>
              <w:right w:val="nil"/>
            </w:tcBorders>
            <w:shd w:val="clear" w:color="000000" w:fill="FFFFFF"/>
            <w:noWrap/>
            <w:vAlign w:val="bottom"/>
            <w:hideMark/>
          </w:tcPr>
          <w:p w14:paraId="6C30150E" w14:textId="77777777" w:rsidR="00BA00AC" w:rsidRPr="00BA00AC" w:rsidRDefault="00BA00AC" w:rsidP="00BA00AC">
            <w:pPr>
              <w:spacing w:line="240" w:lineRule="auto"/>
              <w:jc w:val="right"/>
              <w:rPr>
                <w:rFonts w:ascii="Calibri" w:eastAsia="Times New Roman" w:hAnsi="Calibri" w:cs="Calibri"/>
                <w:color w:val="000000"/>
                <w:lang w:eastAsia="en-GB"/>
              </w:rPr>
            </w:pPr>
            <w:r w:rsidRPr="00BA00AC">
              <w:rPr>
                <w:rFonts w:ascii="Calibri" w:eastAsia="Times New Roman" w:hAnsi="Calibri" w:cs="Calibri"/>
                <w:color w:val="000000"/>
                <w:lang w:eastAsia="en-GB"/>
              </w:rPr>
              <w:t>6,357</w:t>
            </w:r>
          </w:p>
        </w:tc>
        <w:tc>
          <w:tcPr>
            <w:tcW w:w="168" w:type="pct"/>
            <w:tcBorders>
              <w:top w:val="nil"/>
              <w:left w:val="nil"/>
              <w:bottom w:val="nil"/>
              <w:right w:val="nil"/>
            </w:tcBorders>
            <w:shd w:val="clear" w:color="000000" w:fill="FFFFFF"/>
            <w:noWrap/>
            <w:vAlign w:val="bottom"/>
            <w:hideMark/>
          </w:tcPr>
          <w:p w14:paraId="0BA4BB57" w14:textId="77777777" w:rsidR="00BA00AC" w:rsidRPr="00BA00AC" w:rsidRDefault="00BA00AC" w:rsidP="00BA00AC">
            <w:pPr>
              <w:spacing w:line="240" w:lineRule="auto"/>
              <w:jc w:val="left"/>
              <w:rPr>
                <w:rFonts w:ascii="Calibri" w:eastAsia="Times New Roman" w:hAnsi="Calibri" w:cs="Calibri"/>
                <w:color w:val="000000"/>
                <w:lang w:eastAsia="en-GB"/>
              </w:rPr>
            </w:pPr>
            <w:r w:rsidRPr="00BA00AC">
              <w:rPr>
                <w:rFonts w:ascii="Calibri" w:eastAsia="Times New Roman" w:hAnsi="Calibri" w:cs="Calibri"/>
                <w:color w:val="000000"/>
                <w:lang w:eastAsia="en-GB"/>
              </w:rPr>
              <w:t> </w:t>
            </w:r>
          </w:p>
        </w:tc>
        <w:tc>
          <w:tcPr>
            <w:tcW w:w="2622" w:type="pct"/>
            <w:tcBorders>
              <w:top w:val="nil"/>
              <w:left w:val="nil"/>
              <w:bottom w:val="nil"/>
              <w:right w:val="nil"/>
            </w:tcBorders>
            <w:shd w:val="clear" w:color="000000" w:fill="FFFFFF"/>
            <w:vAlign w:val="bottom"/>
            <w:hideMark/>
          </w:tcPr>
          <w:p w14:paraId="49B3B8D2" w14:textId="77777777" w:rsidR="00BA00AC" w:rsidRPr="00BA00AC" w:rsidRDefault="00BA00AC" w:rsidP="00BA00AC">
            <w:pPr>
              <w:spacing w:line="240" w:lineRule="auto"/>
              <w:jc w:val="left"/>
              <w:rPr>
                <w:rFonts w:ascii="Calibri" w:eastAsia="Times New Roman" w:hAnsi="Calibri" w:cs="Calibri"/>
                <w:color w:val="000000"/>
                <w:lang w:eastAsia="en-GB"/>
              </w:rPr>
            </w:pPr>
            <w:r w:rsidRPr="00BA00AC">
              <w:rPr>
                <w:rFonts w:ascii="Calibri" w:eastAsia="Times New Roman" w:hAnsi="Calibri" w:cs="Calibri"/>
                <w:color w:val="000000"/>
                <w:lang w:eastAsia="en-GB"/>
              </w:rPr>
              <w:t>Actuarial (Gains)/Losses</w:t>
            </w:r>
          </w:p>
        </w:tc>
        <w:tc>
          <w:tcPr>
            <w:tcW w:w="1104" w:type="pct"/>
            <w:tcBorders>
              <w:top w:val="nil"/>
              <w:left w:val="nil"/>
              <w:bottom w:val="nil"/>
              <w:right w:val="nil"/>
            </w:tcBorders>
            <w:shd w:val="clear" w:color="000000" w:fill="FFE1E1"/>
            <w:noWrap/>
            <w:vAlign w:val="bottom"/>
            <w:hideMark/>
          </w:tcPr>
          <w:p w14:paraId="0EC61D52" w14:textId="77777777" w:rsidR="00BA00AC" w:rsidRPr="00BA00AC" w:rsidRDefault="00BA00AC" w:rsidP="00BA00AC">
            <w:pPr>
              <w:spacing w:line="240" w:lineRule="auto"/>
              <w:jc w:val="right"/>
              <w:rPr>
                <w:rFonts w:ascii="Calibri" w:eastAsia="Times New Roman" w:hAnsi="Calibri" w:cs="Calibri"/>
                <w:color w:val="000000"/>
                <w:lang w:eastAsia="en-GB"/>
              </w:rPr>
            </w:pPr>
            <w:r w:rsidRPr="00BA00AC">
              <w:rPr>
                <w:rFonts w:ascii="Calibri" w:eastAsia="Times New Roman" w:hAnsi="Calibri" w:cs="Calibri"/>
                <w:color w:val="000000"/>
                <w:lang w:eastAsia="en-GB"/>
              </w:rPr>
              <w:t>(23,411)</w:t>
            </w:r>
          </w:p>
        </w:tc>
      </w:tr>
      <w:tr w:rsidR="00BA00AC" w:rsidRPr="00BA00AC" w14:paraId="17B0B210" w14:textId="77777777" w:rsidTr="009A5CDE">
        <w:trPr>
          <w:trHeight w:val="269"/>
        </w:trPr>
        <w:tc>
          <w:tcPr>
            <w:tcW w:w="1106" w:type="pct"/>
            <w:tcBorders>
              <w:top w:val="single" w:sz="4" w:space="0" w:color="auto"/>
              <w:left w:val="nil"/>
              <w:bottom w:val="single" w:sz="4" w:space="0" w:color="auto"/>
              <w:right w:val="nil"/>
            </w:tcBorders>
            <w:shd w:val="clear" w:color="000000" w:fill="FFFFFF"/>
            <w:noWrap/>
            <w:vAlign w:val="bottom"/>
            <w:hideMark/>
          </w:tcPr>
          <w:p w14:paraId="271C427C" w14:textId="77777777" w:rsidR="00BA00AC" w:rsidRPr="00BA00AC" w:rsidRDefault="00BA00AC" w:rsidP="00BA00AC">
            <w:pPr>
              <w:spacing w:line="240" w:lineRule="auto"/>
              <w:jc w:val="right"/>
              <w:rPr>
                <w:rFonts w:ascii="Calibri" w:eastAsia="Times New Roman" w:hAnsi="Calibri" w:cs="Calibri"/>
                <w:b/>
                <w:bCs/>
                <w:color w:val="000000"/>
                <w:lang w:eastAsia="en-GB"/>
              </w:rPr>
            </w:pPr>
            <w:r w:rsidRPr="00BA00AC">
              <w:rPr>
                <w:rFonts w:ascii="Calibri" w:eastAsia="Times New Roman" w:hAnsi="Calibri" w:cs="Calibri"/>
                <w:b/>
                <w:bCs/>
                <w:color w:val="000000"/>
                <w:lang w:eastAsia="en-GB"/>
              </w:rPr>
              <w:t>245,881</w:t>
            </w:r>
          </w:p>
        </w:tc>
        <w:tc>
          <w:tcPr>
            <w:tcW w:w="168" w:type="pct"/>
            <w:tcBorders>
              <w:top w:val="single" w:sz="4" w:space="0" w:color="auto"/>
              <w:left w:val="nil"/>
              <w:bottom w:val="single" w:sz="4" w:space="0" w:color="auto"/>
              <w:right w:val="nil"/>
            </w:tcBorders>
            <w:shd w:val="clear" w:color="000000" w:fill="FFFFFF"/>
            <w:noWrap/>
            <w:vAlign w:val="bottom"/>
            <w:hideMark/>
          </w:tcPr>
          <w:p w14:paraId="022F4393" w14:textId="77777777" w:rsidR="00BA00AC" w:rsidRPr="00BA00AC" w:rsidRDefault="00BA00AC" w:rsidP="00BA00AC">
            <w:pPr>
              <w:spacing w:line="240" w:lineRule="auto"/>
              <w:jc w:val="left"/>
              <w:rPr>
                <w:rFonts w:ascii="Calibri" w:eastAsia="Times New Roman" w:hAnsi="Calibri" w:cs="Calibri"/>
                <w:b/>
                <w:bCs/>
                <w:color w:val="000000"/>
                <w:lang w:eastAsia="en-GB"/>
              </w:rPr>
            </w:pPr>
            <w:r w:rsidRPr="00BA00AC">
              <w:rPr>
                <w:rFonts w:ascii="Calibri" w:eastAsia="Times New Roman" w:hAnsi="Calibri" w:cs="Calibri"/>
                <w:b/>
                <w:bCs/>
                <w:color w:val="000000"/>
                <w:lang w:eastAsia="en-GB"/>
              </w:rPr>
              <w:t> </w:t>
            </w:r>
          </w:p>
        </w:tc>
        <w:tc>
          <w:tcPr>
            <w:tcW w:w="2622" w:type="pct"/>
            <w:tcBorders>
              <w:top w:val="single" w:sz="4" w:space="0" w:color="auto"/>
              <w:left w:val="nil"/>
              <w:bottom w:val="single" w:sz="4" w:space="0" w:color="auto"/>
              <w:right w:val="nil"/>
            </w:tcBorders>
            <w:shd w:val="clear" w:color="000000" w:fill="FFFFFF"/>
            <w:vAlign w:val="bottom"/>
            <w:hideMark/>
          </w:tcPr>
          <w:p w14:paraId="6A401E8A" w14:textId="77777777" w:rsidR="00BA00AC" w:rsidRPr="00BA00AC" w:rsidRDefault="00BA00AC" w:rsidP="00BA00AC">
            <w:pPr>
              <w:spacing w:line="240" w:lineRule="auto"/>
              <w:jc w:val="left"/>
              <w:rPr>
                <w:rFonts w:ascii="Calibri" w:eastAsia="Times New Roman" w:hAnsi="Calibri" w:cs="Calibri"/>
                <w:b/>
                <w:bCs/>
                <w:color w:val="000000"/>
                <w:lang w:eastAsia="en-GB"/>
              </w:rPr>
            </w:pPr>
            <w:r w:rsidRPr="00BA00AC">
              <w:rPr>
                <w:rFonts w:ascii="Calibri" w:eastAsia="Times New Roman" w:hAnsi="Calibri" w:cs="Calibri"/>
                <w:b/>
                <w:bCs/>
                <w:color w:val="000000"/>
                <w:lang w:eastAsia="en-GB"/>
              </w:rPr>
              <w:t>Pension Reserve</w:t>
            </w:r>
          </w:p>
        </w:tc>
        <w:tc>
          <w:tcPr>
            <w:tcW w:w="1104" w:type="pct"/>
            <w:tcBorders>
              <w:top w:val="single" w:sz="4" w:space="0" w:color="auto"/>
              <w:left w:val="nil"/>
              <w:bottom w:val="single" w:sz="4" w:space="0" w:color="auto"/>
              <w:right w:val="nil"/>
            </w:tcBorders>
            <w:shd w:val="clear" w:color="000000" w:fill="FFE1E1"/>
            <w:noWrap/>
            <w:vAlign w:val="bottom"/>
            <w:hideMark/>
          </w:tcPr>
          <w:p w14:paraId="38E0808F" w14:textId="77777777" w:rsidR="00BA00AC" w:rsidRPr="00BA00AC" w:rsidRDefault="00BA00AC" w:rsidP="00BA00AC">
            <w:pPr>
              <w:spacing w:line="240" w:lineRule="auto"/>
              <w:jc w:val="right"/>
              <w:rPr>
                <w:rFonts w:ascii="Calibri" w:eastAsia="Times New Roman" w:hAnsi="Calibri" w:cs="Calibri"/>
                <w:b/>
                <w:bCs/>
                <w:color w:val="000000"/>
                <w:lang w:eastAsia="en-GB"/>
              </w:rPr>
            </w:pPr>
            <w:r w:rsidRPr="00BA00AC">
              <w:rPr>
                <w:rFonts w:ascii="Calibri" w:eastAsia="Times New Roman" w:hAnsi="Calibri" w:cs="Calibri"/>
                <w:b/>
                <w:bCs/>
                <w:color w:val="000000"/>
                <w:lang w:eastAsia="en-GB"/>
              </w:rPr>
              <w:t>222,470</w:t>
            </w:r>
          </w:p>
        </w:tc>
      </w:tr>
    </w:tbl>
    <w:p w14:paraId="6C619DC6" w14:textId="11BEE2AF" w:rsidR="005C4AE8" w:rsidRPr="00B635CE" w:rsidRDefault="005C4AE8" w:rsidP="005C4AE8">
      <w:pPr>
        <w:rPr>
          <w:rFonts w:cs="Arial"/>
        </w:rPr>
      </w:pPr>
    </w:p>
    <w:p w14:paraId="23A1AAB8" w14:textId="0ABAEB4D" w:rsidR="005C4AE8" w:rsidRPr="00A26B2C" w:rsidRDefault="005C4AE8" w:rsidP="002A1ADD">
      <w:pPr>
        <w:pStyle w:val="VAHeadingLevel2"/>
        <w:rPr>
          <w:lang w:eastAsia="en-GB"/>
        </w:rPr>
      </w:pPr>
      <w:r w:rsidRPr="00A26B2C">
        <w:rPr>
          <w:lang w:eastAsia="en-GB"/>
        </w:rPr>
        <w:t>Note 17.4. Accumulated Absences Account</w:t>
      </w:r>
    </w:p>
    <w:p w14:paraId="36172D04" w14:textId="615B970E" w:rsidR="001F5E79" w:rsidRDefault="001F5E79" w:rsidP="005C4AE8">
      <w:pPr>
        <w:rPr>
          <w:rFonts w:cstheme="minorBidi"/>
        </w:rPr>
      </w:pPr>
    </w:p>
    <w:tbl>
      <w:tblPr>
        <w:tblW w:w="5000" w:type="pct"/>
        <w:tblLook w:val="04A0" w:firstRow="1" w:lastRow="0" w:firstColumn="1" w:lastColumn="0" w:noHBand="0" w:noVBand="1"/>
      </w:tblPr>
      <w:tblGrid>
        <w:gridCol w:w="2294"/>
        <w:gridCol w:w="349"/>
        <w:gridCol w:w="5441"/>
        <w:gridCol w:w="2291"/>
      </w:tblGrid>
      <w:tr w:rsidR="001F5E79" w:rsidRPr="001F5E79" w14:paraId="77DC67BA" w14:textId="77777777" w:rsidTr="009A5CDE">
        <w:trPr>
          <w:trHeight w:val="272"/>
        </w:trPr>
        <w:tc>
          <w:tcPr>
            <w:tcW w:w="1106" w:type="pct"/>
            <w:tcBorders>
              <w:top w:val="nil"/>
              <w:left w:val="nil"/>
              <w:bottom w:val="nil"/>
              <w:right w:val="nil"/>
            </w:tcBorders>
            <w:shd w:val="clear" w:color="000000" w:fill="AB2328"/>
            <w:noWrap/>
            <w:vAlign w:val="bottom"/>
            <w:hideMark/>
          </w:tcPr>
          <w:p w14:paraId="6148E8AB" w14:textId="38CD4685"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31 March 2024</w:t>
            </w:r>
          </w:p>
        </w:tc>
        <w:tc>
          <w:tcPr>
            <w:tcW w:w="168" w:type="pct"/>
            <w:tcBorders>
              <w:top w:val="nil"/>
              <w:left w:val="nil"/>
              <w:bottom w:val="nil"/>
              <w:right w:val="nil"/>
            </w:tcBorders>
            <w:shd w:val="clear" w:color="000000" w:fill="AB2328"/>
            <w:noWrap/>
            <w:vAlign w:val="bottom"/>
            <w:hideMark/>
          </w:tcPr>
          <w:p w14:paraId="4512E062" w14:textId="77777777"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 </w:t>
            </w:r>
          </w:p>
        </w:tc>
        <w:tc>
          <w:tcPr>
            <w:tcW w:w="2622" w:type="pct"/>
            <w:tcBorders>
              <w:top w:val="nil"/>
              <w:left w:val="nil"/>
              <w:bottom w:val="nil"/>
              <w:right w:val="nil"/>
            </w:tcBorders>
            <w:shd w:val="clear" w:color="000000" w:fill="AB2328"/>
            <w:vAlign w:val="bottom"/>
            <w:hideMark/>
          </w:tcPr>
          <w:p w14:paraId="0036D789" w14:textId="77777777" w:rsidR="001F5E79" w:rsidRPr="001F5E79" w:rsidRDefault="001F5E79" w:rsidP="001F5E79">
            <w:pPr>
              <w:spacing w:line="240" w:lineRule="auto"/>
              <w:jc w:val="lef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 </w:t>
            </w:r>
          </w:p>
        </w:tc>
        <w:tc>
          <w:tcPr>
            <w:tcW w:w="1104" w:type="pct"/>
            <w:tcBorders>
              <w:top w:val="nil"/>
              <w:left w:val="nil"/>
              <w:bottom w:val="nil"/>
              <w:right w:val="nil"/>
            </w:tcBorders>
            <w:shd w:val="clear" w:color="000000" w:fill="AB2328"/>
            <w:noWrap/>
            <w:vAlign w:val="bottom"/>
            <w:hideMark/>
          </w:tcPr>
          <w:p w14:paraId="52F764A1" w14:textId="77777777"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31 March 2025</w:t>
            </w:r>
          </w:p>
        </w:tc>
      </w:tr>
      <w:tr w:rsidR="001F5E79" w:rsidRPr="001F5E79" w14:paraId="0A46991B" w14:textId="77777777" w:rsidTr="009A5CDE">
        <w:trPr>
          <w:trHeight w:val="272"/>
        </w:trPr>
        <w:tc>
          <w:tcPr>
            <w:tcW w:w="1106" w:type="pct"/>
            <w:tcBorders>
              <w:top w:val="nil"/>
              <w:left w:val="nil"/>
              <w:bottom w:val="nil"/>
              <w:right w:val="nil"/>
            </w:tcBorders>
            <w:shd w:val="clear" w:color="000000" w:fill="AB2328"/>
            <w:noWrap/>
            <w:vAlign w:val="bottom"/>
            <w:hideMark/>
          </w:tcPr>
          <w:p w14:paraId="5D8440BB" w14:textId="77777777"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£000</w:t>
            </w:r>
          </w:p>
        </w:tc>
        <w:tc>
          <w:tcPr>
            <w:tcW w:w="168" w:type="pct"/>
            <w:tcBorders>
              <w:top w:val="nil"/>
              <w:left w:val="nil"/>
              <w:bottom w:val="nil"/>
              <w:right w:val="nil"/>
            </w:tcBorders>
            <w:shd w:val="clear" w:color="000000" w:fill="AB2328"/>
            <w:noWrap/>
            <w:vAlign w:val="bottom"/>
            <w:hideMark/>
          </w:tcPr>
          <w:p w14:paraId="35B43102" w14:textId="77777777"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 </w:t>
            </w:r>
          </w:p>
        </w:tc>
        <w:tc>
          <w:tcPr>
            <w:tcW w:w="2622" w:type="pct"/>
            <w:tcBorders>
              <w:top w:val="nil"/>
              <w:left w:val="nil"/>
              <w:bottom w:val="nil"/>
              <w:right w:val="nil"/>
            </w:tcBorders>
            <w:shd w:val="clear" w:color="000000" w:fill="AB2328"/>
            <w:vAlign w:val="bottom"/>
            <w:hideMark/>
          </w:tcPr>
          <w:p w14:paraId="5CC8E2DB" w14:textId="77777777" w:rsidR="001F5E79" w:rsidRPr="001F5E79" w:rsidRDefault="001F5E79" w:rsidP="001F5E79">
            <w:pPr>
              <w:spacing w:line="240" w:lineRule="auto"/>
              <w:jc w:val="lef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 </w:t>
            </w:r>
          </w:p>
        </w:tc>
        <w:tc>
          <w:tcPr>
            <w:tcW w:w="1104" w:type="pct"/>
            <w:tcBorders>
              <w:top w:val="nil"/>
              <w:left w:val="nil"/>
              <w:bottom w:val="nil"/>
              <w:right w:val="nil"/>
            </w:tcBorders>
            <w:shd w:val="clear" w:color="000000" w:fill="AB2328"/>
            <w:noWrap/>
            <w:vAlign w:val="bottom"/>
            <w:hideMark/>
          </w:tcPr>
          <w:p w14:paraId="21B3D031" w14:textId="77777777" w:rsidR="001F5E79" w:rsidRPr="001F5E79" w:rsidRDefault="001F5E79" w:rsidP="001F5E79">
            <w:pPr>
              <w:spacing w:line="240" w:lineRule="auto"/>
              <w:jc w:val="right"/>
              <w:rPr>
                <w:rFonts w:ascii="Calibri" w:eastAsia="Times New Roman" w:hAnsi="Calibri" w:cs="Calibri"/>
                <w:b/>
                <w:bCs/>
                <w:color w:val="FFFFFF"/>
                <w:lang w:eastAsia="en-GB"/>
              </w:rPr>
            </w:pPr>
            <w:r w:rsidRPr="001F5E79">
              <w:rPr>
                <w:rFonts w:ascii="Calibri" w:eastAsia="Times New Roman" w:hAnsi="Calibri" w:cs="Calibri"/>
                <w:b/>
                <w:bCs/>
                <w:color w:val="FFFFFF"/>
                <w:lang w:eastAsia="en-GB"/>
              </w:rPr>
              <w:t>£000</w:t>
            </w:r>
          </w:p>
        </w:tc>
      </w:tr>
      <w:tr w:rsidR="001F5E79" w:rsidRPr="001F5E79" w14:paraId="186E4573" w14:textId="77777777" w:rsidTr="009A5CDE">
        <w:trPr>
          <w:trHeight w:val="272"/>
        </w:trPr>
        <w:tc>
          <w:tcPr>
            <w:tcW w:w="1106" w:type="pct"/>
            <w:tcBorders>
              <w:top w:val="nil"/>
              <w:left w:val="nil"/>
              <w:bottom w:val="nil"/>
              <w:right w:val="nil"/>
            </w:tcBorders>
            <w:shd w:val="clear" w:color="000000" w:fill="FFFFFF"/>
            <w:noWrap/>
            <w:vAlign w:val="bottom"/>
            <w:hideMark/>
          </w:tcPr>
          <w:p w14:paraId="516C6837" w14:textId="77777777" w:rsidR="001F5E79" w:rsidRPr="001F5E79" w:rsidRDefault="001F5E79" w:rsidP="001F5E79">
            <w:pPr>
              <w:spacing w:line="240" w:lineRule="auto"/>
              <w:jc w:val="right"/>
              <w:rPr>
                <w:rFonts w:ascii="Calibri" w:eastAsia="Times New Roman" w:hAnsi="Calibri" w:cs="Calibri"/>
                <w:color w:val="000000"/>
                <w:lang w:eastAsia="en-GB"/>
              </w:rPr>
            </w:pPr>
            <w:r w:rsidRPr="001F5E79">
              <w:rPr>
                <w:rFonts w:ascii="Calibri" w:eastAsia="Times New Roman" w:hAnsi="Calibri" w:cs="Calibri"/>
                <w:color w:val="000000"/>
                <w:lang w:eastAsia="en-GB"/>
              </w:rPr>
              <w:t>86</w:t>
            </w:r>
          </w:p>
        </w:tc>
        <w:tc>
          <w:tcPr>
            <w:tcW w:w="168" w:type="pct"/>
            <w:tcBorders>
              <w:top w:val="nil"/>
              <w:left w:val="nil"/>
              <w:bottom w:val="nil"/>
              <w:right w:val="nil"/>
            </w:tcBorders>
            <w:shd w:val="clear" w:color="000000" w:fill="FFFFFF"/>
            <w:noWrap/>
            <w:vAlign w:val="bottom"/>
            <w:hideMark/>
          </w:tcPr>
          <w:p w14:paraId="46E6E3CA" w14:textId="77777777" w:rsidR="001F5E79" w:rsidRPr="001F5E79" w:rsidRDefault="001F5E79" w:rsidP="001F5E79">
            <w:pPr>
              <w:spacing w:line="240" w:lineRule="auto"/>
              <w:jc w:val="left"/>
              <w:rPr>
                <w:rFonts w:ascii="Calibri" w:eastAsia="Times New Roman" w:hAnsi="Calibri" w:cs="Calibri"/>
                <w:color w:val="000000"/>
                <w:lang w:eastAsia="en-GB"/>
              </w:rPr>
            </w:pPr>
            <w:r w:rsidRPr="001F5E79">
              <w:rPr>
                <w:rFonts w:ascii="Calibri" w:eastAsia="Times New Roman" w:hAnsi="Calibri" w:cs="Calibri"/>
                <w:color w:val="000000"/>
                <w:lang w:eastAsia="en-GB"/>
              </w:rPr>
              <w:t> </w:t>
            </w:r>
          </w:p>
        </w:tc>
        <w:tc>
          <w:tcPr>
            <w:tcW w:w="2622" w:type="pct"/>
            <w:tcBorders>
              <w:top w:val="nil"/>
              <w:left w:val="nil"/>
              <w:bottom w:val="nil"/>
              <w:right w:val="nil"/>
            </w:tcBorders>
            <w:shd w:val="clear" w:color="000000" w:fill="FFFFFF"/>
            <w:vAlign w:val="bottom"/>
            <w:hideMark/>
          </w:tcPr>
          <w:p w14:paraId="22BDA61C" w14:textId="77777777" w:rsidR="001F5E79" w:rsidRPr="001F5E79" w:rsidRDefault="001F5E79" w:rsidP="001F5E79">
            <w:pPr>
              <w:spacing w:line="240" w:lineRule="auto"/>
              <w:jc w:val="left"/>
              <w:rPr>
                <w:rFonts w:ascii="Calibri" w:eastAsia="Times New Roman" w:hAnsi="Calibri" w:cs="Calibri"/>
                <w:color w:val="000000"/>
                <w:lang w:eastAsia="en-GB"/>
              </w:rPr>
            </w:pPr>
            <w:r w:rsidRPr="001F5E79">
              <w:rPr>
                <w:rFonts w:ascii="Calibri" w:eastAsia="Times New Roman" w:hAnsi="Calibri" w:cs="Calibri"/>
                <w:color w:val="000000"/>
                <w:lang w:eastAsia="en-GB"/>
              </w:rPr>
              <w:t>Opening Balance</w:t>
            </w:r>
          </w:p>
        </w:tc>
        <w:tc>
          <w:tcPr>
            <w:tcW w:w="1104" w:type="pct"/>
            <w:tcBorders>
              <w:top w:val="nil"/>
              <w:left w:val="nil"/>
              <w:bottom w:val="nil"/>
              <w:right w:val="nil"/>
            </w:tcBorders>
            <w:shd w:val="clear" w:color="000000" w:fill="FFE1E1"/>
            <w:noWrap/>
            <w:vAlign w:val="bottom"/>
            <w:hideMark/>
          </w:tcPr>
          <w:p w14:paraId="609A3EF6" w14:textId="77777777" w:rsidR="001F5E79" w:rsidRPr="001F5E79" w:rsidRDefault="001F5E79" w:rsidP="001F5E79">
            <w:pPr>
              <w:spacing w:line="240" w:lineRule="auto"/>
              <w:jc w:val="right"/>
              <w:rPr>
                <w:rFonts w:ascii="Calibri" w:eastAsia="Times New Roman" w:hAnsi="Calibri" w:cs="Calibri"/>
                <w:color w:val="000000"/>
                <w:lang w:eastAsia="en-GB"/>
              </w:rPr>
            </w:pPr>
            <w:r w:rsidRPr="001F5E79">
              <w:rPr>
                <w:rFonts w:ascii="Calibri" w:eastAsia="Times New Roman" w:hAnsi="Calibri" w:cs="Calibri"/>
                <w:color w:val="000000"/>
                <w:lang w:eastAsia="en-GB"/>
              </w:rPr>
              <w:t>347</w:t>
            </w:r>
          </w:p>
        </w:tc>
      </w:tr>
      <w:tr w:rsidR="001F5E79" w:rsidRPr="001F5E79" w14:paraId="1B5A0A86" w14:textId="77777777" w:rsidTr="009A5CDE">
        <w:trPr>
          <w:trHeight w:val="272"/>
        </w:trPr>
        <w:tc>
          <w:tcPr>
            <w:tcW w:w="1106" w:type="pct"/>
            <w:tcBorders>
              <w:top w:val="nil"/>
              <w:left w:val="nil"/>
              <w:bottom w:val="nil"/>
              <w:right w:val="nil"/>
            </w:tcBorders>
            <w:shd w:val="clear" w:color="000000" w:fill="FFFFFF"/>
            <w:noWrap/>
            <w:vAlign w:val="bottom"/>
            <w:hideMark/>
          </w:tcPr>
          <w:p w14:paraId="596B1DB3" w14:textId="77777777" w:rsidR="001F5E79" w:rsidRPr="001F5E79" w:rsidRDefault="001F5E79" w:rsidP="001F5E79">
            <w:pPr>
              <w:spacing w:line="240" w:lineRule="auto"/>
              <w:jc w:val="right"/>
              <w:rPr>
                <w:rFonts w:ascii="Calibri" w:eastAsia="Times New Roman" w:hAnsi="Calibri" w:cs="Calibri"/>
                <w:color w:val="000000"/>
                <w:lang w:eastAsia="en-GB"/>
              </w:rPr>
            </w:pPr>
            <w:r w:rsidRPr="001F5E79">
              <w:rPr>
                <w:rFonts w:ascii="Calibri" w:eastAsia="Times New Roman" w:hAnsi="Calibri" w:cs="Calibri"/>
                <w:color w:val="000000"/>
                <w:lang w:eastAsia="en-GB"/>
              </w:rPr>
              <w:t>261</w:t>
            </w:r>
          </w:p>
        </w:tc>
        <w:tc>
          <w:tcPr>
            <w:tcW w:w="168" w:type="pct"/>
            <w:tcBorders>
              <w:top w:val="nil"/>
              <w:left w:val="nil"/>
              <w:bottom w:val="nil"/>
              <w:right w:val="nil"/>
            </w:tcBorders>
            <w:shd w:val="clear" w:color="000000" w:fill="FFFFFF"/>
            <w:noWrap/>
            <w:vAlign w:val="bottom"/>
            <w:hideMark/>
          </w:tcPr>
          <w:p w14:paraId="7D5F3C75" w14:textId="77777777" w:rsidR="001F5E79" w:rsidRPr="001F5E79" w:rsidRDefault="001F5E79" w:rsidP="001F5E79">
            <w:pPr>
              <w:spacing w:line="240" w:lineRule="auto"/>
              <w:jc w:val="left"/>
              <w:rPr>
                <w:rFonts w:ascii="Calibri" w:eastAsia="Times New Roman" w:hAnsi="Calibri" w:cs="Calibri"/>
                <w:color w:val="000000"/>
                <w:lang w:eastAsia="en-GB"/>
              </w:rPr>
            </w:pPr>
            <w:r w:rsidRPr="001F5E79">
              <w:rPr>
                <w:rFonts w:ascii="Calibri" w:eastAsia="Times New Roman" w:hAnsi="Calibri" w:cs="Calibri"/>
                <w:color w:val="000000"/>
                <w:lang w:eastAsia="en-GB"/>
              </w:rPr>
              <w:t> </w:t>
            </w:r>
          </w:p>
        </w:tc>
        <w:tc>
          <w:tcPr>
            <w:tcW w:w="2622" w:type="pct"/>
            <w:tcBorders>
              <w:top w:val="nil"/>
              <w:left w:val="nil"/>
              <w:bottom w:val="nil"/>
              <w:right w:val="nil"/>
            </w:tcBorders>
            <w:shd w:val="clear" w:color="000000" w:fill="FFFFFF"/>
            <w:vAlign w:val="bottom"/>
            <w:hideMark/>
          </w:tcPr>
          <w:p w14:paraId="499F4BF0" w14:textId="77777777" w:rsidR="001F5E79" w:rsidRPr="001F5E79" w:rsidRDefault="001F5E79" w:rsidP="001F5E79">
            <w:pPr>
              <w:spacing w:line="240" w:lineRule="auto"/>
              <w:jc w:val="left"/>
              <w:rPr>
                <w:rFonts w:ascii="Calibri" w:eastAsia="Times New Roman" w:hAnsi="Calibri" w:cs="Calibri"/>
                <w:color w:val="000000"/>
                <w:lang w:eastAsia="en-GB"/>
              </w:rPr>
            </w:pPr>
            <w:r w:rsidRPr="001F5E79">
              <w:rPr>
                <w:rFonts w:ascii="Calibri" w:eastAsia="Times New Roman" w:hAnsi="Calibri" w:cs="Calibri"/>
                <w:color w:val="000000"/>
                <w:lang w:eastAsia="en-GB"/>
              </w:rPr>
              <w:t>Provision for the period</w:t>
            </w:r>
          </w:p>
        </w:tc>
        <w:tc>
          <w:tcPr>
            <w:tcW w:w="1104" w:type="pct"/>
            <w:tcBorders>
              <w:top w:val="nil"/>
              <w:left w:val="nil"/>
              <w:bottom w:val="nil"/>
              <w:right w:val="nil"/>
            </w:tcBorders>
            <w:shd w:val="clear" w:color="000000" w:fill="FFE1E1"/>
            <w:noWrap/>
            <w:vAlign w:val="bottom"/>
            <w:hideMark/>
          </w:tcPr>
          <w:p w14:paraId="7F3124B4" w14:textId="77777777" w:rsidR="001F5E79" w:rsidRPr="001F5E79" w:rsidRDefault="001F5E79" w:rsidP="001F5E79">
            <w:pPr>
              <w:spacing w:line="240" w:lineRule="auto"/>
              <w:jc w:val="right"/>
              <w:rPr>
                <w:rFonts w:ascii="Calibri" w:eastAsia="Times New Roman" w:hAnsi="Calibri" w:cs="Calibri"/>
                <w:color w:val="000000"/>
                <w:lang w:eastAsia="en-GB"/>
              </w:rPr>
            </w:pPr>
            <w:r w:rsidRPr="001F5E79">
              <w:rPr>
                <w:rFonts w:ascii="Calibri" w:eastAsia="Times New Roman" w:hAnsi="Calibri" w:cs="Calibri"/>
                <w:color w:val="000000"/>
                <w:lang w:eastAsia="en-GB"/>
              </w:rPr>
              <w:t>(118)</w:t>
            </w:r>
          </w:p>
        </w:tc>
      </w:tr>
      <w:tr w:rsidR="001F5E79" w:rsidRPr="001F5E79" w14:paraId="1BE7224D" w14:textId="77777777" w:rsidTr="009A5CDE">
        <w:trPr>
          <w:trHeight w:val="272"/>
        </w:trPr>
        <w:tc>
          <w:tcPr>
            <w:tcW w:w="1106" w:type="pct"/>
            <w:tcBorders>
              <w:top w:val="single" w:sz="4" w:space="0" w:color="auto"/>
              <w:left w:val="nil"/>
              <w:bottom w:val="single" w:sz="4" w:space="0" w:color="auto"/>
              <w:right w:val="nil"/>
            </w:tcBorders>
            <w:shd w:val="clear" w:color="000000" w:fill="FFFFFF"/>
            <w:noWrap/>
            <w:vAlign w:val="bottom"/>
            <w:hideMark/>
          </w:tcPr>
          <w:p w14:paraId="68527757" w14:textId="77777777" w:rsidR="001F5E79" w:rsidRPr="001F5E79" w:rsidRDefault="001F5E79" w:rsidP="001F5E79">
            <w:pPr>
              <w:spacing w:line="240" w:lineRule="auto"/>
              <w:jc w:val="right"/>
              <w:rPr>
                <w:rFonts w:ascii="Calibri" w:eastAsia="Times New Roman" w:hAnsi="Calibri" w:cs="Calibri"/>
                <w:b/>
                <w:bCs/>
                <w:color w:val="000000"/>
                <w:lang w:eastAsia="en-GB"/>
              </w:rPr>
            </w:pPr>
            <w:r w:rsidRPr="001F5E79">
              <w:rPr>
                <w:rFonts w:ascii="Calibri" w:eastAsia="Times New Roman" w:hAnsi="Calibri" w:cs="Calibri"/>
                <w:b/>
                <w:bCs/>
                <w:color w:val="000000"/>
                <w:lang w:eastAsia="en-GB"/>
              </w:rPr>
              <w:t>347</w:t>
            </w:r>
          </w:p>
        </w:tc>
        <w:tc>
          <w:tcPr>
            <w:tcW w:w="168" w:type="pct"/>
            <w:tcBorders>
              <w:top w:val="single" w:sz="4" w:space="0" w:color="auto"/>
              <w:left w:val="nil"/>
              <w:bottom w:val="single" w:sz="4" w:space="0" w:color="auto"/>
              <w:right w:val="nil"/>
            </w:tcBorders>
            <w:shd w:val="clear" w:color="000000" w:fill="FFFFFF"/>
            <w:noWrap/>
            <w:vAlign w:val="bottom"/>
            <w:hideMark/>
          </w:tcPr>
          <w:p w14:paraId="3EB93B71" w14:textId="77777777" w:rsidR="001F5E79" w:rsidRPr="001F5E79" w:rsidRDefault="001F5E79" w:rsidP="001F5E79">
            <w:pPr>
              <w:spacing w:line="240" w:lineRule="auto"/>
              <w:jc w:val="left"/>
              <w:rPr>
                <w:rFonts w:ascii="Calibri" w:eastAsia="Times New Roman" w:hAnsi="Calibri" w:cs="Calibri"/>
                <w:b/>
                <w:bCs/>
                <w:color w:val="000000"/>
                <w:lang w:eastAsia="en-GB"/>
              </w:rPr>
            </w:pPr>
            <w:r w:rsidRPr="001F5E79">
              <w:rPr>
                <w:rFonts w:ascii="Calibri" w:eastAsia="Times New Roman" w:hAnsi="Calibri" w:cs="Calibri"/>
                <w:b/>
                <w:bCs/>
                <w:color w:val="000000"/>
                <w:lang w:eastAsia="en-GB"/>
              </w:rPr>
              <w:t> </w:t>
            </w:r>
          </w:p>
        </w:tc>
        <w:tc>
          <w:tcPr>
            <w:tcW w:w="2622" w:type="pct"/>
            <w:tcBorders>
              <w:top w:val="single" w:sz="4" w:space="0" w:color="auto"/>
              <w:left w:val="nil"/>
              <w:bottom w:val="single" w:sz="4" w:space="0" w:color="auto"/>
              <w:right w:val="nil"/>
            </w:tcBorders>
            <w:shd w:val="clear" w:color="000000" w:fill="FFFFFF"/>
            <w:vAlign w:val="bottom"/>
            <w:hideMark/>
          </w:tcPr>
          <w:p w14:paraId="632A3B09" w14:textId="77777777" w:rsidR="001F5E79" w:rsidRPr="001F5E79" w:rsidRDefault="001F5E79" w:rsidP="001F5E79">
            <w:pPr>
              <w:spacing w:line="240" w:lineRule="auto"/>
              <w:jc w:val="left"/>
              <w:rPr>
                <w:rFonts w:ascii="Calibri" w:eastAsia="Times New Roman" w:hAnsi="Calibri" w:cs="Calibri"/>
                <w:b/>
                <w:bCs/>
                <w:color w:val="000000"/>
                <w:lang w:eastAsia="en-GB"/>
              </w:rPr>
            </w:pPr>
            <w:r w:rsidRPr="001F5E79">
              <w:rPr>
                <w:rFonts w:ascii="Calibri" w:eastAsia="Times New Roman" w:hAnsi="Calibri" w:cs="Calibri"/>
                <w:b/>
                <w:bCs/>
                <w:color w:val="000000"/>
                <w:lang w:eastAsia="en-GB"/>
              </w:rPr>
              <w:t>Accumulated Absences Account</w:t>
            </w:r>
          </w:p>
        </w:tc>
        <w:tc>
          <w:tcPr>
            <w:tcW w:w="1104" w:type="pct"/>
            <w:tcBorders>
              <w:top w:val="single" w:sz="4" w:space="0" w:color="auto"/>
              <w:left w:val="nil"/>
              <w:bottom w:val="single" w:sz="4" w:space="0" w:color="auto"/>
              <w:right w:val="nil"/>
            </w:tcBorders>
            <w:shd w:val="clear" w:color="000000" w:fill="FFE1E1"/>
            <w:noWrap/>
            <w:vAlign w:val="bottom"/>
            <w:hideMark/>
          </w:tcPr>
          <w:p w14:paraId="6627B211" w14:textId="77777777" w:rsidR="001F5E79" w:rsidRPr="001F5E79" w:rsidRDefault="001F5E79" w:rsidP="001F5E79">
            <w:pPr>
              <w:spacing w:line="240" w:lineRule="auto"/>
              <w:jc w:val="right"/>
              <w:rPr>
                <w:rFonts w:ascii="Calibri" w:eastAsia="Times New Roman" w:hAnsi="Calibri" w:cs="Calibri"/>
                <w:b/>
                <w:bCs/>
                <w:color w:val="000000"/>
                <w:lang w:eastAsia="en-GB"/>
              </w:rPr>
            </w:pPr>
            <w:r w:rsidRPr="001F5E79">
              <w:rPr>
                <w:rFonts w:ascii="Calibri" w:eastAsia="Times New Roman" w:hAnsi="Calibri" w:cs="Calibri"/>
                <w:b/>
                <w:bCs/>
                <w:color w:val="000000"/>
                <w:lang w:eastAsia="en-GB"/>
              </w:rPr>
              <w:t>229</w:t>
            </w:r>
          </w:p>
        </w:tc>
      </w:tr>
    </w:tbl>
    <w:p w14:paraId="027EC23D" w14:textId="6A47D8F8" w:rsidR="007B21F1" w:rsidRDefault="007B21F1" w:rsidP="005C4AE8">
      <w:pPr>
        <w:rPr>
          <w:noProof/>
        </w:rPr>
      </w:pPr>
    </w:p>
    <w:p w14:paraId="553C3E2B" w14:textId="62E0EF43" w:rsidR="009D5C11" w:rsidRPr="003D0C22" w:rsidRDefault="005C4AE8" w:rsidP="002A1ADD">
      <w:pPr>
        <w:pStyle w:val="VAHeadingLevel2"/>
        <w:rPr>
          <w:lang w:eastAsia="en-GB"/>
        </w:rPr>
      </w:pPr>
      <w:r w:rsidRPr="00A26B2C">
        <w:rPr>
          <w:lang w:eastAsia="en-GB"/>
        </w:rPr>
        <w:t>Note 17.5. Collection Fund Adjustment Account</w:t>
      </w:r>
    </w:p>
    <w:p w14:paraId="10750B3D" w14:textId="1821C721" w:rsidR="00C30DC3" w:rsidRDefault="00C30DC3" w:rsidP="00D2052E">
      <w:pPr>
        <w:rPr>
          <w:rFonts w:cstheme="minorBidi"/>
        </w:rPr>
      </w:pPr>
    </w:p>
    <w:tbl>
      <w:tblPr>
        <w:tblW w:w="5000" w:type="pct"/>
        <w:tblLook w:val="04A0" w:firstRow="1" w:lastRow="0" w:firstColumn="1" w:lastColumn="0" w:noHBand="0" w:noVBand="1"/>
      </w:tblPr>
      <w:tblGrid>
        <w:gridCol w:w="2168"/>
        <w:gridCol w:w="332"/>
        <w:gridCol w:w="5607"/>
        <w:gridCol w:w="2268"/>
      </w:tblGrid>
      <w:tr w:rsidR="007F29B7" w:rsidRPr="00C30DC3" w14:paraId="19186C8B" w14:textId="77777777" w:rsidTr="00A34E06">
        <w:trPr>
          <w:divId w:val="941374654"/>
          <w:trHeight w:val="287"/>
        </w:trPr>
        <w:tc>
          <w:tcPr>
            <w:tcW w:w="1045" w:type="pct"/>
            <w:tcBorders>
              <w:top w:val="nil"/>
              <w:left w:val="nil"/>
              <w:bottom w:val="nil"/>
              <w:right w:val="nil"/>
            </w:tcBorders>
            <w:shd w:val="clear" w:color="000000" w:fill="AB2328"/>
            <w:noWrap/>
            <w:vAlign w:val="bottom"/>
            <w:hideMark/>
          </w:tcPr>
          <w:p w14:paraId="4DC29815" w14:textId="1B330C8C" w:rsidR="00C30DC3" w:rsidRPr="00C30DC3" w:rsidRDefault="00C30DC3" w:rsidP="00C30DC3">
            <w:pPr>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160" w:type="pct"/>
            <w:tcBorders>
              <w:top w:val="nil"/>
              <w:left w:val="nil"/>
              <w:bottom w:val="nil"/>
              <w:right w:val="nil"/>
            </w:tcBorders>
            <w:shd w:val="clear" w:color="000000" w:fill="AB2328"/>
            <w:noWrap/>
            <w:vAlign w:val="bottom"/>
            <w:hideMark/>
          </w:tcPr>
          <w:p w14:paraId="3D514794"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701" w:type="pct"/>
            <w:tcBorders>
              <w:top w:val="nil"/>
              <w:left w:val="nil"/>
              <w:bottom w:val="nil"/>
              <w:right w:val="nil"/>
            </w:tcBorders>
            <w:shd w:val="clear" w:color="000000" w:fill="AB2328"/>
            <w:vAlign w:val="bottom"/>
            <w:hideMark/>
          </w:tcPr>
          <w:p w14:paraId="7233CC75"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093" w:type="pct"/>
            <w:tcBorders>
              <w:top w:val="nil"/>
              <w:left w:val="nil"/>
              <w:bottom w:val="nil"/>
              <w:right w:val="nil"/>
            </w:tcBorders>
            <w:shd w:val="clear" w:color="000000" w:fill="AB2328"/>
            <w:noWrap/>
            <w:vAlign w:val="bottom"/>
            <w:hideMark/>
          </w:tcPr>
          <w:p w14:paraId="4837A096"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7F29B7" w:rsidRPr="00C30DC3" w14:paraId="4BA8E580" w14:textId="77777777" w:rsidTr="00A34E06">
        <w:trPr>
          <w:divId w:val="941374654"/>
          <w:trHeight w:val="287"/>
        </w:trPr>
        <w:tc>
          <w:tcPr>
            <w:tcW w:w="1045" w:type="pct"/>
            <w:tcBorders>
              <w:top w:val="nil"/>
              <w:left w:val="nil"/>
              <w:bottom w:val="nil"/>
              <w:right w:val="nil"/>
            </w:tcBorders>
            <w:shd w:val="clear" w:color="000000" w:fill="AB2328"/>
            <w:noWrap/>
            <w:vAlign w:val="bottom"/>
            <w:hideMark/>
          </w:tcPr>
          <w:p w14:paraId="5908C000"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160" w:type="pct"/>
            <w:tcBorders>
              <w:top w:val="nil"/>
              <w:left w:val="nil"/>
              <w:bottom w:val="nil"/>
              <w:right w:val="nil"/>
            </w:tcBorders>
            <w:shd w:val="clear" w:color="000000" w:fill="AB2328"/>
            <w:noWrap/>
            <w:vAlign w:val="bottom"/>
            <w:hideMark/>
          </w:tcPr>
          <w:p w14:paraId="3FBA9FFC"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701" w:type="pct"/>
            <w:tcBorders>
              <w:top w:val="nil"/>
              <w:left w:val="nil"/>
              <w:bottom w:val="nil"/>
              <w:right w:val="nil"/>
            </w:tcBorders>
            <w:shd w:val="clear" w:color="000000" w:fill="AB2328"/>
            <w:vAlign w:val="bottom"/>
            <w:hideMark/>
          </w:tcPr>
          <w:p w14:paraId="7598542B"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093" w:type="pct"/>
            <w:tcBorders>
              <w:top w:val="nil"/>
              <w:left w:val="nil"/>
              <w:bottom w:val="nil"/>
              <w:right w:val="nil"/>
            </w:tcBorders>
            <w:shd w:val="clear" w:color="000000" w:fill="AB2328"/>
            <w:noWrap/>
            <w:vAlign w:val="bottom"/>
            <w:hideMark/>
          </w:tcPr>
          <w:p w14:paraId="6FE1FCB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7F29B7" w:rsidRPr="00C30DC3" w14:paraId="15BAA257" w14:textId="77777777" w:rsidTr="00A34E06">
        <w:trPr>
          <w:divId w:val="941374654"/>
          <w:trHeight w:val="287"/>
        </w:trPr>
        <w:tc>
          <w:tcPr>
            <w:tcW w:w="1045" w:type="pct"/>
            <w:tcBorders>
              <w:top w:val="nil"/>
              <w:left w:val="nil"/>
              <w:bottom w:val="nil"/>
              <w:right w:val="nil"/>
            </w:tcBorders>
            <w:shd w:val="clear" w:color="000000" w:fill="FFFFFF"/>
            <w:noWrap/>
            <w:hideMark/>
          </w:tcPr>
          <w:p w14:paraId="2979446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(320)</w:t>
            </w:r>
          </w:p>
        </w:tc>
        <w:tc>
          <w:tcPr>
            <w:tcW w:w="160" w:type="pct"/>
            <w:tcBorders>
              <w:top w:val="nil"/>
              <w:left w:val="nil"/>
              <w:bottom w:val="nil"/>
              <w:right w:val="nil"/>
            </w:tcBorders>
            <w:shd w:val="clear" w:color="000000" w:fill="FFFFFF"/>
            <w:noWrap/>
            <w:hideMark/>
          </w:tcPr>
          <w:p w14:paraId="2C42FD23"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701" w:type="pct"/>
            <w:tcBorders>
              <w:top w:val="nil"/>
              <w:left w:val="nil"/>
              <w:bottom w:val="nil"/>
              <w:right w:val="nil"/>
            </w:tcBorders>
            <w:shd w:val="clear" w:color="000000" w:fill="FFFFFF"/>
            <w:hideMark/>
          </w:tcPr>
          <w:p w14:paraId="20F60501"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Council Tax Collection Fund Adjustment Account</w:t>
            </w:r>
          </w:p>
        </w:tc>
        <w:tc>
          <w:tcPr>
            <w:tcW w:w="1093" w:type="pct"/>
            <w:tcBorders>
              <w:top w:val="nil"/>
              <w:left w:val="nil"/>
              <w:bottom w:val="nil"/>
              <w:right w:val="nil"/>
            </w:tcBorders>
            <w:shd w:val="clear" w:color="000000" w:fill="FFE1E1"/>
            <w:noWrap/>
            <w:hideMark/>
          </w:tcPr>
          <w:p w14:paraId="192AB050"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(120)</w:t>
            </w:r>
          </w:p>
        </w:tc>
      </w:tr>
      <w:tr w:rsidR="007F29B7" w:rsidRPr="00C30DC3" w14:paraId="7A6A3284" w14:textId="77777777" w:rsidTr="00A34E06">
        <w:trPr>
          <w:divId w:val="941374654"/>
          <w:trHeight w:val="287"/>
        </w:trPr>
        <w:tc>
          <w:tcPr>
            <w:tcW w:w="1045" w:type="pct"/>
            <w:tcBorders>
              <w:top w:val="nil"/>
              <w:left w:val="nil"/>
              <w:bottom w:val="nil"/>
              <w:right w:val="nil"/>
            </w:tcBorders>
            <w:shd w:val="clear" w:color="000000" w:fill="FFFFFF"/>
            <w:noWrap/>
            <w:vAlign w:val="bottom"/>
            <w:hideMark/>
          </w:tcPr>
          <w:p w14:paraId="33F29CB4"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153</w:t>
            </w:r>
          </w:p>
        </w:tc>
        <w:tc>
          <w:tcPr>
            <w:tcW w:w="160" w:type="pct"/>
            <w:tcBorders>
              <w:top w:val="nil"/>
              <w:left w:val="nil"/>
              <w:bottom w:val="nil"/>
              <w:right w:val="nil"/>
            </w:tcBorders>
            <w:shd w:val="clear" w:color="000000" w:fill="FFFFFF"/>
            <w:noWrap/>
            <w:vAlign w:val="bottom"/>
            <w:hideMark/>
          </w:tcPr>
          <w:p w14:paraId="7D72689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701" w:type="pct"/>
            <w:tcBorders>
              <w:top w:val="nil"/>
              <w:left w:val="nil"/>
              <w:bottom w:val="nil"/>
              <w:right w:val="nil"/>
            </w:tcBorders>
            <w:shd w:val="clear" w:color="000000" w:fill="FFFFFF"/>
            <w:vAlign w:val="bottom"/>
            <w:hideMark/>
          </w:tcPr>
          <w:p w14:paraId="2923B32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NNDR Collection Fund Adjustment Account</w:t>
            </w:r>
          </w:p>
        </w:tc>
        <w:tc>
          <w:tcPr>
            <w:tcW w:w="1093" w:type="pct"/>
            <w:tcBorders>
              <w:top w:val="nil"/>
              <w:left w:val="nil"/>
              <w:bottom w:val="nil"/>
              <w:right w:val="nil"/>
            </w:tcBorders>
            <w:shd w:val="clear" w:color="000000" w:fill="FFE1E1"/>
            <w:noWrap/>
            <w:vAlign w:val="bottom"/>
            <w:hideMark/>
          </w:tcPr>
          <w:p w14:paraId="599D163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103</w:t>
            </w:r>
          </w:p>
        </w:tc>
      </w:tr>
      <w:tr w:rsidR="007F29B7" w:rsidRPr="00C30DC3" w14:paraId="149EC9CB" w14:textId="77777777" w:rsidTr="00A34E06">
        <w:trPr>
          <w:divId w:val="941374654"/>
          <w:trHeight w:val="287"/>
        </w:trPr>
        <w:tc>
          <w:tcPr>
            <w:tcW w:w="1045" w:type="pct"/>
            <w:tcBorders>
              <w:top w:val="single" w:sz="4" w:space="0" w:color="auto"/>
              <w:left w:val="nil"/>
              <w:bottom w:val="single" w:sz="4" w:space="0" w:color="auto"/>
              <w:right w:val="nil"/>
            </w:tcBorders>
            <w:shd w:val="clear" w:color="000000" w:fill="FFFFFF"/>
            <w:noWrap/>
            <w:vAlign w:val="bottom"/>
            <w:hideMark/>
          </w:tcPr>
          <w:p w14:paraId="5720D96E" w14:textId="77777777"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(167)</w:t>
            </w:r>
          </w:p>
        </w:tc>
        <w:tc>
          <w:tcPr>
            <w:tcW w:w="160" w:type="pct"/>
            <w:tcBorders>
              <w:top w:val="single" w:sz="4" w:space="0" w:color="auto"/>
              <w:left w:val="nil"/>
              <w:bottom w:val="single" w:sz="4" w:space="0" w:color="auto"/>
              <w:right w:val="nil"/>
            </w:tcBorders>
            <w:shd w:val="clear" w:color="000000" w:fill="FFFFFF"/>
            <w:noWrap/>
            <w:vAlign w:val="bottom"/>
            <w:hideMark/>
          </w:tcPr>
          <w:p w14:paraId="224224F5"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 </w:t>
            </w:r>
          </w:p>
        </w:tc>
        <w:tc>
          <w:tcPr>
            <w:tcW w:w="2701" w:type="pct"/>
            <w:tcBorders>
              <w:top w:val="single" w:sz="4" w:space="0" w:color="auto"/>
              <w:left w:val="nil"/>
              <w:bottom w:val="single" w:sz="4" w:space="0" w:color="auto"/>
              <w:right w:val="nil"/>
            </w:tcBorders>
            <w:shd w:val="clear" w:color="000000" w:fill="FFFFFF"/>
            <w:vAlign w:val="bottom"/>
            <w:hideMark/>
          </w:tcPr>
          <w:p w14:paraId="5E90963B" w14:textId="77777777" w:rsidR="00C30DC3" w:rsidRPr="00C30DC3" w:rsidRDefault="00C30DC3" w:rsidP="00C30DC3">
            <w:pPr>
              <w:spacing w:line="240" w:lineRule="auto"/>
              <w:jc w:val="lef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Collection Fund Adjustment Account</w:t>
            </w:r>
          </w:p>
        </w:tc>
        <w:tc>
          <w:tcPr>
            <w:tcW w:w="1093" w:type="pct"/>
            <w:tcBorders>
              <w:top w:val="single" w:sz="4" w:space="0" w:color="auto"/>
              <w:left w:val="nil"/>
              <w:bottom w:val="single" w:sz="4" w:space="0" w:color="auto"/>
              <w:right w:val="nil"/>
            </w:tcBorders>
            <w:shd w:val="clear" w:color="000000" w:fill="FFE1E1"/>
            <w:noWrap/>
            <w:vAlign w:val="bottom"/>
            <w:hideMark/>
          </w:tcPr>
          <w:p w14:paraId="6BE03D5B" w14:textId="77777777" w:rsidR="00C30DC3" w:rsidRPr="00C30DC3" w:rsidRDefault="00C30DC3" w:rsidP="00C30DC3">
            <w:pPr>
              <w:spacing w:line="240" w:lineRule="auto"/>
              <w:jc w:val="right"/>
              <w:rPr>
                <w:rFonts w:ascii="Calibri" w:eastAsia="Times New Roman" w:hAnsi="Calibri" w:cs="Calibri"/>
                <w:b/>
                <w:bCs/>
                <w:color w:val="000000"/>
                <w:lang w:eastAsia="en-GB"/>
              </w:rPr>
            </w:pPr>
            <w:r w:rsidRPr="00C30DC3">
              <w:rPr>
                <w:rFonts w:ascii="Calibri" w:eastAsia="Times New Roman" w:hAnsi="Calibri" w:cs="Calibri"/>
                <w:b/>
                <w:bCs/>
                <w:color w:val="000000"/>
                <w:lang w:eastAsia="en-GB"/>
              </w:rPr>
              <w:t>(17)</w:t>
            </w:r>
          </w:p>
        </w:tc>
      </w:tr>
    </w:tbl>
    <w:p w14:paraId="0267D3EA" w14:textId="3FFA3C86" w:rsidR="00D2052E" w:rsidRDefault="00D2052E" w:rsidP="00D2052E">
      <w:pPr>
        <w:rPr>
          <w:rFonts w:cs="Arial"/>
          <w:sz w:val="28"/>
          <w:szCs w:val="28"/>
        </w:rPr>
      </w:pPr>
    </w:p>
    <w:p w14:paraId="20F8CF94" w14:textId="77777777" w:rsidR="00D34030" w:rsidRDefault="00D34030" w:rsidP="002A1ADD">
      <w:pPr>
        <w:pStyle w:val="VAHeadingLevel2"/>
      </w:pPr>
    </w:p>
    <w:p w14:paraId="7BB778A2" w14:textId="6699E2CD" w:rsidR="00AF7AEE" w:rsidRPr="00A26B2C" w:rsidRDefault="00AF7AEE" w:rsidP="002A1ADD">
      <w:pPr>
        <w:pStyle w:val="VAHeadingLevel2"/>
      </w:pPr>
    </w:p>
    <w:p w14:paraId="42A2D372" w14:textId="5C02616B" w:rsidR="00AF7AEE" w:rsidRPr="00A26B2C" w:rsidRDefault="00F40B08" w:rsidP="6C31340A">
      <w:r>
        <w:br w:type="page"/>
      </w:r>
    </w:p>
    <w:p w14:paraId="36B7076F" w14:textId="778C96BA" w:rsidR="00AF7AEE" w:rsidRPr="00A26B2C" w:rsidRDefault="6BE7477D" w:rsidP="002A1ADD">
      <w:pPr>
        <w:pStyle w:val="VAHeadingLevel2"/>
      </w:pPr>
      <w:r>
        <w:lastRenderedPageBreak/>
        <w:t xml:space="preserve">Note </w:t>
      </w:r>
      <w:r w:rsidR="71C27812">
        <w:t>18</w:t>
      </w:r>
      <w:r w:rsidR="3849D2F4">
        <w:t>.</w:t>
      </w:r>
      <w:r w:rsidR="1D074BB9">
        <w:t xml:space="preserve"> Property, </w:t>
      </w:r>
      <w:r w:rsidR="4EB57DD4">
        <w:t>P</w:t>
      </w:r>
      <w:r w:rsidR="1D074BB9">
        <w:t xml:space="preserve">lant and </w:t>
      </w:r>
      <w:r w:rsidR="4EB57DD4">
        <w:t>E</w:t>
      </w:r>
      <w:r w:rsidR="1D074BB9">
        <w:t xml:space="preserve">quipment </w:t>
      </w:r>
    </w:p>
    <w:p w14:paraId="04B92DAA" w14:textId="128104C0" w:rsidR="009E5797" w:rsidRDefault="0079406E" w:rsidP="00CF76C2">
      <w:r w:rsidRPr="007F07C2">
        <w:t>The movement in fixed assets during the year is shown in the table below</w:t>
      </w:r>
      <w:r w:rsidR="00884F42">
        <w:t>.</w:t>
      </w:r>
    </w:p>
    <w:p w14:paraId="703CBC81" w14:textId="40CE28A6" w:rsidR="00F22879" w:rsidRDefault="00F22879" w:rsidP="00B06A00">
      <w:pPr>
        <w:keepNext/>
        <w:keepLines/>
        <w:rPr>
          <w:rFonts w:cstheme="minorBidi"/>
        </w:rPr>
      </w:pPr>
    </w:p>
    <w:tbl>
      <w:tblPr>
        <w:tblW w:w="5000" w:type="pct"/>
        <w:tblLook w:val="04A0" w:firstRow="1" w:lastRow="0" w:firstColumn="1" w:lastColumn="0" w:noHBand="0" w:noVBand="1"/>
      </w:tblPr>
      <w:tblGrid>
        <w:gridCol w:w="4197"/>
        <w:gridCol w:w="1128"/>
        <w:gridCol w:w="1388"/>
        <w:gridCol w:w="1130"/>
        <w:gridCol w:w="1216"/>
        <w:gridCol w:w="1316"/>
      </w:tblGrid>
      <w:tr w:rsidR="00F22879" w:rsidRPr="00F22879" w14:paraId="6E211372" w14:textId="77777777" w:rsidTr="00F22879">
        <w:trPr>
          <w:trHeight w:val="315"/>
        </w:trPr>
        <w:tc>
          <w:tcPr>
            <w:tcW w:w="5000" w:type="pct"/>
            <w:gridSpan w:val="6"/>
            <w:tcBorders>
              <w:top w:val="nil"/>
              <w:left w:val="nil"/>
              <w:bottom w:val="nil"/>
              <w:right w:val="nil"/>
            </w:tcBorders>
            <w:shd w:val="clear" w:color="000000" w:fill="AB2328"/>
            <w:vAlign w:val="center"/>
            <w:hideMark/>
          </w:tcPr>
          <w:p w14:paraId="31002891" w14:textId="11EA9AAE" w:rsidR="00F22879" w:rsidRPr="00F22879" w:rsidRDefault="00F22879" w:rsidP="00F22879">
            <w:pPr>
              <w:spacing w:line="240" w:lineRule="auto"/>
              <w:jc w:val="center"/>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Operational Assets</w:t>
            </w:r>
          </w:p>
        </w:tc>
      </w:tr>
      <w:tr w:rsidR="00F22879" w:rsidRPr="00F22879" w14:paraId="3CB83156" w14:textId="77777777" w:rsidTr="00F22879">
        <w:trPr>
          <w:trHeight w:val="900"/>
        </w:trPr>
        <w:tc>
          <w:tcPr>
            <w:tcW w:w="2066" w:type="pct"/>
            <w:tcBorders>
              <w:top w:val="nil"/>
              <w:left w:val="nil"/>
              <w:bottom w:val="nil"/>
              <w:right w:val="nil"/>
            </w:tcBorders>
            <w:shd w:val="clear" w:color="000000" w:fill="AB2328"/>
            <w:vAlign w:val="bottom"/>
            <w:hideMark/>
          </w:tcPr>
          <w:p w14:paraId="05F3F547"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 </w:t>
            </w:r>
          </w:p>
        </w:tc>
        <w:tc>
          <w:tcPr>
            <w:tcW w:w="587" w:type="pct"/>
            <w:tcBorders>
              <w:top w:val="nil"/>
              <w:left w:val="nil"/>
              <w:bottom w:val="nil"/>
              <w:right w:val="nil"/>
            </w:tcBorders>
            <w:shd w:val="clear" w:color="000000" w:fill="AB2328"/>
            <w:vAlign w:val="bottom"/>
            <w:hideMark/>
          </w:tcPr>
          <w:p w14:paraId="7B1557D1"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Land and Buildings</w:t>
            </w:r>
          </w:p>
        </w:tc>
        <w:tc>
          <w:tcPr>
            <w:tcW w:w="587" w:type="pct"/>
            <w:tcBorders>
              <w:top w:val="nil"/>
              <w:left w:val="nil"/>
              <w:bottom w:val="nil"/>
              <w:right w:val="nil"/>
            </w:tcBorders>
            <w:shd w:val="clear" w:color="000000" w:fill="AB2328"/>
            <w:vAlign w:val="bottom"/>
            <w:hideMark/>
          </w:tcPr>
          <w:p w14:paraId="7CD6E183"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Assets Under Construction</w:t>
            </w:r>
          </w:p>
        </w:tc>
        <w:tc>
          <w:tcPr>
            <w:tcW w:w="587" w:type="pct"/>
            <w:tcBorders>
              <w:top w:val="nil"/>
              <w:left w:val="nil"/>
              <w:bottom w:val="nil"/>
              <w:right w:val="nil"/>
            </w:tcBorders>
            <w:shd w:val="clear" w:color="000000" w:fill="AB2328"/>
            <w:vAlign w:val="bottom"/>
            <w:hideMark/>
          </w:tcPr>
          <w:p w14:paraId="5A9650B4"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Surplus Assets</w:t>
            </w:r>
          </w:p>
        </w:tc>
        <w:tc>
          <w:tcPr>
            <w:tcW w:w="587" w:type="pct"/>
            <w:tcBorders>
              <w:top w:val="nil"/>
              <w:left w:val="nil"/>
              <w:bottom w:val="nil"/>
              <w:right w:val="nil"/>
            </w:tcBorders>
            <w:shd w:val="clear" w:color="000000" w:fill="AB2328"/>
            <w:vAlign w:val="bottom"/>
            <w:hideMark/>
          </w:tcPr>
          <w:p w14:paraId="53A2FBCE"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Vehicles, Plant and Equipment</w:t>
            </w:r>
          </w:p>
        </w:tc>
        <w:tc>
          <w:tcPr>
            <w:tcW w:w="587" w:type="pct"/>
            <w:tcBorders>
              <w:top w:val="nil"/>
              <w:left w:val="nil"/>
              <w:bottom w:val="nil"/>
              <w:right w:val="nil"/>
            </w:tcBorders>
            <w:shd w:val="clear" w:color="000000" w:fill="AB2328"/>
            <w:noWrap/>
            <w:vAlign w:val="bottom"/>
            <w:hideMark/>
          </w:tcPr>
          <w:p w14:paraId="2EA2F5B0"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Total Assets</w:t>
            </w:r>
          </w:p>
        </w:tc>
      </w:tr>
      <w:tr w:rsidR="00F22879" w:rsidRPr="00F22879" w14:paraId="7BE74B62" w14:textId="77777777" w:rsidTr="00F22879">
        <w:trPr>
          <w:trHeight w:val="315"/>
        </w:trPr>
        <w:tc>
          <w:tcPr>
            <w:tcW w:w="2066" w:type="pct"/>
            <w:tcBorders>
              <w:top w:val="nil"/>
              <w:left w:val="nil"/>
              <w:bottom w:val="nil"/>
              <w:right w:val="nil"/>
            </w:tcBorders>
            <w:shd w:val="clear" w:color="000000" w:fill="AB2328"/>
            <w:vAlign w:val="bottom"/>
            <w:hideMark/>
          </w:tcPr>
          <w:p w14:paraId="01498644"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 </w:t>
            </w:r>
          </w:p>
        </w:tc>
        <w:tc>
          <w:tcPr>
            <w:tcW w:w="587" w:type="pct"/>
            <w:tcBorders>
              <w:top w:val="nil"/>
              <w:left w:val="nil"/>
              <w:bottom w:val="nil"/>
              <w:right w:val="nil"/>
            </w:tcBorders>
            <w:shd w:val="clear" w:color="000000" w:fill="AB2328"/>
            <w:noWrap/>
            <w:vAlign w:val="bottom"/>
            <w:hideMark/>
          </w:tcPr>
          <w:p w14:paraId="7CB07FE5"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£000</w:t>
            </w:r>
          </w:p>
        </w:tc>
        <w:tc>
          <w:tcPr>
            <w:tcW w:w="587" w:type="pct"/>
            <w:tcBorders>
              <w:top w:val="nil"/>
              <w:left w:val="nil"/>
              <w:bottom w:val="nil"/>
              <w:right w:val="nil"/>
            </w:tcBorders>
            <w:shd w:val="clear" w:color="000000" w:fill="AB2328"/>
            <w:noWrap/>
            <w:vAlign w:val="bottom"/>
            <w:hideMark/>
          </w:tcPr>
          <w:p w14:paraId="1A275FF1"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£000</w:t>
            </w:r>
          </w:p>
        </w:tc>
        <w:tc>
          <w:tcPr>
            <w:tcW w:w="587" w:type="pct"/>
            <w:tcBorders>
              <w:top w:val="nil"/>
              <w:left w:val="nil"/>
              <w:bottom w:val="nil"/>
              <w:right w:val="nil"/>
            </w:tcBorders>
            <w:shd w:val="clear" w:color="000000" w:fill="AB2328"/>
            <w:noWrap/>
            <w:vAlign w:val="bottom"/>
            <w:hideMark/>
          </w:tcPr>
          <w:p w14:paraId="73986735"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£000</w:t>
            </w:r>
          </w:p>
        </w:tc>
        <w:tc>
          <w:tcPr>
            <w:tcW w:w="587" w:type="pct"/>
            <w:tcBorders>
              <w:top w:val="nil"/>
              <w:left w:val="nil"/>
              <w:bottom w:val="nil"/>
              <w:right w:val="nil"/>
            </w:tcBorders>
            <w:shd w:val="clear" w:color="000000" w:fill="AB2328"/>
            <w:noWrap/>
            <w:vAlign w:val="bottom"/>
            <w:hideMark/>
          </w:tcPr>
          <w:p w14:paraId="38BC411C"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£000</w:t>
            </w:r>
          </w:p>
        </w:tc>
        <w:tc>
          <w:tcPr>
            <w:tcW w:w="587" w:type="pct"/>
            <w:tcBorders>
              <w:top w:val="nil"/>
              <w:left w:val="nil"/>
              <w:bottom w:val="nil"/>
              <w:right w:val="nil"/>
            </w:tcBorders>
            <w:shd w:val="clear" w:color="000000" w:fill="AB2328"/>
            <w:noWrap/>
            <w:vAlign w:val="bottom"/>
            <w:hideMark/>
          </w:tcPr>
          <w:p w14:paraId="291A9588" w14:textId="77777777" w:rsidR="00F22879" w:rsidRPr="00F22879" w:rsidRDefault="00F22879" w:rsidP="00F22879">
            <w:pPr>
              <w:spacing w:line="240" w:lineRule="auto"/>
              <w:jc w:val="right"/>
              <w:rPr>
                <w:rFonts w:ascii="Calibri" w:eastAsia="Times New Roman" w:hAnsi="Calibri" w:cs="Calibri"/>
                <w:b/>
                <w:bCs/>
                <w:color w:val="FFFFFF"/>
                <w:lang w:eastAsia="en-GB"/>
              </w:rPr>
            </w:pPr>
            <w:r w:rsidRPr="00F22879">
              <w:rPr>
                <w:rFonts w:ascii="Calibri" w:eastAsia="Times New Roman" w:hAnsi="Calibri" w:cs="Calibri"/>
                <w:b/>
                <w:bCs/>
                <w:color w:val="FFFFFF"/>
                <w:lang w:eastAsia="en-GB"/>
              </w:rPr>
              <w:t>£000</w:t>
            </w:r>
          </w:p>
        </w:tc>
      </w:tr>
      <w:tr w:rsidR="00F22879" w:rsidRPr="00F22879" w14:paraId="76224E4C" w14:textId="77777777" w:rsidTr="00F22879">
        <w:trPr>
          <w:trHeight w:val="300"/>
        </w:trPr>
        <w:tc>
          <w:tcPr>
            <w:tcW w:w="2066" w:type="pct"/>
            <w:tcBorders>
              <w:top w:val="nil"/>
              <w:left w:val="nil"/>
              <w:bottom w:val="nil"/>
              <w:right w:val="nil"/>
            </w:tcBorders>
            <w:shd w:val="clear" w:color="000000" w:fill="FFFFFF"/>
            <w:noWrap/>
            <w:vAlign w:val="bottom"/>
            <w:hideMark/>
          </w:tcPr>
          <w:p w14:paraId="7343EBA7" w14:textId="77777777"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Cost or Valuation</w:t>
            </w:r>
          </w:p>
        </w:tc>
        <w:tc>
          <w:tcPr>
            <w:tcW w:w="587" w:type="pct"/>
            <w:tcBorders>
              <w:top w:val="nil"/>
              <w:left w:val="nil"/>
              <w:bottom w:val="nil"/>
              <w:right w:val="nil"/>
            </w:tcBorders>
            <w:shd w:val="clear" w:color="000000" w:fill="FFFFFF"/>
            <w:noWrap/>
            <w:vAlign w:val="bottom"/>
            <w:hideMark/>
          </w:tcPr>
          <w:p w14:paraId="0FB46C05"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17A0A328"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089FF6DF"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7BCE8B78"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E1E1"/>
            <w:noWrap/>
            <w:vAlign w:val="bottom"/>
            <w:hideMark/>
          </w:tcPr>
          <w:p w14:paraId="3DC97F38" w14:textId="77777777" w:rsidR="00F22879" w:rsidRPr="00F22879" w:rsidRDefault="00F22879" w:rsidP="00F22879">
            <w:pPr>
              <w:spacing w:line="240" w:lineRule="auto"/>
              <w:jc w:val="left"/>
              <w:rPr>
                <w:rFonts w:ascii="Calibri" w:eastAsia="Times New Roman" w:hAnsi="Calibri" w:cs="Calibri"/>
                <w:b/>
                <w:bCs/>
                <w:lang w:eastAsia="en-GB"/>
              </w:rPr>
            </w:pPr>
            <w:r w:rsidRPr="00F22879">
              <w:rPr>
                <w:rFonts w:ascii="Calibri" w:eastAsia="Times New Roman" w:hAnsi="Calibri" w:cs="Calibri"/>
                <w:b/>
                <w:bCs/>
                <w:lang w:eastAsia="en-GB"/>
              </w:rPr>
              <w:t> </w:t>
            </w:r>
          </w:p>
        </w:tc>
      </w:tr>
      <w:tr w:rsidR="00F22879" w:rsidRPr="00F22879" w14:paraId="729DF473" w14:textId="77777777" w:rsidTr="00F22879">
        <w:trPr>
          <w:trHeight w:val="300"/>
        </w:trPr>
        <w:tc>
          <w:tcPr>
            <w:tcW w:w="2066" w:type="pct"/>
            <w:tcBorders>
              <w:top w:val="single" w:sz="4" w:space="0" w:color="auto"/>
              <w:left w:val="nil"/>
              <w:bottom w:val="single" w:sz="4" w:space="0" w:color="auto"/>
              <w:right w:val="nil"/>
            </w:tcBorders>
            <w:shd w:val="clear" w:color="000000" w:fill="FFFFFF"/>
            <w:vAlign w:val="center"/>
            <w:hideMark/>
          </w:tcPr>
          <w:p w14:paraId="1D22BA57" w14:textId="77777777" w:rsidR="00F22879" w:rsidRPr="00F22879" w:rsidRDefault="00F22879" w:rsidP="00F22879">
            <w:pPr>
              <w:spacing w:line="240" w:lineRule="auto"/>
              <w:jc w:val="right"/>
              <w:rPr>
                <w:rFonts w:ascii="Calibri" w:eastAsia="Times New Roman" w:hAnsi="Calibri" w:cs="Calibri"/>
                <w:b/>
                <w:bCs/>
                <w:color w:val="000000"/>
                <w:lang w:eastAsia="en-GB"/>
              </w:rPr>
            </w:pP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2024</w:t>
            </w:r>
          </w:p>
        </w:tc>
        <w:tc>
          <w:tcPr>
            <w:tcW w:w="587" w:type="pct"/>
            <w:tcBorders>
              <w:top w:val="single" w:sz="4" w:space="0" w:color="auto"/>
              <w:left w:val="nil"/>
              <w:bottom w:val="single" w:sz="4" w:space="0" w:color="auto"/>
              <w:right w:val="nil"/>
            </w:tcBorders>
            <w:shd w:val="clear" w:color="000000" w:fill="FFFFFF"/>
            <w:noWrap/>
            <w:vAlign w:val="center"/>
            <w:hideMark/>
          </w:tcPr>
          <w:p w14:paraId="5853517A" w14:textId="43C185D5"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37,85</w:t>
            </w:r>
            <w:r w:rsidR="007B342E">
              <w:rPr>
                <w:rFonts w:ascii="Calibri" w:eastAsia="Times New Roman" w:hAnsi="Calibri" w:cs="Calibri"/>
                <w:color w:val="000000"/>
                <w:lang w:eastAsia="en-GB"/>
              </w:rPr>
              <w:t>4</w:t>
            </w:r>
          </w:p>
        </w:tc>
        <w:tc>
          <w:tcPr>
            <w:tcW w:w="587" w:type="pct"/>
            <w:tcBorders>
              <w:top w:val="single" w:sz="4" w:space="0" w:color="auto"/>
              <w:left w:val="nil"/>
              <w:bottom w:val="single" w:sz="4" w:space="0" w:color="auto"/>
              <w:right w:val="nil"/>
            </w:tcBorders>
            <w:shd w:val="clear" w:color="000000" w:fill="FFFFFF"/>
            <w:noWrap/>
            <w:vAlign w:val="center"/>
            <w:hideMark/>
          </w:tcPr>
          <w:p w14:paraId="0F69A62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1,014</w:t>
            </w:r>
          </w:p>
        </w:tc>
        <w:tc>
          <w:tcPr>
            <w:tcW w:w="587" w:type="pct"/>
            <w:tcBorders>
              <w:top w:val="single" w:sz="4" w:space="0" w:color="auto"/>
              <w:left w:val="nil"/>
              <w:bottom w:val="single" w:sz="4" w:space="0" w:color="auto"/>
              <w:right w:val="nil"/>
            </w:tcBorders>
            <w:shd w:val="clear" w:color="000000" w:fill="FFFFFF"/>
            <w:noWrap/>
            <w:vAlign w:val="center"/>
            <w:hideMark/>
          </w:tcPr>
          <w:p w14:paraId="631861D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396F3580" w14:textId="6EC73C59"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13,65</w:t>
            </w:r>
            <w:r w:rsidR="007B342E">
              <w:rPr>
                <w:rFonts w:ascii="Calibri" w:eastAsia="Times New Roman" w:hAnsi="Calibri" w:cs="Calibri"/>
                <w:color w:val="000000"/>
                <w:lang w:eastAsia="en-GB"/>
              </w:rPr>
              <w:t>2</w:t>
            </w:r>
          </w:p>
        </w:tc>
        <w:tc>
          <w:tcPr>
            <w:tcW w:w="587" w:type="pct"/>
            <w:tcBorders>
              <w:top w:val="single" w:sz="4" w:space="0" w:color="auto"/>
              <w:left w:val="nil"/>
              <w:bottom w:val="single" w:sz="4" w:space="0" w:color="auto"/>
              <w:right w:val="nil"/>
            </w:tcBorders>
            <w:shd w:val="clear" w:color="000000" w:fill="FFE1E1"/>
            <w:noWrap/>
            <w:vAlign w:val="center"/>
            <w:hideMark/>
          </w:tcPr>
          <w:p w14:paraId="7A643DA6" w14:textId="505914B1"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52,5</w:t>
            </w:r>
            <w:r w:rsidR="007B342E">
              <w:rPr>
                <w:rFonts w:ascii="Calibri" w:eastAsia="Times New Roman" w:hAnsi="Calibri" w:cs="Calibri"/>
                <w:b/>
                <w:bCs/>
                <w:lang w:eastAsia="en-GB"/>
              </w:rPr>
              <w:t>20</w:t>
            </w:r>
          </w:p>
        </w:tc>
      </w:tr>
      <w:tr w:rsidR="00F22879" w:rsidRPr="00F22879" w14:paraId="733106E4" w14:textId="77777777" w:rsidTr="00F22879">
        <w:trPr>
          <w:trHeight w:val="300"/>
        </w:trPr>
        <w:tc>
          <w:tcPr>
            <w:tcW w:w="2066" w:type="pct"/>
            <w:tcBorders>
              <w:top w:val="nil"/>
              <w:left w:val="nil"/>
              <w:bottom w:val="nil"/>
              <w:right w:val="nil"/>
            </w:tcBorders>
            <w:shd w:val="clear" w:color="000000" w:fill="FFFFFF"/>
            <w:vAlign w:val="center"/>
            <w:hideMark/>
          </w:tcPr>
          <w:p w14:paraId="30B7D66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Additions/Enhancement</w:t>
            </w:r>
          </w:p>
        </w:tc>
        <w:tc>
          <w:tcPr>
            <w:tcW w:w="587" w:type="pct"/>
            <w:tcBorders>
              <w:top w:val="nil"/>
              <w:left w:val="nil"/>
              <w:bottom w:val="nil"/>
              <w:right w:val="nil"/>
            </w:tcBorders>
            <w:shd w:val="clear" w:color="000000" w:fill="FFFFFF"/>
            <w:noWrap/>
            <w:vAlign w:val="center"/>
            <w:hideMark/>
          </w:tcPr>
          <w:p w14:paraId="17A8827D" w14:textId="15ED4F69"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39</w:t>
            </w:r>
            <w:r w:rsidR="007B342E">
              <w:rPr>
                <w:rFonts w:ascii="Calibri" w:eastAsia="Times New Roman" w:hAnsi="Calibri" w:cs="Calibri"/>
                <w:color w:val="000000"/>
                <w:lang w:eastAsia="en-GB"/>
              </w:rPr>
              <w:t>2</w:t>
            </w:r>
          </w:p>
        </w:tc>
        <w:tc>
          <w:tcPr>
            <w:tcW w:w="587" w:type="pct"/>
            <w:tcBorders>
              <w:top w:val="nil"/>
              <w:left w:val="nil"/>
              <w:bottom w:val="nil"/>
              <w:right w:val="nil"/>
            </w:tcBorders>
            <w:shd w:val="clear" w:color="000000" w:fill="FFFFFF"/>
            <w:noWrap/>
            <w:vAlign w:val="center"/>
            <w:hideMark/>
          </w:tcPr>
          <w:p w14:paraId="36A2A5D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1,083</w:t>
            </w:r>
          </w:p>
        </w:tc>
        <w:tc>
          <w:tcPr>
            <w:tcW w:w="587" w:type="pct"/>
            <w:tcBorders>
              <w:top w:val="nil"/>
              <w:left w:val="nil"/>
              <w:bottom w:val="nil"/>
              <w:right w:val="nil"/>
            </w:tcBorders>
            <w:shd w:val="clear" w:color="000000" w:fill="FFFFFF"/>
            <w:noWrap/>
            <w:vAlign w:val="center"/>
            <w:hideMark/>
          </w:tcPr>
          <w:p w14:paraId="18C0037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1950C897"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958</w:t>
            </w:r>
          </w:p>
        </w:tc>
        <w:tc>
          <w:tcPr>
            <w:tcW w:w="587" w:type="pct"/>
            <w:tcBorders>
              <w:top w:val="nil"/>
              <w:left w:val="nil"/>
              <w:bottom w:val="nil"/>
              <w:right w:val="nil"/>
            </w:tcBorders>
            <w:shd w:val="clear" w:color="000000" w:fill="FFE1E1"/>
            <w:noWrap/>
            <w:vAlign w:val="center"/>
            <w:hideMark/>
          </w:tcPr>
          <w:p w14:paraId="4B2C07B8" w14:textId="07C44902"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2,43</w:t>
            </w:r>
            <w:r w:rsidR="007B342E">
              <w:rPr>
                <w:rFonts w:ascii="Calibri" w:eastAsia="Times New Roman" w:hAnsi="Calibri" w:cs="Calibri"/>
                <w:b/>
                <w:bCs/>
                <w:lang w:eastAsia="en-GB"/>
              </w:rPr>
              <w:t>3</w:t>
            </w:r>
          </w:p>
        </w:tc>
      </w:tr>
      <w:tr w:rsidR="00F22879" w:rsidRPr="00F22879" w14:paraId="15B7E210" w14:textId="77777777" w:rsidTr="00F22879">
        <w:trPr>
          <w:trHeight w:val="600"/>
        </w:trPr>
        <w:tc>
          <w:tcPr>
            <w:tcW w:w="2066" w:type="pct"/>
            <w:tcBorders>
              <w:top w:val="nil"/>
              <w:left w:val="nil"/>
              <w:bottom w:val="nil"/>
              <w:right w:val="nil"/>
            </w:tcBorders>
            <w:shd w:val="clear" w:color="000000" w:fill="FFFFFF"/>
            <w:vAlign w:val="center"/>
            <w:hideMark/>
          </w:tcPr>
          <w:p w14:paraId="3AE24BF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Revaluation Increases/(Decreases) to Revaluation Reserve</w:t>
            </w:r>
          </w:p>
        </w:tc>
        <w:tc>
          <w:tcPr>
            <w:tcW w:w="587" w:type="pct"/>
            <w:tcBorders>
              <w:top w:val="nil"/>
              <w:left w:val="nil"/>
              <w:bottom w:val="nil"/>
              <w:right w:val="nil"/>
            </w:tcBorders>
            <w:shd w:val="clear" w:color="000000" w:fill="FFFFFF"/>
            <w:noWrap/>
            <w:vAlign w:val="center"/>
            <w:hideMark/>
          </w:tcPr>
          <w:p w14:paraId="168A3029" w14:textId="41AB716F"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r w:rsidR="00D257AE">
              <w:rPr>
                <w:rFonts w:ascii="Calibri" w:eastAsia="Times New Roman" w:hAnsi="Calibri" w:cs="Calibri"/>
                <w:color w:val="000000"/>
                <w:lang w:eastAsia="en-GB"/>
              </w:rPr>
              <w:t>1,287</w:t>
            </w: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E66430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4271F5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BEB243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76D99F0E" w14:textId="36207806"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r w:rsidR="009B6D70">
              <w:rPr>
                <w:rFonts w:ascii="Calibri" w:eastAsia="Times New Roman" w:hAnsi="Calibri" w:cs="Calibri"/>
                <w:b/>
                <w:bCs/>
                <w:lang w:eastAsia="en-GB"/>
              </w:rPr>
              <w:t>1,287</w:t>
            </w:r>
            <w:r w:rsidRPr="00F22879">
              <w:rPr>
                <w:rFonts w:ascii="Calibri" w:eastAsia="Times New Roman" w:hAnsi="Calibri" w:cs="Calibri"/>
                <w:b/>
                <w:bCs/>
                <w:lang w:eastAsia="en-GB"/>
              </w:rPr>
              <w:t>)</w:t>
            </w:r>
          </w:p>
        </w:tc>
      </w:tr>
      <w:tr w:rsidR="00F22879" w:rsidRPr="00F22879" w14:paraId="71B9F86C" w14:textId="77777777" w:rsidTr="00F22879">
        <w:trPr>
          <w:trHeight w:val="300"/>
        </w:trPr>
        <w:tc>
          <w:tcPr>
            <w:tcW w:w="2066" w:type="pct"/>
            <w:tcBorders>
              <w:top w:val="nil"/>
              <w:left w:val="nil"/>
              <w:bottom w:val="nil"/>
              <w:right w:val="nil"/>
            </w:tcBorders>
            <w:shd w:val="clear" w:color="000000" w:fill="FFFFFF"/>
            <w:vAlign w:val="center"/>
            <w:hideMark/>
          </w:tcPr>
          <w:p w14:paraId="4A682A99"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Depreciation eliminated on Revaluation</w:t>
            </w:r>
          </w:p>
        </w:tc>
        <w:tc>
          <w:tcPr>
            <w:tcW w:w="587" w:type="pct"/>
            <w:tcBorders>
              <w:top w:val="nil"/>
              <w:left w:val="nil"/>
              <w:bottom w:val="nil"/>
              <w:right w:val="nil"/>
            </w:tcBorders>
            <w:shd w:val="clear" w:color="000000" w:fill="FFFFFF"/>
            <w:noWrap/>
            <w:vAlign w:val="center"/>
            <w:hideMark/>
          </w:tcPr>
          <w:p w14:paraId="1936FE8F" w14:textId="3FA53D57" w:rsidR="00F22879" w:rsidRPr="00F22879" w:rsidRDefault="002B076A" w:rsidP="00F2287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6DD078A8"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71B1B48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9675D4F"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1D737771" w14:textId="13E49DE4" w:rsidR="00F22879" w:rsidRPr="00F22879" w:rsidRDefault="009B6D70" w:rsidP="00F22879">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w:t>
            </w:r>
          </w:p>
        </w:tc>
      </w:tr>
      <w:tr w:rsidR="00F22879" w:rsidRPr="00F22879" w14:paraId="776DC4C7" w14:textId="77777777" w:rsidTr="00F22879">
        <w:trPr>
          <w:trHeight w:val="600"/>
        </w:trPr>
        <w:tc>
          <w:tcPr>
            <w:tcW w:w="2066" w:type="pct"/>
            <w:tcBorders>
              <w:top w:val="nil"/>
              <w:left w:val="nil"/>
              <w:bottom w:val="nil"/>
              <w:right w:val="nil"/>
            </w:tcBorders>
            <w:shd w:val="clear" w:color="000000" w:fill="FFFFFF"/>
            <w:vAlign w:val="center"/>
            <w:hideMark/>
          </w:tcPr>
          <w:p w14:paraId="067C474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Revaluation Loss Reversal to Comprehensive Income and Expenditure Statement</w:t>
            </w:r>
          </w:p>
        </w:tc>
        <w:tc>
          <w:tcPr>
            <w:tcW w:w="587" w:type="pct"/>
            <w:tcBorders>
              <w:top w:val="nil"/>
              <w:left w:val="nil"/>
              <w:bottom w:val="nil"/>
              <w:right w:val="nil"/>
            </w:tcBorders>
            <w:shd w:val="clear" w:color="000000" w:fill="FFFFFF"/>
            <w:noWrap/>
            <w:vAlign w:val="center"/>
            <w:hideMark/>
          </w:tcPr>
          <w:p w14:paraId="68C7A5B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(45)</w:t>
            </w:r>
          </w:p>
        </w:tc>
        <w:tc>
          <w:tcPr>
            <w:tcW w:w="587" w:type="pct"/>
            <w:tcBorders>
              <w:top w:val="nil"/>
              <w:left w:val="nil"/>
              <w:bottom w:val="nil"/>
              <w:right w:val="nil"/>
            </w:tcBorders>
            <w:shd w:val="clear" w:color="000000" w:fill="FFFFFF"/>
            <w:noWrap/>
            <w:vAlign w:val="center"/>
            <w:hideMark/>
          </w:tcPr>
          <w:p w14:paraId="4E2C5FE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1767EA47"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0893529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16D4A940"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(45)</w:t>
            </w:r>
          </w:p>
        </w:tc>
      </w:tr>
      <w:tr w:rsidR="00F22879" w:rsidRPr="00F22879" w14:paraId="52C50FF6" w14:textId="77777777" w:rsidTr="00F22879">
        <w:trPr>
          <w:trHeight w:val="300"/>
        </w:trPr>
        <w:tc>
          <w:tcPr>
            <w:tcW w:w="2066" w:type="pct"/>
            <w:tcBorders>
              <w:top w:val="nil"/>
              <w:left w:val="nil"/>
              <w:bottom w:val="nil"/>
              <w:right w:val="nil"/>
            </w:tcBorders>
            <w:shd w:val="clear" w:color="000000" w:fill="FFFFFF"/>
            <w:vAlign w:val="center"/>
            <w:hideMark/>
          </w:tcPr>
          <w:p w14:paraId="4922FFE7"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Derecognitions &amp; Disposals</w:t>
            </w:r>
          </w:p>
        </w:tc>
        <w:tc>
          <w:tcPr>
            <w:tcW w:w="587" w:type="pct"/>
            <w:tcBorders>
              <w:top w:val="nil"/>
              <w:left w:val="nil"/>
              <w:bottom w:val="nil"/>
              <w:right w:val="nil"/>
            </w:tcBorders>
            <w:shd w:val="clear" w:color="000000" w:fill="FFFFFF"/>
            <w:noWrap/>
            <w:vAlign w:val="center"/>
            <w:hideMark/>
          </w:tcPr>
          <w:p w14:paraId="5EC01343"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09AFE31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3BA76C2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0EBFD1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185A142F"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p>
        </w:tc>
      </w:tr>
      <w:tr w:rsidR="00F22879" w:rsidRPr="00F22879" w14:paraId="4758CF35" w14:textId="77777777" w:rsidTr="00F22879">
        <w:trPr>
          <w:trHeight w:val="315"/>
        </w:trPr>
        <w:tc>
          <w:tcPr>
            <w:tcW w:w="2066" w:type="pct"/>
            <w:tcBorders>
              <w:top w:val="nil"/>
              <w:left w:val="nil"/>
              <w:bottom w:val="nil"/>
              <w:right w:val="nil"/>
            </w:tcBorders>
            <w:shd w:val="clear" w:color="000000" w:fill="FFFFFF"/>
            <w:vAlign w:val="center"/>
            <w:hideMark/>
          </w:tcPr>
          <w:p w14:paraId="6D0235B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Reclassifications</w:t>
            </w:r>
          </w:p>
        </w:tc>
        <w:tc>
          <w:tcPr>
            <w:tcW w:w="587" w:type="pct"/>
            <w:tcBorders>
              <w:top w:val="nil"/>
              <w:left w:val="nil"/>
              <w:bottom w:val="nil"/>
              <w:right w:val="nil"/>
            </w:tcBorders>
            <w:shd w:val="clear" w:color="000000" w:fill="FFFFFF"/>
            <w:noWrap/>
            <w:vAlign w:val="center"/>
            <w:hideMark/>
          </w:tcPr>
          <w:p w14:paraId="08D4B103"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629784A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(1,014)</w:t>
            </w:r>
          </w:p>
        </w:tc>
        <w:tc>
          <w:tcPr>
            <w:tcW w:w="587" w:type="pct"/>
            <w:tcBorders>
              <w:top w:val="nil"/>
              <w:left w:val="nil"/>
              <w:bottom w:val="nil"/>
              <w:right w:val="nil"/>
            </w:tcBorders>
            <w:shd w:val="clear" w:color="000000" w:fill="FFFFFF"/>
            <w:noWrap/>
            <w:vAlign w:val="center"/>
            <w:hideMark/>
          </w:tcPr>
          <w:p w14:paraId="69C8B5DC"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53F5A5C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1,014</w:t>
            </w:r>
          </w:p>
        </w:tc>
        <w:tc>
          <w:tcPr>
            <w:tcW w:w="587" w:type="pct"/>
            <w:tcBorders>
              <w:top w:val="nil"/>
              <w:left w:val="nil"/>
              <w:bottom w:val="nil"/>
              <w:right w:val="nil"/>
            </w:tcBorders>
            <w:shd w:val="clear" w:color="000000" w:fill="FFE1E1"/>
            <w:noWrap/>
            <w:vAlign w:val="center"/>
            <w:hideMark/>
          </w:tcPr>
          <w:p w14:paraId="11E633AB"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p>
        </w:tc>
      </w:tr>
      <w:tr w:rsidR="00F22879" w:rsidRPr="00F22879" w14:paraId="5BE0A6A5" w14:textId="77777777" w:rsidTr="00F22879">
        <w:trPr>
          <w:trHeight w:val="300"/>
        </w:trPr>
        <w:tc>
          <w:tcPr>
            <w:tcW w:w="2066" w:type="pct"/>
            <w:tcBorders>
              <w:top w:val="single" w:sz="4" w:space="0" w:color="auto"/>
              <w:left w:val="nil"/>
              <w:bottom w:val="single" w:sz="4" w:space="0" w:color="auto"/>
              <w:right w:val="nil"/>
            </w:tcBorders>
            <w:shd w:val="clear" w:color="000000" w:fill="FFFFFF"/>
            <w:vAlign w:val="center"/>
            <w:hideMark/>
          </w:tcPr>
          <w:p w14:paraId="351204EA" w14:textId="77777777" w:rsidR="00F22879" w:rsidRPr="00F22879" w:rsidRDefault="00F22879" w:rsidP="00F22879">
            <w:pPr>
              <w:spacing w:line="240" w:lineRule="auto"/>
              <w:jc w:val="right"/>
              <w:rPr>
                <w:rFonts w:ascii="Calibri" w:eastAsia="Times New Roman" w:hAnsi="Calibri" w:cs="Calibri"/>
                <w:b/>
                <w:bCs/>
                <w:color w:val="000000"/>
                <w:lang w:eastAsia="en-GB"/>
              </w:rPr>
            </w:pP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2025</w:t>
            </w:r>
          </w:p>
        </w:tc>
        <w:tc>
          <w:tcPr>
            <w:tcW w:w="587" w:type="pct"/>
            <w:tcBorders>
              <w:top w:val="single" w:sz="4" w:space="0" w:color="auto"/>
              <w:left w:val="nil"/>
              <w:bottom w:val="single" w:sz="4" w:space="0" w:color="auto"/>
              <w:right w:val="nil"/>
            </w:tcBorders>
            <w:shd w:val="clear" w:color="000000" w:fill="FFFFFF"/>
            <w:noWrap/>
            <w:vAlign w:val="center"/>
            <w:hideMark/>
          </w:tcPr>
          <w:p w14:paraId="0F5344A0" w14:textId="5EE8DF4D"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36,914</w:t>
            </w:r>
          </w:p>
        </w:tc>
        <w:tc>
          <w:tcPr>
            <w:tcW w:w="587" w:type="pct"/>
            <w:tcBorders>
              <w:top w:val="single" w:sz="4" w:space="0" w:color="auto"/>
              <w:left w:val="nil"/>
              <w:bottom w:val="single" w:sz="4" w:space="0" w:color="auto"/>
              <w:right w:val="nil"/>
            </w:tcBorders>
            <w:shd w:val="clear" w:color="000000" w:fill="FFFFFF"/>
            <w:noWrap/>
            <w:vAlign w:val="center"/>
            <w:hideMark/>
          </w:tcPr>
          <w:p w14:paraId="087C69C6" w14:textId="77777777"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1,083</w:t>
            </w:r>
          </w:p>
        </w:tc>
        <w:tc>
          <w:tcPr>
            <w:tcW w:w="587" w:type="pct"/>
            <w:tcBorders>
              <w:top w:val="single" w:sz="4" w:space="0" w:color="auto"/>
              <w:left w:val="nil"/>
              <w:bottom w:val="single" w:sz="4" w:space="0" w:color="auto"/>
              <w:right w:val="nil"/>
            </w:tcBorders>
            <w:shd w:val="clear" w:color="000000" w:fill="FFFFFF"/>
            <w:noWrap/>
            <w:vAlign w:val="center"/>
            <w:hideMark/>
          </w:tcPr>
          <w:p w14:paraId="27F27486" w14:textId="77777777"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1B6CF6DF" w14:textId="46110023"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15,62</w:t>
            </w:r>
            <w:r w:rsidR="003529F1">
              <w:rPr>
                <w:rFonts w:ascii="Calibri" w:eastAsia="Times New Roman" w:hAnsi="Calibri" w:cs="Calibri"/>
                <w:b/>
                <w:bCs/>
                <w:color w:val="000000"/>
                <w:lang w:eastAsia="en-GB"/>
              </w:rPr>
              <w:t>4</w:t>
            </w:r>
          </w:p>
        </w:tc>
        <w:tc>
          <w:tcPr>
            <w:tcW w:w="587" w:type="pct"/>
            <w:tcBorders>
              <w:top w:val="single" w:sz="4" w:space="0" w:color="auto"/>
              <w:left w:val="nil"/>
              <w:bottom w:val="single" w:sz="4" w:space="0" w:color="auto"/>
              <w:right w:val="nil"/>
            </w:tcBorders>
            <w:shd w:val="clear" w:color="000000" w:fill="FFE1E1"/>
            <w:noWrap/>
            <w:vAlign w:val="center"/>
            <w:hideMark/>
          </w:tcPr>
          <w:p w14:paraId="3E4799B6" w14:textId="5673F1B3"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53,62</w:t>
            </w:r>
            <w:r w:rsidR="007B342E">
              <w:rPr>
                <w:rFonts w:ascii="Calibri" w:eastAsia="Times New Roman" w:hAnsi="Calibri" w:cs="Calibri"/>
                <w:b/>
                <w:bCs/>
                <w:lang w:eastAsia="en-GB"/>
              </w:rPr>
              <w:t>1</w:t>
            </w:r>
          </w:p>
        </w:tc>
      </w:tr>
      <w:tr w:rsidR="00F22879" w:rsidRPr="00F22879" w14:paraId="72049C30" w14:textId="77777777" w:rsidTr="00F22879">
        <w:trPr>
          <w:trHeight w:val="195"/>
        </w:trPr>
        <w:tc>
          <w:tcPr>
            <w:tcW w:w="2066" w:type="pct"/>
            <w:tcBorders>
              <w:top w:val="nil"/>
              <w:left w:val="nil"/>
              <w:bottom w:val="nil"/>
              <w:right w:val="nil"/>
            </w:tcBorders>
            <w:shd w:val="clear" w:color="000000" w:fill="FFFFFF"/>
            <w:vAlign w:val="center"/>
            <w:hideMark/>
          </w:tcPr>
          <w:p w14:paraId="5465E560"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641D811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5AEF55A8"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2AB5EE3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20817CB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E1E1"/>
            <w:noWrap/>
            <w:vAlign w:val="center"/>
            <w:hideMark/>
          </w:tcPr>
          <w:p w14:paraId="229966AC"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 </w:t>
            </w:r>
          </w:p>
        </w:tc>
      </w:tr>
      <w:tr w:rsidR="00F22879" w:rsidRPr="00F22879" w14:paraId="25CC9FE6" w14:textId="77777777" w:rsidTr="00F22879">
        <w:trPr>
          <w:trHeight w:val="300"/>
        </w:trPr>
        <w:tc>
          <w:tcPr>
            <w:tcW w:w="2066" w:type="pct"/>
            <w:tcBorders>
              <w:top w:val="nil"/>
              <w:left w:val="nil"/>
              <w:bottom w:val="nil"/>
              <w:right w:val="nil"/>
            </w:tcBorders>
            <w:shd w:val="clear" w:color="000000" w:fill="FFFFFF"/>
            <w:vAlign w:val="center"/>
            <w:hideMark/>
          </w:tcPr>
          <w:p w14:paraId="35E8D71F" w14:textId="77777777" w:rsidR="00F22879" w:rsidRPr="00F22879" w:rsidRDefault="00F22879" w:rsidP="00F22879">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Depreciation/Impairment</w:t>
            </w:r>
          </w:p>
        </w:tc>
        <w:tc>
          <w:tcPr>
            <w:tcW w:w="587" w:type="pct"/>
            <w:tcBorders>
              <w:top w:val="nil"/>
              <w:left w:val="nil"/>
              <w:bottom w:val="nil"/>
              <w:right w:val="nil"/>
            </w:tcBorders>
            <w:shd w:val="clear" w:color="000000" w:fill="FFFFFF"/>
            <w:noWrap/>
            <w:vAlign w:val="center"/>
            <w:hideMark/>
          </w:tcPr>
          <w:p w14:paraId="40919980"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2CBAAA27"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101E6E2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7A750C7C"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E1E1"/>
            <w:noWrap/>
            <w:vAlign w:val="center"/>
            <w:hideMark/>
          </w:tcPr>
          <w:p w14:paraId="776CD8F8"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 </w:t>
            </w:r>
          </w:p>
        </w:tc>
      </w:tr>
      <w:tr w:rsidR="00F22879" w:rsidRPr="00F22879" w14:paraId="04EE1442" w14:textId="77777777" w:rsidTr="00F22879">
        <w:trPr>
          <w:trHeight w:val="300"/>
        </w:trPr>
        <w:tc>
          <w:tcPr>
            <w:tcW w:w="2066" w:type="pct"/>
            <w:tcBorders>
              <w:top w:val="single" w:sz="4" w:space="0" w:color="auto"/>
              <w:left w:val="nil"/>
              <w:bottom w:val="single" w:sz="4" w:space="0" w:color="auto"/>
              <w:right w:val="nil"/>
            </w:tcBorders>
            <w:shd w:val="clear" w:color="000000" w:fill="FFFFFF"/>
            <w:vAlign w:val="center"/>
            <w:hideMark/>
          </w:tcPr>
          <w:p w14:paraId="361F137F" w14:textId="77777777" w:rsidR="00F22879" w:rsidRPr="00F22879" w:rsidRDefault="00F22879" w:rsidP="00F22879">
            <w:pPr>
              <w:spacing w:line="240" w:lineRule="auto"/>
              <w:jc w:val="right"/>
              <w:rPr>
                <w:rFonts w:ascii="Calibri" w:eastAsia="Times New Roman" w:hAnsi="Calibri" w:cs="Calibri"/>
                <w:b/>
                <w:bCs/>
                <w:color w:val="000000"/>
                <w:lang w:eastAsia="en-GB"/>
              </w:rPr>
            </w:pP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2024</w:t>
            </w:r>
          </w:p>
        </w:tc>
        <w:tc>
          <w:tcPr>
            <w:tcW w:w="587" w:type="pct"/>
            <w:tcBorders>
              <w:top w:val="single" w:sz="4" w:space="0" w:color="auto"/>
              <w:left w:val="nil"/>
              <w:bottom w:val="single" w:sz="4" w:space="0" w:color="auto"/>
              <w:right w:val="nil"/>
            </w:tcBorders>
            <w:shd w:val="clear" w:color="000000" w:fill="FFFFFF"/>
            <w:noWrap/>
            <w:vAlign w:val="center"/>
            <w:hideMark/>
          </w:tcPr>
          <w:p w14:paraId="613BB9E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4B582A7C"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1062C725"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387E7FBA" w14:textId="1F3ADCCC"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(5,05</w:t>
            </w:r>
            <w:r w:rsidR="008276E3">
              <w:rPr>
                <w:rFonts w:ascii="Calibri" w:eastAsia="Times New Roman" w:hAnsi="Calibri" w:cs="Calibri"/>
                <w:color w:val="000000"/>
                <w:lang w:eastAsia="en-GB"/>
              </w:rPr>
              <w:t>1</w:t>
            </w: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E1E1"/>
            <w:noWrap/>
            <w:vAlign w:val="center"/>
            <w:hideMark/>
          </w:tcPr>
          <w:p w14:paraId="67F6DFA1" w14:textId="0842850D"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(5,05</w:t>
            </w:r>
            <w:r w:rsidR="008276E3">
              <w:rPr>
                <w:rFonts w:ascii="Calibri" w:eastAsia="Times New Roman" w:hAnsi="Calibri" w:cs="Calibri"/>
                <w:b/>
                <w:bCs/>
                <w:lang w:eastAsia="en-GB"/>
              </w:rPr>
              <w:t>1</w:t>
            </w:r>
            <w:r w:rsidRPr="00F22879">
              <w:rPr>
                <w:rFonts w:ascii="Calibri" w:eastAsia="Times New Roman" w:hAnsi="Calibri" w:cs="Calibri"/>
                <w:b/>
                <w:bCs/>
                <w:lang w:eastAsia="en-GB"/>
              </w:rPr>
              <w:t>)</w:t>
            </w:r>
          </w:p>
        </w:tc>
      </w:tr>
      <w:tr w:rsidR="00F22879" w:rsidRPr="00F22879" w14:paraId="095F93C5" w14:textId="77777777" w:rsidTr="00F22879">
        <w:trPr>
          <w:trHeight w:val="300"/>
        </w:trPr>
        <w:tc>
          <w:tcPr>
            <w:tcW w:w="2066" w:type="pct"/>
            <w:tcBorders>
              <w:top w:val="nil"/>
              <w:left w:val="nil"/>
              <w:bottom w:val="nil"/>
              <w:right w:val="nil"/>
            </w:tcBorders>
            <w:shd w:val="clear" w:color="000000" w:fill="FFFFFF"/>
            <w:vAlign w:val="center"/>
            <w:hideMark/>
          </w:tcPr>
          <w:p w14:paraId="3C8BE99D" w14:textId="6E80F658"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Charge for the twelve months to 31st March 202</w:t>
            </w:r>
            <w:r w:rsidR="008C3CF5">
              <w:rPr>
                <w:rFonts w:ascii="Calibri" w:eastAsia="Times New Roman" w:hAnsi="Calibri" w:cs="Calibri"/>
                <w:color w:val="000000"/>
                <w:lang w:eastAsia="en-GB"/>
              </w:rPr>
              <w:t>5</w:t>
            </w:r>
          </w:p>
        </w:tc>
        <w:tc>
          <w:tcPr>
            <w:tcW w:w="587" w:type="pct"/>
            <w:tcBorders>
              <w:top w:val="nil"/>
              <w:left w:val="nil"/>
              <w:bottom w:val="nil"/>
              <w:right w:val="nil"/>
            </w:tcBorders>
            <w:shd w:val="clear" w:color="000000" w:fill="FFFFFF"/>
            <w:noWrap/>
            <w:vAlign w:val="center"/>
            <w:hideMark/>
          </w:tcPr>
          <w:p w14:paraId="5E8E0A5E"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(599)</w:t>
            </w:r>
          </w:p>
        </w:tc>
        <w:tc>
          <w:tcPr>
            <w:tcW w:w="587" w:type="pct"/>
            <w:tcBorders>
              <w:top w:val="nil"/>
              <w:left w:val="nil"/>
              <w:bottom w:val="nil"/>
              <w:right w:val="nil"/>
            </w:tcBorders>
            <w:shd w:val="clear" w:color="000000" w:fill="FFFFFF"/>
            <w:noWrap/>
            <w:vAlign w:val="center"/>
            <w:hideMark/>
          </w:tcPr>
          <w:p w14:paraId="0A30AC4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084E5B31"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10D252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(1,325)</w:t>
            </w:r>
          </w:p>
        </w:tc>
        <w:tc>
          <w:tcPr>
            <w:tcW w:w="587" w:type="pct"/>
            <w:tcBorders>
              <w:top w:val="nil"/>
              <w:left w:val="nil"/>
              <w:bottom w:val="nil"/>
              <w:right w:val="nil"/>
            </w:tcBorders>
            <w:shd w:val="clear" w:color="000000" w:fill="FFE1E1"/>
            <w:noWrap/>
            <w:vAlign w:val="center"/>
            <w:hideMark/>
          </w:tcPr>
          <w:p w14:paraId="3056B4B7"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(1,924)</w:t>
            </w:r>
          </w:p>
        </w:tc>
      </w:tr>
      <w:tr w:rsidR="00F22879" w:rsidRPr="00F22879" w14:paraId="2DEA2248" w14:textId="77777777" w:rsidTr="00F22879">
        <w:trPr>
          <w:trHeight w:val="300"/>
        </w:trPr>
        <w:tc>
          <w:tcPr>
            <w:tcW w:w="2066" w:type="pct"/>
            <w:tcBorders>
              <w:top w:val="nil"/>
              <w:left w:val="nil"/>
              <w:bottom w:val="nil"/>
              <w:right w:val="nil"/>
            </w:tcBorders>
            <w:shd w:val="clear" w:color="000000" w:fill="FFFFFF"/>
            <w:vAlign w:val="center"/>
            <w:hideMark/>
          </w:tcPr>
          <w:p w14:paraId="32B4A46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Depreciation written out to the Revaluation Reserve</w:t>
            </w:r>
          </w:p>
        </w:tc>
        <w:tc>
          <w:tcPr>
            <w:tcW w:w="587" w:type="pct"/>
            <w:tcBorders>
              <w:top w:val="nil"/>
              <w:left w:val="nil"/>
              <w:bottom w:val="nil"/>
              <w:right w:val="nil"/>
            </w:tcBorders>
            <w:shd w:val="clear" w:color="000000" w:fill="FFFFFF"/>
            <w:noWrap/>
            <w:vAlign w:val="center"/>
            <w:hideMark/>
          </w:tcPr>
          <w:p w14:paraId="5713502A" w14:textId="5FF7155D" w:rsidR="00F22879" w:rsidRPr="00F22879" w:rsidRDefault="007F6E0D" w:rsidP="00F2287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599</w:t>
            </w:r>
          </w:p>
        </w:tc>
        <w:tc>
          <w:tcPr>
            <w:tcW w:w="587" w:type="pct"/>
            <w:tcBorders>
              <w:top w:val="nil"/>
              <w:left w:val="nil"/>
              <w:bottom w:val="nil"/>
              <w:right w:val="nil"/>
            </w:tcBorders>
            <w:shd w:val="clear" w:color="000000" w:fill="FFFFFF"/>
            <w:noWrap/>
            <w:vAlign w:val="center"/>
            <w:hideMark/>
          </w:tcPr>
          <w:p w14:paraId="1AF7522C"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1D181F9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1803015"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6DC15BC2" w14:textId="7B4701F0" w:rsidR="00F22879" w:rsidRPr="00F22879" w:rsidRDefault="003B748E" w:rsidP="00F22879">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599</w:t>
            </w:r>
          </w:p>
        </w:tc>
      </w:tr>
      <w:tr w:rsidR="00F22879" w:rsidRPr="00F22879" w14:paraId="671BCA37" w14:textId="77777777" w:rsidTr="00F22879">
        <w:trPr>
          <w:trHeight w:val="300"/>
        </w:trPr>
        <w:tc>
          <w:tcPr>
            <w:tcW w:w="2066" w:type="pct"/>
            <w:tcBorders>
              <w:top w:val="nil"/>
              <w:left w:val="nil"/>
              <w:bottom w:val="nil"/>
              <w:right w:val="nil"/>
            </w:tcBorders>
            <w:shd w:val="clear" w:color="000000" w:fill="FFFFFF"/>
            <w:vAlign w:val="center"/>
            <w:hideMark/>
          </w:tcPr>
          <w:p w14:paraId="0A31E0E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Depreciation written out to the CIES</w:t>
            </w:r>
          </w:p>
        </w:tc>
        <w:tc>
          <w:tcPr>
            <w:tcW w:w="587" w:type="pct"/>
            <w:tcBorders>
              <w:top w:val="nil"/>
              <w:left w:val="nil"/>
              <w:bottom w:val="nil"/>
              <w:right w:val="nil"/>
            </w:tcBorders>
            <w:shd w:val="clear" w:color="000000" w:fill="FFFFFF"/>
            <w:noWrap/>
            <w:vAlign w:val="center"/>
            <w:hideMark/>
          </w:tcPr>
          <w:p w14:paraId="368EA37D" w14:textId="5C44AD26" w:rsidR="00F22879" w:rsidRPr="00F22879" w:rsidRDefault="007F6E0D" w:rsidP="00F2287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1922BF8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6519DAE8"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BEFD9B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2B7FF662" w14:textId="0F6CFA7A" w:rsidR="00F22879" w:rsidRPr="00F22879" w:rsidRDefault="003B748E" w:rsidP="00F22879">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w:t>
            </w:r>
          </w:p>
        </w:tc>
      </w:tr>
      <w:tr w:rsidR="00F22879" w:rsidRPr="00F22879" w14:paraId="634498AA" w14:textId="77777777" w:rsidTr="00F22879">
        <w:trPr>
          <w:trHeight w:val="300"/>
        </w:trPr>
        <w:tc>
          <w:tcPr>
            <w:tcW w:w="2066" w:type="pct"/>
            <w:tcBorders>
              <w:top w:val="nil"/>
              <w:left w:val="nil"/>
              <w:bottom w:val="nil"/>
              <w:right w:val="nil"/>
            </w:tcBorders>
            <w:shd w:val="clear" w:color="000000" w:fill="FFFFFF"/>
            <w:vAlign w:val="center"/>
            <w:hideMark/>
          </w:tcPr>
          <w:p w14:paraId="30299E29"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Impairments</w:t>
            </w:r>
          </w:p>
        </w:tc>
        <w:tc>
          <w:tcPr>
            <w:tcW w:w="587" w:type="pct"/>
            <w:tcBorders>
              <w:top w:val="nil"/>
              <w:left w:val="nil"/>
              <w:bottom w:val="nil"/>
              <w:right w:val="nil"/>
            </w:tcBorders>
            <w:shd w:val="clear" w:color="000000" w:fill="FFFFFF"/>
            <w:noWrap/>
            <w:vAlign w:val="center"/>
            <w:hideMark/>
          </w:tcPr>
          <w:p w14:paraId="47A5603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E69D9B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DD29F0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042C471C"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31B0B60B"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p>
        </w:tc>
      </w:tr>
      <w:tr w:rsidR="00F22879" w:rsidRPr="00F22879" w14:paraId="210C8E45" w14:textId="77777777" w:rsidTr="00F22879">
        <w:trPr>
          <w:trHeight w:val="300"/>
        </w:trPr>
        <w:tc>
          <w:tcPr>
            <w:tcW w:w="2066" w:type="pct"/>
            <w:tcBorders>
              <w:top w:val="nil"/>
              <w:left w:val="nil"/>
              <w:bottom w:val="nil"/>
              <w:right w:val="nil"/>
            </w:tcBorders>
            <w:shd w:val="clear" w:color="000000" w:fill="FFFFFF"/>
            <w:vAlign w:val="center"/>
            <w:hideMark/>
          </w:tcPr>
          <w:p w14:paraId="59A1955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Derecognitions</w:t>
            </w:r>
          </w:p>
        </w:tc>
        <w:tc>
          <w:tcPr>
            <w:tcW w:w="587" w:type="pct"/>
            <w:tcBorders>
              <w:top w:val="nil"/>
              <w:left w:val="nil"/>
              <w:bottom w:val="nil"/>
              <w:right w:val="nil"/>
            </w:tcBorders>
            <w:shd w:val="clear" w:color="000000" w:fill="FFFFFF"/>
            <w:noWrap/>
            <w:vAlign w:val="center"/>
            <w:hideMark/>
          </w:tcPr>
          <w:p w14:paraId="26EAED72"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1DA3E2C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334037F3"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1AF3394"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795A877C"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p>
        </w:tc>
      </w:tr>
      <w:tr w:rsidR="00F22879" w:rsidRPr="00F22879" w14:paraId="7F116400" w14:textId="77777777" w:rsidTr="00F22879">
        <w:trPr>
          <w:trHeight w:val="315"/>
        </w:trPr>
        <w:tc>
          <w:tcPr>
            <w:tcW w:w="2066" w:type="pct"/>
            <w:tcBorders>
              <w:top w:val="nil"/>
              <w:left w:val="nil"/>
              <w:bottom w:val="nil"/>
              <w:right w:val="nil"/>
            </w:tcBorders>
            <w:shd w:val="clear" w:color="000000" w:fill="FFFFFF"/>
            <w:vAlign w:val="center"/>
            <w:hideMark/>
          </w:tcPr>
          <w:p w14:paraId="79BAA808"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Reclassifications</w:t>
            </w:r>
          </w:p>
        </w:tc>
        <w:tc>
          <w:tcPr>
            <w:tcW w:w="587" w:type="pct"/>
            <w:tcBorders>
              <w:top w:val="nil"/>
              <w:left w:val="nil"/>
              <w:bottom w:val="nil"/>
              <w:right w:val="nil"/>
            </w:tcBorders>
            <w:shd w:val="clear" w:color="000000" w:fill="FFFFFF"/>
            <w:noWrap/>
            <w:vAlign w:val="center"/>
            <w:hideMark/>
          </w:tcPr>
          <w:p w14:paraId="08CD393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4419963A"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24A50A5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FFFF"/>
            <w:noWrap/>
            <w:vAlign w:val="center"/>
            <w:hideMark/>
          </w:tcPr>
          <w:p w14:paraId="6A8A41DB"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nil"/>
              <w:left w:val="nil"/>
              <w:bottom w:val="nil"/>
              <w:right w:val="nil"/>
            </w:tcBorders>
            <w:shd w:val="clear" w:color="000000" w:fill="FFE1E1"/>
            <w:noWrap/>
            <w:vAlign w:val="center"/>
            <w:hideMark/>
          </w:tcPr>
          <w:p w14:paraId="550D6CBD" w14:textId="77777777"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w:t>
            </w:r>
          </w:p>
        </w:tc>
      </w:tr>
      <w:tr w:rsidR="00F22879" w:rsidRPr="00F22879" w14:paraId="5EBD3E55" w14:textId="77777777" w:rsidTr="00F22879">
        <w:trPr>
          <w:trHeight w:val="315"/>
        </w:trPr>
        <w:tc>
          <w:tcPr>
            <w:tcW w:w="2066" w:type="pct"/>
            <w:tcBorders>
              <w:top w:val="single" w:sz="4" w:space="0" w:color="auto"/>
              <w:left w:val="nil"/>
              <w:bottom w:val="single" w:sz="4" w:space="0" w:color="auto"/>
              <w:right w:val="nil"/>
            </w:tcBorders>
            <w:shd w:val="clear" w:color="000000" w:fill="FFFFFF"/>
            <w:vAlign w:val="center"/>
            <w:hideMark/>
          </w:tcPr>
          <w:p w14:paraId="59364FEE" w14:textId="77777777" w:rsidR="00F22879" w:rsidRPr="00F22879" w:rsidRDefault="00F22879" w:rsidP="00F22879">
            <w:pPr>
              <w:spacing w:line="240" w:lineRule="auto"/>
              <w:jc w:val="right"/>
              <w:rPr>
                <w:rFonts w:ascii="Calibri" w:eastAsia="Times New Roman" w:hAnsi="Calibri" w:cs="Calibri"/>
                <w:b/>
                <w:bCs/>
                <w:color w:val="000000"/>
                <w:lang w:eastAsia="en-GB"/>
              </w:rPr>
            </w:pP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2025</w:t>
            </w:r>
          </w:p>
        </w:tc>
        <w:tc>
          <w:tcPr>
            <w:tcW w:w="587" w:type="pct"/>
            <w:tcBorders>
              <w:top w:val="single" w:sz="4" w:space="0" w:color="auto"/>
              <w:left w:val="nil"/>
              <w:bottom w:val="single" w:sz="4" w:space="0" w:color="auto"/>
              <w:right w:val="nil"/>
            </w:tcBorders>
            <w:shd w:val="clear" w:color="000000" w:fill="FFFFFF"/>
            <w:noWrap/>
            <w:vAlign w:val="center"/>
            <w:hideMark/>
          </w:tcPr>
          <w:p w14:paraId="13A5481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46CB39AD"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7D7078D6" w14:textId="77777777"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5ED8A586" w14:textId="6DB8A53E" w:rsidR="00F22879" w:rsidRPr="00F22879" w:rsidRDefault="00F22879" w:rsidP="00F22879">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(6,37</w:t>
            </w:r>
            <w:r w:rsidR="008276E3">
              <w:rPr>
                <w:rFonts w:ascii="Calibri" w:eastAsia="Times New Roman" w:hAnsi="Calibri" w:cs="Calibri"/>
                <w:color w:val="000000"/>
                <w:lang w:eastAsia="en-GB"/>
              </w:rPr>
              <w:t>6</w:t>
            </w:r>
            <w:r w:rsidRPr="00F22879">
              <w:rPr>
                <w:rFonts w:ascii="Calibri" w:eastAsia="Times New Roman" w:hAnsi="Calibri" w:cs="Calibri"/>
                <w:color w:val="000000"/>
                <w:lang w:eastAsia="en-GB"/>
              </w:rPr>
              <w:t>)</w:t>
            </w:r>
          </w:p>
        </w:tc>
        <w:tc>
          <w:tcPr>
            <w:tcW w:w="587" w:type="pct"/>
            <w:tcBorders>
              <w:top w:val="single" w:sz="4" w:space="0" w:color="auto"/>
              <w:left w:val="nil"/>
              <w:bottom w:val="single" w:sz="4" w:space="0" w:color="auto"/>
              <w:right w:val="nil"/>
            </w:tcBorders>
            <w:shd w:val="clear" w:color="000000" w:fill="FFE1E1"/>
            <w:noWrap/>
            <w:vAlign w:val="center"/>
            <w:hideMark/>
          </w:tcPr>
          <w:p w14:paraId="3852E238" w14:textId="51F7381D" w:rsidR="00F22879" w:rsidRPr="00F22879" w:rsidRDefault="00F22879" w:rsidP="00F22879">
            <w:pPr>
              <w:spacing w:line="240" w:lineRule="auto"/>
              <w:jc w:val="right"/>
              <w:rPr>
                <w:rFonts w:ascii="Calibri" w:eastAsia="Times New Roman" w:hAnsi="Calibri" w:cs="Calibri"/>
                <w:b/>
                <w:bCs/>
                <w:lang w:eastAsia="en-GB"/>
              </w:rPr>
            </w:pPr>
            <w:r w:rsidRPr="00F22879">
              <w:rPr>
                <w:rFonts w:ascii="Calibri" w:eastAsia="Times New Roman" w:hAnsi="Calibri" w:cs="Calibri"/>
                <w:b/>
                <w:bCs/>
                <w:lang w:eastAsia="en-GB"/>
              </w:rPr>
              <w:t>(6,37</w:t>
            </w:r>
            <w:r w:rsidR="008276E3">
              <w:rPr>
                <w:rFonts w:ascii="Calibri" w:eastAsia="Times New Roman" w:hAnsi="Calibri" w:cs="Calibri"/>
                <w:b/>
                <w:bCs/>
                <w:lang w:eastAsia="en-GB"/>
              </w:rPr>
              <w:t>6</w:t>
            </w:r>
            <w:r w:rsidRPr="00F22879">
              <w:rPr>
                <w:rFonts w:ascii="Calibri" w:eastAsia="Times New Roman" w:hAnsi="Calibri" w:cs="Calibri"/>
                <w:b/>
                <w:bCs/>
                <w:lang w:eastAsia="en-GB"/>
              </w:rPr>
              <w:t>)</w:t>
            </w:r>
          </w:p>
        </w:tc>
      </w:tr>
      <w:tr w:rsidR="00F22879" w:rsidRPr="00F22879" w14:paraId="040EDFCB" w14:textId="77777777" w:rsidTr="00F22879">
        <w:trPr>
          <w:trHeight w:val="300"/>
        </w:trPr>
        <w:tc>
          <w:tcPr>
            <w:tcW w:w="2066" w:type="pct"/>
            <w:tcBorders>
              <w:top w:val="nil"/>
              <w:left w:val="nil"/>
              <w:bottom w:val="nil"/>
              <w:right w:val="nil"/>
            </w:tcBorders>
            <w:shd w:val="clear" w:color="000000" w:fill="FFFFFF"/>
            <w:noWrap/>
            <w:vAlign w:val="bottom"/>
            <w:hideMark/>
          </w:tcPr>
          <w:p w14:paraId="1D0D215E"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1BC5C880"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0DA99691"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3E01F7C4"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bottom"/>
            <w:hideMark/>
          </w:tcPr>
          <w:p w14:paraId="6C8AF1CB"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E1E1"/>
            <w:noWrap/>
            <w:vAlign w:val="bottom"/>
            <w:hideMark/>
          </w:tcPr>
          <w:p w14:paraId="296ADF8D" w14:textId="77777777" w:rsidR="00F22879" w:rsidRPr="00F22879" w:rsidRDefault="00F22879" w:rsidP="00F22879">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r>
      <w:tr w:rsidR="00F22879" w:rsidRPr="00F22879" w14:paraId="72D50FC8" w14:textId="77777777" w:rsidTr="002F2FC7">
        <w:trPr>
          <w:trHeight w:val="315"/>
        </w:trPr>
        <w:tc>
          <w:tcPr>
            <w:tcW w:w="2066" w:type="pct"/>
            <w:tcBorders>
              <w:top w:val="single" w:sz="4" w:space="0" w:color="auto"/>
              <w:left w:val="nil"/>
              <w:bottom w:val="single" w:sz="4" w:space="0" w:color="auto"/>
              <w:right w:val="nil"/>
            </w:tcBorders>
            <w:shd w:val="clear" w:color="000000" w:fill="FFFFFF"/>
            <w:noWrap/>
            <w:vAlign w:val="center"/>
            <w:hideMark/>
          </w:tcPr>
          <w:p w14:paraId="49AC31BB" w14:textId="77777777" w:rsidR="00F22879" w:rsidRPr="00F22879" w:rsidRDefault="00F22879" w:rsidP="002F2FC7">
            <w:pPr>
              <w:spacing w:line="240" w:lineRule="auto"/>
              <w:jc w:val="lef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 xml:space="preserve">Balance as </w:t>
            </w: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2025</w:t>
            </w:r>
          </w:p>
        </w:tc>
        <w:tc>
          <w:tcPr>
            <w:tcW w:w="587" w:type="pct"/>
            <w:tcBorders>
              <w:top w:val="single" w:sz="4" w:space="0" w:color="auto"/>
              <w:left w:val="nil"/>
              <w:bottom w:val="single" w:sz="4" w:space="0" w:color="auto"/>
              <w:right w:val="nil"/>
            </w:tcBorders>
            <w:shd w:val="clear" w:color="000000" w:fill="FFFFFF"/>
            <w:noWrap/>
            <w:vAlign w:val="center"/>
            <w:hideMark/>
          </w:tcPr>
          <w:p w14:paraId="6DFCBB9B"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36,914</w:t>
            </w:r>
          </w:p>
        </w:tc>
        <w:tc>
          <w:tcPr>
            <w:tcW w:w="587" w:type="pct"/>
            <w:tcBorders>
              <w:top w:val="single" w:sz="4" w:space="0" w:color="auto"/>
              <w:left w:val="nil"/>
              <w:bottom w:val="single" w:sz="4" w:space="0" w:color="auto"/>
              <w:right w:val="nil"/>
            </w:tcBorders>
            <w:shd w:val="clear" w:color="000000" w:fill="FFFFFF"/>
            <w:noWrap/>
            <w:vAlign w:val="center"/>
            <w:hideMark/>
          </w:tcPr>
          <w:p w14:paraId="13B61FFF"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1,083</w:t>
            </w:r>
          </w:p>
        </w:tc>
        <w:tc>
          <w:tcPr>
            <w:tcW w:w="587" w:type="pct"/>
            <w:tcBorders>
              <w:top w:val="single" w:sz="4" w:space="0" w:color="auto"/>
              <w:left w:val="nil"/>
              <w:bottom w:val="single" w:sz="4" w:space="0" w:color="auto"/>
              <w:right w:val="nil"/>
            </w:tcBorders>
            <w:shd w:val="clear" w:color="000000" w:fill="FFFFFF"/>
            <w:noWrap/>
            <w:vAlign w:val="center"/>
            <w:hideMark/>
          </w:tcPr>
          <w:p w14:paraId="4CF648B0"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1F4F539E" w14:textId="71C74F4D"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9,24</w:t>
            </w:r>
            <w:r w:rsidR="003E3AC3">
              <w:rPr>
                <w:rFonts w:ascii="Calibri" w:eastAsia="Times New Roman" w:hAnsi="Calibri" w:cs="Calibri"/>
                <w:b/>
                <w:bCs/>
                <w:color w:val="000000"/>
                <w:lang w:eastAsia="en-GB"/>
              </w:rPr>
              <w:t>8</w:t>
            </w:r>
          </w:p>
        </w:tc>
        <w:tc>
          <w:tcPr>
            <w:tcW w:w="587" w:type="pct"/>
            <w:tcBorders>
              <w:top w:val="single" w:sz="4" w:space="0" w:color="auto"/>
              <w:left w:val="nil"/>
              <w:bottom w:val="single" w:sz="4" w:space="0" w:color="auto"/>
              <w:right w:val="nil"/>
            </w:tcBorders>
            <w:shd w:val="clear" w:color="000000" w:fill="FFE1E1"/>
            <w:noWrap/>
            <w:vAlign w:val="center"/>
            <w:hideMark/>
          </w:tcPr>
          <w:p w14:paraId="41479968"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47,245</w:t>
            </w:r>
          </w:p>
        </w:tc>
      </w:tr>
      <w:tr w:rsidR="00F22879" w:rsidRPr="00F22879" w14:paraId="7C4CCA45" w14:textId="77777777" w:rsidTr="002F2FC7">
        <w:trPr>
          <w:trHeight w:val="315"/>
        </w:trPr>
        <w:tc>
          <w:tcPr>
            <w:tcW w:w="2066" w:type="pct"/>
            <w:tcBorders>
              <w:top w:val="nil"/>
              <w:left w:val="nil"/>
              <w:bottom w:val="nil"/>
              <w:right w:val="nil"/>
            </w:tcBorders>
            <w:shd w:val="clear" w:color="000000" w:fill="FFFFFF"/>
            <w:noWrap/>
            <w:vAlign w:val="center"/>
            <w:hideMark/>
          </w:tcPr>
          <w:p w14:paraId="72CB6629" w14:textId="77777777" w:rsidR="00F22879" w:rsidRPr="00F22879" w:rsidRDefault="00F22879" w:rsidP="002F2FC7">
            <w:pPr>
              <w:spacing w:line="240" w:lineRule="auto"/>
              <w:jc w:val="lef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001B3280" w14:textId="77777777" w:rsidR="00F22879" w:rsidRPr="00F22879" w:rsidRDefault="00F22879" w:rsidP="002F2FC7">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2E6D18DD" w14:textId="77777777" w:rsidR="00F22879" w:rsidRPr="00F22879" w:rsidRDefault="00F22879" w:rsidP="002F2FC7">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2A5FB140" w14:textId="77777777" w:rsidR="00F22879" w:rsidRPr="00F22879" w:rsidRDefault="00F22879" w:rsidP="002F2FC7">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FFFF"/>
            <w:noWrap/>
            <w:vAlign w:val="center"/>
            <w:hideMark/>
          </w:tcPr>
          <w:p w14:paraId="341FB9BF" w14:textId="77777777" w:rsidR="00F22879" w:rsidRPr="00F22879" w:rsidRDefault="00F22879" w:rsidP="002F2FC7">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c>
          <w:tcPr>
            <w:tcW w:w="587" w:type="pct"/>
            <w:tcBorders>
              <w:top w:val="nil"/>
              <w:left w:val="nil"/>
              <w:bottom w:val="nil"/>
              <w:right w:val="nil"/>
            </w:tcBorders>
            <w:shd w:val="clear" w:color="000000" w:fill="FFE1E1"/>
            <w:noWrap/>
            <w:vAlign w:val="center"/>
            <w:hideMark/>
          </w:tcPr>
          <w:p w14:paraId="40259187" w14:textId="77777777" w:rsidR="00F22879" w:rsidRPr="00F22879" w:rsidRDefault="00F22879" w:rsidP="002F2FC7">
            <w:pPr>
              <w:spacing w:line="240" w:lineRule="auto"/>
              <w:jc w:val="right"/>
              <w:rPr>
                <w:rFonts w:ascii="Calibri" w:eastAsia="Times New Roman" w:hAnsi="Calibri" w:cs="Calibri"/>
                <w:color w:val="000000"/>
                <w:lang w:eastAsia="en-GB"/>
              </w:rPr>
            </w:pPr>
            <w:r w:rsidRPr="00F22879">
              <w:rPr>
                <w:rFonts w:ascii="Calibri" w:eastAsia="Times New Roman" w:hAnsi="Calibri" w:cs="Calibri"/>
                <w:color w:val="000000"/>
                <w:lang w:eastAsia="en-GB"/>
              </w:rPr>
              <w:t> </w:t>
            </w:r>
          </w:p>
        </w:tc>
      </w:tr>
      <w:tr w:rsidR="00F22879" w:rsidRPr="00F22879" w14:paraId="46B90025" w14:textId="77777777" w:rsidTr="002F2FC7">
        <w:trPr>
          <w:trHeight w:val="315"/>
        </w:trPr>
        <w:tc>
          <w:tcPr>
            <w:tcW w:w="2066" w:type="pct"/>
            <w:tcBorders>
              <w:top w:val="single" w:sz="4" w:space="0" w:color="auto"/>
              <w:left w:val="nil"/>
              <w:bottom w:val="single" w:sz="4" w:space="0" w:color="auto"/>
              <w:right w:val="nil"/>
            </w:tcBorders>
            <w:shd w:val="clear" w:color="000000" w:fill="FFFFFF"/>
            <w:noWrap/>
            <w:vAlign w:val="center"/>
            <w:hideMark/>
          </w:tcPr>
          <w:p w14:paraId="28F8BE4A" w14:textId="77777777" w:rsidR="00F22879" w:rsidRPr="00F22879" w:rsidRDefault="00F22879" w:rsidP="002F2FC7">
            <w:pPr>
              <w:spacing w:line="240" w:lineRule="auto"/>
              <w:jc w:val="lef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 xml:space="preserve">Balance as </w:t>
            </w:r>
            <w:proofErr w:type="gramStart"/>
            <w:r w:rsidRPr="00F22879">
              <w:rPr>
                <w:rFonts w:ascii="Calibri" w:eastAsia="Times New Roman" w:hAnsi="Calibri" w:cs="Calibri"/>
                <w:b/>
                <w:bCs/>
                <w:color w:val="000000"/>
                <w:lang w:eastAsia="en-GB"/>
              </w:rPr>
              <w:t>at</w:t>
            </w:r>
            <w:proofErr w:type="gramEnd"/>
            <w:r w:rsidRPr="00F22879">
              <w:rPr>
                <w:rFonts w:ascii="Calibri" w:eastAsia="Times New Roman" w:hAnsi="Calibri" w:cs="Calibri"/>
                <w:b/>
                <w:bCs/>
                <w:color w:val="000000"/>
                <w:lang w:eastAsia="en-GB"/>
              </w:rPr>
              <w:t xml:space="preserve"> 31 March 2024</w:t>
            </w:r>
          </w:p>
        </w:tc>
        <w:tc>
          <w:tcPr>
            <w:tcW w:w="587" w:type="pct"/>
            <w:tcBorders>
              <w:top w:val="single" w:sz="4" w:space="0" w:color="auto"/>
              <w:left w:val="nil"/>
              <w:bottom w:val="single" w:sz="4" w:space="0" w:color="auto"/>
              <w:right w:val="nil"/>
            </w:tcBorders>
            <w:shd w:val="clear" w:color="000000" w:fill="FFFFFF"/>
            <w:noWrap/>
            <w:vAlign w:val="center"/>
            <w:hideMark/>
          </w:tcPr>
          <w:p w14:paraId="69A8F539" w14:textId="07555991"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37,85</w:t>
            </w:r>
            <w:r w:rsidR="00CC0039">
              <w:rPr>
                <w:rFonts w:ascii="Calibri" w:eastAsia="Times New Roman" w:hAnsi="Calibri" w:cs="Calibri"/>
                <w:b/>
                <w:bCs/>
                <w:color w:val="000000"/>
                <w:lang w:eastAsia="en-GB"/>
              </w:rPr>
              <w:t>4</w:t>
            </w:r>
          </w:p>
        </w:tc>
        <w:tc>
          <w:tcPr>
            <w:tcW w:w="587" w:type="pct"/>
            <w:tcBorders>
              <w:top w:val="single" w:sz="4" w:space="0" w:color="auto"/>
              <w:left w:val="nil"/>
              <w:bottom w:val="single" w:sz="4" w:space="0" w:color="auto"/>
              <w:right w:val="nil"/>
            </w:tcBorders>
            <w:shd w:val="clear" w:color="000000" w:fill="FFFFFF"/>
            <w:noWrap/>
            <w:vAlign w:val="center"/>
            <w:hideMark/>
          </w:tcPr>
          <w:p w14:paraId="11D46B78"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1,014</w:t>
            </w:r>
          </w:p>
        </w:tc>
        <w:tc>
          <w:tcPr>
            <w:tcW w:w="587" w:type="pct"/>
            <w:tcBorders>
              <w:top w:val="single" w:sz="4" w:space="0" w:color="auto"/>
              <w:left w:val="nil"/>
              <w:bottom w:val="single" w:sz="4" w:space="0" w:color="auto"/>
              <w:right w:val="nil"/>
            </w:tcBorders>
            <w:shd w:val="clear" w:color="000000" w:fill="FFFFFF"/>
            <w:noWrap/>
            <w:vAlign w:val="center"/>
            <w:hideMark/>
          </w:tcPr>
          <w:p w14:paraId="1D2B9351"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w:t>
            </w:r>
          </w:p>
        </w:tc>
        <w:tc>
          <w:tcPr>
            <w:tcW w:w="587" w:type="pct"/>
            <w:tcBorders>
              <w:top w:val="single" w:sz="4" w:space="0" w:color="auto"/>
              <w:left w:val="nil"/>
              <w:bottom w:val="single" w:sz="4" w:space="0" w:color="auto"/>
              <w:right w:val="nil"/>
            </w:tcBorders>
            <w:shd w:val="clear" w:color="000000" w:fill="FFFFFF"/>
            <w:noWrap/>
            <w:vAlign w:val="center"/>
            <w:hideMark/>
          </w:tcPr>
          <w:p w14:paraId="2BBF5129" w14:textId="77777777"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8,601</w:t>
            </w:r>
          </w:p>
        </w:tc>
        <w:tc>
          <w:tcPr>
            <w:tcW w:w="587" w:type="pct"/>
            <w:tcBorders>
              <w:top w:val="single" w:sz="4" w:space="0" w:color="auto"/>
              <w:left w:val="nil"/>
              <w:bottom w:val="single" w:sz="4" w:space="0" w:color="auto"/>
              <w:right w:val="nil"/>
            </w:tcBorders>
            <w:shd w:val="clear" w:color="000000" w:fill="FFE1E1"/>
            <w:noWrap/>
            <w:vAlign w:val="center"/>
            <w:hideMark/>
          </w:tcPr>
          <w:p w14:paraId="6599575A" w14:textId="40135028" w:rsidR="00F22879" w:rsidRPr="00F22879" w:rsidRDefault="00F22879" w:rsidP="002F2FC7">
            <w:pPr>
              <w:spacing w:line="240" w:lineRule="auto"/>
              <w:jc w:val="right"/>
              <w:rPr>
                <w:rFonts w:ascii="Calibri" w:eastAsia="Times New Roman" w:hAnsi="Calibri" w:cs="Calibri"/>
                <w:b/>
                <w:bCs/>
                <w:color w:val="000000"/>
                <w:lang w:eastAsia="en-GB"/>
              </w:rPr>
            </w:pPr>
            <w:r w:rsidRPr="00F22879">
              <w:rPr>
                <w:rFonts w:ascii="Calibri" w:eastAsia="Times New Roman" w:hAnsi="Calibri" w:cs="Calibri"/>
                <w:b/>
                <w:bCs/>
                <w:color w:val="000000"/>
                <w:lang w:eastAsia="en-GB"/>
              </w:rPr>
              <w:t>47,46</w:t>
            </w:r>
            <w:r w:rsidR="00CC0039">
              <w:rPr>
                <w:rFonts w:ascii="Calibri" w:eastAsia="Times New Roman" w:hAnsi="Calibri" w:cs="Calibri"/>
                <w:b/>
                <w:bCs/>
                <w:color w:val="000000"/>
                <w:lang w:eastAsia="en-GB"/>
              </w:rPr>
              <w:t>9</w:t>
            </w:r>
          </w:p>
        </w:tc>
      </w:tr>
    </w:tbl>
    <w:p w14:paraId="5943BF25" w14:textId="204B5710" w:rsidR="00624C8F" w:rsidRDefault="00624C8F" w:rsidP="00B06A00">
      <w:pPr>
        <w:keepNext/>
        <w:keepLines/>
        <w:rPr>
          <w:rFonts w:cstheme="minorBidi"/>
        </w:rPr>
      </w:pPr>
    </w:p>
    <w:p w14:paraId="0557C7C6" w14:textId="77777777" w:rsidR="00624C8F" w:rsidRDefault="00624C8F">
      <w:pPr>
        <w:spacing w:after="160"/>
        <w:jc w:val="left"/>
        <w:rPr>
          <w:rFonts w:cstheme="minorBidi"/>
        </w:rPr>
      </w:pPr>
      <w:r>
        <w:rPr>
          <w:rFonts w:cstheme="minorBidi"/>
        </w:rPr>
        <w:br w:type="page"/>
      </w:r>
    </w:p>
    <w:tbl>
      <w:tblPr>
        <w:tblW w:w="10375" w:type="dxa"/>
        <w:tblLook w:val="04A0" w:firstRow="1" w:lastRow="0" w:firstColumn="1" w:lastColumn="0" w:noHBand="0" w:noVBand="1"/>
      </w:tblPr>
      <w:tblGrid>
        <w:gridCol w:w="4197"/>
        <w:gridCol w:w="1128"/>
        <w:gridCol w:w="1515"/>
        <w:gridCol w:w="1003"/>
        <w:gridCol w:w="1216"/>
        <w:gridCol w:w="1316"/>
      </w:tblGrid>
      <w:tr w:rsidR="008E5946" w:rsidRPr="008E5946" w14:paraId="793B7A09" w14:textId="77777777" w:rsidTr="5A995008">
        <w:trPr>
          <w:trHeight w:val="315"/>
        </w:trPr>
        <w:tc>
          <w:tcPr>
            <w:tcW w:w="10375" w:type="dxa"/>
            <w:gridSpan w:val="6"/>
            <w:tcBorders>
              <w:top w:val="nil"/>
              <w:left w:val="nil"/>
              <w:bottom w:val="nil"/>
              <w:right w:val="nil"/>
            </w:tcBorders>
            <w:shd w:val="clear" w:color="auto" w:fill="AB2328"/>
            <w:vAlign w:val="center"/>
            <w:hideMark/>
          </w:tcPr>
          <w:p w14:paraId="50E195C5" w14:textId="77777777" w:rsidR="008E5946" w:rsidRPr="008E5946" w:rsidRDefault="008E5946" w:rsidP="008E5946">
            <w:pPr>
              <w:spacing w:line="240" w:lineRule="auto"/>
              <w:jc w:val="center"/>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lastRenderedPageBreak/>
              <w:t>Operational Assets</w:t>
            </w:r>
          </w:p>
        </w:tc>
      </w:tr>
      <w:tr w:rsidR="008E5946" w:rsidRPr="008E5946" w14:paraId="67447DBF" w14:textId="77777777" w:rsidTr="5A995008">
        <w:trPr>
          <w:trHeight w:val="900"/>
        </w:trPr>
        <w:tc>
          <w:tcPr>
            <w:tcW w:w="4197" w:type="dxa"/>
            <w:tcBorders>
              <w:top w:val="nil"/>
              <w:left w:val="nil"/>
              <w:bottom w:val="nil"/>
              <w:right w:val="nil"/>
            </w:tcBorders>
            <w:shd w:val="clear" w:color="auto" w:fill="AB2328"/>
            <w:vAlign w:val="bottom"/>
            <w:hideMark/>
          </w:tcPr>
          <w:p w14:paraId="79C59271"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 </w:t>
            </w:r>
          </w:p>
        </w:tc>
        <w:tc>
          <w:tcPr>
            <w:tcW w:w="1128" w:type="dxa"/>
            <w:tcBorders>
              <w:top w:val="nil"/>
              <w:left w:val="nil"/>
              <w:bottom w:val="nil"/>
              <w:right w:val="nil"/>
            </w:tcBorders>
            <w:shd w:val="clear" w:color="auto" w:fill="AB2328"/>
            <w:vAlign w:val="bottom"/>
            <w:hideMark/>
          </w:tcPr>
          <w:p w14:paraId="2B8FFDE6"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Land and Buildings</w:t>
            </w:r>
          </w:p>
        </w:tc>
        <w:tc>
          <w:tcPr>
            <w:tcW w:w="1515" w:type="dxa"/>
            <w:tcBorders>
              <w:top w:val="nil"/>
              <w:left w:val="nil"/>
              <w:bottom w:val="nil"/>
              <w:right w:val="nil"/>
            </w:tcBorders>
            <w:shd w:val="clear" w:color="auto" w:fill="AB2328"/>
            <w:vAlign w:val="bottom"/>
            <w:hideMark/>
          </w:tcPr>
          <w:p w14:paraId="4E0C3C57"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Assets Under Construction</w:t>
            </w:r>
          </w:p>
        </w:tc>
        <w:tc>
          <w:tcPr>
            <w:tcW w:w="1003" w:type="dxa"/>
            <w:tcBorders>
              <w:top w:val="nil"/>
              <w:left w:val="nil"/>
              <w:bottom w:val="nil"/>
              <w:right w:val="nil"/>
            </w:tcBorders>
            <w:shd w:val="clear" w:color="auto" w:fill="AB2328"/>
            <w:vAlign w:val="bottom"/>
            <w:hideMark/>
          </w:tcPr>
          <w:p w14:paraId="4673C300"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 xml:space="preserve">Surplus Assets </w:t>
            </w:r>
          </w:p>
        </w:tc>
        <w:tc>
          <w:tcPr>
            <w:tcW w:w="1216" w:type="dxa"/>
            <w:tcBorders>
              <w:top w:val="nil"/>
              <w:left w:val="nil"/>
              <w:bottom w:val="nil"/>
              <w:right w:val="nil"/>
            </w:tcBorders>
            <w:shd w:val="clear" w:color="auto" w:fill="AB2328"/>
            <w:vAlign w:val="bottom"/>
            <w:hideMark/>
          </w:tcPr>
          <w:p w14:paraId="620CB855"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Vehicles, Plant and Equipment</w:t>
            </w:r>
          </w:p>
        </w:tc>
        <w:tc>
          <w:tcPr>
            <w:tcW w:w="1316" w:type="dxa"/>
            <w:tcBorders>
              <w:top w:val="nil"/>
              <w:left w:val="nil"/>
              <w:bottom w:val="nil"/>
              <w:right w:val="nil"/>
            </w:tcBorders>
            <w:shd w:val="clear" w:color="auto" w:fill="AB2328"/>
            <w:noWrap/>
            <w:vAlign w:val="bottom"/>
            <w:hideMark/>
          </w:tcPr>
          <w:p w14:paraId="1D086CD9"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Total Assets</w:t>
            </w:r>
          </w:p>
        </w:tc>
      </w:tr>
      <w:tr w:rsidR="008E5946" w:rsidRPr="008E5946" w14:paraId="32A93546" w14:textId="77777777" w:rsidTr="5A995008">
        <w:trPr>
          <w:trHeight w:val="300"/>
        </w:trPr>
        <w:tc>
          <w:tcPr>
            <w:tcW w:w="4197" w:type="dxa"/>
            <w:tcBorders>
              <w:top w:val="nil"/>
              <w:left w:val="nil"/>
              <w:bottom w:val="nil"/>
              <w:right w:val="nil"/>
            </w:tcBorders>
            <w:shd w:val="clear" w:color="auto" w:fill="AB2328"/>
            <w:vAlign w:val="bottom"/>
            <w:hideMark/>
          </w:tcPr>
          <w:p w14:paraId="4998FC13"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 </w:t>
            </w:r>
          </w:p>
        </w:tc>
        <w:tc>
          <w:tcPr>
            <w:tcW w:w="1128" w:type="dxa"/>
            <w:tcBorders>
              <w:top w:val="nil"/>
              <w:left w:val="nil"/>
              <w:bottom w:val="nil"/>
              <w:right w:val="nil"/>
            </w:tcBorders>
            <w:shd w:val="clear" w:color="auto" w:fill="AB2328"/>
            <w:noWrap/>
            <w:vAlign w:val="bottom"/>
            <w:hideMark/>
          </w:tcPr>
          <w:p w14:paraId="0D0B5021"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£000</w:t>
            </w:r>
          </w:p>
        </w:tc>
        <w:tc>
          <w:tcPr>
            <w:tcW w:w="1515" w:type="dxa"/>
            <w:tcBorders>
              <w:top w:val="nil"/>
              <w:left w:val="nil"/>
              <w:bottom w:val="nil"/>
              <w:right w:val="nil"/>
            </w:tcBorders>
            <w:shd w:val="clear" w:color="auto" w:fill="AB2328"/>
            <w:noWrap/>
            <w:vAlign w:val="bottom"/>
            <w:hideMark/>
          </w:tcPr>
          <w:p w14:paraId="060DB2B2"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£000</w:t>
            </w:r>
          </w:p>
        </w:tc>
        <w:tc>
          <w:tcPr>
            <w:tcW w:w="1003" w:type="dxa"/>
            <w:tcBorders>
              <w:top w:val="nil"/>
              <w:left w:val="nil"/>
              <w:bottom w:val="nil"/>
              <w:right w:val="nil"/>
            </w:tcBorders>
            <w:shd w:val="clear" w:color="auto" w:fill="AB2328"/>
            <w:noWrap/>
            <w:vAlign w:val="bottom"/>
            <w:hideMark/>
          </w:tcPr>
          <w:p w14:paraId="568D0CB0"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£000</w:t>
            </w:r>
          </w:p>
        </w:tc>
        <w:tc>
          <w:tcPr>
            <w:tcW w:w="1216" w:type="dxa"/>
            <w:tcBorders>
              <w:top w:val="nil"/>
              <w:left w:val="nil"/>
              <w:bottom w:val="nil"/>
              <w:right w:val="nil"/>
            </w:tcBorders>
            <w:shd w:val="clear" w:color="auto" w:fill="AB2328"/>
            <w:noWrap/>
            <w:vAlign w:val="bottom"/>
            <w:hideMark/>
          </w:tcPr>
          <w:p w14:paraId="7C2C9459"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£000</w:t>
            </w:r>
          </w:p>
        </w:tc>
        <w:tc>
          <w:tcPr>
            <w:tcW w:w="1316" w:type="dxa"/>
            <w:tcBorders>
              <w:top w:val="nil"/>
              <w:left w:val="nil"/>
              <w:bottom w:val="nil"/>
              <w:right w:val="nil"/>
            </w:tcBorders>
            <w:shd w:val="clear" w:color="auto" w:fill="AB2328"/>
            <w:noWrap/>
            <w:vAlign w:val="bottom"/>
            <w:hideMark/>
          </w:tcPr>
          <w:p w14:paraId="5544276C" w14:textId="77777777" w:rsidR="008E5946" w:rsidRPr="008E5946" w:rsidRDefault="008E5946" w:rsidP="008E5946">
            <w:pPr>
              <w:spacing w:line="240" w:lineRule="auto"/>
              <w:jc w:val="right"/>
              <w:rPr>
                <w:rFonts w:ascii="Calibri" w:eastAsia="Times New Roman" w:hAnsi="Calibri" w:cs="Calibri"/>
                <w:b/>
                <w:bCs/>
                <w:color w:val="FFFFFF"/>
                <w:lang w:eastAsia="en-GB"/>
              </w:rPr>
            </w:pPr>
            <w:r w:rsidRPr="008E5946">
              <w:rPr>
                <w:rFonts w:ascii="Calibri" w:eastAsia="Times New Roman" w:hAnsi="Calibri" w:cs="Calibri"/>
                <w:b/>
                <w:bCs/>
                <w:color w:val="FFFFFF"/>
                <w:lang w:eastAsia="en-GB"/>
              </w:rPr>
              <w:t>£000</w:t>
            </w:r>
          </w:p>
        </w:tc>
      </w:tr>
      <w:tr w:rsidR="008E5946" w:rsidRPr="008E5946" w14:paraId="7E5E1EBB" w14:textId="77777777" w:rsidTr="5A995008">
        <w:trPr>
          <w:trHeight w:val="289"/>
        </w:trPr>
        <w:tc>
          <w:tcPr>
            <w:tcW w:w="4197" w:type="dxa"/>
            <w:tcBorders>
              <w:top w:val="nil"/>
              <w:left w:val="nil"/>
              <w:bottom w:val="nil"/>
              <w:right w:val="nil"/>
            </w:tcBorders>
            <w:shd w:val="clear" w:color="auto" w:fill="FFFFFF" w:themeFill="background1"/>
            <w:noWrap/>
            <w:vAlign w:val="bottom"/>
            <w:hideMark/>
          </w:tcPr>
          <w:p w14:paraId="206D8C82"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Cost or Valuation</w:t>
            </w:r>
          </w:p>
        </w:tc>
        <w:tc>
          <w:tcPr>
            <w:tcW w:w="1128" w:type="dxa"/>
            <w:tcBorders>
              <w:top w:val="nil"/>
              <w:left w:val="nil"/>
              <w:bottom w:val="nil"/>
              <w:right w:val="nil"/>
            </w:tcBorders>
            <w:shd w:val="clear" w:color="auto" w:fill="FFFFFF" w:themeFill="background1"/>
            <w:noWrap/>
            <w:vAlign w:val="bottom"/>
            <w:hideMark/>
          </w:tcPr>
          <w:p w14:paraId="25B4150B"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515" w:type="dxa"/>
            <w:tcBorders>
              <w:top w:val="nil"/>
              <w:left w:val="nil"/>
              <w:bottom w:val="nil"/>
              <w:right w:val="nil"/>
            </w:tcBorders>
            <w:shd w:val="clear" w:color="auto" w:fill="FFFFFF" w:themeFill="background1"/>
            <w:noWrap/>
            <w:vAlign w:val="bottom"/>
            <w:hideMark/>
          </w:tcPr>
          <w:p w14:paraId="08981B38"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003" w:type="dxa"/>
            <w:tcBorders>
              <w:top w:val="nil"/>
              <w:left w:val="nil"/>
              <w:bottom w:val="nil"/>
              <w:right w:val="nil"/>
            </w:tcBorders>
            <w:shd w:val="clear" w:color="auto" w:fill="FFFFFF" w:themeFill="background1"/>
            <w:noWrap/>
            <w:vAlign w:val="bottom"/>
            <w:hideMark/>
          </w:tcPr>
          <w:p w14:paraId="4E58ED1D"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216" w:type="dxa"/>
            <w:tcBorders>
              <w:top w:val="nil"/>
              <w:left w:val="nil"/>
              <w:bottom w:val="nil"/>
              <w:right w:val="nil"/>
            </w:tcBorders>
            <w:shd w:val="clear" w:color="auto" w:fill="FFFFFF" w:themeFill="background1"/>
            <w:noWrap/>
            <w:vAlign w:val="bottom"/>
            <w:hideMark/>
          </w:tcPr>
          <w:p w14:paraId="448D4D19"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316" w:type="dxa"/>
            <w:tcBorders>
              <w:top w:val="nil"/>
              <w:left w:val="nil"/>
              <w:bottom w:val="nil"/>
              <w:right w:val="nil"/>
            </w:tcBorders>
            <w:shd w:val="clear" w:color="auto" w:fill="FFE1E1"/>
            <w:noWrap/>
            <w:vAlign w:val="bottom"/>
            <w:hideMark/>
          </w:tcPr>
          <w:p w14:paraId="7BD39092" w14:textId="77777777" w:rsidR="008E5946" w:rsidRPr="008E5946" w:rsidRDefault="008E5946" w:rsidP="008E5946">
            <w:pPr>
              <w:spacing w:line="240" w:lineRule="auto"/>
              <w:jc w:val="left"/>
              <w:rPr>
                <w:rFonts w:ascii="Calibri" w:eastAsia="Times New Roman" w:hAnsi="Calibri" w:cs="Calibri"/>
                <w:b/>
                <w:bCs/>
                <w:lang w:eastAsia="en-GB"/>
              </w:rPr>
            </w:pPr>
            <w:r w:rsidRPr="008E5946">
              <w:rPr>
                <w:rFonts w:ascii="Calibri" w:eastAsia="Times New Roman" w:hAnsi="Calibri" w:cs="Calibri"/>
                <w:b/>
                <w:bCs/>
                <w:lang w:eastAsia="en-GB"/>
              </w:rPr>
              <w:t> </w:t>
            </w:r>
          </w:p>
        </w:tc>
      </w:tr>
      <w:tr w:rsidR="008E5946" w:rsidRPr="008E5946" w14:paraId="38C39BC3" w14:textId="77777777" w:rsidTr="5A995008">
        <w:trPr>
          <w:trHeight w:val="289"/>
        </w:trPr>
        <w:tc>
          <w:tcPr>
            <w:tcW w:w="4197" w:type="dxa"/>
            <w:tcBorders>
              <w:top w:val="single" w:sz="4" w:space="0" w:color="auto"/>
              <w:left w:val="nil"/>
              <w:bottom w:val="single" w:sz="4" w:space="0" w:color="auto"/>
              <w:right w:val="nil"/>
            </w:tcBorders>
            <w:shd w:val="clear" w:color="auto" w:fill="FFFFFF" w:themeFill="background1"/>
            <w:vAlign w:val="center"/>
            <w:hideMark/>
          </w:tcPr>
          <w:p w14:paraId="7BCDE923" w14:textId="77777777" w:rsidR="008E5946" w:rsidRPr="008E5946" w:rsidRDefault="008E5946" w:rsidP="008E5946">
            <w:pPr>
              <w:spacing w:line="240" w:lineRule="auto"/>
              <w:jc w:val="right"/>
              <w:rPr>
                <w:rFonts w:ascii="Calibri" w:eastAsia="Times New Roman" w:hAnsi="Calibri" w:cs="Calibri"/>
                <w:b/>
                <w:bCs/>
                <w:color w:val="000000"/>
                <w:lang w:eastAsia="en-GB"/>
              </w:rPr>
            </w:pP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2023</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2575D1A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35,835</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33F81FAD"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50E3F1E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3,746</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53C53F9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13,074</w:t>
            </w:r>
          </w:p>
        </w:tc>
        <w:tc>
          <w:tcPr>
            <w:tcW w:w="1316" w:type="dxa"/>
            <w:tcBorders>
              <w:top w:val="single" w:sz="4" w:space="0" w:color="auto"/>
              <w:left w:val="nil"/>
              <w:bottom w:val="single" w:sz="4" w:space="0" w:color="auto"/>
              <w:right w:val="nil"/>
            </w:tcBorders>
            <w:shd w:val="clear" w:color="auto" w:fill="FFE1E1"/>
            <w:noWrap/>
            <w:vAlign w:val="center"/>
            <w:hideMark/>
          </w:tcPr>
          <w:p w14:paraId="5125F8B8"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52,655</w:t>
            </w:r>
          </w:p>
        </w:tc>
      </w:tr>
      <w:tr w:rsidR="008E5946" w:rsidRPr="008E5946" w14:paraId="054DDCD3"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433B576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Additions/Enhancement</w:t>
            </w:r>
          </w:p>
        </w:tc>
        <w:tc>
          <w:tcPr>
            <w:tcW w:w="1128" w:type="dxa"/>
            <w:tcBorders>
              <w:top w:val="nil"/>
              <w:left w:val="nil"/>
              <w:bottom w:val="nil"/>
              <w:right w:val="nil"/>
            </w:tcBorders>
            <w:shd w:val="clear" w:color="auto" w:fill="FFFFFF" w:themeFill="background1"/>
            <w:noWrap/>
            <w:vAlign w:val="center"/>
            <w:hideMark/>
          </w:tcPr>
          <w:p w14:paraId="5695539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456</w:t>
            </w:r>
          </w:p>
        </w:tc>
        <w:tc>
          <w:tcPr>
            <w:tcW w:w="1515" w:type="dxa"/>
            <w:tcBorders>
              <w:top w:val="nil"/>
              <w:left w:val="nil"/>
              <w:bottom w:val="nil"/>
              <w:right w:val="nil"/>
            </w:tcBorders>
            <w:shd w:val="clear" w:color="auto" w:fill="FFFFFF" w:themeFill="background1"/>
            <w:noWrap/>
            <w:vAlign w:val="center"/>
            <w:hideMark/>
          </w:tcPr>
          <w:p w14:paraId="39B5097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1,014</w:t>
            </w:r>
          </w:p>
        </w:tc>
        <w:tc>
          <w:tcPr>
            <w:tcW w:w="1003" w:type="dxa"/>
            <w:tcBorders>
              <w:top w:val="nil"/>
              <w:left w:val="nil"/>
              <w:bottom w:val="nil"/>
              <w:right w:val="nil"/>
            </w:tcBorders>
            <w:shd w:val="clear" w:color="auto" w:fill="FFFFFF" w:themeFill="background1"/>
            <w:noWrap/>
            <w:vAlign w:val="center"/>
            <w:hideMark/>
          </w:tcPr>
          <w:p w14:paraId="71392838"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38C8CE3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835</w:t>
            </w:r>
          </w:p>
        </w:tc>
        <w:tc>
          <w:tcPr>
            <w:tcW w:w="1316" w:type="dxa"/>
            <w:tcBorders>
              <w:top w:val="nil"/>
              <w:left w:val="nil"/>
              <w:bottom w:val="nil"/>
              <w:right w:val="nil"/>
            </w:tcBorders>
            <w:shd w:val="clear" w:color="auto" w:fill="FFE1E1"/>
            <w:noWrap/>
            <w:vAlign w:val="center"/>
            <w:hideMark/>
          </w:tcPr>
          <w:p w14:paraId="0A9B5D10"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2,305</w:t>
            </w:r>
          </w:p>
        </w:tc>
      </w:tr>
      <w:tr w:rsidR="008E5946" w:rsidRPr="008E5946" w14:paraId="69B04416" w14:textId="77777777" w:rsidTr="5A995008">
        <w:trPr>
          <w:trHeight w:val="582"/>
        </w:trPr>
        <w:tc>
          <w:tcPr>
            <w:tcW w:w="4197" w:type="dxa"/>
            <w:tcBorders>
              <w:top w:val="nil"/>
              <w:left w:val="nil"/>
              <w:bottom w:val="nil"/>
              <w:right w:val="nil"/>
            </w:tcBorders>
            <w:shd w:val="clear" w:color="auto" w:fill="FFFFFF" w:themeFill="background1"/>
            <w:vAlign w:val="center"/>
            <w:hideMark/>
          </w:tcPr>
          <w:p w14:paraId="171D2C00"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Revaluation Increases/(Decreases) to Revaluation Reserve</w:t>
            </w:r>
          </w:p>
        </w:tc>
        <w:tc>
          <w:tcPr>
            <w:tcW w:w="1128" w:type="dxa"/>
            <w:tcBorders>
              <w:top w:val="nil"/>
              <w:left w:val="nil"/>
              <w:bottom w:val="nil"/>
              <w:right w:val="nil"/>
            </w:tcBorders>
            <w:shd w:val="clear" w:color="auto" w:fill="FFFFFF" w:themeFill="background1"/>
            <w:noWrap/>
            <w:vAlign w:val="center"/>
            <w:hideMark/>
          </w:tcPr>
          <w:p w14:paraId="552DA8F5"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1,627</w:t>
            </w:r>
          </w:p>
        </w:tc>
        <w:tc>
          <w:tcPr>
            <w:tcW w:w="1515" w:type="dxa"/>
            <w:tcBorders>
              <w:top w:val="nil"/>
              <w:left w:val="nil"/>
              <w:bottom w:val="nil"/>
              <w:right w:val="nil"/>
            </w:tcBorders>
            <w:shd w:val="clear" w:color="auto" w:fill="FFFFFF" w:themeFill="background1"/>
            <w:noWrap/>
            <w:vAlign w:val="center"/>
            <w:hideMark/>
          </w:tcPr>
          <w:p w14:paraId="53B7983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4558692D"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6BC7B757"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67D17632"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1,627</w:t>
            </w:r>
          </w:p>
        </w:tc>
      </w:tr>
      <w:tr w:rsidR="008E5946" w:rsidRPr="008E5946" w14:paraId="2F11E808" w14:textId="77777777" w:rsidTr="5A995008">
        <w:trPr>
          <w:trHeight w:val="450"/>
        </w:trPr>
        <w:tc>
          <w:tcPr>
            <w:tcW w:w="4197" w:type="dxa"/>
            <w:tcBorders>
              <w:top w:val="nil"/>
              <w:left w:val="nil"/>
              <w:bottom w:val="nil"/>
              <w:right w:val="nil"/>
            </w:tcBorders>
            <w:shd w:val="clear" w:color="auto" w:fill="FFFFFF" w:themeFill="background1"/>
            <w:vAlign w:val="center"/>
            <w:hideMark/>
          </w:tcPr>
          <w:p w14:paraId="2A30FDB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Depreciation eliminated on Revaluation</w:t>
            </w:r>
          </w:p>
        </w:tc>
        <w:tc>
          <w:tcPr>
            <w:tcW w:w="1128" w:type="dxa"/>
            <w:tcBorders>
              <w:top w:val="nil"/>
              <w:left w:val="nil"/>
              <w:bottom w:val="nil"/>
              <w:right w:val="nil"/>
            </w:tcBorders>
            <w:shd w:val="clear" w:color="auto" w:fill="FFFFFF" w:themeFill="background1"/>
            <w:noWrap/>
            <w:vAlign w:val="center"/>
            <w:hideMark/>
          </w:tcPr>
          <w:p w14:paraId="3482741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0BACF7B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05A8F5E4"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3DEDD257"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67AB3B61"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w:t>
            </w:r>
          </w:p>
        </w:tc>
      </w:tr>
      <w:tr w:rsidR="008E5946" w:rsidRPr="008E5946" w14:paraId="5D2E5F63" w14:textId="77777777" w:rsidTr="5A995008">
        <w:trPr>
          <w:trHeight w:val="582"/>
        </w:trPr>
        <w:tc>
          <w:tcPr>
            <w:tcW w:w="4197" w:type="dxa"/>
            <w:tcBorders>
              <w:top w:val="nil"/>
              <w:left w:val="nil"/>
              <w:bottom w:val="nil"/>
              <w:right w:val="nil"/>
            </w:tcBorders>
            <w:shd w:val="clear" w:color="auto" w:fill="FFFFFF" w:themeFill="background1"/>
            <w:vAlign w:val="center"/>
            <w:hideMark/>
          </w:tcPr>
          <w:p w14:paraId="5CFF550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Comprehensive Income and Expenditure Statement</w:t>
            </w:r>
          </w:p>
        </w:tc>
        <w:tc>
          <w:tcPr>
            <w:tcW w:w="1128" w:type="dxa"/>
            <w:tcBorders>
              <w:top w:val="nil"/>
              <w:left w:val="nil"/>
              <w:bottom w:val="nil"/>
              <w:right w:val="nil"/>
            </w:tcBorders>
            <w:shd w:val="clear" w:color="auto" w:fill="FFFFFF" w:themeFill="background1"/>
            <w:noWrap/>
            <w:vAlign w:val="center"/>
            <w:hideMark/>
          </w:tcPr>
          <w:p w14:paraId="4A6E748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(64)</w:t>
            </w:r>
          </w:p>
        </w:tc>
        <w:tc>
          <w:tcPr>
            <w:tcW w:w="1515" w:type="dxa"/>
            <w:tcBorders>
              <w:top w:val="nil"/>
              <w:left w:val="nil"/>
              <w:bottom w:val="nil"/>
              <w:right w:val="nil"/>
            </w:tcBorders>
            <w:shd w:val="clear" w:color="auto" w:fill="FFFFFF" w:themeFill="background1"/>
            <w:noWrap/>
            <w:vAlign w:val="center"/>
            <w:hideMark/>
          </w:tcPr>
          <w:p w14:paraId="0A79C168"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7BFD5C2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(246)</w:t>
            </w:r>
          </w:p>
        </w:tc>
        <w:tc>
          <w:tcPr>
            <w:tcW w:w="1216" w:type="dxa"/>
            <w:tcBorders>
              <w:top w:val="nil"/>
              <w:left w:val="nil"/>
              <w:bottom w:val="nil"/>
              <w:right w:val="nil"/>
            </w:tcBorders>
            <w:shd w:val="clear" w:color="auto" w:fill="FFFFFF" w:themeFill="background1"/>
            <w:noWrap/>
            <w:vAlign w:val="center"/>
            <w:hideMark/>
          </w:tcPr>
          <w:p w14:paraId="41C4B51C"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3264B988"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(310)</w:t>
            </w:r>
          </w:p>
        </w:tc>
      </w:tr>
      <w:tr w:rsidR="008E5946" w:rsidRPr="008E5946" w14:paraId="12D513FD"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570E2FA8"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Derecognitions &amp; Disposals</w:t>
            </w:r>
          </w:p>
        </w:tc>
        <w:tc>
          <w:tcPr>
            <w:tcW w:w="1128" w:type="dxa"/>
            <w:tcBorders>
              <w:top w:val="nil"/>
              <w:left w:val="nil"/>
              <w:bottom w:val="nil"/>
              <w:right w:val="nil"/>
            </w:tcBorders>
            <w:shd w:val="clear" w:color="auto" w:fill="FFFFFF" w:themeFill="background1"/>
            <w:noWrap/>
            <w:vAlign w:val="center"/>
            <w:hideMark/>
          </w:tcPr>
          <w:p w14:paraId="56471FF0"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01A1273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1E6A011C"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(3,500)</w:t>
            </w:r>
          </w:p>
        </w:tc>
        <w:tc>
          <w:tcPr>
            <w:tcW w:w="1216" w:type="dxa"/>
            <w:tcBorders>
              <w:top w:val="nil"/>
              <w:left w:val="nil"/>
              <w:bottom w:val="nil"/>
              <w:right w:val="nil"/>
            </w:tcBorders>
            <w:shd w:val="clear" w:color="auto" w:fill="FFFFFF" w:themeFill="background1"/>
            <w:noWrap/>
            <w:vAlign w:val="center"/>
            <w:hideMark/>
          </w:tcPr>
          <w:p w14:paraId="63B95561"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(346)</w:t>
            </w:r>
          </w:p>
        </w:tc>
        <w:tc>
          <w:tcPr>
            <w:tcW w:w="1316" w:type="dxa"/>
            <w:tcBorders>
              <w:top w:val="nil"/>
              <w:left w:val="nil"/>
              <w:bottom w:val="nil"/>
              <w:right w:val="nil"/>
            </w:tcBorders>
            <w:shd w:val="clear" w:color="auto" w:fill="FFE1E1"/>
            <w:noWrap/>
            <w:vAlign w:val="center"/>
            <w:hideMark/>
          </w:tcPr>
          <w:p w14:paraId="580D5725"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(3,846)</w:t>
            </w:r>
          </w:p>
        </w:tc>
      </w:tr>
      <w:tr w:rsidR="008E5946" w:rsidRPr="008E5946" w14:paraId="699CF1F5" w14:textId="77777777" w:rsidTr="5A995008">
        <w:trPr>
          <w:trHeight w:val="300"/>
        </w:trPr>
        <w:tc>
          <w:tcPr>
            <w:tcW w:w="4197" w:type="dxa"/>
            <w:tcBorders>
              <w:top w:val="nil"/>
              <w:left w:val="nil"/>
              <w:bottom w:val="nil"/>
              <w:right w:val="nil"/>
            </w:tcBorders>
            <w:shd w:val="clear" w:color="auto" w:fill="FFFFFF" w:themeFill="background1"/>
            <w:vAlign w:val="center"/>
            <w:hideMark/>
          </w:tcPr>
          <w:p w14:paraId="136C99D2"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Reclassifications</w:t>
            </w:r>
          </w:p>
        </w:tc>
        <w:tc>
          <w:tcPr>
            <w:tcW w:w="1128" w:type="dxa"/>
            <w:tcBorders>
              <w:top w:val="nil"/>
              <w:left w:val="nil"/>
              <w:bottom w:val="nil"/>
              <w:right w:val="nil"/>
            </w:tcBorders>
            <w:shd w:val="clear" w:color="auto" w:fill="FFFFFF" w:themeFill="background1"/>
            <w:noWrap/>
            <w:vAlign w:val="center"/>
            <w:hideMark/>
          </w:tcPr>
          <w:p w14:paraId="4855B6A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1B4CE25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6F93C38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12C0D40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89</w:t>
            </w:r>
          </w:p>
        </w:tc>
        <w:tc>
          <w:tcPr>
            <w:tcW w:w="1316" w:type="dxa"/>
            <w:tcBorders>
              <w:top w:val="nil"/>
              <w:left w:val="nil"/>
              <w:bottom w:val="nil"/>
              <w:right w:val="nil"/>
            </w:tcBorders>
            <w:shd w:val="clear" w:color="auto" w:fill="FFE1E1"/>
            <w:noWrap/>
            <w:vAlign w:val="center"/>
            <w:hideMark/>
          </w:tcPr>
          <w:p w14:paraId="0A93F7FA"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89</w:t>
            </w:r>
          </w:p>
        </w:tc>
      </w:tr>
      <w:tr w:rsidR="008E5946" w:rsidRPr="008E5946" w14:paraId="5136E8D9" w14:textId="77777777" w:rsidTr="5A995008">
        <w:trPr>
          <w:trHeight w:val="289"/>
        </w:trPr>
        <w:tc>
          <w:tcPr>
            <w:tcW w:w="4197" w:type="dxa"/>
            <w:tcBorders>
              <w:top w:val="single" w:sz="4" w:space="0" w:color="auto"/>
              <w:left w:val="nil"/>
              <w:bottom w:val="single" w:sz="4" w:space="0" w:color="auto"/>
              <w:right w:val="nil"/>
            </w:tcBorders>
            <w:shd w:val="clear" w:color="auto" w:fill="FFFFFF" w:themeFill="background1"/>
            <w:vAlign w:val="center"/>
            <w:hideMark/>
          </w:tcPr>
          <w:p w14:paraId="44FB306D" w14:textId="77777777" w:rsidR="008E5946" w:rsidRPr="008E5946" w:rsidRDefault="008E5946" w:rsidP="008E5946">
            <w:pPr>
              <w:spacing w:line="240" w:lineRule="auto"/>
              <w:jc w:val="right"/>
              <w:rPr>
                <w:rFonts w:ascii="Calibri" w:eastAsia="Times New Roman" w:hAnsi="Calibri" w:cs="Calibri"/>
                <w:b/>
                <w:bCs/>
                <w:color w:val="000000"/>
                <w:lang w:eastAsia="en-GB"/>
              </w:rPr>
            </w:pP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2024</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737D9911"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37,854</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3466085A"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1,014</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495B432E"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4D2D176C"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13,652</w:t>
            </w:r>
          </w:p>
        </w:tc>
        <w:tc>
          <w:tcPr>
            <w:tcW w:w="1316" w:type="dxa"/>
            <w:tcBorders>
              <w:top w:val="single" w:sz="4" w:space="0" w:color="auto"/>
              <w:left w:val="nil"/>
              <w:bottom w:val="single" w:sz="4" w:space="0" w:color="auto"/>
              <w:right w:val="nil"/>
            </w:tcBorders>
            <w:shd w:val="clear" w:color="auto" w:fill="FFE1E1"/>
            <w:noWrap/>
            <w:vAlign w:val="center"/>
            <w:hideMark/>
          </w:tcPr>
          <w:p w14:paraId="55E870A9"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52,520</w:t>
            </w:r>
          </w:p>
        </w:tc>
      </w:tr>
      <w:tr w:rsidR="008E5946" w:rsidRPr="008E5946" w14:paraId="7AC05E30"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428FA46C"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128" w:type="dxa"/>
            <w:tcBorders>
              <w:top w:val="nil"/>
              <w:left w:val="nil"/>
              <w:bottom w:val="nil"/>
              <w:right w:val="nil"/>
            </w:tcBorders>
            <w:shd w:val="clear" w:color="auto" w:fill="FFFFFF" w:themeFill="background1"/>
            <w:noWrap/>
            <w:vAlign w:val="center"/>
            <w:hideMark/>
          </w:tcPr>
          <w:p w14:paraId="1BA3AA0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515" w:type="dxa"/>
            <w:tcBorders>
              <w:top w:val="nil"/>
              <w:left w:val="nil"/>
              <w:bottom w:val="nil"/>
              <w:right w:val="nil"/>
            </w:tcBorders>
            <w:shd w:val="clear" w:color="auto" w:fill="FFFFFF" w:themeFill="background1"/>
            <w:noWrap/>
            <w:vAlign w:val="center"/>
            <w:hideMark/>
          </w:tcPr>
          <w:p w14:paraId="70BEFD3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003" w:type="dxa"/>
            <w:tcBorders>
              <w:top w:val="nil"/>
              <w:left w:val="nil"/>
              <w:bottom w:val="nil"/>
              <w:right w:val="nil"/>
            </w:tcBorders>
            <w:shd w:val="clear" w:color="auto" w:fill="FFFFFF" w:themeFill="background1"/>
            <w:noWrap/>
            <w:vAlign w:val="center"/>
            <w:hideMark/>
          </w:tcPr>
          <w:p w14:paraId="6A0476E0"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216" w:type="dxa"/>
            <w:tcBorders>
              <w:top w:val="nil"/>
              <w:left w:val="nil"/>
              <w:bottom w:val="nil"/>
              <w:right w:val="nil"/>
            </w:tcBorders>
            <w:shd w:val="clear" w:color="auto" w:fill="FFFFFF" w:themeFill="background1"/>
            <w:noWrap/>
            <w:vAlign w:val="center"/>
            <w:hideMark/>
          </w:tcPr>
          <w:p w14:paraId="4851583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316" w:type="dxa"/>
            <w:tcBorders>
              <w:top w:val="nil"/>
              <w:left w:val="nil"/>
              <w:bottom w:val="nil"/>
              <w:right w:val="nil"/>
            </w:tcBorders>
            <w:shd w:val="clear" w:color="auto" w:fill="FFE1E1"/>
            <w:noWrap/>
            <w:vAlign w:val="center"/>
            <w:hideMark/>
          </w:tcPr>
          <w:p w14:paraId="73B17AC9"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 </w:t>
            </w:r>
          </w:p>
        </w:tc>
      </w:tr>
      <w:tr w:rsidR="008E5946" w:rsidRPr="008E5946" w14:paraId="56177EC0"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40EA4A4E" w14:textId="77777777" w:rsidR="008E5946" w:rsidRPr="008E5946" w:rsidRDefault="008E5946" w:rsidP="008E5946">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Depreciation/Impairment</w:t>
            </w:r>
          </w:p>
        </w:tc>
        <w:tc>
          <w:tcPr>
            <w:tcW w:w="1128" w:type="dxa"/>
            <w:tcBorders>
              <w:top w:val="nil"/>
              <w:left w:val="nil"/>
              <w:bottom w:val="nil"/>
              <w:right w:val="nil"/>
            </w:tcBorders>
            <w:shd w:val="clear" w:color="auto" w:fill="FFFFFF" w:themeFill="background1"/>
            <w:noWrap/>
            <w:vAlign w:val="center"/>
            <w:hideMark/>
          </w:tcPr>
          <w:p w14:paraId="77315758"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515" w:type="dxa"/>
            <w:tcBorders>
              <w:top w:val="nil"/>
              <w:left w:val="nil"/>
              <w:bottom w:val="nil"/>
              <w:right w:val="nil"/>
            </w:tcBorders>
            <w:shd w:val="clear" w:color="auto" w:fill="FFFFFF" w:themeFill="background1"/>
            <w:noWrap/>
            <w:vAlign w:val="center"/>
            <w:hideMark/>
          </w:tcPr>
          <w:p w14:paraId="3AF0AFF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003" w:type="dxa"/>
            <w:tcBorders>
              <w:top w:val="nil"/>
              <w:left w:val="nil"/>
              <w:bottom w:val="nil"/>
              <w:right w:val="nil"/>
            </w:tcBorders>
            <w:shd w:val="clear" w:color="auto" w:fill="FFFFFF" w:themeFill="background1"/>
            <w:noWrap/>
            <w:vAlign w:val="center"/>
            <w:hideMark/>
          </w:tcPr>
          <w:p w14:paraId="3E9BB79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216" w:type="dxa"/>
            <w:tcBorders>
              <w:top w:val="nil"/>
              <w:left w:val="nil"/>
              <w:bottom w:val="nil"/>
              <w:right w:val="nil"/>
            </w:tcBorders>
            <w:shd w:val="clear" w:color="auto" w:fill="FFFFFF" w:themeFill="background1"/>
            <w:noWrap/>
            <w:vAlign w:val="center"/>
            <w:hideMark/>
          </w:tcPr>
          <w:p w14:paraId="76DF681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316" w:type="dxa"/>
            <w:tcBorders>
              <w:top w:val="nil"/>
              <w:left w:val="nil"/>
              <w:bottom w:val="nil"/>
              <w:right w:val="nil"/>
            </w:tcBorders>
            <w:shd w:val="clear" w:color="auto" w:fill="FFE1E1"/>
            <w:noWrap/>
            <w:vAlign w:val="center"/>
            <w:hideMark/>
          </w:tcPr>
          <w:p w14:paraId="73A9D9DA"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 </w:t>
            </w:r>
          </w:p>
        </w:tc>
      </w:tr>
      <w:tr w:rsidR="008E5946" w:rsidRPr="008E5946" w14:paraId="3B39139F" w14:textId="77777777" w:rsidTr="5A995008">
        <w:trPr>
          <w:trHeight w:val="289"/>
        </w:trPr>
        <w:tc>
          <w:tcPr>
            <w:tcW w:w="4197" w:type="dxa"/>
            <w:tcBorders>
              <w:top w:val="single" w:sz="4" w:space="0" w:color="auto"/>
              <w:left w:val="nil"/>
              <w:bottom w:val="single" w:sz="4" w:space="0" w:color="auto"/>
              <w:right w:val="nil"/>
            </w:tcBorders>
            <w:shd w:val="clear" w:color="auto" w:fill="FFFFFF" w:themeFill="background1"/>
            <w:vAlign w:val="center"/>
            <w:hideMark/>
          </w:tcPr>
          <w:p w14:paraId="5E665DA5" w14:textId="77777777" w:rsidR="008E5946" w:rsidRPr="008E5946" w:rsidRDefault="008E5946" w:rsidP="008E5946">
            <w:pPr>
              <w:spacing w:line="240" w:lineRule="auto"/>
              <w:jc w:val="right"/>
              <w:rPr>
                <w:rFonts w:ascii="Calibri" w:eastAsia="Times New Roman" w:hAnsi="Calibri" w:cs="Calibri"/>
                <w:b/>
                <w:bCs/>
                <w:color w:val="000000"/>
                <w:lang w:eastAsia="en-GB"/>
              </w:rPr>
            </w:pP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2023</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1823713D"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22BBF30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1F66FA0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4C93D2DC"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(3,976)</w:t>
            </w:r>
          </w:p>
        </w:tc>
        <w:tc>
          <w:tcPr>
            <w:tcW w:w="1316" w:type="dxa"/>
            <w:tcBorders>
              <w:top w:val="single" w:sz="4" w:space="0" w:color="auto"/>
              <w:left w:val="nil"/>
              <w:bottom w:val="single" w:sz="4" w:space="0" w:color="auto"/>
              <w:right w:val="nil"/>
            </w:tcBorders>
            <w:shd w:val="clear" w:color="auto" w:fill="FFE1E1"/>
            <w:noWrap/>
            <w:vAlign w:val="center"/>
            <w:hideMark/>
          </w:tcPr>
          <w:p w14:paraId="5E0D31B7"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(3,976)</w:t>
            </w:r>
          </w:p>
        </w:tc>
      </w:tr>
      <w:tr w:rsidR="008E5946" w:rsidRPr="008E5946" w14:paraId="49D3C4D3"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17B281F2"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Charge for the twelve months to 31st March 2024</w:t>
            </w:r>
          </w:p>
        </w:tc>
        <w:tc>
          <w:tcPr>
            <w:tcW w:w="1128" w:type="dxa"/>
            <w:tcBorders>
              <w:top w:val="nil"/>
              <w:left w:val="nil"/>
              <w:bottom w:val="nil"/>
              <w:right w:val="nil"/>
            </w:tcBorders>
            <w:shd w:val="clear" w:color="auto" w:fill="FFFFFF" w:themeFill="background1"/>
            <w:noWrap/>
            <w:vAlign w:val="center"/>
            <w:hideMark/>
          </w:tcPr>
          <w:p w14:paraId="362FE9D2"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(606)</w:t>
            </w:r>
          </w:p>
        </w:tc>
        <w:tc>
          <w:tcPr>
            <w:tcW w:w="1515" w:type="dxa"/>
            <w:tcBorders>
              <w:top w:val="nil"/>
              <w:left w:val="nil"/>
              <w:bottom w:val="nil"/>
              <w:right w:val="nil"/>
            </w:tcBorders>
            <w:shd w:val="clear" w:color="auto" w:fill="FFFFFF" w:themeFill="background1"/>
            <w:noWrap/>
            <w:vAlign w:val="center"/>
            <w:hideMark/>
          </w:tcPr>
          <w:p w14:paraId="6729ED0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4E76701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30B81B8C"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(1,254)</w:t>
            </w:r>
          </w:p>
        </w:tc>
        <w:tc>
          <w:tcPr>
            <w:tcW w:w="1316" w:type="dxa"/>
            <w:tcBorders>
              <w:top w:val="nil"/>
              <w:left w:val="nil"/>
              <w:bottom w:val="nil"/>
              <w:right w:val="nil"/>
            </w:tcBorders>
            <w:shd w:val="clear" w:color="auto" w:fill="FFE1E1"/>
            <w:noWrap/>
            <w:vAlign w:val="center"/>
            <w:hideMark/>
          </w:tcPr>
          <w:p w14:paraId="22058BE0"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(1,860)</w:t>
            </w:r>
          </w:p>
        </w:tc>
      </w:tr>
      <w:tr w:rsidR="008E5946" w:rsidRPr="008E5946" w14:paraId="688B4C49" w14:textId="77777777" w:rsidTr="5A995008">
        <w:trPr>
          <w:trHeight w:val="297"/>
        </w:trPr>
        <w:tc>
          <w:tcPr>
            <w:tcW w:w="4197" w:type="dxa"/>
            <w:tcBorders>
              <w:top w:val="nil"/>
              <w:left w:val="nil"/>
              <w:bottom w:val="nil"/>
              <w:right w:val="nil"/>
            </w:tcBorders>
            <w:shd w:val="clear" w:color="auto" w:fill="FFFFFF" w:themeFill="background1"/>
            <w:vAlign w:val="center"/>
            <w:hideMark/>
          </w:tcPr>
          <w:p w14:paraId="5C32B22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Depreciation written out to the Revaluation Reserve</w:t>
            </w:r>
          </w:p>
        </w:tc>
        <w:tc>
          <w:tcPr>
            <w:tcW w:w="1128" w:type="dxa"/>
            <w:tcBorders>
              <w:top w:val="nil"/>
              <w:left w:val="nil"/>
              <w:bottom w:val="nil"/>
              <w:right w:val="nil"/>
            </w:tcBorders>
            <w:shd w:val="clear" w:color="auto" w:fill="FFFFFF" w:themeFill="background1"/>
            <w:noWrap/>
            <w:vAlign w:val="center"/>
            <w:hideMark/>
          </w:tcPr>
          <w:p w14:paraId="1FEAA59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606</w:t>
            </w:r>
          </w:p>
        </w:tc>
        <w:tc>
          <w:tcPr>
            <w:tcW w:w="1515" w:type="dxa"/>
            <w:tcBorders>
              <w:top w:val="nil"/>
              <w:left w:val="nil"/>
              <w:bottom w:val="nil"/>
              <w:right w:val="nil"/>
            </w:tcBorders>
            <w:shd w:val="clear" w:color="auto" w:fill="FFFFFF" w:themeFill="background1"/>
            <w:noWrap/>
            <w:vAlign w:val="center"/>
            <w:hideMark/>
          </w:tcPr>
          <w:p w14:paraId="07E0717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486ED97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5F99C39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28F20A8B"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606</w:t>
            </w:r>
          </w:p>
        </w:tc>
      </w:tr>
      <w:tr w:rsidR="008E5946" w:rsidRPr="008E5946" w14:paraId="06D9D49E" w14:textId="77777777" w:rsidTr="5A995008">
        <w:trPr>
          <w:trHeight w:val="297"/>
        </w:trPr>
        <w:tc>
          <w:tcPr>
            <w:tcW w:w="4197" w:type="dxa"/>
            <w:tcBorders>
              <w:top w:val="nil"/>
              <w:left w:val="nil"/>
              <w:bottom w:val="nil"/>
              <w:right w:val="nil"/>
            </w:tcBorders>
            <w:shd w:val="clear" w:color="auto" w:fill="FFFFFF" w:themeFill="background1"/>
            <w:vAlign w:val="center"/>
            <w:hideMark/>
          </w:tcPr>
          <w:p w14:paraId="42FA8BE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Depreciation written out to the CIES</w:t>
            </w:r>
          </w:p>
        </w:tc>
        <w:tc>
          <w:tcPr>
            <w:tcW w:w="1128" w:type="dxa"/>
            <w:tcBorders>
              <w:top w:val="nil"/>
              <w:left w:val="nil"/>
              <w:bottom w:val="nil"/>
              <w:right w:val="nil"/>
            </w:tcBorders>
            <w:shd w:val="clear" w:color="auto" w:fill="FFFFFF" w:themeFill="background1"/>
            <w:noWrap/>
            <w:vAlign w:val="center"/>
            <w:hideMark/>
          </w:tcPr>
          <w:p w14:paraId="20D5C84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44721255"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673610F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20365FAD"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6101384D"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w:t>
            </w:r>
          </w:p>
        </w:tc>
      </w:tr>
      <w:tr w:rsidR="008E5946" w:rsidRPr="008E5946" w14:paraId="60065B04" w14:textId="77777777" w:rsidTr="5A995008">
        <w:trPr>
          <w:trHeight w:val="289"/>
        </w:trPr>
        <w:tc>
          <w:tcPr>
            <w:tcW w:w="4197" w:type="dxa"/>
            <w:tcBorders>
              <w:top w:val="nil"/>
              <w:left w:val="nil"/>
              <w:bottom w:val="nil"/>
              <w:right w:val="nil"/>
            </w:tcBorders>
            <w:shd w:val="clear" w:color="auto" w:fill="FFFFFF" w:themeFill="background1"/>
            <w:vAlign w:val="center"/>
            <w:hideMark/>
          </w:tcPr>
          <w:p w14:paraId="6DBE616D"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Impairments</w:t>
            </w:r>
          </w:p>
        </w:tc>
        <w:tc>
          <w:tcPr>
            <w:tcW w:w="1128" w:type="dxa"/>
            <w:tcBorders>
              <w:top w:val="nil"/>
              <w:left w:val="nil"/>
              <w:bottom w:val="nil"/>
              <w:right w:val="nil"/>
            </w:tcBorders>
            <w:shd w:val="clear" w:color="auto" w:fill="FFFFFF" w:themeFill="background1"/>
            <w:noWrap/>
            <w:vAlign w:val="center"/>
            <w:hideMark/>
          </w:tcPr>
          <w:p w14:paraId="3BAC7CF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634419C7"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469DCAA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2E74169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316" w:type="dxa"/>
            <w:tcBorders>
              <w:top w:val="nil"/>
              <w:left w:val="nil"/>
              <w:bottom w:val="nil"/>
              <w:right w:val="nil"/>
            </w:tcBorders>
            <w:shd w:val="clear" w:color="auto" w:fill="FFE1E1"/>
            <w:noWrap/>
            <w:vAlign w:val="center"/>
            <w:hideMark/>
          </w:tcPr>
          <w:p w14:paraId="3693D2AF"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w:t>
            </w:r>
          </w:p>
        </w:tc>
      </w:tr>
      <w:tr w:rsidR="008E5946" w:rsidRPr="008E5946" w14:paraId="04F4C6EF" w14:textId="77777777" w:rsidTr="5A995008">
        <w:trPr>
          <w:trHeight w:val="300"/>
        </w:trPr>
        <w:tc>
          <w:tcPr>
            <w:tcW w:w="4197" w:type="dxa"/>
            <w:tcBorders>
              <w:top w:val="nil"/>
              <w:left w:val="nil"/>
              <w:bottom w:val="nil"/>
              <w:right w:val="nil"/>
            </w:tcBorders>
            <w:shd w:val="clear" w:color="auto" w:fill="FFFFFF" w:themeFill="background1"/>
            <w:vAlign w:val="center"/>
            <w:hideMark/>
          </w:tcPr>
          <w:p w14:paraId="6EDE8151"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Derecognitions</w:t>
            </w:r>
          </w:p>
        </w:tc>
        <w:tc>
          <w:tcPr>
            <w:tcW w:w="1128" w:type="dxa"/>
            <w:tcBorders>
              <w:top w:val="nil"/>
              <w:left w:val="nil"/>
              <w:bottom w:val="nil"/>
              <w:right w:val="nil"/>
            </w:tcBorders>
            <w:shd w:val="clear" w:color="auto" w:fill="FFFFFF" w:themeFill="background1"/>
            <w:noWrap/>
            <w:vAlign w:val="center"/>
            <w:hideMark/>
          </w:tcPr>
          <w:p w14:paraId="6913EA9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3C1BD842"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13442C4E"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39645506"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268</w:t>
            </w:r>
          </w:p>
        </w:tc>
        <w:tc>
          <w:tcPr>
            <w:tcW w:w="1316" w:type="dxa"/>
            <w:tcBorders>
              <w:top w:val="nil"/>
              <w:left w:val="nil"/>
              <w:bottom w:val="nil"/>
              <w:right w:val="nil"/>
            </w:tcBorders>
            <w:shd w:val="clear" w:color="auto" w:fill="FFE1E1"/>
            <w:noWrap/>
            <w:vAlign w:val="center"/>
            <w:hideMark/>
          </w:tcPr>
          <w:p w14:paraId="591E92DB"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268</w:t>
            </w:r>
          </w:p>
        </w:tc>
      </w:tr>
      <w:tr w:rsidR="008E5946" w:rsidRPr="008E5946" w14:paraId="599802AB" w14:textId="77777777" w:rsidTr="5A995008">
        <w:trPr>
          <w:trHeight w:val="300"/>
        </w:trPr>
        <w:tc>
          <w:tcPr>
            <w:tcW w:w="4197" w:type="dxa"/>
            <w:tcBorders>
              <w:top w:val="nil"/>
              <w:left w:val="nil"/>
              <w:bottom w:val="nil"/>
              <w:right w:val="nil"/>
            </w:tcBorders>
            <w:shd w:val="clear" w:color="auto" w:fill="FFFFFF" w:themeFill="background1"/>
            <w:vAlign w:val="center"/>
            <w:hideMark/>
          </w:tcPr>
          <w:p w14:paraId="3D807D77"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Reclassifications</w:t>
            </w:r>
          </w:p>
        </w:tc>
        <w:tc>
          <w:tcPr>
            <w:tcW w:w="1128" w:type="dxa"/>
            <w:tcBorders>
              <w:top w:val="nil"/>
              <w:left w:val="nil"/>
              <w:bottom w:val="nil"/>
              <w:right w:val="nil"/>
            </w:tcBorders>
            <w:shd w:val="clear" w:color="auto" w:fill="FFFFFF" w:themeFill="background1"/>
            <w:noWrap/>
            <w:vAlign w:val="center"/>
            <w:hideMark/>
          </w:tcPr>
          <w:p w14:paraId="055A1261"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nil"/>
              <w:left w:val="nil"/>
              <w:bottom w:val="nil"/>
              <w:right w:val="nil"/>
            </w:tcBorders>
            <w:shd w:val="clear" w:color="auto" w:fill="FFFFFF" w:themeFill="background1"/>
            <w:noWrap/>
            <w:vAlign w:val="center"/>
            <w:hideMark/>
          </w:tcPr>
          <w:p w14:paraId="6B7FC60A"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nil"/>
              <w:left w:val="nil"/>
              <w:bottom w:val="nil"/>
              <w:right w:val="nil"/>
            </w:tcBorders>
            <w:shd w:val="clear" w:color="auto" w:fill="FFFFFF" w:themeFill="background1"/>
            <w:noWrap/>
            <w:vAlign w:val="center"/>
            <w:hideMark/>
          </w:tcPr>
          <w:p w14:paraId="1FDD4D52"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nil"/>
              <w:left w:val="nil"/>
              <w:bottom w:val="nil"/>
              <w:right w:val="nil"/>
            </w:tcBorders>
            <w:shd w:val="clear" w:color="auto" w:fill="FFFFFF" w:themeFill="background1"/>
            <w:noWrap/>
            <w:vAlign w:val="center"/>
            <w:hideMark/>
          </w:tcPr>
          <w:p w14:paraId="07EBF49F"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(89)</w:t>
            </w:r>
          </w:p>
        </w:tc>
        <w:tc>
          <w:tcPr>
            <w:tcW w:w="1316" w:type="dxa"/>
            <w:tcBorders>
              <w:top w:val="nil"/>
              <w:left w:val="nil"/>
              <w:bottom w:val="nil"/>
              <w:right w:val="nil"/>
            </w:tcBorders>
            <w:shd w:val="clear" w:color="auto" w:fill="FFE1E1"/>
            <w:noWrap/>
            <w:vAlign w:val="center"/>
            <w:hideMark/>
          </w:tcPr>
          <w:p w14:paraId="02142339"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(89)</w:t>
            </w:r>
          </w:p>
        </w:tc>
      </w:tr>
      <w:tr w:rsidR="008E5946" w:rsidRPr="008E5946" w14:paraId="2CC8515A" w14:textId="77777777" w:rsidTr="5A995008">
        <w:trPr>
          <w:trHeight w:val="300"/>
        </w:trPr>
        <w:tc>
          <w:tcPr>
            <w:tcW w:w="4197" w:type="dxa"/>
            <w:tcBorders>
              <w:top w:val="single" w:sz="4" w:space="0" w:color="auto"/>
              <w:left w:val="nil"/>
              <w:bottom w:val="single" w:sz="4" w:space="0" w:color="auto"/>
              <w:right w:val="nil"/>
            </w:tcBorders>
            <w:shd w:val="clear" w:color="auto" w:fill="FFFFFF" w:themeFill="background1"/>
            <w:vAlign w:val="center"/>
            <w:hideMark/>
          </w:tcPr>
          <w:p w14:paraId="37AB4678" w14:textId="77777777" w:rsidR="008E5946" w:rsidRPr="008E5946" w:rsidRDefault="008E5946" w:rsidP="008E5946">
            <w:pPr>
              <w:spacing w:line="240" w:lineRule="auto"/>
              <w:jc w:val="right"/>
              <w:rPr>
                <w:rFonts w:ascii="Calibri" w:eastAsia="Times New Roman" w:hAnsi="Calibri" w:cs="Calibri"/>
                <w:b/>
                <w:bCs/>
                <w:color w:val="000000"/>
                <w:lang w:eastAsia="en-GB"/>
              </w:rPr>
            </w:pP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2024</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40BB4D19"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6C899A50"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75F1CDEB"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5875AF13" w14:textId="77777777" w:rsidR="008E5946" w:rsidRPr="008E5946" w:rsidRDefault="008E5946" w:rsidP="008E5946">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(5,051)</w:t>
            </w:r>
          </w:p>
        </w:tc>
        <w:tc>
          <w:tcPr>
            <w:tcW w:w="1316" w:type="dxa"/>
            <w:tcBorders>
              <w:top w:val="single" w:sz="4" w:space="0" w:color="auto"/>
              <w:left w:val="nil"/>
              <w:bottom w:val="single" w:sz="4" w:space="0" w:color="auto"/>
              <w:right w:val="nil"/>
            </w:tcBorders>
            <w:shd w:val="clear" w:color="auto" w:fill="FFE1E1"/>
            <w:noWrap/>
            <w:vAlign w:val="center"/>
            <w:hideMark/>
          </w:tcPr>
          <w:p w14:paraId="35CA4BBD" w14:textId="77777777" w:rsidR="008E5946" w:rsidRPr="008E5946" w:rsidRDefault="008E5946" w:rsidP="008E5946">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(5,051)</w:t>
            </w:r>
          </w:p>
        </w:tc>
      </w:tr>
      <w:tr w:rsidR="008E5946" w:rsidRPr="008E5946" w14:paraId="4B31A09D" w14:textId="77777777" w:rsidTr="5A995008">
        <w:trPr>
          <w:trHeight w:val="300"/>
        </w:trPr>
        <w:tc>
          <w:tcPr>
            <w:tcW w:w="4197" w:type="dxa"/>
            <w:tcBorders>
              <w:top w:val="nil"/>
              <w:left w:val="nil"/>
              <w:bottom w:val="nil"/>
              <w:right w:val="nil"/>
            </w:tcBorders>
            <w:shd w:val="clear" w:color="auto" w:fill="FFFFFF" w:themeFill="background1"/>
            <w:noWrap/>
            <w:vAlign w:val="bottom"/>
            <w:hideMark/>
          </w:tcPr>
          <w:p w14:paraId="1BE5AC4F"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128" w:type="dxa"/>
            <w:tcBorders>
              <w:top w:val="nil"/>
              <w:left w:val="nil"/>
              <w:bottom w:val="nil"/>
              <w:right w:val="nil"/>
            </w:tcBorders>
            <w:shd w:val="clear" w:color="auto" w:fill="FFFFFF" w:themeFill="background1"/>
            <w:noWrap/>
            <w:vAlign w:val="bottom"/>
            <w:hideMark/>
          </w:tcPr>
          <w:p w14:paraId="55101888"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515" w:type="dxa"/>
            <w:tcBorders>
              <w:top w:val="nil"/>
              <w:left w:val="nil"/>
              <w:bottom w:val="nil"/>
              <w:right w:val="nil"/>
            </w:tcBorders>
            <w:shd w:val="clear" w:color="auto" w:fill="FFFFFF" w:themeFill="background1"/>
            <w:noWrap/>
            <w:vAlign w:val="bottom"/>
            <w:hideMark/>
          </w:tcPr>
          <w:p w14:paraId="6589FE55"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003" w:type="dxa"/>
            <w:tcBorders>
              <w:top w:val="nil"/>
              <w:left w:val="nil"/>
              <w:bottom w:val="nil"/>
              <w:right w:val="nil"/>
            </w:tcBorders>
            <w:shd w:val="clear" w:color="auto" w:fill="FFFFFF" w:themeFill="background1"/>
            <w:noWrap/>
            <w:vAlign w:val="bottom"/>
            <w:hideMark/>
          </w:tcPr>
          <w:p w14:paraId="79EEF66A"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216" w:type="dxa"/>
            <w:tcBorders>
              <w:top w:val="nil"/>
              <w:left w:val="nil"/>
              <w:bottom w:val="nil"/>
              <w:right w:val="nil"/>
            </w:tcBorders>
            <w:shd w:val="clear" w:color="auto" w:fill="FFFFFF" w:themeFill="background1"/>
            <w:noWrap/>
            <w:vAlign w:val="bottom"/>
            <w:hideMark/>
          </w:tcPr>
          <w:p w14:paraId="5F704428"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316" w:type="dxa"/>
            <w:tcBorders>
              <w:top w:val="nil"/>
              <w:left w:val="nil"/>
              <w:bottom w:val="nil"/>
              <w:right w:val="nil"/>
            </w:tcBorders>
            <w:shd w:val="clear" w:color="auto" w:fill="FFE1E1"/>
            <w:noWrap/>
            <w:vAlign w:val="bottom"/>
            <w:hideMark/>
          </w:tcPr>
          <w:p w14:paraId="70F391EA" w14:textId="77777777" w:rsidR="008E5946" w:rsidRPr="008E5946" w:rsidRDefault="008E5946" w:rsidP="008E5946">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r>
      <w:tr w:rsidR="008E5946" w:rsidRPr="008E5946" w14:paraId="51D3F169" w14:textId="77777777" w:rsidTr="007844BE">
        <w:trPr>
          <w:trHeight w:val="300"/>
        </w:trPr>
        <w:tc>
          <w:tcPr>
            <w:tcW w:w="4197" w:type="dxa"/>
            <w:tcBorders>
              <w:top w:val="single" w:sz="4" w:space="0" w:color="auto"/>
              <w:left w:val="nil"/>
              <w:bottom w:val="single" w:sz="4" w:space="0" w:color="auto"/>
              <w:right w:val="nil"/>
            </w:tcBorders>
            <w:shd w:val="clear" w:color="auto" w:fill="FFFFFF" w:themeFill="background1"/>
            <w:noWrap/>
            <w:vAlign w:val="center"/>
            <w:hideMark/>
          </w:tcPr>
          <w:p w14:paraId="49EB825F" w14:textId="77777777" w:rsidR="008E5946" w:rsidRPr="008E5946" w:rsidRDefault="008E5946" w:rsidP="007844BE">
            <w:pPr>
              <w:spacing w:line="240" w:lineRule="auto"/>
              <w:jc w:val="lef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 xml:space="preserve">Balance as </w:t>
            </w: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2024</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6AF56075"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37,854</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6282628F"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1,014</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3F0C041B"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4B0658D3"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8,601</w:t>
            </w:r>
          </w:p>
        </w:tc>
        <w:tc>
          <w:tcPr>
            <w:tcW w:w="1316" w:type="dxa"/>
            <w:tcBorders>
              <w:top w:val="single" w:sz="4" w:space="0" w:color="auto"/>
              <w:left w:val="nil"/>
              <w:bottom w:val="single" w:sz="4" w:space="0" w:color="auto"/>
              <w:right w:val="nil"/>
            </w:tcBorders>
            <w:shd w:val="clear" w:color="auto" w:fill="FFE1E1"/>
            <w:noWrap/>
            <w:vAlign w:val="center"/>
            <w:hideMark/>
          </w:tcPr>
          <w:p w14:paraId="4D8A6866" w14:textId="77777777" w:rsidR="008E5946" w:rsidRPr="008E5946" w:rsidRDefault="008E5946" w:rsidP="007844BE">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47,469</w:t>
            </w:r>
          </w:p>
        </w:tc>
      </w:tr>
      <w:tr w:rsidR="008E5946" w:rsidRPr="008E5946" w14:paraId="742FB548" w14:textId="77777777" w:rsidTr="007844BE">
        <w:trPr>
          <w:trHeight w:val="300"/>
        </w:trPr>
        <w:tc>
          <w:tcPr>
            <w:tcW w:w="4197" w:type="dxa"/>
            <w:tcBorders>
              <w:top w:val="nil"/>
              <w:left w:val="nil"/>
              <w:bottom w:val="nil"/>
              <w:right w:val="nil"/>
            </w:tcBorders>
            <w:shd w:val="clear" w:color="auto" w:fill="FFFFFF" w:themeFill="background1"/>
            <w:noWrap/>
            <w:vAlign w:val="center"/>
            <w:hideMark/>
          </w:tcPr>
          <w:p w14:paraId="4AE1399D" w14:textId="77777777" w:rsidR="008E5946" w:rsidRPr="008E5946" w:rsidRDefault="008E5946" w:rsidP="007844BE">
            <w:pPr>
              <w:spacing w:line="240" w:lineRule="auto"/>
              <w:jc w:val="lef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128" w:type="dxa"/>
            <w:tcBorders>
              <w:top w:val="nil"/>
              <w:left w:val="nil"/>
              <w:bottom w:val="nil"/>
              <w:right w:val="nil"/>
            </w:tcBorders>
            <w:shd w:val="clear" w:color="auto" w:fill="FFFFFF" w:themeFill="background1"/>
            <w:noWrap/>
            <w:vAlign w:val="center"/>
            <w:hideMark/>
          </w:tcPr>
          <w:p w14:paraId="3D6C082A" w14:textId="77777777" w:rsidR="008E5946" w:rsidRPr="008E5946" w:rsidRDefault="008E5946" w:rsidP="007844BE">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515" w:type="dxa"/>
            <w:tcBorders>
              <w:top w:val="nil"/>
              <w:left w:val="nil"/>
              <w:bottom w:val="nil"/>
              <w:right w:val="nil"/>
            </w:tcBorders>
            <w:shd w:val="clear" w:color="auto" w:fill="FFFFFF" w:themeFill="background1"/>
            <w:noWrap/>
            <w:vAlign w:val="center"/>
            <w:hideMark/>
          </w:tcPr>
          <w:p w14:paraId="7481FBB6" w14:textId="77777777" w:rsidR="008E5946" w:rsidRPr="008E5946" w:rsidRDefault="008E5946" w:rsidP="007844BE">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003" w:type="dxa"/>
            <w:tcBorders>
              <w:top w:val="nil"/>
              <w:left w:val="nil"/>
              <w:bottom w:val="nil"/>
              <w:right w:val="nil"/>
            </w:tcBorders>
            <w:shd w:val="clear" w:color="auto" w:fill="FFFFFF" w:themeFill="background1"/>
            <w:noWrap/>
            <w:vAlign w:val="center"/>
            <w:hideMark/>
          </w:tcPr>
          <w:p w14:paraId="39A267C2" w14:textId="77777777" w:rsidR="008E5946" w:rsidRPr="008E5946" w:rsidRDefault="008E5946" w:rsidP="007844BE">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216" w:type="dxa"/>
            <w:tcBorders>
              <w:top w:val="nil"/>
              <w:left w:val="nil"/>
              <w:bottom w:val="nil"/>
              <w:right w:val="nil"/>
            </w:tcBorders>
            <w:shd w:val="clear" w:color="auto" w:fill="FFFFFF" w:themeFill="background1"/>
            <w:noWrap/>
            <w:vAlign w:val="center"/>
            <w:hideMark/>
          </w:tcPr>
          <w:p w14:paraId="26735405" w14:textId="77777777" w:rsidR="008E5946" w:rsidRPr="008E5946" w:rsidRDefault="008E5946" w:rsidP="007844BE">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c>
          <w:tcPr>
            <w:tcW w:w="1316" w:type="dxa"/>
            <w:tcBorders>
              <w:top w:val="nil"/>
              <w:left w:val="nil"/>
              <w:bottom w:val="nil"/>
              <w:right w:val="nil"/>
            </w:tcBorders>
            <w:shd w:val="clear" w:color="auto" w:fill="FFE1E1"/>
            <w:noWrap/>
            <w:vAlign w:val="center"/>
            <w:hideMark/>
          </w:tcPr>
          <w:p w14:paraId="316B15CA" w14:textId="77777777" w:rsidR="008E5946" w:rsidRPr="008E5946" w:rsidRDefault="008E5946" w:rsidP="007844BE">
            <w:pPr>
              <w:spacing w:line="240" w:lineRule="auto"/>
              <w:jc w:val="right"/>
              <w:rPr>
                <w:rFonts w:ascii="Calibri" w:eastAsia="Times New Roman" w:hAnsi="Calibri" w:cs="Calibri"/>
                <w:color w:val="000000"/>
                <w:lang w:eastAsia="en-GB"/>
              </w:rPr>
            </w:pPr>
            <w:r w:rsidRPr="008E5946">
              <w:rPr>
                <w:rFonts w:ascii="Calibri" w:eastAsia="Times New Roman" w:hAnsi="Calibri" w:cs="Calibri"/>
                <w:color w:val="000000"/>
                <w:lang w:eastAsia="en-GB"/>
              </w:rPr>
              <w:t> </w:t>
            </w:r>
          </w:p>
        </w:tc>
      </w:tr>
      <w:tr w:rsidR="008E5946" w:rsidRPr="008E5946" w14:paraId="13548AB8" w14:textId="77777777" w:rsidTr="007844BE">
        <w:trPr>
          <w:trHeight w:val="300"/>
        </w:trPr>
        <w:tc>
          <w:tcPr>
            <w:tcW w:w="4197" w:type="dxa"/>
            <w:tcBorders>
              <w:top w:val="single" w:sz="4" w:space="0" w:color="auto"/>
              <w:left w:val="nil"/>
              <w:bottom w:val="single" w:sz="4" w:space="0" w:color="auto"/>
              <w:right w:val="nil"/>
            </w:tcBorders>
            <w:shd w:val="clear" w:color="auto" w:fill="FFFFFF" w:themeFill="background1"/>
            <w:noWrap/>
            <w:vAlign w:val="center"/>
            <w:hideMark/>
          </w:tcPr>
          <w:p w14:paraId="654A6F42" w14:textId="77777777" w:rsidR="008E5946" w:rsidRPr="008E5946" w:rsidRDefault="008E5946" w:rsidP="007844BE">
            <w:pPr>
              <w:spacing w:line="240" w:lineRule="auto"/>
              <w:jc w:val="lef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 xml:space="preserve">Balance as </w:t>
            </w:r>
            <w:proofErr w:type="gramStart"/>
            <w:r w:rsidRPr="008E5946">
              <w:rPr>
                <w:rFonts w:ascii="Calibri" w:eastAsia="Times New Roman" w:hAnsi="Calibri" w:cs="Calibri"/>
                <w:b/>
                <w:bCs/>
                <w:color w:val="000000"/>
                <w:lang w:eastAsia="en-GB"/>
              </w:rPr>
              <w:t>at</w:t>
            </w:r>
            <w:proofErr w:type="gramEnd"/>
            <w:r w:rsidRPr="008E5946">
              <w:rPr>
                <w:rFonts w:ascii="Calibri" w:eastAsia="Times New Roman" w:hAnsi="Calibri" w:cs="Calibri"/>
                <w:b/>
                <w:bCs/>
                <w:color w:val="000000"/>
                <w:lang w:eastAsia="en-GB"/>
              </w:rPr>
              <w:t xml:space="preserve"> 31 March 2023</w:t>
            </w:r>
          </w:p>
        </w:tc>
        <w:tc>
          <w:tcPr>
            <w:tcW w:w="1128" w:type="dxa"/>
            <w:tcBorders>
              <w:top w:val="single" w:sz="4" w:space="0" w:color="auto"/>
              <w:left w:val="nil"/>
              <w:bottom w:val="single" w:sz="4" w:space="0" w:color="auto"/>
              <w:right w:val="nil"/>
            </w:tcBorders>
            <w:shd w:val="clear" w:color="auto" w:fill="FFFFFF" w:themeFill="background1"/>
            <w:noWrap/>
            <w:vAlign w:val="center"/>
            <w:hideMark/>
          </w:tcPr>
          <w:p w14:paraId="739B2A97"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35,834</w:t>
            </w:r>
          </w:p>
        </w:tc>
        <w:tc>
          <w:tcPr>
            <w:tcW w:w="1515" w:type="dxa"/>
            <w:tcBorders>
              <w:top w:val="single" w:sz="4" w:space="0" w:color="auto"/>
              <w:left w:val="nil"/>
              <w:bottom w:val="single" w:sz="4" w:space="0" w:color="auto"/>
              <w:right w:val="nil"/>
            </w:tcBorders>
            <w:shd w:val="clear" w:color="auto" w:fill="FFFFFF" w:themeFill="background1"/>
            <w:noWrap/>
            <w:vAlign w:val="center"/>
            <w:hideMark/>
          </w:tcPr>
          <w:p w14:paraId="22BDC71D"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w:t>
            </w:r>
          </w:p>
        </w:tc>
        <w:tc>
          <w:tcPr>
            <w:tcW w:w="1003" w:type="dxa"/>
            <w:tcBorders>
              <w:top w:val="single" w:sz="4" w:space="0" w:color="auto"/>
              <w:left w:val="nil"/>
              <w:bottom w:val="single" w:sz="4" w:space="0" w:color="auto"/>
              <w:right w:val="nil"/>
            </w:tcBorders>
            <w:shd w:val="clear" w:color="auto" w:fill="FFFFFF" w:themeFill="background1"/>
            <w:noWrap/>
            <w:vAlign w:val="center"/>
            <w:hideMark/>
          </w:tcPr>
          <w:p w14:paraId="658C5882"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3,746</w:t>
            </w:r>
          </w:p>
        </w:tc>
        <w:tc>
          <w:tcPr>
            <w:tcW w:w="1216" w:type="dxa"/>
            <w:tcBorders>
              <w:top w:val="single" w:sz="4" w:space="0" w:color="auto"/>
              <w:left w:val="nil"/>
              <w:bottom w:val="single" w:sz="4" w:space="0" w:color="auto"/>
              <w:right w:val="nil"/>
            </w:tcBorders>
            <w:shd w:val="clear" w:color="auto" w:fill="FFFFFF" w:themeFill="background1"/>
            <w:noWrap/>
            <w:vAlign w:val="center"/>
            <w:hideMark/>
          </w:tcPr>
          <w:p w14:paraId="542C5D2D" w14:textId="77777777" w:rsidR="008E5946" w:rsidRPr="008E5946" w:rsidRDefault="008E5946" w:rsidP="007844BE">
            <w:pPr>
              <w:spacing w:line="240" w:lineRule="auto"/>
              <w:jc w:val="right"/>
              <w:rPr>
                <w:rFonts w:ascii="Calibri" w:eastAsia="Times New Roman" w:hAnsi="Calibri" w:cs="Calibri"/>
                <w:b/>
                <w:bCs/>
                <w:color w:val="000000"/>
                <w:lang w:eastAsia="en-GB"/>
              </w:rPr>
            </w:pPr>
            <w:r w:rsidRPr="008E5946">
              <w:rPr>
                <w:rFonts w:ascii="Calibri" w:eastAsia="Times New Roman" w:hAnsi="Calibri" w:cs="Calibri"/>
                <w:b/>
                <w:bCs/>
                <w:color w:val="000000"/>
                <w:lang w:eastAsia="en-GB"/>
              </w:rPr>
              <w:t>9,101</w:t>
            </w:r>
          </w:p>
        </w:tc>
        <w:tc>
          <w:tcPr>
            <w:tcW w:w="1316" w:type="dxa"/>
            <w:tcBorders>
              <w:top w:val="single" w:sz="4" w:space="0" w:color="auto"/>
              <w:left w:val="nil"/>
              <w:bottom w:val="single" w:sz="4" w:space="0" w:color="auto"/>
              <w:right w:val="nil"/>
            </w:tcBorders>
            <w:shd w:val="clear" w:color="auto" w:fill="FFE1E1"/>
            <w:noWrap/>
            <w:vAlign w:val="center"/>
            <w:hideMark/>
          </w:tcPr>
          <w:p w14:paraId="44FF5B0B" w14:textId="77777777" w:rsidR="008E5946" w:rsidRPr="008E5946" w:rsidRDefault="008E5946" w:rsidP="007844BE">
            <w:pPr>
              <w:spacing w:line="240" w:lineRule="auto"/>
              <w:jc w:val="right"/>
              <w:rPr>
                <w:rFonts w:ascii="Calibri" w:eastAsia="Times New Roman" w:hAnsi="Calibri" w:cs="Calibri"/>
                <w:b/>
                <w:bCs/>
                <w:lang w:eastAsia="en-GB"/>
              </w:rPr>
            </w:pPr>
            <w:r w:rsidRPr="008E5946">
              <w:rPr>
                <w:rFonts w:ascii="Calibri" w:eastAsia="Times New Roman" w:hAnsi="Calibri" w:cs="Calibri"/>
                <w:b/>
                <w:bCs/>
                <w:lang w:eastAsia="en-GB"/>
              </w:rPr>
              <w:t>48,681</w:t>
            </w:r>
          </w:p>
        </w:tc>
      </w:tr>
    </w:tbl>
    <w:p w14:paraId="09D9E009" w14:textId="2E83868B" w:rsidR="00D2052E" w:rsidRDefault="00D2052E" w:rsidP="00B06A00">
      <w:pPr>
        <w:keepNext/>
        <w:keepLines/>
      </w:pPr>
    </w:p>
    <w:p w14:paraId="32186AEA" w14:textId="2F1A289A" w:rsidR="00B109C0" w:rsidRDefault="0079406E" w:rsidP="009D7292">
      <w:pPr>
        <w:keepNext/>
        <w:keepLines/>
      </w:pPr>
      <w:r w:rsidRPr="00B81411">
        <w:t xml:space="preserve">The freehold and leasehold properties within the Authority’s property portfolio are valued by the Authority’s property advisors </w:t>
      </w:r>
      <w:r w:rsidR="007263AC" w:rsidRPr="00B81411">
        <w:t xml:space="preserve">(Wilkes, Head and </w:t>
      </w:r>
      <w:r w:rsidR="00BE7015" w:rsidRPr="00B81411">
        <w:t>Eve)</w:t>
      </w:r>
      <w:r w:rsidRPr="00B81411">
        <w:t xml:space="preserve"> with impairment reviews made annually.</w:t>
      </w:r>
    </w:p>
    <w:p w14:paraId="10AEFB1B" w14:textId="77777777" w:rsidR="00E8420D" w:rsidRPr="00B81411" w:rsidRDefault="00E8420D" w:rsidP="00C337A2"/>
    <w:p w14:paraId="59302F33" w14:textId="7811B681" w:rsidR="00796CE8" w:rsidRDefault="0079406E" w:rsidP="00C337A2">
      <w:r w:rsidRPr="00B81411">
        <w:t xml:space="preserve">A full valuation was undertaken as </w:t>
      </w:r>
      <w:proofErr w:type="gramStart"/>
      <w:r w:rsidRPr="00B81411">
        <w:t>at</w:t>
      </w:r>
      <w:proofErr w:type="gramEnd"/>
      <w:r w:rsidRPr="00B81411">
        <w:t xml:space="preserve"> 31</w:t>
      </w:r>
      <w:r w:rsidR="00D20681" w:rsidRPr="000E709E">
        <w:rPr>
          <w:vertAlign w:val="superscript"/>
        </w:rPr>
        <w:t>st</w:t>
      </w:r>
      <w:r w:rsidR="00D20681">
        <w:t xml:space="preserve"> </w:t>
      </w:r>
      <w:r w:rsidRPr="00B81411">
        <w:t>March 20</w:t>
      </w:r>
      <w:r w:rsidR="004F5BD2" w:rsidRPr="00B81411">
        <w:t>2</w:t>
      </w:r>
      <w:r w:rsidR="00EF53CA">
        <w:t>5</w:t>
      </w:r>
      <w:r w:rsidRPr="00B81411">
        <w:t xml:space="preserve">. All valuations were undertaken in accordance with the Statements of Asset Valuation Practice and Guidance Notes of the Royal Institution of Chartered Surveyors. Fire </w:t>
      </w:r>
      <w:r w:rsidR="00C45695">
        <w:t>S</w:t>
      </w:r>
      <w:r w:rsidRPr="00B81411">
        <w:t>tations are valued at depreciated replacement cost and other properties ar</w:t>
      </w:r>
      <w:r w:rsidR="003834C6" w:rsidRPr="00B81411">
        <w:t>e valued at existing use value</w:t>
      </w:r>
      <w:r w:rsidR="00C45695">
        <w:t>.</w:t>
      </w:r>
    </w:p>
    <w:p w14:paraId="7E17A1F2" w14:textId="77777777" w:rsidR="00F46148" w:rsidRDefault="00F46148" w:rsidP="00C337A2"/>
    <w:p w14:paraId="15FB0098" w14:textId="77777777" w:rsidR="00466E94" w:rsidRDefault="00281FAE" w:rsidP="002A1ADD">
      <w:pPr>
        <w:pStyle w:val="VAHeadingLevel2"/>
      </w:pPr>
      <w:r w:rsidRPr="00B569EE">
        <w:t xml:space="preserve">Note 19. </w:t>
      </w:r>
      <w:r w:rsidR="00466E94">
        <w:t>Impairment Losses</w:t>
      </w:r>
    </w:p>
    <w:p w14:paraId="359B52C0" w14:textId="05CB9D72" w:rsidR="00281FAE" w:rsidRPr="00B569EE" w:rsidRDefault="00A12611" w:rsidP="000659B2">
      <w:pPr>
        <w:rPr>
          <w:color w:val="AB2328"/>
        </w:rPr>
      </w:pPr>
      <w:r w:rsidRPr="00A12611">
        <w:t>There were no true impairment losses in 202</w:t>
      </w:r>
      <w:r w:rsidR="006158EC">
        <w:t>4</w:t>
      </w:r>
      <w:r w:rsidRPr="00A12611">
        <w:t>/2</w:t>
      </w:r>
      <w:r w:rsidR="006158EC">
        <w:t>5</w:t>
      </w:r>
      <w:r w:rsidRPr="00A12611">
        <w:t>.</w:t>
      </w:r>
    </w:p>
    <w:p w14:paraId="75FA3CE8" w14:textId="384EA59B" w:rsidR="002C25C0" w:rsidRPr="00B569EE" w:rsidRDefault="002C25C0" w:rsidP="002A1ADD">
      <w:pPr>
        <w:pStyle w:val="VAHeadingLevel2"/>
      </w:pPr>
    </w:p>
    <w:p w14:paraId="4D7D4108" w14:textId="5DE323E4" w:rsidR="002C25C0" w:rsidRPr="00B569EE" w:rsidRDefault="002C25C0" w:rsidP="6C31340A">
      <w:r>
        <w:br w:type="page"/>
      </w:r>
    </w:p>
    <w:p w14:paraId="488377C0" w14:textId="0C18D06F" w:rsidR="002C25C0" w:rsidRPr="00B569EE" w:rsidRDefault="71C27812" w:rsidP="002A1ADD">
      <w:pPr>
        <w:pStyle w:val="VAHeadingLevel2"/>
      </w:pPr>
      <w:r>
        <w:lastRenderedPageBreak/>
        <w:t xml:space="preserve">Note </w:t>
      </w:r>
      <w:r w:rsidR="279FC003">
        <w:t>20</w:t>
      </w:r>
      <w:r>
        <w:t xml:space="preserve">. Assets Held for Sale </w:t>
      </w:r>
    </w:p>
    <w:p w14:paraId="6C37D850" w14:textId="06771B46" w:rsidR="002C25C0" w:rsidRDefault="00D94DE8" w:rsidP="00C24742">
      <w:r w:rsidRPr="00D94DE8">
        <w:t xml:space="preserve">The Authority has no assets held for sale at the </w:t>
      </w:r>
      <w:proofErr w:type="gramStart"/>
      <w:r w:rsidRPr="00D94DE8">
        <w:t>31st</w:t>
      </w:r>
      <w:proofErr w:type="gramEnd"/>
      <w:r w:rsidRPr="00D94DE8">
        <w:t xml:space="preserve"> March 2025.</w:t>
      </w:r>
      <w:r w:rsidR="00A65538">
        <w:rPr>
          <w:bCs/>
        </w:rPr>
        <w:t xml:space="preserve"> </w:t>
      </w:r>
      <w:r w:rsidR="00C24742" w:rsidRPr="00C24742">
        <w:t>One asset was sold during 2024/25 for £3.30</w:t>
      </w:r>
      <w:r w:rsidR="003A5E56">
        <w:t>m.</w:t>
      </w:r>
    </w:p>
    <w:p w14:paraId="0CB067A0" w14:textId="77777777" w:rsidR="003A5E56" w:rsidRPr="00250005" w:rsidRDefault="003A5E56" w:rsidP="00C24742">
      <w:pPr>
        <w:rPr>
          <w:bCs/>
        </w:rPr>
      </w:pPr>
    </w:p>
    <w:p w14:paraId="0C5E9515" w14:textId="655950F4" w:rsidR="00250005" w:rsidRPr="00F94D25" w:rsidRDefault="00250005" w:rsidP="002C25C0">
      <w:pPr>
        <w:rPr>
          <w:rFonts w:cstheme="minorBidi"/>
          <w:sz w:val="8"/>
          <w:szCs w:val="8"/>
        </w:rPr>
      </w:pPr>
    </w:p>
    <w:tbl>
      <w:tblPr>
        <w:tblW w:w="5000" w:type="pct"/>
        <w:tblLook w:val="04A0" w:firstRow="1" w:lastRow="0" w:firstColumn="1" w:lastColumn="0" w:noHBand="0" w:noVBand="1"/>
      </w:tblPr>
      <w:tblGrid>
        <w:gridCol w:w="2720"/>
        <w:gridCol w:w="5804"/>
        <w:gridCol w:w="1851"/>
      </w:tblGrid>
      <w:tr w:rsidR="00250005" w:rsidRPr="00250005" w14:paraId="297986E4" w14:textId="77777777" w:rsidTr="00EC0D27">
        <w:trPr>
          <w:trHeight w:val="312"/>
        </w:trPr>
        <w:tc>
          <w:tcPr>
            <w:tcW w:w="1311" w:type="pct"/>
            <w:tcBorders>
              <w:top w:val="nil"/>
              <w:left w:val="nil"/>
              <w:bottom w:val="nil"/>
              <w:right w:val="nil"/>
            </w:tcBorders>
            <w:shd w:val="clear" w:color="000000" w:fill="AB2328"/>
            <w:noWrap/>
            <w:vAlign w:val="bottom"/>
            <w:hideMark/>
          </w:tcPr>
          <w:p w14:paraId="187CC76A" w14:textId="26D9CB72" w:rsidR="00250005" w:rsidRPr="00250005" w:rsidRDefault="00250005" w:rsidP="00250005">
            <w:pPr>
              <w:spacing w:line="240" w:lineRule="auto"/>
              <w:jc w:val="righ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31 March 2024</w:t>
            </w:r>
          </w:p>
        </w:tc>
        <w:tc>
          <w:tcPr>
            <w:tcW w:w="2797" w:type="pct"/>
            <w:tcBorders>
              <w:top w:val="nil"/>
              <w:left w:val="nil"/>
              <w:bottom w:val="nil"/>
              <w:right w:val="nil"/>
            </w:tcBorders>
            <w:shd w:val="clear" w:color="000000" w:fill="AB2328"/>
            <w:noWrap/>
            <w:vAlign w:val="bottom"/>
            <w:hideMark/>
          </w:tcPr>
          <w:p w14:paraId="05FADE24" w14:textId="77777777" w:rsidR="00250005" w:rsidRPr="00250005" w:rsidRDefault="00250005" w:rsidP="00250005">
            <w:pPr>
              <w:spacing w:line="240" w:lineRule="auto"/>
              <w:jc w:val="lef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 </w:t>
            </w:r>
          </w:p>
        </w:tc>
        <w:tc>
          <w:tcPr>
            <w:tcW w:w="892" w:type="pct"/>
            <w:tcBorders>
              <w:top w:val="nil"/>
              <w:left w:val="nil"/>
              <w:bottom w:val="nil"/>
              <w:right w:val="nil"/>
            </w:tcBorders>
            <w:shd w:val="clear" w:color="000000" w:fill="AB2328"/>
            <w:noWrap/>
            <w:vAlign w:val="bottom"/>
            <w:hideMark/>
          </w:tcPr>
          <w:p w14:paraId="0428BA23" w14:textId="77777777" w:rsidR="00250005" w:rsidRPr="00250005" w:rsidRDefault="00250005" w:rsidP="00250005">
            <w:pPr>
              <w:spacing w:line="240" w:lineRule="auto"/>
              <w:jc w:val="righ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31 March 2025</w:t>
            </w:r>
          </w:p>
        </w:tc>
      </w:tr>
      <w:tr w:rsidR="00250005" w:rsidRPr="00250005" w14:paraId="05F73AFD" w14:textId="77777777" w:rsidTr="00EC0D27">
        <w:trPr>
          <w:trHeight w:val="312"/>
        </w:trPr>
        <w:tc>
          <w:tcPr>
            <w:tcW w:w="1311" w:type="pct"/>
            <w:tcBorders>
              <w:top w:val="nil"/>
              <w:left w:val="nil"/>
              <w:bottom w:val="nil"/>
              <w:right w:val="nil"/>
            </w:tcBorders>
            <w:shd w:val="clear" w:color="000000" w:fill="AB2328"/>
            <w:noWrap/>
            <w:vAlign w:val="bottom"/>
            <w:hideMark/>
          </w:tcPr>
          <w:p w14:paraId="363898D1" w14:textId="77777777" w:rsidR="00250005" w:rsidRPr="00250005" w:rsidRDefault="00250005" w:rsidP="00250005">
            <w:pPr>
              <w:spacing w:line="240" w:lineRule="auto"/>
              <w:jc w:val="righ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£000</w:t>
            </w:r>
          </w:p>
        </w:tc>
        <w:tc>
          <w:tcPr>
            <w:tcW w:w="2797" w:type="pct"/>
            <w:tcBorders>
              <w:top w:val="nil"/>
              <w:left w:val="nil"/>
              <w:bottom w:val="nil"/>
              <w:right w:val="nil"/>
            </w:tcBorders>
            <w:shd w:val="clear" w:color="000000" w:fill="AB2328"/>
            <w:noWrap/>
            <w:vAlign w:val="bottom"/>
            <w:hideMark/>
          </w:tcPr>
          <w:p w14:paraId="344B6869" w14:textId="77777777" w:rsidR="00250005" w:rsidRPr="00250005" w:rsidRDefault="00250005" w:rsidP="00250005">
            <w:pPr>
              <w:spacing w:line="240" w:lineRule="auto"/>
              <w:jc w:val="lef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 </w:t>
            </w:r>
          </w:p>
        </w:tc>
        <w:tc>
          <w:tcPr>
            <w:tcW w:w="892" w:type="pct"/>
            <w:tcBorders>
              <w:top w:val="nil"/>
              <w:left w:val="nil"/>
              <w:bottom w:val="nil"/>
              <w:right w:val="nil"/>
            </w:tcBorders>
            <w:shd w:val="clear" w:color="000000" w:fill="AB2328"/>
            <w:noWrap/>
            <w:vAlign w:val="bottom"/>
            <w:hideMark/>
          </w:tcPr>
          <w:p w14:paraId="4BF15FDB" w14:textId="77777777" w:rsidR="00250005" w:rsidRPr="00250005" w:rsidRDefault="00250005" w:rsidP="00250005">
            <w:pPr>
              <w:spacing w:line="240" w:lineRule="auto"/>
              <w:jc w:val="right"/>
              <w:rPr>
                <w:rFonts w:ascii="Calibri" w:eastAsia="Times New Roman" w:hAnsi="Calibri" w:cs="Calibri"/>
                <w:b/>
                <w:bCs/>
                <w:color w:val="FFFFFF"/>
                <w:lang w:eastAsia="en-GB"/>
              </w:rPr>
            </w:pPr>
            <w:r w:rsidRPr="00250005">
              <w:rPr>
                <w:rFonts w:ascii="Calibri" w:eastAsia="Times New Roman" w:hAnsi="Calibri" w:cs="Calibri"/>
                <w:b/>
                <w:bCs/>
                <w:color w:val="FFFFFF"/>
                <w:lang w:eastAsia="en-GB"/>
              </w:rPr>
              <w:t>£000</w:t>
            </w:r>
          </w:p>
        </w:tc>
      </w:tr>
      <w:tr w:rsidR="00250005" w:rsidRPr="00250005" w14:paraId="5C1C6FE8" w14:textId="77777777" w:rsidTr="00EC0D27">
        <w:trPr>
          <w:trHeight w:val="315"/>
        </w:trPr>
        <w:tc>
          <w:tcPr>
            <w:tcW w:w="1311" w:type="pct"/>
            <w:tcBorders>
              <w:top w:val="nil"/>
              <w:left w:val="nil"/>
              <w:bottom w:val="nil"/>
              <w:right w:val="nil"/>
            </w:tcBorders>
            <w:shd w:val="clear" w:color="000000" w:fill="FFFFFF"/>
            <w:noWrap/>
            <w:vAlign w:val="bottom"/>
            <w:hideMark/>
          </w:tcPr>
          <w:p w14:paraId="789EBAFF" w14:textId="77777777" w:rsidR="00250005" w:rsidRPr="00250005" w:rsidRDefault="00250005" w:rsidP="00250005">
            <w:pPr>
              <w:spacing w:line="240" w:lineRule="auto"/>
              <w:jc w:val="right"/>
              <w:rPr>
                <w:rFonts w:ascii="Calibri" w:eastAsia="Times New Roman" w:hAnsi="Calibri" w:cs="Calibri"/>
                <w:color w:val="000000"/>
                <w:lang w:eastAsia="en-GB"/>
              </w:rPr>
            </w:pPr>
            <w:r w:rsidRPr="00250005">
              <w:rPr>
                <w:rFonts w:ascii="Calibri" w:eastAsia="Times New Roman" w:hAnsi="Calibri" w:cs="Calibri"/>
                <w:color w:val="000000"/>
                <w:lang w:eastAsia="en-GB"/>
              </w:rPr>
              <w:t>3,500</w:t>
            </w:r>
          </w:p>
        </w:tc>
        <w:tc>
          <w:tcPr>
            <w:tcW w:w="2797" w:type="pct"/>
            <w:tcBorders>
              <w:top w:val="nil"/>
              <w:left w:val="nil"/>
              <w:bottom w:val="nil"/>
              <w:right w:val="nil"/>
            </w:tcBorders>
            <w:shd w:val="clear" w:color="000000" w:fill="FFFFFF"/>
            <w:noWrap/>
            <w:vAlign w:val="bottom"/>
            <w:hideMark/>
          </w:tcPr>
          <w:p w14:paraId="7C78C696" w14:textId="77777777" w:rsidR="00250005" w:rsidRPr="00250005" w:rsidRDefault="00250005" w:rsidP="00250005">
            <w:pPr>
              <w:spacing w:line="240" w:lineRule="auto"/>
              <w:jc w:val="left"/>
              <w:rPr>
                <w:rFonts w:ascii="Calibri" w:eastAsia="Times New Roman" w:hAnsi="Calibri" w:cs="Calibri"/>
                <w:color w:val="000000"/>
                <w:lang w:eastAsia="en-GB"/>
              </w:rPr>
            </w:pPr>
            <w:r w:rsidRPr="00250005">
              <w:rPr>
                <w:rFonts w:ascii="Calibri" w:eastAsia="Times New Roman" w:hAnsi="Calibri" w:cs="Calibri"/>
                <w:color w:val="000000"/>
                <w:lang w:eastAsia="en-GB"/>
              </w:rPr>
              <w:t>Assets Held for Sale</w:t>
            </w:r>
          </w:p>
        </w:tc>
        <w:tc>
          <w:tcPr>
            <w:tcW w:w="892" w:type="pct"/>
            <w:tcBorders>
              <w:top w:val="nil"/>
              <w:left w:val="nil"/>
              <w:bottom w:val="nil"/>
              <w:right w:val="nil"/>
            </w:tcBorders>
            <w:shd w:val="clear" w:color="000000" w:fill="FFE1E1"/>
            <w:noWrap/>
            <w:vAlign w:val="bottom"/>
            <w:hideMark/>
          </w:tcPr>
          <w:p w14:paraId="406775BB" w14:textId="77777777" w:rsidR="00250005" w:rsidRPr="00250005" w:rsidRDefault="00250005" w:rsidP="00250005">
            <w:pPr>
              <w:spacing w:line="240" w:lineRule="auto"/>
              <w:jc w:val="right"/>
              <w:rPr>
                <w:rFonts w:ascii="Calibri" w:eastAsia="Times New Roman" w:hAnsi="Calibri" w:cs="Calibri"/>
                <w:lang w:eastAsia="en-GB"/>
              </w:rPr>
            </w:pPr>
            <w:r w:rsidRPr="00250005">
              <w:rPr>
                <w:rFonts w:ascii="Calibri" w:eastAsia="Times New Roman" w:hAnsi="Calibri" w:cs="Calibri"/>
                <w:lang w:eastAsia="en-GB"/>
              </w:rPr>
              <w:t>-</w:t>
            </w:r>
          </w:p>
        </w:tc>
      </w:tr>
      <w:tr w:rsidR="00250005" w:rsidRPr="00250005" w14:paraId="0518EAE3" w14:textId="77777777" w:rsidTr="00EC0D27">
        <w:trPr>
          <w:trHeight w:val="315"/>
        </w:trPr>
        <w:tc>
          <w:tcPr>
            <w:tcW w:w="1311" w:type="pct"/>
            <w:tcBorders>
              <w:top w:val="single" w:sz="4" w:space="0" w:color="auto"/>
              <w:left w:val="nil"/>
              <w:bottom w:val="single" w:sz="4" w:space="0" w:color="auto"/>
              <w:right w:val="nil"/>
            </w:tcBorders>
            <w:shd w:val="clear" w:color="000000" w:fill="FFFFFF"/>
            <w:noWrap/>
            <w:vAlign w:val="bottom"/>
            <w:hideMark/>
          </w:tcPr>
          <w:p w14:paraId="49FE037A" w14:textId="77777777" w:rsidR="00250005" w:rsidRPr="00250005" w:rsidRDefault="00250005" w:rsidP="00250005">
            <w:pPr>
              <w:spacing w:line="240" w:lineRule="auto"/>
              <w:jc w:val="right"/>
              <w:rPr>
                <w:rFonts w:ascii="Calibri" w:eastAsia="Times New Roman" w:hAnsi="Calibri" w:cs="Calibri"/>
                <w:b/>
                <w:bCs/>
                <w:lang w:eastAsia="en-GB"/>
              </w:rPr>
            </w:pPr>
            <w:r w:rsidRPr="00250005">
              <w:rPr>
                <w:rFonts w:ascii="Calibri" w:eastAsia="Times New Roman" w:hAnsi="Calibri" w:cs="Calibri"/>
                <w:b/>
                <w:bCs/>
                <w:lang w:eastAsia="en-GB"/>
              </w:rPr>
              <w:t>3,500</w:t>
            </w:r>
          </w:p>
        </w:tc>
        <w:tc>
          <w:tcPr>
            <w:tcW w:w="2797" w:type="pct"/>
            <w:tcBorders>
              <w:top w:val="single" w:sz="4" w:space="0" w:color="auto"/>
              <w:left w:val="nil"/>
              <w:bottom w:val="single" w:sz="4" w:space="0" w:color="auto"/>
              <w:right w:val="nil"/>
            </w:tcBorders>
            <w:shd w:val="clear" w:color="000000" w:fill="FFFFFF"/>
            <w:noWrap/>
            <w:vAlign w:val="bottom"/>
            <w:hideMark/>
          </w:tcPr>
          <w:p w14:paraId="30D84440" w14:textId="77777777" w:rsidR="00250005" w:rsidRPr="00250005" w:rsidRDefault="00250005" w:rsidP="00250005">
            <w:pPr>
              <w:spacing w:line="240" w:lineRule="auto"/>
              <w:jc w:val="left"/>
              <w:rPr>
                <w:rFonts w:ascii="Calibri" w:eastAsia="Times New Roman" w:hAnsi="Calibri" w:cs="Calibri"/>
                <w:b/>
                <w:bCs/>
                <w:lang w:eastAsia="en-GB"/>
              </w:rPr>
            </w:pPr>
            <w:r w:rsidRPr="00250005">
              <w:rPr>
                <w:rFonts w:ascii="Calibri" w:eastAsia="Times New Roman" w:hAnsi="Calibri" w:cs="Calibri"/>
                <w:b/>
                <w:bCs/>
                <w:lang w:eastAsia="en-GB"/>
              </w:rPr>
              <w:t>Total Assets Held for Sale</w:t>
            </w:r>
          </w:p>
        </w:tc>
        <w:tc>
          <w:tcPr>
            <w:tcW w:w="892" w:type="pct"/>
            <w:tcBorders>
              <w:top w:val="single" w:sz="4" w:space="0" w:color="auto"/>
              <w:left w:val="nil"/>
              <w:bottom w:val="single" w:sz="4" w:space="0" w:color="auto"/>
              <w:right w:val="nil"/>
            </w:tcBorders>
            <w:shd w:val="clear" w:color="000000" w:fill="FFE1E1"/>
            <w:noWrap/>
            <w:vAlign w:val="bottom"/>
            <w:hideMark/>
          </w:tcPr>
          <w:p w14:paraId="73BF186C" w14:textId="77777777" w:rsidR="00250005" w:rsidRPr="00250005" w:rsidRDefault="00250005" w:rsidP="00250005">
            <w:pPr>
              <w:spacing w:line="240" w:lineRule="auto"/>
              <w:jc w:val="right"/>
              <w:rPr>
                <w:rFonts w:ascii="Calibri" w:eastAsia="Times New Roman" w:hAnsi="Calibri" w:cs="Calibri"/>
                <w:b/>
                <w:bCs/>
                <w:lang w:eastAsia="en-GB"/>
              </w:rPr>
            </w:pPr>
            <w:r w:rsidRPr="00250005">
              <w:rPr>
                <w:rFonts w:ascii="Calibri" w:eastAsia="Times New Roman" w:hAnsi="Calibri" w:cs="Calibri"/>
                <w:b/>
                <w:bCs/>
                <w:lang w:eastAsia="en-GB"/>
              </w:rPr>
              <w:t>-</w:t>
            </w:r>
          </w:p>
        </w:tc>
      </w:tr>
    </w:tbl>
    <w:p w14:paraId="32AAA3D7" w14:textId="77777777" w:rsidR="00F46148" w:rsidRDefault="00F46148" w:rsidP="00F46148"/>
    <w:p w14:paraId="76E9378D" w14:textId="6F10892C" w:rsidR="00CE6623" w:rsidRPr="00B569EE" w:rsidRDefault="00CE6623" w:rsidP="002A1ADD">
      <w:pPr>
        <w:pStyle w:val="VAHeadingLevel2"/>
      </w:pPr>
      <w:r w:rsidRPr="00B569EE">
        <w:t xml:space="preserve">Note 21. </w:t>
      </w:r>
      <w:r w:rsidR="002C2B14" w:rsidRPr="00B569EE">
        <w:t>Investment Properties</w:t>
      </w:r>
    </w:p>
    <w:p w14:paraId="326ADBEA" w14:textId="690441D4" w:rsidR="002C25C0" w:rsidRDefault="009D10D6" w:rsidP="000659B2">
      <w:pPr>
        <w:rPr>
          <w:bCs/>
          <w:lang w:eastAsia="en-GB"/>
        </w:rPr>
      </w:pPr>
      <w:r w:rsidRPr="009D10D6">
        <w:rPr>
          <w:lang w:eastAsia="en-GB"/>
        </w:rPr>
        <w:t xml:space="preserve">The Authority does not hold any investment property interests that could be classified and accounted for as investment </w:t>
      </w:r>
      <w:proofErr w:type="gramStart"/>
      <w:r w:rsidRPr="009D10D6">
        <w:rPr>
          <w:lang w:eastAsia="en-GB"/>
        </w:rPr>
        <w:t>properties,</w:t>
      </w:r>
      <w:proofErr w:type="gramEnd"/>
      <w:r w:rsidRPr="009D10D6">
        <w:rPr>
          <w:lang w:eastAsia="en-GB"/>
        </w:rPr>
        <w:t xml:space="preserve"> therefore, no adjustments or disclosures are required.</w:t>
      </w:r>
    </w:p>
    <w:p w14:paraId="7036C611" w14:textId="77777777" w:rsidR="00124482" w:rsidRDefault="00124482" w:rsidP="000659B2">
      <w:pPr>
        <w:rPr>
          <w:bCs/>
          <w:lang w:eastAsia="en-GB"/>
        </w:rPr>
      </w:pPr>
    </w:p>
    <w:p w14:paraId="0498E2E7" w14:textId="0B23D5F8" w:rsidR="00124482" w:rsidRPr="00B569EE" w:rsidRDefault="004344A5" w:rsidP="002A1ADD">
      <w:pPr>
        <w:pStyle w:val="VAHeadingLevel2"/>
      </w:pPr>
      <w:r w:rsidRPr="00B569EE">
        <w:t xml:space="preserve">Note 22. </w:t>
      </w:r>
      <w:r w:rsidR="00E84DD7">
        <w:t>Right of use Assets</w:t>
      </w:r>
    </w:p>
    <w:p w14:paraId="52B3ED6C" w14:textId="52F35B73" w:rsidR="008139F2" w:rsidRDefault="008139F2" w:rsidP="000659B2">
      <w:pPr>
        <w:rPr>
          <w:lang w:eastAsia="en-GB"/>
        </w:rPr>
      </w:pPr>
      <w:r w:rsidRPr="4718F1B3">
        <w:rPr>
          <w:lang w:eastAsia="en-GB"/>
        </w:rPr>
        <w:t xml:space="preserve">The Authority has property leases that have been accounted for as right of use assets under IFRS 16. As the authority has adopted the retrospective modified </w:t>
      </w:r>
      <w:r w:rsidR="54E9CBE0" w:rsidRPr="4718F1B3">
        <w:rPr>
          <w:lang w:eastAsia="en-GB"/>
        </w:rPr>
        <w:t>approach</w:t>
      </w:r>
      <w:r w:rsidRPr="4718F1B3">
        <w:rPr>
          <w:lang w:eastAsia="en-GB"/>
        </w:rPr>
        <w:t xml:space="preserve"> to IFRS 16, previous years figures have not been restated and therefore there are no comparative balances provided.</w:t>
      </w:r>
    </w:p>
    <w:p w14:paraId="65170417" w14:textId="64B44510" w:rsidR="00F417DC" w:rsidRDefault="00F417DC" w:rsidP="002A1ADD">
      <w:pPr>
        <w:pStyle w:val="VAHeadingLevel2"/>
        <w:rPr>
          <w:rFonts w:eastAsiaTheme="minorHAnsi"/>
          <w:lang w:eastAsia="en-GB"/>
        </w:rPr>
      </w:pPr>
    </w:p>
    <w:tbl>
      <w:tblPr>
        <w:tblW w:w="5000" w:type="pct"/>
        <w:tblLook w:val="04A0" w:firstRow="1" w:lastRow="0" w:firstColumn="1" w:lastColumn="0" w:noHBand="0" w:noVBand="1"/>
      </w:tblPr>
      <w:tblGrid>
        <w:gridCol w:w="3856"/>
        <w:gridCol w:w="1559"/>
        <w:gridCol w:w="1553"/>
        <w:gridCol w:w="1552"/>
        <w:gridCol w:w="1855"/>
      </w:tblGrid>
      <w:tr w:rsidR="00EA60A1" w:rsidRPr="00F80706" w14:paraId="7CD483F9" w14:textId="77777777" w:rsidTr="4718F1B3">
        <w:trPr>
          <w:trHeight w:val="540"/>
        </w:trPr>
        <w:tc>
          <w:tcPr>
            <w:tcW w:w="1857" w:type="pct"/>
            <w:tcBorders>
              <w:top w:val="nil"/>
              <w:left w:val="nil"/>
              <w:bottom w:val="nil"/>
              <w:right w:val="nil"/>
            </w:tcBorders>
            <w:shd w:val="clear" w:color="auto" w:fill="AB2328"/>
            <w:vAlign w:val="bottom"/>
            <w:hideMark/>
          </w:tcPr>
          <w:p w14:paraId="2CA8F09D"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 </w:t>
            </w:r>
          </w:p>
        </w:tc>
        <w:tc>
          <w:tcPr>
            <w:tcW w:w="751" w:type="pct"/>
            <w:tcBorders>
              <w:top w:val="nil"/>
              <w:left w:val="nil"/>
              <w:bottom w:val="nil"/>
              <w:right w:val="nil"/>
            </w:tcBorders>
            <w:shd w:val="clear" w:color="auto" w:fill="AB2328"/>
            <w:vAlign w:val="bottom"/>
            <w:hideMark/>
          </w:tcPr>
          <w:p w14:paraId="682380EA"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Vehicles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35156E98"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Land and Buildings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1240920A"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Equipment</w:t>
            </w:r>
            <w:r w:rsidRPr="00F80706">
              <w:rPr>
                <w:rFonts w:ascii="Calibri" w:eastAsia="Times New Roman" w:hAnsi="Calibri" w:cs="Calibri"/>
                <w:b/>
                <w:bCs/>
                <w:color w:val="FFFFFF"/>
                <w:lang w:eastAsia="en-GB"/>
              </w:rPr>
              <w:br/>
              <w:t>£000</w:t>
            </w:r>
          </w:p>
        </w:tc>
        <w:tc>
          <w:tcPr>
            <w:tcW w:w="894" w:type="pct"/>
            <w:tcBorders>
              <w:top w:val="nil"/>
              <w:left w:val="nil"/>
              <w:bottom w:val="nil"/>
              <w:right w:val="nil"/>
            </w:tcBorders>
            <w:shd w:val="clear" w:color="auto" w:fill="AB2328"/>
            <w:vAlign w:val="bottom"/>
            <w:hideMark/>
          </w:tcPr>
          <w:p w14:paraId="522F54C9"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Total</w:t>
            </w:r>
            <w:r w:rsidRPr="00F80706">
              <w:rPr>
                <w:rFonts w:ascii="Calibri" w:eastAsia="Times New Roman" w:hAnsi="Calibri" w:cs="Calibri"/>
                <w:b/>
                <w:bCs/>
                <w:color w:val="FFFFFF"/>
                <w:lang w:eastAsia="en-GB"/>
              </w:rPr>
              <w:br/>
              <w:t>£000</w:t>
            </w:r>
          </w:p>
        </w:tc>
      </w:tr>
      <w:tr w:rsidR="00FA40BC" w:rsidRPr="00F80706" w14:paraId="66F26FF9" w14:textId="77777777" w:rsidTr="4718F1B3">
        <w:trPr>
          <w:trHeight w:val="315"/>
        </w:trPr>
        <w:tc>
          <w:tcPr>
            <w:tcW w:w="1857" w:type="pct"/>
            <w:tcBorders>
              <w:top w:val="nil"/>
              <w:left w:val="nil"/>
              <w:bottom w:val="nil"/>
              <w:right w:val="nil"/>
            </w:tcBorders>
            <w:shd w:val="clear" w:color="auto" w:fill="FFFFFF" w:themeFill="background1"/>
            <w:noWrap/>
            <w:vAlign w:val="bottom"/>
            <w:hideMark/>
          </w:tcPr>
          <w:p w14:paraId="7FD7E94E" w14:textId="722D1A77" w:rsidR="00F80706" w:rsidRPr="00F80706" w:rsidRDefault="6B8F597E" w:rsidP="00F80706">
            <w:pPr>
              <w:spacing w:line="240" w:lineRule="auto"/>
              <w:jc w:val="left"/>
              <w:rPr>
                <w:rFonts w:ascii="Calibri" w:eastAsia="Times New Roman" w:hAnsi="Calibri" w:cs="Calibri"/>
                <w:lang w:eastAsia="en-GB"/>
              </w:rPr>
            </w:pPr>
            <w:r w:rsidRPr="4718F1B3">
              <w:rPr>
                <w:rFonts w:ascii="Calibri" w:eastAsia="Times New Roman" w:hAnsi="Calibri" w:cs="Calibri"/>
                <w:lang w:eastAsia="en-GB"/>
              </w:rPr>
              <w:t xml:space="preserve">Initial </w:t>
            </w:r>
            <w:r w:rsidR="0E6286A9" w:rsidRPr="4718F1B3">
              <w:rPr>
                <w:rFonts w:ascii="Calibri" w:eastAsia="Times New Roman" w:hAnsi="Calibri" w:cs="Calibri"/>
                <w:lang w:eastAsia="en-GB"/>
              </w:rPr>
              <w:t>Recognition</w:t>
            </w:r>
            <w:r w:rsidRPr="4718F1B3">
              <w:rPr>
                <w:rFonts w:ascii="Calibri" w:eastAsia="Times New Roman" w:hAnsi="Calibri" w:cs="Calibri"/>
                <w:lang w:eastAsia="en-GB"/>
              </w:rPr>
              <w:t xml:space="preserve"> of Right of use assets</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191E4D4D"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748" w:type="pct"/>
            <w:tcBorders>
              <w:top w:val="nil"/>
              <w:left w:val="nil"/>
              <w:bottom w:val="nil"/>
              <w:right w:val="nil"/>
            </w:tcBorders>
            <w:shd w:val="clear" w:color="auto" w:fill="FFFFFF" w:themeFill="background1"/>
            <w:noWrap/>
            <w:vAlign w:val="bottom"/>
            <w:hideMark/>
          </w:tcPr>
          <w:p w14:paraId="3A882F1B"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308</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1583F820"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894" w:type="pct"/>
            <w:tcBorders>
              <w:top w:val="nil"/>
              <w:left w:val="nil"/>
              <w:bottom w:val="nil"/>
              <w:right w:val="nil"/>
            </w:tcBorders>
            <w:shd w:val="clear" w:color="auto" w:fill="FFE1E1"/>
            <w:noWrap/>
            <w:vAlign w:val="bottom"/>
            <w:hideMark/>
          </w:tcPr>
          <w:p w14:paraId="02D2AAE3"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308</w:t>
            </w:r>
          </w:p>
        </w:tc>
      </w:tr>
      <w:tr w:rsidR="00FA40BC" w:rsidRPr="00F80706" w14:paraId="273082B9" w14:textId="77777777" w:rsidTr="4718F1B3">
        <w:trPr>
          <w:trHeight w:val="290"/>
        </w:trPr>
        <w:tc>
          <w:tcPr>
            <w:tcW w:w="1857" w:type="pct"/>
            <w:tcBorders>
              <w:top w:val="single" w:sz="4" w:space="0" w:color="auto"/>
              <w:left w:val="nil"/>
              <w:bottom w:val="single" w:sz="4" w:space="0" w:color="auto"/>
              <w:right w:val="nil"/>
            </w:tcBorders>
            <w:shd w:val="clear" w:color="auto" w:fill="FFFFFF" w:themeFill="background1"/>
            <w:noWrap/>
            <w:vAlign w:val="bottom"/>
            <w:hideMark/>
          </w:tcPr>
          <w:p w14:paraId="7DBE956C" w14:textId="77777777" w:rsidR="00F80706" w:rsidRPr="00F80706" w:rsidRDefault="00F80706" w:rsidP="00F80706">
            <w:pPr>
              <w:spacing w:line="240" w:lineRule="auto"/>
              <w:jc w:val="left"/>
              <w:rPr>
                <w:rFonts w:ascii="Calibri" w:eastAsia="Times New Roman" w:hAnsi="Calibri" w:cs="Calibri"/>
                <w:b/>
                <w:bCs/>
                <w:lang w:eastAsia="en-GB"/>
              </w:rPr>
            </w:pPr>
            <w:r w:rsidRPr="00F80706">
              <w:rPr>
                <w:rFonts w:ascii="Calibri" w:eastAsia="Times New Roman" w:hAnsi="Calibri" w:cs="Calibri"/>
                <w:b/>
                <w:bCs/>
                <w:lang w:eastAsia="en-GB"/>
              </w:rPr>
              <w:t>Total</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13774BA5"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748" w:type="pct"/>
            <w:tcBorders>
              <w:top w:val="single" w:sz="4" w:space="0" w:color="auto"/>
              <w:left w:val="nil"/>
              <w:bottom w:val="single" w:sz="4" w:space="0" w:color="auto"/>
              <w:right w:val="nil"/>
            </w:tcBorders>
            <w:shd w:val="clear" w:color="auto" w:fill="FFFFFF" w:themeFill="background1"/>
            <w:noWrap/>
            <w:vAlign w:val="bottom"/>
            <w:hideMark/>
          </w:tcPr>
          <w:p w14:paraId="629DB2B6"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308</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56DDCBAE"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894" w:type="pct"/>
            <w:tcBorders>
              <w:top w:val="single" w:sz="4" w:space="0" w:color="auto"/>
              <w:left w:val="nil"/>
              <w:bottom w:val="single" w:sz="4" w:space="0" w:color="auto"/>
              <w:right w:val="nil"/>
            </w:tcBorders>
            <w:shd w:val="clear" w:color="auto" w:fill="FFE1E1"/>
            <w:noWrap/>
            <w:vAlign w:val="bottom"/>
            <w:hideMark/>
          </w:tcPr>
          <w:p w14:paraId="15DBAAB4"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308</w:t>
            </w:r>
          </w:p>
        </w:tc>
      </w:tr>
      <w:tr w:rsidR="00FA40BC" w:rsidRPr="00F80706" w14:paraId="437324DB"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0B13CA0D"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51" w:type="pct"/>
            <w:tcBorders>
              <w:top w:val="nil"/>
              <w:left w:val="nil"/>
              <w:bottom w:val="nil"/>
              <w:right w:val="nil"/>
            </w:tcBorders>
            <w:shd w:val="clear" w:color="auto" w:fill="FFFFFF" w:themeFill="background1"/>
            <w:noWrap/>
            <w:vAlign w:val="bottom"/>
            <w:hideMark/>
          </w:tcPr>
          <w:p w14:paraId="113B1C35"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23B5DBAC"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12B914BA"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894" w:type="pct"/>
            <w:tcBorders>
              <w:top w:val="nil"/>
              <w:left w:val="nil"/>
              <w:bottom w:val="nil"/>
              <w:right w:val="nil"/>
            </w:tcBorders>
            <w:shd w:val="clear" w:color="auto" w:fill="FFFFFF" w:themeFill="background1"/>
            <w:noWrap/>
            <w:vAlign w:val="bottom"/>
            <w:hideMark/>
          </w:tcPr>
          <w:p w14:paraId="615CE2BC"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r>
      <w:tr w:rsidR="00FA40BC" w:rsidRPr="00F80706" w14:paraId="2C77E566"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3359C83E"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51" w:type="pct"/>
            <w:tcBorders>
              <w:top w:val="nil"/>
              <w:left w:val="nil"/>
              <w:bottom w:val="nil"/>
              <w:right w:val="nil"/>
            </w:tcBorders>
            <w:shd w:val="clear" w:color="auto" w:fill="FFFFFF" w:themeFill="background1"/>
            <w:noWrap/>
            <w:vAlign w:val="bottom"/>
            <w:hideMark/>
          </w:tcPr>
          <w:p w14:paraId="1663AE78"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0928F110"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02B4A086"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894" w:type="pct"/>
            <w:tcBorders>
              <w:top w:val="nil"/>
              <w:left w:val="nil"/>
              <w:bottom w:val="nil"/>
              <w:right w:val="nil"/>
            </w:tcBorders>
            <w:shd w:val="clear" w:color="auto" w:fill="FFFFFF" w:themeFill="background1"/>
            <w:noWrap/>
            <w:vAlign w:val="bottom"/>
            <w:hideMark/>
          </w:tcPr>
          <w:p w14:paraId="667EE083"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r>
      <w:tr w:rsidR="00EA60A1" w:rsidRPr="00F80706" w14:paraId="5260E6CF" w14:textId="77777777" w:rsidTr="4718F1B3">
        <w:trPr>
          <w:trHeight w:val="580"/>
        </w:trPr>
        <w:tc>
          <w:tcPr>
            <w:tcW w:w="1857" w:type="pct"/>
            <w:tcBorders>
              <w:top w:val="nil"/>
              <w:left w:val="nil"/>
              <w:bottom w:val="nil"/>
              <w:right w:val="nil"/>
            </w:tcBorders>
            <w:shd w:val="clear" w:color="auto" w:fill="AB2328"/>
            <w:vAlign w:val="bottom"/>
            <w:hideMark/>
          </w:tcPr>
          <w:p w14:paraId="0EA84270"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 </w:t>
            </w:r>
          </w:p>
        </w:tc>
        <w:tc>
          <w:tcPr>
            <w:tcW w:w="751" w:type="pct"/>
            <w:tcBorders>
              <w:top w:val="nil"/>
              <w:left w:val="nil"/>
              <w:bottom w:val="nil"/>
              <w:right w:val="nil"/>
            </w:tcBorders>
            <w:shd w:val="clear" w:color="auto" w:fill="AB2328"/>
            <w:vAlign w:val="bottom"/>
            <w:hideMark/>
          </w:tcPr>
          <w:p w14:paraId="680987FE"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Vehicles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50B31C26"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Land and Buildings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024BC7D5"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Equipment</w:t>
            </w:r>
            <w:r w:rsidRPr="00F80706">
              <w:rPr>
                <w:rFonts w:ascii="Calibri" w:eastAsia="Times New Roman" w:hAnsi="Calibri" w:cs="Calibri"/>
                <w:b/>
                <w:bCs/>
                <w:color w:val="FFFFFF"/>
                <w:lang w:eastAsia="en-GB"/>
              </w:rPr>
              <w:br/>
              <w:t>£000</w:t>
            </w:r>
          </w:p>
        </w:tc>
        <w:tc>
          <w:tcPr>
            <w:tcW w:w="894" w:type="pct"/>
            <w:tcBorders>
              <w:top w:val="nil"/>
              <w:left w:val="nil"/>
              <w:bottom w:val="nil"/>
              <w:right w:val="nil"/>
            </w:tcBorders>
            <w:shd w:val="clear" w:color="auto" w:fill="AB2328"/>
            <w:vAlign w:val="bottom"/>
            <w:hideMark/>
          </w:tcPr>
          <w:p w14:paraId="303DEAAE"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Total</w:t>
            </w:r>
            <w:r w:rsidRPr="00F80706">
              <w:rPr>
                <w:rFonts w:ascii="Calibri" w:eastAsia="Times New Roman" w:hAnsi="Calibri" w:cs="Calibri"/>
                <w:b/>
                <w:bCs/>
                <w:color w:val="FFFFFF"/>
                <w:lang w:eastAsia="en-GB"/>
              </w:rPr>
              <w:br/>
              <w:t>£000</w:t>
            </w:r>
          </w:p>
        </w:tc>
      </w:tr>
      <w:tr w:rsidR="00FA40BC" w:rsidRPr="00F80706" w14:paraId="76FD9BCD"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6A837C9F" w14:textId="77777777" w:rsidR="00F80706" w:rsidRPr="00F80706" w:rsidRDefault="00F80706" w:rsidP="00F80706">
            <w:pPr>
              <w:spacing w:line="240" w:lineRule="auto"/>
              <w:jc w:val="left"/>
              <w:rPr>
                <w:rFonts w:ascii="Calibri" w:eastAsia="Times New Roman" w:hAnsi="Calibri" w:cs="Calibri"/>
                <w:lang w:eastAsia="en-GB"/>
              </w:rPr>
            </w:pPr>
            <w:r w:rsidRPr="00F80706">
              <w:rPr>
                <w:rFonts w:ascii="Calibri" w:eastAsia="Times New Roman" w:hAnsi="Calibri" w:cs="Calibri"/>
                <w:lang w:eastAsia="en-GB"/>
              </w:rPr>
              <w:t>Interest cost in year</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5150CF67"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748" w:type="pct"/>
            <w:tcBorders>
              <w:top w:val="nil"/>
              <w:left w:val="nil"/>
              <w:bottom w:val="nil"/>
              <w:right w:val="nil"/>
            </w:tcBorders>
            <w:shd w:val="clear" w:color="auto" w:fill="FFFFFF" w:themeFill="background1"/>
            <w:noWrap/>
            <w:vAlign w:val="bottom"/>
            <w:hideMark/>
          </w:tcPr>
          <w:p w14:paraId="243194FC"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6</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1D2D56F9"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894" w:type="pct"/>
            <w:tcBorders>
              <w:top w:val="nil"/>
              <w:left w:val="nil"/>
              <w:bottom w:val="nil"/>
              <w:right w:val="nil"/>
            </w:tcBorders>
            <w:shd w:val="clear" w:color="auto" w:fill="FFE1E1"/>
            <w:noWrap/>
            <w:vAlign w:val="bottom"/>
            <w:hideMark/>
          </w:tcPr>
          <w:p w14:paraId="6F6E569C"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6</w:t>
            </w:r>
          </w:p>
        </w:tc>
      </w:tr>
      <w:tr w:rsidR="00FA40BC" w:rsidRPr="00F80706" w14:paraId="4A74732C" w14:textId="77777777" w:rsidTr="4718F1B3">
        <w:trPr>
          <w:trHeight w:val="290"/>
        </w:trPr>
        <w:tc>
          <w:tcPr>
            <w:tcW w:w="1857" w:type="pct"/>
            <w:tcBorders>
              <w:top w:val="single" w:sz="4" w:space="0" w:color="auto"/>
              <w:left w:val="nil"/>
              <w:bottom w:val="single" w:sz="4" w:space="0" w:color="auto"/>
              <w:right w:val="nil"/>
            </w:tcBorders>
            <w:shd w:val="clear" w:color="auto" w:fill="FFFFFF" w:themeFill="background1"/>
            <w:noWrap/>
            <w:vAlign w:val="bottom"/>
            <w:hideMark/>
          </w:tcPr>
          <w:p w14:paraId="7A4EEE7F" w14:textId="77777777" w:rsidR="00F80706" w:rsidRPr="00F80706" w:rsidRDefault="00F80706" w:rsidP="00F80706">
            <w:pPr>
              <w:spacing w:line="240" w:lineRule="auto"/>
              <w:jc w:val="left"/>
              <w:rPr>
                <w:rFonts w:ascii="Calibri" w:eastAsia="Times New Roman" w:hAnsi="Calibri" w:cs="Calibri"/>
                <w:b/>
                <w:bCs/>
                <w:lang w:eastAsia="en-GB"/>
              </w:rPr>
            </w:pPr>
            <w:r w:rsidRPr="00F80706">
              <w:rPr>
                <w:rFonts w:ascii="Calibri" w:eastAsia="Times New Roman" w:hAnsi="Calibri" w:cs="Calibri"/>
                <w:b/>
                <w:bCs/>
                <w:lang w:eastAsia="en-GB"/>
              </w:rPr>
              <w:t>Total</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4120750C"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748" w:type="pct"/>
            <w:tcBorders>
              <w:top w:val="single" w:sz="4" w:space="0" w:color="auto"/>
              <w:left w:val="nil"/>
              <w:bottom w:val="single" w:sz="4" w:space="0" w:color="auto"/>
              <w:right w:val="nil"/>
            </w:tcBorders>
            <w:shd w:val="clear" w:color="auto" w:fill="FFFFFF" w:themeFill="background1"/>
            <w:noWrap/>
            <w:vAlign w:val="bottom"/>
            <w:hideMark/>
          </w:tcPr>
          <w:p w14:paraId="15373164"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6</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016E8F9D"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894" w:type="pct"/>
            <w:tcBorders>
              <w:top w:val="single" w:sz="4" w:space="0" w:color="auto"/>
              <w:left w:val="nil"/>
              <w:bottom w:val="single" w:sz="4" w:space="0" w:color="auto"/>
              <w:right w:val="nil"/>
            </w:tcBorders>
            <w:shd w:val="clear" w:color="auto" w:fill="FFE1E1"/>
            <w:noWrap/>
            <w:vAlign w:val="bottom"/>
            <w:hideMark/>
          </w:tcPr>
          <w:p w14:paraId="09883C0D"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6</w:t>
            </w:r>
          </w:p>
        </w:tc>
      </w:tr>
      <w:tr w:rsidR="00FA40BC" w:rsidRPr="00F80706" w14:paraId="39C28B77"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70734A04"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51" w:type="pct"/>
            <w:tcBorders>
              <w:top w:val="nil"/>
              <w:left w:val="nil"/>
              <w:bottom w:val="nil"/>
              <w:right w:val="nil"/>
            </w:tcBorders>
            <w:shd w:val="clear" w:color="auto" w:fill="FFFFFF" w:themeFill="background1"/>
            <w:noWrap/>
            <w:vAlign w:val="bottom"/>
            <w:hideMark/>
          </w:tcPr>
          <w:p w14:paraId="11EB7AAF"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11CE4F8A"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32CE0AF2"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894" w:type="pct"/>
            <w:tcBorders>
              <w:top w:val="nil"/>
              <w:left w:val="nil"/>
              <w:bottom w:val="nil"/>
              <w:right w:val="nil"/>
            </w:tcBorders>
            <w:shd w:val="clear" w:color="auto" w:fill="FFFFFF" w:themeFill="background1"/>
            <w:noWrap/>
            <w:vAlign w:val="bottom"/>
            <w:hideMark/>
          </w:tcPr>
          <w:p w14:paraId="2586A707"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r>
      <w:tr w:rsidR="00FA40BC" w:rsidRPr="00F80706" w14:paraId="110E2F06"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776D187D"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51" w:type="pct"/>
            <w:tcBorders>
              <w:top w:val="nil"/>
              <w:left w:val="nil"/>
              <w:bottom w:val="nil"/>
              <w:right w:val="nil"/>
            </w:tcBorders>
            <w:shd w:val="clear" w:color="auto" w:fill="FFFFFF" w:themeFill="background1"/>
            <w:noWrap/>
            <w:vAlign w:val="bottom"/>
            <w:hideMark/>
          </w:tcPr>
          <w:p w14:paraId="2F515F75"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5FC7E2A5"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748" w:type="pct"/>
            <w:tcBorders>
              <w:top w:val="nil"/>
              <w:left w:val="nil"/>
              <w:bottom w:val="nil"/>
              <w:right w:val="nil"/>
            </w:tcBorders>
            <w:shd w:val="clear" w:color="auto" w:fill="FFFFFF" w:themeFill="background1"/>
            <w:noWrap/>
            <w:vAlign w:val="bottom"/>
            <w:hideMark/>
          </w:tcPr>
          <w:p w14:paraId="124EB74D"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c>
          <w:tcPr>
            <w:tcW w:w="894" w:type="pct"/>
            <w:tcBorders>
              <w:top w:val="nil"/>
              <w:left w:val="nil"/>
              <w:bottom w:val="nil"/>
              <w:right w:val="nil"/>
            </w:tcBorders>
            <w:shd w:val="clear" w:color="auto" w:fill="FFFFFF" w:themeFill="background1"/>
            <w:noWrap/>
            <w:vAlign w:val="bottom"/>
            <w:hideMark/>
          </w:tcPr>
          <w:p w14:paraId="70DAB2E7" w14:textId="77777777" w:rsidR="00F80706" w:rsidRPr="00F80706" w:rsidRDefault="00F80706" w:rsidP="00F80706">
            <w:pPr>
              <w:spacing w:line="240" w:lineRule="auto"/>
              <w:jc w:val="left"/>
              <w:rPr>
                <w:rFonts w:ascii="Calibri" w:eastAsia="Times New Roman" w:hAnsi="Calibri" w:cs="Calibri"/>
                <w:color w:val="000000"/>
                <w:lang w:eastAsia="en-GB"/>
              </w:rPr>
            </w:pPr>
            <w:r w:rsidRPr="00F80706">
              <w:rPr>
                <w:rFonts w:ascii="Calibri" w:eastAsia="Times New Roman" w:hAnsi="Calibri" w:cs="Calibri"/>
                <w:color w:val="000000"/>
                <w:lang w:eastAsia="en-GB"/>
              </w:rPr>
              <w:t> </w:t>
            </w:r>
          </w:p>
        </w:tc>
      </w:tr>
      <w:tr w:rsidR="00EA60A1" w:rsidRPr="00F80706" w14:paraId="0CC4CF89" w14:textId="77777777" w:rsidTr="4718F1B3">
        <w:trPr>
          <w:trHeight w:val="580"/>
        </w:trPr>
        <w:tc>
          <w:tcPr>
            <w:tcW w:w="1857" w:type="pct"/>
            <w:tcBorders>
              <w:top w:val="nil"/>
              <w:left w:val="nil"/>
              <w:bottom w:val="nil"/>
              <w:right w:val="nil"/>
            </w:tcBorders>
            <w:shd w:val="clear" w:color="auto" w:fill="AB2328"/>
            <w:vAlign w:val="bottom"/>
            <w:hideMark/>
          </w:tcPr>
          <w:p w14:paraId="682EAA41"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 </w:t>
            </w:r>
          </w:p>
        </w:tc>
        <w:tc>
          <w:tcPr>
            <w:tcW w:w="751" w:type="pct"/>
            <w:tcBorders>
              <w:top w:val="nil"/>
              <w:left w:val="nil"/>
              <w:bottom w:val="nil"/>
              <w:right w:val="nil"/>
            </w:tcBorders>
            <w:shd w:val="clear" w:color="auto" w:fill="AB2328"/>
            <w:vAlign w:val="bottom"/>
            <w:hideMark/>
          </w:tcPr>
          <w:p w14:paraId="61467ED7"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Vehicles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687CE847"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Land and Buildings</w:t>
            </w:r>
            <w:r w:rsidRPr="00F80706">
              <w:rPr>
                <w:rFonts w:ascii="Calibri" w:eastAsia="Times New Roman" w:hAnsi="Calibri" w:cs="Calibri"/>
                <w:b/>
                <w:bCs/>
                <w:color w:val="FFFFFF"/>
                <w:lang w:eastAsia="en-GB"/>
              </w:rPr>
              <w:br/>
              <w:t>£000</w:t>
            </w:r>
          </w:p>
        </w:tc>
        <w:tc>
          <w:tcPr>
            <w:tcW w:w="748" w:type="pct"/>
            <w:tcBorders>
              <w:top w:val="nil"/>
              <w:left w:val="nil"/>
              <w:bottom w:val="nil"/>
              <w:right w:val="nil"/>
            </w:tcBorders>
            <w:shd w:val="clear" w:color="auto" w:fill="AB2328"/>
            <w:vAlign w:val="bottom"/>
            <w:hideMark/>
          </w:tcPr>
          <w:p w14:paraId="1AE7D465"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Equipment</w:t>
            </w:r>
            <w:r w:rsidRPr="00F80706">
              <w:rPr>
                <w:rFonts w:ascii="Calibri" w:eastAsia="Times New Roman" w:hAnsi="Calibri" w:cs="Calibri"/>
                <w:b/>
                <w:bCs/>
                <w:color w:val="FFFFFF"/>
                <w:lang w:eastAsia="en-GB"/>
              </w:rPr>
              <w:br/>
              <w:t>£000</w:t>
            </w:r>
          </w:p>
        </w:tc>
        <w:tc>
          <w:tcPr>
            <w:tcW w:w="894" w:type="pct"/>
            <w:tcBorders>
              <w:top w:val="nil"/>
              <w:left w:val="nil"/>
              <w:bottom w:val="nil"/>
              <w:right w:val="nil"/>
            </w:tcBorders>
            <w:shd w:val="clear" w:color="auto" w:fill="AB2328"/>
            <w:vAlign w:val="bottom"/>
            <w:hideMark/>
          </w:tcPr>
          <w:p w14:paraId="4ACBF00C" w14:textId="77777777" w:rsidR="00F80706" w:rsidRPr="00F80706" w:rsidRDefault="00F80706" w:rsidP="00F80706">
            <w:pPr>
              <w:spacing w:line="240" w:lineRule="auto"/>
              <w:jc w:val="right"/>
              <w:rPr>
                <w:rFonts w:ascii="Calibri" w:eastAsia="Times New Roman" w:hAnsi="Calibri" w:cs="Calibri"/>
                <w:b/>
                <w:bCs/>
                <w:color w:val="FFFFFF"/>
                <w:lang w:eastAsia="en-GB"/>
              </w:rPr>
            </w:pPr>
            <w:r w:rsidRPr="00F80706">
              <w:rPr>
                <w:rFonts w:ascii="Calibri" w:eastAsia="Times New Roman" w:hAnsi="Calibri" w:cs="Calibri"/>
                <w:b/>
                <w:bCs/>
                <w:color w:val="FFFFFF"/>
                <w:lang w:eastAsia="en-GB"/>
              </w:rPr>
              <w:t>Total</w:t>
            </w:r>
            <w:r w:rsidRPr="00F80706">
              <w:rPr>
                <w:rFonts w:ascii="Calibri" w:eastAsia="Times New Roman" w:hAnsi="Calibri" w:cs="Calibri"/>
                <w:b/>
                <w:bCs/>
                <w:color w:val="FFFFFF"/>
                <w:lang w:eastAsia="en-GB"/>
              </w:rPr>
              <w:br/>
              <w:t>£000</w:t>
            </w:r>
          </w:p>
        </w:tc>
      </w:tr>
      <w:tr w:rsidR="00FA40BC" w:rsidRPr="00F80706" w14:paraId="7B5D957A" w14:textId="77777777" w:rsidTr="4718F1B3">
        <w:trPr>
          <w:trHeight w:val="290"/>
        </w:trPr>
        <w:tc>
          <w:tcPr>
            <w:tcW w:w="1857" w:type="pct"/>
            <w:tcBorders>
              <w:top w:val="nil"/>
              <w:left w:val="nil"/>
              <w:bottom w:val="nil"/>
              <w:right w:val="nil"/>
            </w:tcBorders>
            <w:shd w:val="clear" w:color="auto" w:fill="FFFFFF" w:themeFill="background1"/>
            <w:noWrap/>
            <w:vAlign w:val="bottom"/>
            <w:hideMark/>
          </w:tcPr>
          <w:p w14:paraId="755A5FB5" w14:textId="77777777" w:rsidR="00F80706" w:rsidRPr="00F80706" w:rsidRDefault="00F80706" w:rsidP="00F80706">
            <w:pPr>
              <w:spacing w:line="240" w:lineRule="auto"/>
              <w:jc w:val="left"/>
              <w:rPr>
                <w:rFonts w:ascii="Calibri" w:eastAsia="Times New Roman" w:hAnsi="Calibri" w:cs="Calibri"/>
                <w:lang w:eastAsia="en-GB"/>
              </w:rPr>
            </w:pPr>
            <w:r w:rsidRPr="00F80706">
              <w:rPr>
                <w:rFonts w:ascii="Calibri" w:eastAsia="Times New Roman" w:hAnsi="Calibri" w:cs="Calibri"/>
                <w:lang w:eastAsia="en-GB"/>
              </w:rPr>
              <w:t>Depreciation charged in year</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271691A6"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748" w:type="pct"/>
            <w:tcBorders>
              <w:top w:val="nil"/>
              <w:left w:val="nil"/>
              <w:bottom w:val="nil"/>
              <w:right w:val="nil"/>
            </w:tcBorders>
            <w:shd w:val="clear" w:color="auto" w:fill="FFFFFF" w:themeFill="background1"/>
            <w:noWrap/>
            <w:vAlign w:val="bottom"/>
            <w:hideMark/>
          </w:tcPr>
          <w:p w14:paraId="27DE608D"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154</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192AD37F"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w:t>
            </w:r>
          </w:p>
        </w:tc>
        <w:tc>
          <w:tcPr>
            <w:tcW w:w="894" w:type="pct"/>
            <w:tcBorders>
              <w:top w:val="nil"/>
              <w:left w:val="nil"/>
              <w:bottom w:val="nil"/>
              <w:right w:val="nil"/>
            </w:tcBorders>
            <w:shd w:val="clear" w:color="auto" w:fill="FFE1E1"/>
            <w:noWrap/>
            <w:vAlign w:val="bottom"/>
            <w:hideMark/>
          </w:tcPr>
          <w:p w14:paraId="1B00738D" w14:textId="77777777" w:rsidR="00F80706" w:rsidRPr="00F80706" w:rsidRDefault="00F80706" w:rsidP="00F80706">
            <w:pPr>
              <w:spacing w:line="240" w:lineRule="auto"/>
              <w:jc w:val="right"/>
              <w:rPr>
                <w:rFonts w:ascii="Calibri" w:eastAsia="Times New Roman" w:hAnsi="Calibri" w:cs="Calibri"/>
                <w:lang w:eastAsia="en-GB"/>
              </w:rPr>
            </w:pPr>
            <w:r w:rsidRPr="00F80706">
              <w:rPr>
                <w:rFonts w:ascii="Calibri" w:eastAsia="Times New Roman" w:hAnsi="Calibri" w:cs="Calibri"/>
                <w:lang w:eastAsia="en-GB"/>
              </w:rPr>
              <w:t>154</w:t>
            </w:r>
          </w:p>
        </w:tc>
      </w:tr>
      <w:tr w:rsidR="00FA40BC" w:rsidRPr="00F80706" w14:paraId="6D5E3746" w14:textId="77777777" w:rsidTr="4718F1B3">
        <w:trPr>
          <w:trHeight w:val="290"/>
        </w:trPr>
        <w:tc>
          <w:tcPr>
            <w:tcW w:w="1857" w:type="pct"/>
            <w:tcBorders>
              <w:top w:val="single" w:sz="4" w:space="0" w:color="auto"/>
              <w:left w:val="nil"/>
              <w:bottom w:val="single" w:sz="4" w:space="0" w:color="auto"/>
              <w:right w:val="nil"/>
            </w:tcBorders>
            <w:shd w:val="clear" w:color="auto" w:fill="FFFFFF" w:themeFill="background1"/>
            <w:noWrap/>
            <w:vAlign w:val="bottom"/>
            <w:hideMark/>
          </w:tcPr>
          <w:p w14:paraId="503C5E6F" w14:textId="77777777" w:rsidR="00F80706" w:rsidRPr="00F80706" w:rsidRDefault="00F80706" w:rsidP="00F80706">
            <w:pPr>
              <w:spacing w:line="240" w:lineRule="auto"/>
              <w:jc w:val="left"/>
              <w:rPr>
                <w:rFonts w:ascii="Calibri" w:eastAsia="Times New Roman" w:hAnsi="Calibri" w:cs="Calibri"/>
                <w:b/>
                <w:bCs/>
                <w:lang w:eastAsia="en-GB"/>
              </w:rPr>
            </w:pPr>
            <w:r w:rsidRPr="00F80706">
              <w:rPr>
                <w:rFonts w:ascii="Calibri" w:eastAsia="Times New Roman" w:hAnsi="Calibri" w:cs="Calibri"/>
                <w:b/>
                <w:bCs/>
                <w:lang w:eastAsia="en-GB"/>
              </w:rPr>
              <w:t>Total</w:t>
            </w:r>
          </w:p>
        </w:tc>
        <w:tc>
          <w:tcPr>
            <w:tcW w:w="751" w:type="pct"/>
            <w:tcBorders>
              <w:top w:val="nil"/>
              <w:left w:val="nil"/>
              <w:bottom w:val="single" w:sz="4" w:space="0" w:color="000000" w:themeColor="text1"/>
              <w:right w:val="nil"/>
            </w:tcBorders>
            <w:shd w:val="clear" w:color="auto" w:fill="FFFFFF" w:themeFill="background1"/>
            <w:noWrap/>
            <w:vAlign w:val="bottom"/>
            <w:hideMark/>
          </w:tcPr>
          <w:p w14:paraId="36FF9E91"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748" w:type="pct"/>
            <w:tcBorders>
              <w:top w:val="single" w:sz="4" w:space="0" w:color="auto"/>
              <w:left w:val="nil"/>
              <w:bottom w:val="single" w:sz="4" w:space="0" w:color="auto"/>
              <w:right w:val="nil"/>
            </w:tcBorders>
            <w:shd w:val="clear" w:color="auto" w:fill="FFFFFF" w:themeFill="background1"/>
            <w:noWrap/>
            <w:vAlign w:val="bottom"/>
            <w:hideMark/>
          </w:tcPr>
          <w:p w14:paraId="0772FD24"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154</w:t>
            </w:r>
          </w:p>
        </w:tc>
        <w:tc>
          <w:tcPr>
            <w:tcW w:w="748" w:type="pct"/>
            <w:tcBorders>
              <w:top w:val="nil"/>
              <w:left w:val="nil"/>
              <w:bottom w:val="single" w:sz="4" w:space="0" w:color="000000" w:themeColor="text1"/>
              <w:right w:val="nil"/>
            </w:tcBorders>
            <w:shd w:val="clear" w:color="auto" w:fill="FFFFFF" w:themeFill="background1"/>
            <w:noWrap/>
            <w:vAlign w:val="bottom"/>
            <w:hideMark/>
          </w:tcPr>
          <w:p w14:paraId="61660719"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w:t>
            </w:r>
          </w:p>
        </w:tc>
        <w:tc>
          <w:tcPr>
            <w:tcW w:w="894" w:type="pct"/>
            <w:tcBorders>
              <w:top w:val="single" w:sz="4" w:space="0" w:color="auto"/>
              <w:left w:val="nil"/>
              <w:bottom w:val="single" w:sz="4" w:space="0" w:color="auto"/>
              <w:right w:val="nil"/>
            </w:tcBorders>
            <w:shd w:val="clear" w:color="auto" w:fill="FFE1E1"/>
            <w:noWrap/>
            <w:vAlign w:val="bottom"/>
            <w:hideMark/>
          </w:tcPr>
          <w:p w14:paraId="222B2CB1" w14:textId="77777777" w:rsidR="00F80706" w:rsidRPr="00F80706" w:rsidRDefault="00F80706" w:rsidP="00F80706">
            <w:pPr>
              <w:spacing w:line="240" w:lineRule="auto"/>
              <w:jc w:val="right"/>
              <w:rPr>
                <w:rFonts w:ascii="Calibri" w:eastAsia="Times New Roman" w:hAnsi="Calibri" w:cs="Calibri"/>
                <w:b/>
                <w:bCs/>
                <w:lang w:eastAsia="en-GB"/>
              </w:rPr>
            </w:pPr>
            <w:r w:rsidRPr="00F80706">
              <w:rPr>
                <w:rFonts w:ascii="Calibri" w:eastAsia="Times New Roman" w:hAnsi="Calibri" w:cs="Calibri"/>
                <w:b/>
                <w:bCs/>
                <w:lang w:eastAsia="en-GB"/>
              </w:rPr>
              <w:t>154</w:t>
            </w:r>
          </w:p>
        </w:tc>
      </w:tr>
    </w:tbl>
    <w:p w14:paraId="079D1530" w14:textId="77777777" w:rsidR="00CA2120" w:rsidRDefault="00CA2120" w:rsidP="002A1ADD">
      <w:pPr>
        <w:pStyle w:val="VAHeadingLevel2"/>
        <w:rPr>
          <w:rFonts w:eastAsiaTheme="minorHAnsi"/>
          <w:lang w:eastAsia="en-GB"/>
        </w:rPr>
      </w:pPr>
    </w:p>
    <w:p w14:paraId="34C008FA" w14:textId="345FEFFC" w:rsidR="009D10D6" w:rsidRPr="00B569EE" w:rsidRDefault="00F6347F" w:rsidP="002A1ADD">
      <w:pPr>
        <w:pStyle w:val="VAHeadingLevel2"/>
      </w:pPr>
      <w:r>
        <w:t xml:space="preserve">Note </w:t>
      </w:r>
      <w:r w:rsidR="00997C28" w:rsidRPr="00B569EE">
        <w:t>23. Intangible Assets</w:t>
      </w:r>
    </w:p>
    <w:p w14:paraId="7BEC972E" w14:textId="0F0BDF2E" w:rsidR="00524C28" w:rsidRDefault="00997C28" w:rsidP="002A1ADD">
      <w:pPr>
        <w:pStyle w:val="VAHeadingLevel2"/>
        <w:rPr>
          <w:color w:val="AB2328"/>
        </w:rPr>
      </w:pPr>
      <w:r w:rsidRPr="00E81BCD">
        <w:rPr>
          <w:rFonts w:eastAsiaTheme="minorHAnsi" w:cstheme="minorHAnsi"/>
          <w:bCs w:val="0"/>
          <w:color w:val="auto"/>
          <w:sz w:val="22"/>
          <w:szCs w:val="22"/>
        </w:rPr>
        <w:t>The Authority has no intangible assets.</w:t>
      </w:r>
      <w:r w:rsidR="00524C28">
        <w:rPr>
          <w:color w:val="AB2328"/>
        </w:rPr>
        <w:br w:type="page"/>
      </w:r>
    </w:p>
    <w:p w14:paraId="5F031AA6" w14:textId="5E33951E" w:rsidR="00B7310A" w:rsidRPr="004A2CC8" w:rsidRDefault="00B7310A" w:rsidP="002A1ADD">
      <w:pPr>
        <w:pStyle w:val="VAHeadingLevel2"/>
      </w:pPr>
      <w:r w:rsidRPr="004A2CC8">
        <w:lastRenderedPageBreak/>
        <w:t>Note 2</w:t>
      </w:r>
      <w:r w:rsidR="00B569EE" w:rsidRPr="004A2CC8">
        <w:t>4</w:t>
      </w:r>
      <w:r w:rsidRPr="004A2CC8">
        <w:t xml:space="preserve">. Capital Expenditure and Capital Financing </w:t>
      </w:r>
    </w:p>
    <w:p w14:paraId="1522288D" w14:textId="77777777" w:rsidR="00B7310A" w:rsidRDefault="00B7310A" w:rsidP="00B7310A">
      <w:r w:rsidRPr="00B569EE">
        <w:t>The movement on the Capital Financing Requirement in the year was as follows:</w:t>
      </w:r>
    </w:p>
    <w:p w14:paraId="276EDC0B" w14:textId="7D55EEBA" w:rsidR="001F001A" w:rsidRDefault="001F001A" w:rsidP="00B7310A">
      <w:pPr>
        <w:rPr>
          <w:rFonts w:cstheme="minorBidi"/>
        </w:rPr>
      </w:pPr>
    </w:p>
    <w:tbl>
      <w:tblPr>
        <w:tblW w:w="4954" w:type="pct"/>
        <w:tblLook w:val="04A0" w:firstRow="1" w:lastRow="0" w:firstColumn="1" w:lastColumn="0" w:noHBand="0" w:noVBand="1"/>
      </w:tblPr>
      <w:tblGrid>
        <w:gridCol w:w="2046"/>
        <w:gridCol w:w="6137"/>
        <w:gridCol w:w="2097"/>
      </w:tblGrid>
      <w:tr w:rsidR="00773BF9" w:rsidRPr="00773BF9" w14:paraId="2102A5F7" w14:textId="77777777" w:rsidTr="006705F2">
        <w:trPr>
          <w:trHeight w:val="310"/>
        </w:trPr>
        <w:tc>
          <w:tcPr>
            <w:tcW w:w="995" w:type="pct"/>
            <w:tcBorders>
              <w:top w:val="nil"/>
              <w:left w:val="nil"/>
              <w:bottom w:val="nil"/>
              <w:right w:val="nil"/>
            </w:tcBorders>
            <w:shd w:val="clear" w:color="000000" w:fill="AB2328"/>
            <w:noWrap/>
            <w:vAlign w:val="bottom"/>
            <w:hideMark/>
          </w:tcPr>
          <w:p w14:paraId="766B1BD0"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31 March 2024</w:t>
            </w:r>
          </w:p>
        </w:tc>
        <w:tc>
          <w:tcPr>
            <w:tcW w:w="2984" w:type="pct"/>
            <w:tcBorders>
              <w:top w:val="nil"/>
              <w:left w:val="nil"/>
              <w:bottom w:val="nil"/>
              <w:right w:val="nil"/>
            </w:tcBorders>
            <w:shd w:val="clear" w:color="000000" w:fill="AB2328"/>
            <w:noWrap/>
            <w:vAlign w:val="bottom"/>
            <w:hideMark/>
          </w:tcPr>
          <w:p w14:paraId="0616F05B"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 </w:t>
            </w:r>
          </w:p>
        </w:tc>
        <w:tc>
          <w:tcPr>
            <w:tcW w:w="1020" w:type="pct"/>
            <w:tcBorders>
              <w:top w:val="nil"/>
              <w:left w:val="nil"/>
              <w:bottom w:val="nil"/>
              <w:right w:val="nil"/>
            </w:tcBorders>
            <w:shd w:val="clear" w:color="000000" w:fill="AB2328"/>
            <w:noWrap/>
            <w:vAlign w:val="bottom"/>
            <w:hideMark/>
          </w:tcPr>
          <w:p w14:paraId="390F74DA"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31 March 2025</w:t>
            </w:r>
          </w:p>
        </w:tc>
      </w:tr>
      <w:tr w:rsidR="00773BF9" w:rsidRPr="00773BF9" w14:paraId="13606FEB" w14:textId="77777777" w:rsidTr="006705F2">
        <w:trPr>
          <w:trHeight w:val="310"/>
        </w:trPr>
        <w:tc>
          <w:tcPr>
            <w:tcW w:w="995" w:type="pct"/>
            <w:tcBorders>
              <w:top w:val="nil"/>
              <w:left w:val="nil"/>
              <w:bottom w:val="nil"/>
              <w:right w:val="nil"/>
            </w:tcBorders>
            <w:shd w:val="clear" w:color="000000" w:fill="AB2328"/>
            <w:noWrap/>
            <w:vAlign w:val="bottom"/>
            <w:hideMark/>
          </w:tcPr>
          <w:p w14:paraId="7DA5B53E"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£000</w:t>
            </w:r>
          </w:p>
        </w:tc>
        <w:tc>
          <w:tcPr>
            <w:tcW w:w="2984" w:type="pct"/>
            <w:tcBorders>
              <w:top w:val="nil"/>
              <w:left w:val="nil"/>
              <w:bottom w:val="nil"/>
              <w:right w:val="nil"/>
            </w:tcBorders>
            <w:shd w:val="clear" w:color="000000" w:fill="AB2328"/>
            <w:noWrap/>
            <w:vAlign w:val="bottom"/>
            <w:hideMark/>
          </w:tcPr>
          <w:p w14:paraId="5926F46C"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 </w:t>
            </w:r>
          </w:p>
        </w:tc>
        <w:tc>
          <w:tcPr>
            <w:tcW w:w="1020" w:type="pct"/>
            <w:tcBorders>
              <w:top w:val="nil"/>
              <w:left w:val="nil"/>
              <w:bottom w:val="nil"/>
              <w:right w:val="nil"/>
            </w:tcBorders>
            <w:shd w:val="clear" w:color="000000" w:fill="AB2328"/>
            <w:noWrap/>
            <w:vAlign w:val="bottom"/>
            <w:hideMark/>
          </w:tcPr>
          <w:p w14:paraId="467BB876" w14:textId="77777777" w:rsidR="00773BF9" w:rsidRPr="00773BF9" w:rsidRDefault="00773BF9" w:rsidP="00773BF9">
            <w:pPr>
              <w:spacing w:line="240" w:lineRule="auto"/>
              <w:jc w:val="right"/>
              <w:rPr>
                <w:rFonts w:ascii="Calibri" w:eastAsia="Times New Roman" w:hAnsi="Calibri" w:cs="Calibri"/>
                <w:b/>
                <w:bCs/>
                <w:color w:val="FFFFFF"/>
                <w:lang w:eastAsia="en-GB"/>
              </w:rPr>
            </w:pPr>
            <w:r w:rsidRPr="00773BF9">
              <w:rPr>
                <w:rFonts w:ascii="Calibri" w:eastAsia="Times New Roman" w:hAnsi="Calibri" w:cs="Calibri"/>
                <w:b/>
                <w:bCs/>
                <w:color w:val="FFFFFF"/>
                <w:lang w:eastAsia="en-GB"/>
              </w:rPr>
              <w:t>£000</w:t>
            </w:r>
          </w:p>
        </w:tc>
      </w:tr>
      <w:tr w:rsidR="00773BF9" w:rsidRPr="00773BF9" w14:paraId="6396DD5F" w14:textId="77777777" w:rsidTr="006705F2">
        <w:trPr>
          <w:trHeight w:val="310"/>
        </w:trPr>
        <w:tc>
          <w:tcPr>
            <w:tcW w:w="995" w:type="pct"/>
            <w:tcBorders>
              <w:top w:val="nil"/>
              <w:left w:val="nil"/>
              <w:bottom w:val="nil"/>
              <w:right w:val="nil"/>
            </w:tcBorders>
            <w:shd w:val="clear" w:color="auto" w:fill="FFFFFF" w:themeFill="background1"/>
            <w:noWrap/>
            <w:vAlign w:val="bottom"/>
            <w:hideMark/>
          </w:tcPr>
          <w:p w14:paraId="75B2572B"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7,218</w:t>
            </w:r>
          </w:p>
        </w:tc>
        <w:tc>
          <w:tcPr>
            <w:tcW w:w="2984" w:type="pct"/>
            <w:tcBorders>
              <w:top w:val="nil"/>
              <w:left w:val="nil"/>
              <w:bottom w:val="nil"/>
              <w:right w:val="nil"/>
            </w:tcBorders>
            <w:shd w:val="clear" w:color="auto" w:fill="FFFFFF" w:themeFill="background1"/>
            <w:noWrap/>
            <w:vAlign w:val="bottom"/>
            <w:hideMark/>
          </w:tcPr>
          <w:p w14:paraId="55C713CA"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Opening Capital Financing Requirement</w:t>
            </w:r>
          </w:p>
        </w:tc>
        <w:tc>
          <w:tcPr>
            <w:tcW w:w="1020" w:type="pct"/>
            <w:tcBorders>
              <w:top w:val="nil"/>
              <w:left w:val="nil"/>
              <w:bottom w:val="nil"/>
              <w:right w:val="nil"/>
            </w:tcBorders>
            <w:shd w:val="clear" w:color="000000" w:fill="FFE1E1"/>
            <w:noWrap/>
            <w:vAlign w:val="bottom"/>
            <w:hideMark/>
          </w:tcPr>
          <w:p w14:paraId="514F204C"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8,772</w:t>
            </w:r>
          </w:p>
        </w:tc>
      </w:tr>
      <w:tr w:rsidR="00773BF9" w:rsidRPr="00773BF9" w14:paraId="4AD7874A" w14:textId="77777777" w:rsidTr="006705F2">
        <w:trPr>
          <w:trHeight w:val="310"/>
        </w:trPr>
        <w:tc>
          <w:tcPr>
            <w:tcW w:w="995" w:type="pct"/>
            <w:tcBorders>
              <w:top w:val="nil"/>
              <w:left w:val="nil"/>
              <w:bottom w:val="nil"/>
              <w:right w:val="nil"/>
            </w:tcBorders>
            <w:shd w:val="clear" w:color="000000" w:fill="FFFFFF"/>
            <w:noWrap/>
            <w:vAlign w:val="bottom"/>
            <w:hideMark/>
          </w:tcPr>
          <w:p w14:paraId="2DB77694"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shd w:val="clear" w:color="000000" w:fill="FFFFFF"/>
            <w:noWrap/>
            <w:vAlign w:val="bottom"/>
            <w:hideMark/>
          </w:tcPr>
          <w:p w14:paraId="724CE946"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1020" w:type="pct"/>
            <w:tcBorders>
              <w:top w:val="nil"/>
              <w:left w:val="nil"/>
              <w:bottom w:val="nil"/>
              <w:right w:val="nil"/>
            </w:tcBorders>
            <w:shd w:val="clear" w:color="000000" w:fill="FFE1E1"/>
            <w:noWrap/>
            <w:vAlign w:val="bottom"/>
            <w:hideMark/>
          </w:tcPr>
          <w:p w14:paraId="0B9E16A6"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33040352" w14:textId="77777777" w:rsidTr="006705F2">
        <w:trPr>
          <w:trHeight w:val="310"/>
        </w:trPr>
        <w:tc>
          <w:tcPr>
            <w:tcW w:w="995" w:type="pct"/>
            <w:tcBorders>
              <w:top w:val="nil"/>
              <w:left w:val="nil"/>
              <w:bottom w:val="nil"/>
              <w:right w:val="nil"/>
            </w:tcBorders>
            <w:shd w:val="clear" w:color="000000" w:fill="FFFFFF"/>
            <w:noWrap/>
            <w:vAlign w:val="bottom"/>
            <w:hideMark/>
          </w:tcPr>
          <w:p w14:paraId="496E096F"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noWrap/>
            <w:vAlign w:val="bottom"/>
            <w:hideMark/>
          </w:tcPr>
          <w:p w14:paraId="1D6CC237"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Capital Investment:</w:t>
            </w:r>
          </w:p>
        </w:tc>
        <w:tc>
          <w:tcPr>
            <w:tcW w:w="1020" w:type="pct"/>
            <w:tcBorders>
              <w:top w:val="nil"/>
              <w:left w:val="nil"/>
              <w:bottom w:val="nil"/>
              <w:right w:val="nil"/>
            </w:tcBorders>
            <w:shd w:val="clear" w:color="000000" w:fill="FFE1E1"/>
            <w:noWrap/>
            <w:vAlign w:val="bottom"/>
            <w:hideMark/>
          </w:tcPr>
          <w:p w14:paraId="7063781E"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79A4D7C9" w14:textId="77777777" w:rsidTr="006705F2">
        <w:trPr>
          <w:trHeight w:val="310"/>
        </w:trPr>
        <w:tc>
          <w:tcPr>
            <w:tcW w:w="995" w:type="pct"/>
            <w:tcBorders>
              <w:top w:val="nil"/>
              <w:left w:val="nil"/>
              <w:bottom w:val="nil"/>
              <w:right w:val="nil"/>
            </w:tcBorders>
            <w:shd w:val="clear" w:color="000000" w:fill="FFFFFF"/>
            <w:noWrap/>
            <w:vAlign w:val="bottom"/>
            <w:hideMark/>
          </w:tcPr>
          <w:p w14:paraId="3C003456"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2,305</w:t>
            </w:r>
          </w:p>
        </w:tc>
        <w:tc>
          <w:tcPr>
            <w:tcW w:w="2984" w:type="pct"/>
            <w:tcBorders>
              <w:top w:val="nil"/>
              <w:left w:val="nil"/>
              <w:bottom w:val="nil"/>
              <w:right w:val="nil"/>
            </w:tcBorders>
            <w:shd w:val="clear" w:color="000000" w:fill="FFFFFF"/>
            <w:noWrap/>
            <w:hideMark/>
          </w:tcPr>
          <w:p w14:paraId="6EE48F05"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Property, Plant and Equipment</w:t>
            </w:r>
          </w:p>
        </w:tc>
        <w:tc>
          <w:tcPr>
            <w:tcW w:w="1020" w:type="pct"/>
            <w:tcBorders>
              <w:top w:val="nil"/>
              <w:left w:val="nil"/>
              <w:bottom w:val="nil"/>
              <w:right w:val="nil"/>
            </w:tcBorders>
            <w:shd w:val="clear" w:color="000000" w:fill="FFE1E1"/>
            <w:noWrap/>
            <w:vAlign w:val="bottom"/>
            <w:hideMark/>
          </w:tcPr>
          <w:p w14:paraId="514FB378" w14:textId="58E2CEB5"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2,43</w:t>
            </w:r>
            <w:r w:rsidR="00A06954">
              <w:rPr>
                <w:rFonts w:ascii="Calibri" w:eastAsia="Times New Roman" w:hAnsi="Calibri" w:cs="Calibri"/>
                <w:color w:val="000000"/>
                <w:lang w:eastAsia="en-GB"/>
              </w:rPr>
              <w:t>3</w:t>
            </w:r>
          </w:p>
        </w:tc>
      </w:tr>
      <w:tr w:rsidR="00773BF9" w:rsidRPr="00773BF9" w14:paraId="5708C597" w14:textId="77777777" w:rsidTr="006705F2">
        <w:trPr>
          <w:trHeight w:val="310"/>
        </w:trPr>
        <w:tc>
          <w:tcPr>
            <w:tcW w:w="995" w:type="pct"/>
            <w:tcBorders>
              <w:top w:val="single" w:sz="4" w:space="0" w:color="auto"/>
              <w:left w:val="nil"/>
              <w:bottom w:val="single" w:sz="4" w:space="0" w:color="auto"/>
              <w:right w:val="nil"/>
            </w:tcBorders>
            <w:shd w:val="clear" w:color="000000" w:fill="FFFFFF"/>
            <w:noWrap/>
            <w:vAlign w:val="bottom"/>
            <w:hideMark/>
          </w:tcPr>
          <w:p w14:paraId="43F72804" w14:textId="77777777" w:rsidR="00773BF9" w:rsidRPr="00773BF9" w:rsidRDefault="00773BF9" w:rsidP="00773BF9">
            <w:pPr>
              <w:spacing w:line="240" w:lineRule="auto"/>
              <w:jc w:val="righ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2,305</w:t>
            </w:r>
          </w:p>
        </w:tc>
        <w:tc>
          <w:tcPr>
            <w:tcW w:w="2984" w:type="pct"/>
            <w:tcBorders>
              <w:top w:val="single" w:sz="4" w:space="0" w:color="auto"/>
              <w:left w:val="nil"/>
              <w:bottom w:val="single" w:sz="4" w:space="0" w:color="auto"/>
              <w:right w:val="nil"/>
            </w:tcBorders>
            <w:shd w:val="clear" w:color="000000" w:fill="FFFFFF"/>
            <w:noWrap/>
            <w:vAlign w:val="bottom"/>
            <w:hideMark/>
          </w:tcPr>
          <w:p w14:paraId="7BC6EDCD"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Total Capital Spending</w:t>
            </w:r>
          </w:p>
        </w:tc>
        <w:tc>
          <w:tcPr>
            <w:tcW w:w="1020" w:type="pct"/>
            <w:tcBorders>
              <w:top w:val="single" w:sz="4" w:space="0" w:color="auto"/>
              <w:left w:val="nil"/>
              <w:bottom w:val="single" w:sz="4" w:space="0" w:color="auto"/>
              <w:right w:val="nil"/>
            </w:tcBorders>
            <w:shd w:val="clear" w:color="000000" w:fill="FFE1E1"/>
            <w:noWrap/>
            <w:vAlign w:val="bottom"/>
            <w:hideMark/>
          </w:tcPr>
          <w:p w14:paraId="199DD533" w14:textId="59D39D55" w:rsidR="00773BF9" w:rsidRPr="00773BF9" w:rsidRDefault="00773BF9" w:rsidP="00773BF9">
            <w:pPr>
              <w:spacing w:line="240" w:lineRule="auto"/>
              <w:jc w:val="righ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2,43</w:t>
            </w:r>
            <w:r w:rsidR="00A06954">
              <w:rPr>
                <w:rFonts w:ascii="Calibri" w:eastAsia="Times New Roman" w:hAnsi="Calibri" w:cs="Calibri"/>
                <w:b/>
                <w:bCs/>
                <w:color w:val="000000"/>
                <w:lang w:eastAsia="en-GB"/>
              </w:rPr>
              <w:t>3</w:t>
            </w:r>
          </w:p>
        </w:tc>
      </w:tr>
      <w:tr w:rsidR="00773BF9" w:rsidRPr="00773BF9" w14:paraId="43101581" w14:textId="77777777" w:rsidTr="006705F2">
        <w:trPr>
          <w:trHeight w:val="310"/>
        </w:trPr>
        <w:tc>
          <w:tcPr>
            <w:tcW w:w="995" w:type="pct"/>
            <w:tcBorders>
              <w:top w:val="nil"/>
              <w:left w:val="nil"/>
              <w:bottom w:val="nil"/>
              <w:right w:val="nil"/>
            </w:tcBorders>
            <w:shd w:val="clear" w:color="000000" w:fill="FFFFFF"/>
            <w:noWrap/>
            <w:vAlign w:val="bottom"/>
            <w:hideMark/>
          </w:tcPr>
          <w:p w14:paraId="06911750"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shd w:val="clear" w:color="000000" w:fill="FFFFFF"/>
            <w:noWrap/>
            <w:vAlign w:val="bottom"/>
            <w:hideMark/>
          </w:tcPr>
          <w:p w14:paraId="0738094B"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 </w:t>
            </w:r>
          </w:p>
        </w:tc>
        <w:tc>
          <w:tcPr>
            <w:tcW w:w="1020" w:type="pct"/>
            <w:tcBorders>
              <w:top w:val="nil"/>
              <w:left w:val="nil"/>
              <w:bottom w:val="nil"/>
              <w:right w:val="nil"/>
            </w:tcBorders>
            <w:shd w:val="clear" w:color="000000" w:fill="FFE1E1"/>
            <w:noWrap/>
            <w:vAlign w:val="bottom"/>
            <w:hideMark/>
          </w:tcPr>
          <w:p w14:paraId="0BC942B0"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73EFC416" w14:textId="77777777" w:rsidTr="006705F2">
        <w:trPr>
          <w:trHeight w:val="310"/>
        </w:trPr>
        <w:tc>
          <w:tcPr>
            <w:tcW w:w="995" w:type="pct"/>
            <w:tcBorders>
              <w:top w:val="nil"/>
              <w:left w:val="nil"/>
              <w:bottom w:val="nil"/>
              <w:right w:val="nil"/>
            </w:tcBorders>
            <w:shd w:val="clear" w:color="000000" w:fill="FFFFFF"/>
            <w:noWrap/>
            <w:vAlign w:val="bottom"/>
            <w:hideMark/>
          </w:tcPr>
          <w:p w14:paraId="5B15DF36"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shd w:val="clear" w:color="000000" w:fill="FFFFFF"/>
            <w:noWrap/>
            <w:vAlign w:val="bottom"/>
            <w:hideMark/>
          </w:tcPr>
          <w:p w14:paraId="7121034A"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Sources of Finance:</w:t>
            </w:r>
          </w:p>
        </w:tc>
        <w:tc>
          <w:tcPr>
            <w:tcW w:w="1020" w:type="pct"/>
            <w:tcBorders>
              <w:top w:val="nil"/>
              <w:left w:val="nil"/>
              <w:bottom w:val="nil"/>
              <w:right w:val="nil"/>
            </w:tcBorders>
            <w:shd w:val="clear" w:color="000000" w:fill="FFE1E1"/>
            <w:noWrap/>
            <w:vAlign w:val="bottom"/>
            <w:hideMark/>
          </w:tcPr>
          <w:p w14:paraId="1A882492"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4A0C6A09" w14:textId="77777777" w:rsidTr="006705F2">
        <w:trPr>
          <w:trHeight w:val="310"/>
        </w:trPr>
        <w:tc>
          <w:tcPr>
            <w:tcW w:w="995" w:type="pct"/>
            <w:tcBorders>
              <w:top w:val="nil"/>
              <w:left w:val="nil"/>
              <w:bottom w:val="nil"/>
              <w:right w:val="nil"/>
            </w:tcBorders>
            <w:shd w:val="clear" w:color="000000" w:fill="FFFFFF"/>
            <w:noWrap/>
            <w:vAlign w:val="bottom"/>
            <w:hideMark/>
          </w:tcPr>
          <w:p w14:paraId="50427208"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(90)</w:t>
            </w:r>
          </w:p>
        </w:tc>
        <w:tc>
          <w:tcPr>
            <w:tcW w:w="2984" w:type="pct"/>
            <w:tcBorders>
              <w:top w:val="nil"/>
              <w:left w:val="nil"/>
              <w:bottom w:val="nil"/>
              <w:right w:val="nil"/>
            </w:tcBorders>
            <w:shd w:val="clear" w:color="000000" w:fill="FFFFFF"/>
            <w:noWrap/>
            <w:hideMark/>
          </w:tcPr>
          <w:p w14:paraId="201D886E"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Capital Receipts</w:t>
            </w:r>
          </w:p>
        </w:tc>
        <w:tc>
          <w:tcPr>
            <w:tcW w:w="1020" w:type="pct"/>
            <w:tcBorders>
              <w:top w:val="nil"/>
              <w:left w:val="nil"/>
              <w:bottom w:val="nil"/>
              <w:right w:val="nil"/>
            </w:tcBorders>
            <w:shd w:val="clear" w:color="000000" w:fill="FFE1E1"/>
            <w:noWrap/>
            <w:vAlign w:val="bottom"/>
            <w:hideMark/>
          </w:tcPr>
          <w:p w14:paraId="2807B08A"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(1,154)</w:t>
            </w:r>
          </w:p>
        </w:tc>
      </w:tr>
      <w:tr w:rsidR="00773BF9" w:rsidRPr="00773BF9" w14:paraId="1B8AF581" w14:textId="77777777" w:rsidTr="006705F2">
        <w:trPr>
          <w:trHeight w:val="310"/>
        </w:trPr>
        <w:tc>
          <w:tcPr>
            <w:tcW w:w="995" w:type="pct"/>
            <w:tcBorders>
              <w:top w:val="nil"/>
              <w:left w:val="nil"/>
              <w:bottom w:val="nil"/>
              <w:right w:val="nil"/>
            </w:tcBorders>
            <w:shd w:val="clear" w:color="000000" w:fill="FFFFFF"/>
            <w:noWrap/>
            <w:vAlign w:val="bottom"/>
            <w:hideMark/>
          </w:tcPr>
          <w:p w14:paraId="594CB52F"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w:t>
            </w:r>
          </w:p>
        </w:tc>
        <w:tc>
          <w:tcPr>
            <w:tcW w:w="2984" w:type="pct"/>
            <w:tcBorders>
              <w:top w:val="nil"/>
              <w:left w:val="nil"/>
              <w:bottom w:val="nil"/>
              <w:right w:val="nil"/>
            </w:tcBorders>
            <w:shd w:val="clear" w:color="000000" w:fill="FFFFFF"/>
            <w:noWrap/>
            <w:hideMark/>
          </w:tcPr>
          <w:p w14:paraId="6ECFA4B6"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Earmarked Reserves</w:t>
            </w:r>
          </w:p>
        </w:tc>
        <w:tc>
          <w:tcPr>
            <w:tcW w:w="1020" w:type="pct"/>
            <w:tcBorders>
              <w:top w:val="nil"/>
              <w:left w:val="nil"/>
              <w:bottom w:val="nil"/>
              <w:right w:val="nil"/>
            </w:tcBorders>
            <w:shd w:val="clear" w:color="000000" w:fill="FFE1E1"/>
            <w:noWrap/>
            <w:vAlign w:val="bottom"/>
            <w:hideMark/>
          </w:tcPr>
          <w:p w14:paraId="2EEED5C0"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w:t>
            </w:r>
          </w:p>
        </w:tc>
      </w:tr>
      <w:tr w:rsidR="00773BF9" w:rsidRPr="00773BF9" w14:paraId="3B70085D" w14:textId="77777777" w:rsidTr="006705F2">
        <w:trPr>
          <w:trHeight w:val="310"/>
        </w:trPr>
        <w:tc>
          <w:tcPr>
            <w:tcW w:w="995" w:type="pct"/>
            <w:tcBorders>
              <w:top w:val="nil"/>
              <w:left w:val="nil"/>
              <w:bottom w:val="nil"/>
              <w:right w:val="nil"/>
            </w:tcBorders>
            <w:shd w:val="clear" w:color="000000" w:fill="FFFFFF"/>
            <w:noWrap/>
            <w:vAlign w:val="bottom"/>
            <w:hideMark/>
          </w:tcPr>
          <w:p w14:paraId="3CF905AB"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(34)</w:t>
            </w:r>
          </w:p>
        </w:tc>
        <w:tc>
          <w:tcPr>
            <w:tcW w:w="2984" w:type="pct"/>
            <w:tcBorders>
              <w:top w:val="nil"/>
              <w:left w:val="nil"/>
              <w:bottom w:val="nil"/>
              <w:right w:val="nil"/>
            </w:tcBorders>
            <w:shd w:val="clear" w:color="000000" w:fill="FFFFFF"/>
            <w:noWrap/>
            <w:hideMark/>
          </w:tcPr>
          <w:p w14:paraId="385B469D"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Section 106 Receipts</w:t>
            </w:r>
          </w:p>
        </w:tc>
        <w:tc>
          <w:tcPr>
            <w:tcW w:w="1020" w:type="pct"/>
            <w:tcBorders>
              <w:top w:val="nil"/>
              <w:left w:val="nil"/>
              <w:bottom w:val="nil"/>
              <w:right w:val="nil"/>
            </w:tcBorders>
            <w:shd w:val="clear" w:color="000000" w:fill="FFE1E1"/>
            <w:noWrap/>
            <w:vAlign w:val="bottom"/>
            <w:hideMark/>
          </w:tcPr>
          <w:p w14:paraId="20B0D88B"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w:t>
            </w:r>
          </w:p>
        </w:tc>
      </w:tr>
      <w:tr w:rsidR="00773BF9" w:rsidRPr="00773BF9" w14:paraId="70BFB14F" w14:textId="77777777" w:rsidTr="006705F2">
        <w:trPr>
          <w:trHeight w:val="310"/>
        </w:trPr>
        <w:tc>
          <w:tcPr>
            <w:tcW w:w="995" w:type="pct"/>
            <w:tcBorders>
              <w:top w:val="nil"/>
              <w:left w:val="nil"/>
              <w:bottom w:val="nil"/>
              <w:right w:val="nil"/>
            </w:tcBorders>
            <w:shd w:val="clear" w:color="000000" w:fill="FFFFFF"/>
            <w:noWrap/>
            <w:vAlign w:val="bottom"/>
            <w:hideMark/>
          </w:tcPr>
          <w:p w14:paraId="53FDB6A5"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(224)</w:t>
            </w:r>
          </w:p>
        </w:tc>
        <w:tc>
          <w:tcPr>
            <w:tcW w:w="2984" w:type="pct"/>
            <w:tcBorders>
              <w:top w:val="nil"/>
              <w:left w:val="nil"/>
              <w:bottom w:val="nil"/>
              <w:right w:val="nil"/>
            </w:tcBorders>
            <w:shd w:val="clear" w:color="000000" w:fill="FFFFFF"/>
            <w:noWrap/>
            <w:hideMark/>
          </w:tcPr>
          <w:p w14:paraId="4754B022"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Movement to Donated Assets Reserve</w:t>
            </w:r>
          </w:p>
        </w:tc>
        <w:tc>
          <w:tcPr>
            <w:tcW w:w="1020" w:type="pct"/>
            <w:tcBorders>
              <w:top w:val="nil"/>
              <w:left w:val="nil"/>
              <w:bottom w:val="nil"/>
              <w:right w:val="nil"/>
            </w:tcBorders>
            <w:shd w:val="clear" w:color="000000" w:fill="FFE1E1"/>
            <w:noWrap/>
            <w:vAlign w:val="bottom"/>
            <w:hideMark/>
          </w:tcPr>
          <w:p w14:paraId="16F5DA2D"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w:t>
            </w:r>
          </w:p>
        </w:tc>
      </w:tr>
      <w:tr w:rsidR="00773BF9" w:rsidRPr="00773BF9" w14:paraId="79373528" w14:textId="77777777" w:rsidTr="006705F2">
        <w:trPr>
          <w:trHeight w:val="310"/>
        </w:trPr>
        <w:tc>
          <w:tcPr>
            <w:tcW w:w="995" w:type="pct"/>
            <w:tcBorders>
              <w:top w:val="nil"/>
              <w:left w:val="nil"/>
              <w:bottom w:val="nil"/>
              <w:right w:val="nil"/>
            </w:tcBorders>
            <w:shd w:val="clear" w:color="000000" w:fill="FFFFFF"/>
            <w:noWrap/>
            <w:vAlign w:val="bottom"/>
            <w:hideMark/>
          </w:tcPr>
          <w:p w14:paraId="0502100D"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shd w:val="clear" w:color="000000" w:fill="FFFFFF"/>
            <w:noWrap/>
            <w:hideMark/>
          </w:tcPr>
          <w:p w14:paraId="3B2E6903" w14:textId="77777777" w:rsidR="00773BF9" w:rsidRPr="00773BF9" w:rsidRDefault="00773BF9" w:rsidP="00773BF9">
            <w:pPr>
              <w:spacing w:line="240" w:lineRule="auto"/>
              <w:jc w:val="left"/>
              <w:rPr>
                <w:rFonts w:ascii="Calibri" w:eastAsia="Times New Roman" w:hAnsi="Calibri" w:cs="Calibri"/>
                <w:b/>
                <w:bCs/>
                <w:lang w:eastAsia="en-GB"/>
              </w:rPr>
            </w:pPr>
            <w:r w:rsidRPr="00773BF9">
              <w:rPr>
                <w:rFonts w:ascii="Calibri" w:eastAsia="Times New Roman" w:hAnsi="Calibri" w:cs="Calibri"/>
                <w:b/>
                <w:bCs/>
                <w:lang w:eastAsia="en-GB"/>
              </w:rPr>
              <w:t>Sums set aside from revenue:</w:t>
            </w:r>
          </w:p>
        </w:tc>
        <w:tc>
          <w:tcPr>
            <w:tcW w:w="1020" w:type="pct"/>
            <w:tcBorders>
              <w:top w:val="nil"/>
              <w:left w:val="nil"/>
              <w:bottom w:val="nil"/>
              <w:right w:val="nil"/>
            </w:tcBorders>
            <w:shd w:val="clear" w:color="000000" w:fill="FFE1E1"/>
            <w:noWrap/>
            <w:vAlign w:val="bottom"/>
            <w:hideMark/>
          </w:tcPr>
          <w:p w14:paraId="7E7F6AF5"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1333A223" w14:textId="77777777" w:rsidTr="006705F2">
        <w:trPr>
          <w:trHeight w:val="310"/>
        </w:trPr>
        <w:tc>
          <w:tcPr>
            <w:tcW w:w="995" w:type="pct"/>
            <w:tcBorders>
              <w:top w:val="nil"/>
              <w:left w:val="nil"/>
              <w:bottom w:val="nil"/>
              <w:right w:val="nil"/>
            </w:tcBorders>
            <w:shd w:val="clear" w:color="000000" w:fill="FFFFFF"/>
            <w:noWrap/>
            <w:vAlign w:val="bottom"/>
            <w:hideMark/>
          </w:tcPr>
          <w:p w14:paraId="55FF3EFC" w14:textId="65FEC4FD"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w:t>
            </w:r>
            <w:r w:rsidR="002E6605">
              <w:rPr>
                <w:rFonts w:ascii="Calibri" w:eastAsia="Times New Roman" w:hAnsi="Calibri" w:cs="Calibri"/>
                <w:color w:val="000000"/>
                <w:lang w:eastAsia="en-GB"/>
              </w:rPr>
              <w:t>237</w:t>
            </w:r>
            <w:r w:rsidRPr="00773BF9">
              <w:rPr>
                <w:rFonts w:ascii="Calibri" w:eastAsia="Times New Roman" w:hAnsi="Calibri" w:cs="Calibri"/>
                <w:color w:val="000000"/>
                <w:lang w:eastAsia="en-GB"/>
              </w:rPr>
              <w:t>)</w:t>
            </w:r>
          </w:p>
        </w:tc>
        <w:tc>
          <w:tcPr>
            <w:tcW w:w="2984" w:type="pct"/>
            <w:tcBorders>
              <w:top w:val="nil"/>
              <w:left w:val="nil"/>
              <w:bottom w:val="nil"/>
              <w:right w:val="nil"/>
            </w:tcBorders>
            <w:shd w:val="clear" w:color="000000" w:fill="FFFFFF"/>
            <w:noWrap/>
            <w:hideMark/>
          </w:tcPr>
          <w:p w14:paraId="3C202256"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Direct revenue contributions</w:t>
            </w:r>
          </w:p>
        </w:tc>
        <w:tc>
          <w:tcPr>
            <w:tcW w:w="1020" w:type="pct"/>
            <w:tcBorders>
              <w:top w:val="nil"/>
              <w:left w:val="nil"/>
              <w:bottom w:val="nil"/>
              <w:right w:val="nil"/>
            </w:tcBorders>
            <w:shd w:val="clear" w:color="000000" w:fill="FFE1E1"/>
            <w:noWrap/>
            <w:vAlign w:val="bottom"/>
            <w:hideMark/>
          </w:tcPr>
          <w:p w14:paraId="37D22073"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(19)</w:t>
            </w:r>
          </w:p>
        </w:tc>
      </w:tr>
      <w:tr w:rsidR="00773BF9" w:rsidRPr="00773BF9" w14:paraId="33036AC1" w14:textId="77777777" w:rsidTr="006705F2">
        <w:trPr>
          <w:trHeight w:val="310"/>
        </w:trPr>
        <w:tc>
          <w:tcPr>
            <w:tcW w:w="995" w:type="pct"/>
            <w:tcBorders>
              <w:top w:val="nil"/>
              <w:left w:val="nil"/>
              <w:bottom w:val="nil"/>
              <w:right w:val="nil"/>
            </w:tcBorders>
            <w:shd w:val="clear" w:color="000000" w:fill="FFFFFF"/>
            <w:noWrap/>
            <w:vAlign w:val="bottom"/>
            <w:hideMark/>
          </w:tcPr>
          <w:p w14:paraId="3EDFE1B2" w14:textId="2F378AAE" w:rsidR="00773BF9" w:rsidRPr="00773BF9" w:rsidRDefault="002E6605" w:rsidP="00773BF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(166)</w:t>
            </w:r>
          </w:p>
        </w:tc>
        <w:tc>
          <w:tcPr>
            <w:tcW w:w="2984" w:type="pct"/>
            <w:tcBorders>
              <w:top w:val="nil"/>
              <w:left w:val="nil"/>
              <w:bottom w:val="nil"/>
              <w:right w:val="nil"/>
            </w:tcBorders>
            <w:shd w:val="clear" w:color="000000" w:fill="FFFFFF"/>
            <w:noWrap/>
            <w:hideMark/>
          </w:tcPr>
          <w:p w14:paraId="2DE2405C" w14:textId="77777777" w:rsidR="00773BF9" w:rsidRPr="00773BF9" w:rsidRDefault="00773BF9" w:rsidP="00773BF9">
            <w:pPr>
              <w:spacing w:line="240" w:lineRule="auto"/>
              <w:ind w:firstLineChars="200" w:firstLine="440"/>
              <w:jc w:val="left"/>
              <w:rPr>
                <w:rFonts w:ascii="Calibri" w:eastAsia="Times New Roman" w:hAnsi="Calibri" w:cs="Calibri"/>
                <w:lang w:eastAsia="en-GB"/>
              </w:rPr>
            </w:pPr>
            <w:r w:rsidRPr="00773BF9">
              <w:rPr>
                <w:rFonts w:ascii="Calibri" w:eastAsia="Times New Roman" w:hAnsi="Calibri" w:cs="Calibri"/>
                <w:lang w:eastAsia="en-GB"/>
              </w:rPr>
              <w:t>Minimum revenue provision</w:t>
            </w:r>
          </w:p>
        </w:tc>
        <w:tc>
          <w:tcPr>
            <w:tcW w:w="1020" w:type="pct"/>
            <w:tcBorders>
              <w:top w:val="nil"/>
              <w:left w:val="nil"/>
              <w:bottom w:val="nil"/>
              <w:right w:val="nil"/>
            </w:tcBorders>
            <w:shd w:val="clear" w:color="000000" w:fill="FFE1E1"/>
            <w:noWrap/>
            <w:vAlign w:val="bottom"/>
            <w:hideMark/>
          </w:tcPr>
          <w:p w14:paraId="5BCBC2F7" w14:textId="77777777" w:rsidR="00773BF9" w:rsidRPr="00773BF9" w:rsidRDefault="00773BF9" w:rsidP="00773BF9">
            <w:pPr>
              <w:spacing w:line="240" w:lineRule="auto"/>
              <w:jc w:val="right"/>
              <w:rPr>
                <w:rFonts w:ascii="Calibri" w:eastAsia="Times New Roman" w:hAnsi="Calibri" w:cs="Calibri"/>
                <w:color w:val="000000"/>
                <w:lang w:eastAsia="en-GB"/>
              </w:rPr>
            </w:pPr>
            <w:r w:rsidRPr="00773BF9">
              <w:rPr>
                <w:rFonts w:ascii="Calibri" w:eastAsia="Times New Roman" w:hAnsi="Calibri" w:cs="Calibri"/>
                <w:color w:val="000000"/>
                <w:lang w:eastAsia="en-GB"/>
              </w:rPr>
              <w:t>(259)</w:t>
            </w:r>
          </w:p>
        </w:tc>
      </w:tr>
      <w:tr w:rsidR="00773BF9" w:rsidRPr="00773BF9" w14:paraId="2A61E95C" w14:textId="77777777" w:rsidTr="006705F2">
        <w:trPr>
          <w:trHeight w:val="310"/>
        </w:trPr>
        <w:tc>
          <w:tcPr>
            <w:tcW w:w="995" w:type="pct"/>
            <w:tcBorders>
              <w:top w:val="single" w:sz="4" w:space="0" w:color="auto"/>
              <w:left w:val="nil"/>
              <w:bottom w:val="single" w:sz="4" w:space="0" w:color="auto"/>
              <w:right w:val="nil"/>
            </w:tcBorders>
            <w:shd w:val="clear" w:color="000000" w:fill="FFFFFF"/>
            <w:noWrap/>
            <w:vAlign w:val="bottom"/>
            <w:hideMark/>
          </w:tcPr>
          <w:p w14:paraId="25232C9B" w14:textId="77777777" w:rsidR="00773BF9" w:rsidRPr="00773BF9" w:rsidRDefault="00773BF9" w:rsidP="00773BF9">
            <w:pPr>
              <w:spacing w:line="240" w:lineRule="auto"/>
              <w:jc w:val="righ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(751)</w:t>
            </w:r>
          </w:p>
        </w:tc>
        <w:tc>
          <w:tcPr>
            <w:tcW w:w="2984" w:type="pct"/>
            <w:tcBorders>
              <w:top w:val="single" w:sz="4" w:space="0" w:color="auto"/>
              <w:left w:val="nil"/>
              <w:bottom w:val="single" w:sz="4" w:space="0" w:color="auto"/>
              <w:right w:val="nil"/>
            </w:tcBorders>
            <w:shd w:val="clear" w:color="000000" w:fill="FFFFFF"/>
            <w:noWrap/>
            <w:vAlign w:val="bottom"/>
            <w:hideMark/>
          </w:tcPr>
          <w:p w14:paraId="5172FC84" w14:textId="77777777" w:rsidR="00773BF9" w:rsidRPr="00773BF9" w:rsidRDefault="00773BF9" w:rsidP="00773BF9">
            <w:pPr>
              <w:spacing w:line="240" w:lineRule="auto"/>
              <w:jc w:val="lef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Total Sources of Finance</w:t>
            </w:r>
          </w:p>
        </w:tc>
        <w:tc>
          <w:tcPr>
            <w:tcW w:w="1020" w:type="pct"/>
            <w:tcBorders>
              <w:top w:val="single" w:sz="4" w:space="0" w:color="auto"/>
              <w:left w:val="nil"/>
              <w:bottom w:val="single" w:sz="4" w:space="0" w:color="auto"/>
              <w:right w:val="nil"/>
            </w:tcBorders>
            <w:shd w:val="clear" w:color="000000" w:fill="FFE1E1"/>
            <w:noWrap/>
            <w:vAlign w:val="bottom"/>
            <w:hideMark/>
          </w:tcPr>
          <w:p w14:paraId="434E355C" w14:textId="77777777" w:rsidR="00773BF9" w:rsidRPr="00773BF9" w:rsidRDefault="00773BF9" w:rsidP="00773BF9">
            <w:pPr>
              <w:spacing w:line="240" w:lineRule="auto"/>
              <w:jc w:val="right"/>
              <w:rPr>
                <w:rFonts w:ascii="Calibri" w:eastAsia="Times New Roman" w:hAnsi="Calibri" w:cs="Calibri"/>
                <w:b/>
                <w:bCs/>
                <w:color w:val="000000"/>
                <w:lang w:eastAsia="en-GB"/>
              </w:rPr>
            </w:pPr>
            <w:r w:rsidRPr="00773BF9">
              <w:rPr>
                <w:rFonts w:ascii="Calibri" w:eastAsia="Times New Roman" w:hAnsi="Calibri" w:cs="Calibri"/>
                <w:b/>
                <w:bCs/>
                <w:color w:val="000000"/>
                <w:lang w:eastAsia="en-GB"/>
              </w:rPr>
              <w:t>(1,432)</w:t>
            </w:r>
          </w:p>
        </w:tc>
      </w:tr>
      <w:tr w:rsidR="00773BF9" w:rsidRPr="00773BF9" w14:paraId="51AFD37D" w14:textId="77777777" w:rsidTr="006705F2">
        <w:trPr>
          <w:trHeight w:val="310"/>
        </w:trPr>
        <w:tc>
          <w:tcPr>
            <w:tcW w:w="995" w:type="pct"/>
            <w:tcBorders>
              <w:top w:val="nil"/>
              <w:left w:val="nil"/>
              <w:bottom w:val="nil"/>
              <w:right w:val="nil"/>
            </w:tcBorders>
            <w:shd w:val="clear" w:color="000000" w:fill="FFFFFF"/>
            <w:noWrap/>
            <w:vAlign w:val="bottom"/>
            <w:hideMark/>
          </w:tcPr>
          <w:p w14:paraId="09422739"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2984" w:type="pct"/>
            <w:tcBorders>
              <w:top w:val="nil"/>
              <w:left w:val="nil"/>
              <w:bottom w:val="nil"/>
              <w:right w:val="nil"/>
            </w:tcBorders>
            <w:shd w:val="clear" w:color="000000" w:fill="FFFFFF"/>
            <w:noWrap/>
            <w:vAlign w:val="bottom"/>
            <w:hideMark/>
          </w:tcPr>
          <w:p w14:paraId="49E75D0B"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c>
          <w:tcPr>
            <w:tcW w:w="1020" w:type="pct"/>
            <w:tcBorders>
              <w:top w:val="nil"/>
              <w:left w:val="nil"/>
              <w:bottom w:val="nil"/>
              <w:right w:val="nil"/>
            </w:tcBorders>
            <w:shd w:val="clear" w:color="000000" w:fill="FFE1E1"/>
            <w:noWrap/>
            <w:vAlign w:val="bottom"/>
            <w:hideMark/>
          </w:tcPr>
          <w:p w14:paraId="4BE956B2" w14:textId="77777777" w:rsidR="00773BF9" w:rsidRPr="00773BF9" w:rsidRDefault="00773BF9" w:rsidP="00773BF9">
            <w:pPr>
              <w:spacing w:line="240" w:lineRule="auto"/>
              <w:jc w:val="left"/>
              <w:rPr>
                <w:rFonts w:ascii="Calibri" w:eastAsia="Times New Roman" w:hAnsi="Calibri" w:cs="Calibri"/>
                <w:color w:val="000000"/>
                <w:lang w:eastAsia="en-GB"/>
              </w:rPr>
            </w:pPr>
            <w:r w:rsidRPr="00773BF9">
              <w:rPr>
                <w:rFonts w:ascii="Calibri" w:eastAsia="Times New Roman" w:hAnsi="Calibri" w:cs="Calibri"/>
                <w:color w:val="000000"/>
                <w:lang w:eastAsia="en-GB"/>
              </w:rPr>
              <w:t> </w:t>
            </w:r>
          </w:p>
        </w:tc>
      </w:tr>
      <w:tr w:rsidR="00773BF9" w:rsidRPr="00773BF9" w14:paraId="1F2BE4D1" w14:textId="77777777" w:rsidTr="006705F2">
        <w:trPr>
          <w:trHeight w:val="310"/>
        </w:trPr>
        <w:tc>
          <w:tcPr>
            <w:tcW w:w="995" w:type="pct"/>
            <w:tcBorders>
              <w:top w:val="single" w:sz="4" w:space="0" w:color="auto"/>
              <w:left w:val="nil"/>
              <w:bottom w:val="single" w:sz="4" w:space="0" w:color="auto"/>
              <w:right w:val="nil"/>
            </w:tcBorders>
            <w:shd w:val="clear" w:color="000000" w:fill="FFFFFF"/>
            <w:noWrap/>
            <w:hideMark/>
          </w:tcPr>
          <w:p w14:paraId="615140AB" w14:textId="77777777" w:rsidR="00773BF9" w:rsidRPr="00773BF9" w:rsidRDefault="00773BF9" w:rsidP="00773BF9">
            <w:pPr>
              <w:spacing w:line="240" w:lineRule="auto"/>
              <w:jc w:val="right"/>
              <w:rPr>
                <w:rFonts w:ascii="Calibri" w:eastAsia="Times New Roman" w:hAnsi="Calibri" w:cs="Calibri"/>
                <w:b/>
                <w:bCs/>
                <w:lang w:eastAsia="en-GB"/>
              </w:rPr>
            </w:pPr>
            <w:r w:rsidRPr="00773BF9">
              <w:rPr>
                <w:rFonts w:ascii="Calibri" w:eastAsia="Times New Roman" w:hAnsi="Calibri" w:cs="Calibri"/>
                <w:b/>
                <w:bCs/>
                <w:lang w:eastAsia="en-GB"/>
              </w:rPr>
              <w:t>8,772</w:t>
            </w:r>
          </w:p>
        </w:tc>
        <w:tc>
          <w:tcPr>
            <w:tcW w:w="2984" w:type="pct"/>
            <w:tcBorders>
              <w:top w:val="single" w:sz="4" w:space="0" w:color="auto"/>
              <w:left w:val="nil"/>
              <w:bottom w:val="single" w:sz="4" w:space="0" w:color="auto"/>
              <w:right w:val="nil"/>
            </w:tcBorders>
            <w:shd w:val="clear" w:color="000000" w:fill="FFFFFF"/>
            <w:noWrap/>
            <w:hideMark/>
          </w:tcPr>
          <w:p w14:paraId="052ACD4C" w14:textId="77777777" w:rsidR="00773BF9" w:rsidRPr="00773BF9" w:rsidRDefault="00773BF9" w:rsidP="00773BF9">
            <w:pPr>
              <w:spacing w:line="240" w:lineRule="auto"/>
              <w:jc w:val="left"/>
              <w:rPr>
                <w:rFonts w:ascii="Calibri" w:eastAsia="Times New Roman" w:hAnsi="Calibri" w:cs="Calibri"/>
                <w:b/>
                <w:bCs/>
                <w:lang w:eastAsia="en-GB"/>
              </w:rPr>
            </w:pPr>
            <w:r w:rsidRPr="00773BF9">
              <w:rPr>
                <w:rFonts w:ascii="Calibri" w:eastAsia="Times New Roman" w:hAnsi="Calibri" w:cs="Calibri"/>
                <w:b/>
                <w:bCs/>
                <w:lang w:eastAsia="en-GB"/>
              </w:rPr>
              <w:t>Closing Capital Financing Requirement</w:t>
            </w:r>
          </w:p>
        </w:tc>
        <w:tc>
          <w:tcPr>
            <w:tcW w:w="1020" w:type="pct"/>
            <w:tcBorders>
              <w:top w:val="single" w:sz="4" w:space="0" w:color="auto"/>
              <w:left w:val="nil"/>
              <w:bottom w:val="single" w:sz="4" w:space="0" w:color="auto"/>
              <w:right w:val="nil"/>
            </w:tcBorders>
            <w:shd w:val="clear" w:color="000000" w:fill="FFE1E1"/>
            <w:noWrap/>
            <w:hideMark/>
          </w:tcPr>
          <w:p w14:paraId="561282AC" w14:textId="2698D291" w:rsidR="00773BF9" w:rsidRPr="00773BF9" w:rsidRDefault="00773BF9" w:rsidP="00773BF9">
            <w:pPr>
              <w:spacing w:line="240" w:lineRule="auto"/>
              <w:jc w:val="right"/>
              <w:rPr>
                <w:rFonts w:ascii="Calibri" w:eastAsia="Times New Roman" w:hAnsi="Calibri" w:cs="Calibri"/>
                <w:b/>
                <w:bCs/>
                <w:lang w:eastAsia="en-GB"/>
              </w:rPr>
            </w:pPr>
            <w:r w:rsidRPr="00773BF9">
              <w:rPr>
                <w:rFonts w:ascii="Calibri" w:eastAsia="Times New Roman" w:hAnsi="Calibri" w:cs="Calibri"/>
                <w:b/>
                <w:bCs/>
                <w:lang w:eastAsia="en-GB"/>
              </w:rPr>
              <w:t>9,77</w:t>
            </w:r>
            <w:r w:rsidR="00A06954">
              <w:rPr>
                <w:rFonts w:ascii="Calibri" w:eastAsia="Times New Roman" w:hAnsi="Calibri" w:cs="Calibri"/>
                <w:b/>
                <w:bCs/>
                <w:lang w:eastAsia="en-GB"/>
              </w:rPr>
              <w:t>3</w:t>
            </w:r>
          </w:p>
        </w:tc>
      </w:tr>
    </w:tbl>
    <w:p w14:paraId="086F5D6B" w14:textId="77777777" w:rsidR="00486F0B" w:rsidRDefault="00486F0B" w:rsidP="00B7310A">
      <w:pPr>
        <w:rPr>
          <w:lang w:eastAsia="en-GB"/>
        </w:rPr>
      </w:pPr>
    </w:p>
    <w:p w14:paraId="7ECD5E37" w14:textId="77777777" w:rsidR="00B7310A" w:rsidRDefault="00B7310A" w:rsidP="00B7310A">
      <w:r w:rsidRPr="00ED2A06">
        <w:rPr>
          <w:lang w:eastAsia="en-GB"/>
        </w:rPr>
        <w:t>The year end position on the Capital Financing Requirement consists of the following:</w:t>
      </w:r>
    </w:p>
    <w:p w14:paraId="0A93D8E3" w14:textId="2529911B" w:rsidR="00210C01" w:rsidRDefault="00210C01" w:rsidP="00B7310A">
      <w:pPr>
        <w:rPr>
          <w:rFonts w:cstheme="minorBidi"/>
        </w:rPr>
      </w:pPr>
    </w:p>
    <w:tbl>
      <w:tblPr>
        <w:tblW w:w="4956" w:type="pct"/>
        <w:tblLook w:val="04A0" w:firstRow="1" w:lastRow="0" w:firstColumn="1" w:lastColumn="0" w:noHBand="0" w:noVBand="1"/>
      </w:tblPr>
      <w:tblGrid>
        <w:gridCol w:w="2046"/>
        <w:gridCol w:w="6142"/>
        <w:gridCol w:w="2096"/>
      </w:tblGrid>
      <w:tr w:rsidR="00157229" w:rsidRPr="006705F2" w14:paraId="77B0AE71" w14:textId="77777777" w:rsidTr="5A995008">
        <w:trPr>
          <w:trHeight w:val="310"/>
        </w:trPr>
        <w:tc>
          <w:tcPr>
            <w:tcW w:w="995" w:type="pct"/>
            <w:tcBorders>
              <w:top w:val="nil"/>
              <w:left w:val="nil"/>
              <w:bottom w:val="nil"/>
              <w:right w:val="nil"/>
            </w:tcBorders>
            <w:shd w:val="clear" w:color="auto" w:fill="AB2328"/>
            <w:noWrap/>
            <w:vAlign w:val="bottom"/>
            <w:hideMark/>
          </w:tcPr>
          <w:p w14:paraId="522D831D"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31 March 2024</w:t>
            </w:r>
          </w:p>
        </w:tc>
        <w:tc>
          <w:tcPr>
            <w:tcW w:w="2986" w:type="pct"/>
            <w:tcBorders>
              <w:top w:val="nil"/>
              <w:left w:val="nil"/>
              <w:bottom w:val="nil"/>
              <w:right w:val="nil"/>
            </w:tcBorders>
            <w:shd w:val="clear" w:color="auto" w:fill="AB2328"/>
            <w:noWrap/>
            <w:vAlign w:val="bottom"/>
            <w:hideMark/>
          </w:tcPr>
          <w:p w14:paraId="370BD643"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 </w:t>
            </w:r>
          </w:p>
        </w:tc>
        <w:tc>
          <w:tcPr>
            <w:tcW w:w="1019" w:type="pct"/>
            <w:tcBorders>
              <w:top w:val="nil"/>
              <w:left w:val="nil"/>
              <w:bottom w:val="nil"/>
              <w:right w:val="nil"/>
            </w:tcBorders>
            <w:shd w:val="clear" w:color="auto" w:fill="AB2328"/>
            <w:noWrap/>
            <w:vAlign w:val="bottom"/>
            <w:hideMark/>
          </w:tcPr>
          <w:p w14:paraId="5C27A34D"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31 March 2025</w:t>
            </w:r>
          </w:p>
        </w:tc>
      </w:tr>
      <w:tr w:rsidR="006705F2" w:rsidRPr="006705F2" w14:paraId="7068CD2F" w14:textId="77777777" w:rsidTr="5A995008">
        <w:trPr>
          <w:trHeight w:val="310"/>
        </w:trPr>
        <w:tc>
          <w:tcPr>
            <w:tcW w:w="995" w:type="pct"/>
            <w:tcBorders>
              <w:top w:val="nil"/>
              <w:left w:val="nil"/>
              <w:bottom w:val="nil"/>
              <w:right w:val="nil"/>
            </w:tcBorders>
            <w:shd w:val="clear" w:color="auto" w:fill="AB2328"/>
            <w:noWrap/>
            <w:vAlign w:val="bottom"/>
            <w:hideMark/>
          </w:tcPr>
          <w:p w14:paraId="50210D5A"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£000</w:t>
            </w:r>
          </w:p>
        </w:tc>
        <w:tc>
          <w:tcPr>
            <w:tcW w:w="2986" w:type="pct"/>
            <w:tcBorders>
              <w:top w:val="nil"/>
              <w:left w:val="nil"/>
              <w:bottom w:val="nil"/>
              <w:right w:val="nil"/>
            </w:tcBorders>
            <w:shd w:val="clear" w:color="auto" w:fill="AB2328"/>
            <w:noWrap/>
            <w:vAlign w:val="bottom"/>
            <w:hideMark/>
          </w:tcPr>
          <w:p w14:paraId="1F0A098B"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 </w:t>
            </w:r>
          </w:p>
        </w:tc>
        <w:tc>
          <w:tcPr>
            <w:tcW w:w="1019" w:type="pct"/>
            <w:tcBorders>
              <w:top w:val="nil"/>
              <w:left w:val="nil"/>
              <w:bottom w:val="nil"/>
              <w:right w:val="nil"/>
            </w:tcBorders>
            <w:shd w:val="clear" w:color="auto" w:fill="AB2328"/>
            <w:noWrap/>
            <w:vAlign w:val="bottom"/>
            <w:hideMark/>
          </w:tcPr>
          <w:p w14:paraId="5F1CD6C9" w14:textId="77777777" w:rsidR="006705F2" w:rsidRPr="006705F2" w:rsidRDefault="006705F2" w:rsidP="006705F2">
            <w:pPr>
              <w:spacing w:line="240" w:lineRule="auto"/>
              <w:jc w:val="right"/>
              <w:rPr>
                <w:rFonts w:ascii="Calibri" w:eastAsia="Times New Roman" w:hAnsi="Calibri" w:cs="Calibri"/>
                <w:b/>
                <w:bCs/>
                <w:color w:val="FFFFFF"/>
                <w:lang w:eastAsia="en-GB"/>
              </w:rPr>
            </w:pPr>
            <w:r w:rsidRPr="006705F2">
              <w:rPr>
                <w:rFonts w:ascii="Calibri" w:eastAsia="Times New Roman" w:hAnsi="Calibri" w:cs="Calibri"/>
                <w:b/>
                <w:bCs/>
                <w:color w:val="FFFFFF"/>
                <w:lang w:eastAsia="en-GB"/>
              </w:rPr>
              <w:t>£000</w:t>
            </w:r>
          </w:p>
        </w:tc>
      </w:tr>
      <w:tr w:rsidR="006705F2" w:rsidRPr="006705F2" w14:paraId="2821B037" w14:textId="77777777" w:rsidTr="5A995008">
        <w:trPr>
          <w:trHeight w:val="310"/>
        </w:trPr>
        <w:tc>
          <w:tcPr>
            <w:tcW w:w="995" w:type="pct"/>
            <w:tcBorders>
              <w:top w:val="nil"/>
              <w:left w:val="nil"/>
              <w:bottom w:val="nil"/>
              <w:right w:val="nil"/>
            </w:tcBorders>
            <w:shd w:val="clear" w:color="auto" w:fill="FFFFFF" w:themeFill="background1"/>
            <w:noWrap/>
            <w:hideMark/>
          </w:tcPr>
          <w:p w14:paraId="7F94810D"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c>
          <w:tcPr>
            <w:tcW w:w="2986" w:type="pct"/>
            <w:tcBorders>
              <w:top w:val="nil"/>
              <w:left w:val="nil"/>
              <w:bottom w:val="nil"/>
              <w:right w:val="nil"/>
            </w:tcBorders>
            <w:shd w:val="clear" w:color="auto" w:fill="FFFFFF" w:themeFill="background1"/>
            <w:noWrap/>
            <w:hideMark/>
          </w:tcPr>
          <w:p w14:paraId="7F27CF06"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Capital Investment:</w:t>
            </w:r>
          </w:p>
        </w:tc>
        <w:tc>
          <w:tcPr>
            <w:tcW w:w="1019" w:type="pct"/>
            <w:tcBorders>
              <w:top w:val="nil"/>
              <w:left w:val="nil"/>
              <w:bottom w:val="nil"/>
              <w:right w:val="nil"/>
            </w:tcBorders>
            <w:shd w:val="clear" w:color="auto" w:fill="FFE1E1"/>
            <w:noWrap/>
            <w:hideMark/>
          </w:tcPr>
          <w:p w14:paraId="353E0A66"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r>
      <w:tr w:rsidR="006705F2" w:rsidRPr="006705F2" w14:paraId="5BD5FED0" w14:textId="77777777" w:rsidTr="5A995008">
        <w:trPr>
          <w:trHeight w:val="310"/>
        </w:trPr>
        <w:tc>
          <w:tcPr>
            <w:tcW w:w="995" w:type="pct"/>
            <w:tcBorders>
              <w:top w:val="nil"/>
              <w:left w:val="nil"/>
              <w:bottom w:val="nil"/>
              <w:right w:val="nil"/>
            </w:tcBorders>
            <w:shd w:val="clear" w:color="auto" w:fill="FFFFFF" w:themeFill="background1"/>
            <w:noWrap/>
            <w:hideMark/>
          </w:tcPr>
          <w:p w14:paraId="2F71FA8F"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47,469</w:t>
            </w:r>
          </w:p>
        </w:tc>
        <w:tc>
          <w:tcPr>
            <w:tcW w:w="2986" w:type="pct"/>
            <w:tcBorders>
              <w:top w:val="nil"/>
              <w:left w:val="nil"/>
              <w:bottom w:val="nil"/>
              <w:right w:val="nil"/>
            </w:tcBorders>
            <w:shd w:val="clear" w:color="auto" w:fill="FFFFFF" w:themeFill="background1"/>
            <w:noWrap/>
            <w:hideMark/>
          </w:tcPr>
          <w:p w14:paraId="42A60BDA"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Property, Plant and Equipment</w:t>
            </w:r>
          </w:p>
        </w:tc>
        <w:tc>
          <w:tcPr>
            <w:tcW w:w="1019" w:type="pct"/>
            <w:tcBorders>
              <w:top w:val="nil"/>
              <w:left w:val="nil"/>
              <w:bottom w:val="nil"/>
              <w:right w:val="nil"/>
            </w:tcBorders>
            <w:shd w:val="clear" w:color="auto" w:fill="FFE1E1"/>
            <w:noWrap/>
            <w:hideMark/>
          </w:tcPr>
          <w:p w14:paraId="7721841B"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xml:space="preserve">                      47,245 </w:t>
            </w:r>
          </w:p>
        </w:tc>
      </w:tr>
      <w:tr w:rsidR="006705F2" w:rsidRPr="006705F2" w14:paraId="172A6073" w14:textId="77777777" w:rsidTr="5A995008">
        <w:trPr>
          <w:trHeight w:val="310"/>
        </w:trPr>
        <w:tc>
          <w:tcPr>
            <w:tcW w:w="995" w:type="pct"/>
            <w:tcBorders>
              <w:top w:val="nil"/>
              <w:left w:val="nil"/>
              <w:bottom w:val="nil"/>
              <w:right w:val="nil"/>
            </w:tcBorders>
            <w:shd w:val="clear" w:color="auto" w:fill="FFFFFF" w:themeFill="background1"/>
            <w:noWrap/>
            <w:hideMark/>
          </w:tcPr>
          <w:p w14:paraId="3B9D46E8"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w:t>
            </w:r>
          </w:p>
        </w:tc>
        <w:tc>
          <w:tcPr>
            <w:tcW w:w="2986" w:type="pct"/>
            <w:tcBorders>
              <w:top w:val="nil"/>
              <w:left w:val="nil"/>
              <w:bottom w:val="nil"/>
              <w:right w:val="nil"/>
            </w:tcBorders>
            <w:shd w:val="clear" w:color="auto" w:fill="FFFFFF" w:themeFill="background1"/>
            <w:noWrap/>
            <w:hideMark/>
          </w:tcPr>
          <w:p w14:paraId="1BB607DA"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Right of Use Assets</w:t>
            </w:r>
          </w:p>
        </w:tc>
        <w:tc>
          <w:tcPr>
            <w:tcW w:w="1019" w:type="pct"/>
            <w:tcBorders>
              <w:top w:val="nil"/>
              <w:left w:val="nil"/>
              <w:bottom w:val="nil"/>
              <w:right w:val="nil"/>
            </w:tcBorders>
            <w:shd w:val="clear" w:color="auto" w:fill="FFE1E1"/>
            <w:noWrap/>
            <w:hideMark/>
          </w:tcPr>
          <w:p w14:paraId="3157FA4E"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xml:space="preserve">                            185 </w:t>
            </w:r>
          </w:p>
        </w:tc>
      </w:tr>
      <w:tr w:rsidR="006705F2" w:rsidRPr="006705F2" w14:paraId="62EF9E78" w14:textId="77777777" w:rsidTr="5A995008">
        <w:trPr>
          <w:trHeight w:val="310"/>
        </w:trPr>
        <w:tc>
          <w:tcPr>
            <w:tcW w:w="995" w:type="pct"/>
            <w:tcBorders>
              <w:top w:val="nil"/>
              <w:left w:val="nil"/>
              <w:bottom w:val="nil"/>
              <w:right w:val="nil"/>
            </w:tcBorders>
            <w:shd w:val="clear" w:color="auto" w:fill="FFFFFF" w:themeFill="background1"/>
            <w:noWrap/>
            <w:hideMark/>
          </w:tcPr>
          <w:p w14:paraId="4FC2D4A6"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3,500</w:t>
            </w:r>
          </w:p>
        </w:tc>
        <w:tc>
          <w:tcPr>
            <w:tcW w:w="2986" w:type="pct"/>
            <w:tcBorders>
              <w:top w:val="nil"/>
              <w:left w:val="nil"/>
              <w:bottom w:val="nil"/>
              <w:right w:val="nil"/>
            </w:tcBorders>
            <w:shd w:val="clear" w:color="auto" w:fill="FFFFFF" w:themeFill="background1"/>
            <w:noWrap/>
            <w:hideMark/>
          </w:tcPr>
          <w:p w14:paraId="0064B8FA"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Asset Held for Sale</w:t>
            </w:r>
          </w:p>
        </w:tc>
        <w:tc>
          <w:tcPr>
            <w:tcW w:w="1019" w:type="pct"/>
            <w:tcBorders>
              <w:top w:val="nil"/>
              <w:left w:val="nil"/>
              <w:bottom w:val="nil"/>
              <w:right w:val="nil"/>
            </w:tcBorders>
            <w:shd w:val="clear" w:color="auto" w:fill="FFE1E1"/>
            <w:noWrap/>
            <w:hideMark/>
          </w:tcPr>
          <w:p w14:paraId="33190C0A"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xml:space="preserve">                               -   </w:t>
            </w:r>
          </w:p>
        </w:tc>
      </w:tr>
      <w:tr w:rsidR="006705F2" w:rsidRPr="006705F2" w14:paraId="22050623" w14:textId="77777777" w:rsidTr="5A995008">
        <w:trPr>
          <w:trHeight w:val="310"/>
        </w:trPr>
        <w:tc>
          <w:tcPr>
            <w:tcW w:w="995" w:type="pct"/>
            <w:tcBorders>
              <w:top w:val="single" w:sz="4" w:space="0" w:color="auto"/>
              <w:left w:val="nil"/>
              <w:bottom w:val="single" w:sz="4" w:space="0" w:color="auto"/>
              <w:right w:val="nil"/>
            </w:tcBorders>
            <w:shd w:val="clear" w:color="auto" w:fill="FFFFFF" w:themeFill="background1"/>
            <w:noWrap/>
            <w:hideMark/>
          </w:tcPr>
          <w:p w14:paraId="1D9F4AB8"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50,969</w:t>
            </w:r>
          </w:p>
        </w:tc>
        <w:tc>
          <w:tcPr>
            <w:tcW w:w="2986" w:type="pct"/>
            <w:tcBorders>
              <w:top w:val="single" w:sz="4" w:space="0" w:color="auto"/>
              <w:left w:val="nil"/>
              <w:bottom w:val="single" w:sz="4" w:space="0" w:color="auto"/>
              <w:right w:val="nil"/>
            </w:tcBorders>
            <w:shd w:val="clear" w:color="auto" w:fill="FFFFFF" w:themeFill="background1"/>
            <w:noWrap/>
            <w:hideMark/>
          </w:tcPr>
          <w:p w14:paraId="0302489E"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Total Capital Spending</w:t>
            </w:r>
          </w:p>
        </w:tc>
        <w:tc>
          <w:tcPr>
            <w:tcW w:w="1019" w:type="pct"/>
            <w:tcBorders>
              <w:top w:val="single" w:sz="4" w:space="0" w:color="auto"/>
              <w:left w:val="nil"/>
              <w:bottom w:val="single" w:sz="4" w:space="0" w:color="auto"/>
              <w:right w:val="nil"/>
            </w:tcBorders>
            <w:shd w:val="clear" w:color="auto" w:fill="FFE1E1"/>
            <w:noWrap/>
            <w:hideMark/>
          </w:tcPr>
          <w:p w14:paraId="09A88BBA"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 xml:space="preserve">                      47,430 </w:t>
            </w:r>
          </w:p>
        </w:tc>
      </w:tr>
      <w:tr w:rsidR="006705F2" w:rsidRPr="006705F2" w14:paraId="6C371C59" w14:textId="77777777" w:rsidTr="5A995008">
        <w:trPr>
          <w:trHeight w:val="310"/>
        </w:trPr>
        <w:tc>
          <w:tcPr>
            <w:tcW w:w="995" w:type="pct"/>
            <w:tcBorders>
              <w:top w:val="nil"/>
              <w:left w:val="nil"/>
              <w:bottom w:val="nil"/>
              <w:right w:val="nil"/>
            </w:tcBorders>
            <w:shd w:val="clear" w:color="auto" w:fill="FFFFFF" w:themeFill="background1"/>
            <w:noWrap/>
            <w:hideMark/>
          </w:tcPr>
          <w:p w14:paraId="35C93397"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c>
          <w:tcPr>
            <w:tcW w:w="2986" w:type="pct"/>
            <w:tcBorders>
              <w:top w:val="nil"/>
              <w:left w:val="nil"/>
              <w:bottom w:val="nil"/>
              <w:right w:val="nil"/>
            </w:tcBorders>
            <w:shd w:val="clear" w:color="auto" w:fill="FFFFFF" w:themeFill="background1"/>
            <w:noWrap/>
            <w:hideMark/>
          </w:tcPr>
          <w:p w14:paraId="02CCEC02"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 </w:t>
            </w:r>
          </w:p>
        </w:tc>
        <w:tc>
          <w:tcPr>
            <w:tcW w:w="1019" w:type="pct"/>
            <w:tcBorders>
              <w:top w:val="nil"/>
              <w:left w:val="nil"/>
              <w:bottom w:val="nil"/>
              <w:right w:val="nil"/>
            </w:tcBorders>
            <w:shd w:val="clear" w:color="auto" w:fill="FFE1E1"/>
            <w:noWrap/>
            <w:hideMark/>
          </w:tcPr>
          <w:p w14:paraId="0A86B0BE"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r>
      <w:tr w:rsidR="006705F2" w:rsidRPr="006705F2" w14:paraId="518F0ADD" w14:textId="77777777" w:rsidTr="5A995008">
        <w:trPr>
          <w:trHeight w:val="310"/>
        </w:trPr>
        <w:tc>
          <w:tcPr>
            <w:tcW w:w="995" w:type="pct"/>
            <w:tcBorders>
              <w:top w:val="nil"/>
              <w:left w:val="nil"/>
              <w:bottom w:val="nil"/>
              <w:right w:val="nil"/>
            </w:tcBorders>
            <w:shd w:val="clear" w:color="auto" w:fill="FFFFFF" w:themeFill="background1"/>
            <w:noWrap/>
            <w:hideMark/>
          </w:tcPr>
          <w:p w14:paraId="1947836D"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c>
          <w:tcPr>
            <w:tcW w:w="2986" w:type="pct"/>
            <w:tcBorders>
              <w:top w:val="nil"/>
              <w:left w:val="nil"/>
              <w:bottom w:val="nil"/>
              <w:right w:val="nil"/>
            </w:tcBorders>
            <w:shd w:val="clear" w:color="auto" w:fill="FFFFFF" w:themeFill="background1"/>
            <w:noWrap/>
            <w:hideMark/>
          </w:tcPr>
          <w:p w14:paraId="6789B5F3"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Unusable Capital Reserves:</w:t>
            </w:r>
          </w:p>
        </w:tc>
        <w:tc>
          <w:tcPr>
            <w:tcW w:w="1019" w:type="pct"/>
            <w:tcBorders>
              <w:top w:val="nil"/>
              <w:left w:val="nil"/>
              <w:bottom w:val="nil"/>
              <w:right w:val="nil"/>
            </w:tcBorders>
            <w:shd w:val="clear" w:color="auto" w:fill="FFE1E1"/>
            <w:noWrap/>
            <w:hideMark/>
          </w:tcPr>
          <w:p w14:paraId="291624D0"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r>
      <w:tr w:rsidR="006705F2" w:rsidRPr="006705F2" w14:paraId="4BE02713" w14:textId="77777777" w:rsidTr="5A995008">
        <w:trPr>
          <w:trHeight w:val="310"/>
        </w:trPr>
        <w:tc>
          <w:tcPr>
            <w:tcW w:w="995" w:type="pct"/>
            <w:tcBorders>
              <w:top w:val="nil"/>
              <w:left w:val="nil"/>
              <w:bottom w:val="nil"/>
              <w:right w:val="nil"/>
            </w:tcBorders>
            <w:shd w:val="clear" w:color="auto" w:fill="FFFFFF" w:themeFill="background1"/>
            <w:noWrap/>
            <w:hideMark/>
          </w:tcPr>
          <w:p w14:paraId="77A0AF2D"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(9,584)</w:t>
            </w:r>
          </w:p>
        </w:tc>
        <w:tc>
          <w:tcPr>
            <w:tcW w:w="2986" w:type="pct"/>
            <w:tcBorders>
              <w:top w:val="nil"/>
              <w:left w:val="nil"/>
              <w:bottom w:val="nil"/>
              <w:right w:val="nil"/>
            </w:tcBorders>
            <w:shd w:val="clear" w:color="auto" w:fill="FFFFFF" w:themeFill="background1"/>
            <w:noWrap/>
            <w:hideMark/>
          </w:tcPr>
          <w:p w14:paraId="6A6D4AF4"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Revaluation Reserve</w:t>
            </w:r>
          </w:p>
        </w:tc>
        <w:tc>
          <w:tcPr>
            <w:tcW w:w="1019" w:type="pct"/>
            <w:tcBorders>
              <w:top w:val="nil"/>
              <w:left w:val="nil"/>
              <w:bottom w:val="nil"/>
              <w:right w:val="nil"/>
            </w:tcBorders>
            <w:shd w:val="clear" w:color="auto" w:fill="FFE1E1"/>
            <w:noWrap/>
            <w:hideMark/>
          </w:tcPr>
          <w:p w14:paraId="7DE16B59"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(8,896)</w:t>
            </w:r>
          </w:p>
        </w:tc>
      </w:tr>
      <w:tr w:rsidR="5A995008" w14:paraId="60C7E9D8" w14:textId="77777777" w:rsidTr="5A995008">
        <w:trPr>
          <w:trHeight w:val="310"/>
        </w:trPr>
        <w:tc>
          <w:tcPr>
            <w:tcW w:w="2046" w:type="dxa"/>
            <w:tcBorders>
              <w:top w:val="nil"/>
              <w:left w:val="nil"/>
              <w:bottom w:val="nil"/>
              <w:right w:val="nil"/>
            </w:tcBorders>
            <w:shd w:val="clear" w:color="auto" w:fill="FFFFFF" w:themeFill="background1"/>
            <w:noWrap/>
            <w:hideMark/>
          </w:tcPr>
          <w:p w14:paraId="01D1DDC5" w14:textId="7988519C" w:rsidR="75569B6E" w:rsidRDefault="75569B6E" w:rsidP="5A995008">
            <w:pPr>
              <w:spacing w:line="240" w:lineRule="auto"/>
              <w:jc w:val="right"/>
              <w:rPr>
                <w:rFonts w:ascii="Calibri" w:eastAsia="Times New Roman" w:hAnsi="Calibri" w:cs="Calibri"/>
                <w:lang w:eastAsia="en-GB"/>
              </w:rPr>
            </w:pPr>
            <w:r w:rsidRPr="5A995008">
              <w:rPr>
                <w:rFonts w:ascii="Calibri" w:eastAsia="Times New Roman" w:hAnsi="Calibri" w:cs="Calibri"/>
                <w:lang w:eastAsia="en-GB"/>
              </w:rPr>
              <w:t>(224)</w:t>
            </w:r>
          </w:p>
        </w:tc>
        <w:tc>
          <w:tcPr>
            <w:tcW w:w="6142" w:type="dxa"/>
            <w:tcBorders>
              <w:top w:val="nil"/>
              <w:left w:val="nil"/>
              <w:bottom w:val="nil"/>
              <w:right w:val="nil"/>
            </w:tcBorders>
            <w:shd w:val="clear" w:color="auto" w:fill="FFFFFF" w:themeFill="background1"/>
            <w:noWrap/>
            <w:hideMark/>
          </w:tcPr>
          <w:p w14:paraId="1FB42849" w14:textId="64E40C2D" w:rsidR="75569B6E" w:rsidRDefault="75569B6E" w:rsidP="5A995008">
            <w:pPr>
              <w:spacing w:line="240" w:lineRule="auto"/>
              <w:ind w:firstLine="440"/>
              <w:jc w:val="left"/>
              <w:rPr>
                <w:rFonts w:ascii="Calibri" w:eastAsia="Times New Roman" w:hAnsi="Calibri" w:cs="Calibri"/>
                <w:lang w:eastAsia="en-GB"/>
              </w:rPr>
            </w:pPr>
            <w:r w:rsidRPr="00A37032">
              <w:rPr>
                <w:rFonts w:ascii="Calibri" w:eastAsia="Times New Roman" w:hAnsi="Calibri" w:cs="Calibri"/>
                <w:lang w:eastAsia="en-GB"/>
              </w:rPr>
              <w:t>Donated Assets Reserve</w:t>
            </w:r>
          </w:p>
        </w:tc>
        <w:tc>
          <w:tcPr>
            <w:tcW w:w="2096" w:type="dxa"/>
            <w:tcBorders>
              <w:top w:val="nil"/>
              <w:left w:val="nil"/>
              <w:bottom w:val="nil"/>
              <w:right w:val="nil"/>
            </w:tcBorders>
            <w:shd w:val="clear" w:color="auto" w:fill="FFE1E1"/>
            <w:noWrap/>
            <w:hideMark/>
          </w:tcPr>
          <w:p w14:paraId="1E66A515" w14:textId="5568F15E" w:rsidR="75569B6E" w:rsidRDefault="75569B6E" w:rsidP="5A995008">
            <w:pPr>
              <w:spacing w:line="240" w:lineRule="auto"/>
              <w:jc w:val="right"/>
              <w:rPr>
                <w:rFonts w:ascii="Calibri" w:eastAsia="Times New Roman" w:hAnsi="Calibri" w:cs="Calibri"/>
                <w:lang w:eastAsia="en-GB"/>
              </w:rPr>
            </w:pPr>
            <w:r w:rsidRPr="5A995008">
              <w:rPr>
                <w:rFonts w:ascii="Calibri" w:eastAsia="Times New Roman" w:hAnsi="Calibri" w:cs="Calibri"/>
                <w:lang w:eastAsia="en-GB"/>
              </w:rPr>
              <w:t>(224)</w:t>
            </w:r>
          </w:p>
        </w:tc>
      </w:tr>
      <w:tr w:rsidR="006705F2" w:rsidRPr="006705F2" w14:paraId="1CE6248E" w14:textId="77777777" w:rsidTr="5A995008">
        <w:trPr>
          <w:trHeight w:val="310"/>
        </w:trPr>
        <w:tc>
          <w:tcPr>
            <w:tcW w:w="995" w:type="pct"/>
            <w:tcBorders>
              <w:top w:val="nil"/>
              <w:left w:val="nil"/>
              <w:bottom w:val="nil"/>
              <w:right w:val="nil"/>
            </w:tcBorders>
            <w:shd w:val="clear" w:color="auto" w:fill="FFFFFF" w:themeFill="background1"/>
            <w:noWrap/>
            <w:hideMark/>
          </w:tcPr>
          <w:p w14:paraId="7147D38C" w14:textId="1E106D46" w:rsidR="006705F2" w:rsidRPr="006705F2" w:rsidRDefault="0200CC11" w:rsidP="006705F2">
            <w:pPr>
              <w:spacing w:line="240" w:lineRule="auto"/>
              <w:jc w:val="right"/>
              <w:rPr>
                <w:rFonts w:ascii="Calibri" w:eastAsia="Times New Roman" w:hAnsi="Calibri" w:cs="Calibri"/>
                <w:lang w:eastAsia="en-GB"/>
              </w:rPr>
            </w:pPr>
            <w:r w:rsidRPr="5A995008">
              <w:rPr>
                <w:rFonts w:ascii="Calibri" w:eastAsia="Times New Roman" w:hAnsi="Calibri" w:cs="Calibri"/>
                <w:lang w:eastAsia="en-GB"/>
              </w:rPr>
              <w:t>(32,</w:t>
            </w:r>
            <w:r w:rsidR="52B5D34A" w:rsidRPr="5A995008">
              <w:rPr>
                <w:rFonts w:ascii="Calibri" w:eastAsia="Times New Roman" w:hAnsi="Calibri" w:cs="Calibri"/>
                <w:lang w:eastAsia="en-GB"/>
              </w:rPr>
              <w:t>389</w:t>
            </w:r>
            <w:r w:rsidRPr="5A995008">
              <w:rPr>
                <w:rFonts w:ascii="Calibri" w:eastAsia="Times New Roman" w:hAnsi="Calibri" w:cs="Calibri"/>
                <w:lang w:eastAsia="en-GB"/>
              </w:rPr>
              <w:t>)</w:t>
            </w:r>
          </w:p>
        </w:tc>
        <w:tc>
          <w:tcPr>
            <w:tcW w:w="2986" w:type="pct"/>
            <w:tcBorders>
              <w:top w:val="nil"/>
              <w:left w:val="nil"/>
              <w:bottom w:val="nil"/>
              <w:right w:val="nil"/>
            </w:tcBorders>
            <w:shd w:val="clear" w:color="auto" w:fill="FFFFFF" w:themeFill="background1"/>
            <w:noWrap/>
            <w:hideMark/>
          </w:tcPr>
          <w:p w14:paraId="6B8BA548"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Capital Adjustment Account</w:t>
            </w:r>
          </w:p>
        </w:tc>
        <w:tc>
          <w:tcPr>
            <w:tcW w:w="1019" w:type="pct"/>
            <w:tcBorders>
              <w:top w:val="nil"/>
              <w:left w:val="nil"/>
              <w:bottom w:val="nil"/>
              <w:right w:val="nil"/>
            </w:tcBorders>
            <w:shd w:val="clear" w:color="auto" w:fill="FFE1E1"/>
            <w:noWrap/>
            <w:hideMark/>
          </w:tcPr>
          <w:p w14:paraId="6750AC12" w14:textId="3D84F13D" w:rsidR="006705F2" w:rsidRPr="006705F2" w:rsidRDefault="0200CC11" w:rsidP="006705F2">
            <w:pPr>
              <w:spacing w:line="240" w:lineRule="auto"/>
              <w:jc w:val="right"/>
              <w:rPr>
                <w:rFonts w:ascii="Calibri" w:eastAsia="Times New Roman" w:hAnsi="Calibri" w:cs="Calibri"/>
                <w:lang w:eastAsia="en-GB"/>
              </w:rPr>
            </w:pPr>
            <w:r w:rsidRPr="5A995008">
              <w:rPr>
                <w:rFonts w:ascii="Calibri" w:eastAsia="Times New Roman" w:hAnsi="Calibri" w:cs="Calibri"/>
                <w:lang w:eastAsia="en-GB"/>
              </w:rPr>
              <w:t>(28,</w:t>
            </w:r>
            <w:r w:rsidR="6C94B754" w:rsidRPr="5A995008">
              <w:rPr>
                <w:rFonts w:ascii="Calibri" w:eastAsia="Times New Roman" w:hAnsi="Calibri" w:cs="Calibri"/>
                <w:lang w:eastAsia="en-GB"/>
              </w:rPr>
              <w:t>537</w:t>
            </w:r>
            <w:r w:rsidRPr="5A995008">
              <w:rPr>
                <w:rFonts w:ascii="Calibri" w:eastAsia="Times New Roman" w:hAnsi="Calibri" w:cs="Calibri"/>
                <w:lang w:eastAsia="en-GB"/>
              </w:rPr>
              <w:t>)</w:t>
            </w:r>
          </w:p>
        </w:tc>
      </w:tr>
      <w:tr w:rsidR="006705F2" w:rsidRPr="006705F2" w14:paraId="565C7FA1" w14:textId="77777777" w:rsidTr="5A995008">
        <w:trPr>
          <w:trHeight w:val="310"/>
        </w:trPr>
        <w:tc>
          <w:tcPr>
            <w:tcW w:w="995" w:type="pct"/>
            <w:tcBorders>
              <w:top w:val="single" w:sz="4" w:space="0" w:color="auto"/>
              <w:left w:val="nil"/>
              <w:bottom w:val="single" w:sz="4" w:space="0" w:color="auto"/>
              <w:right w:val="nil"/>
            </w:tcBorders>
            <w:shd w:val="clear" w:color="auto" w:fill="FFFFFF" w:themeFill="background1"/>
            <w:noWrap/>
            <w:hideMark/>
          </w:tcPr>
          <w:p w14:paraId="44151249"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(42,197)</w:t>
            </w:r>
          </w:p>
        </w:tc>
        <w:tc>
          <w:tcPr>
            <w:tcW w:w="2986" w:type="pct"/>
            <w:tcBorders>
              <w:top w:val="single" w:sz="4" w:space="0" w:color="auto"/>
              <w:left w:val="nil"/>
              <w:bottom w:val="single" w:sz="4" w:space="0" w:color="auto"/>
              <w:right w:val="nil"/>
            </w:tcBorders>
            <w:shd w:val="clear" w:color="auto" w:fill="FFFFFF" w:themeFill="background1"/>
            <w:noWrap/>
            <w:hideMark/>
          </w:tcPr>
          <w:p w14:paraId="776B44EC"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Total Unusable Capital Reserves</w:t>
            </w:r>
          </w:p>
        </w:tc>
        <w:tc>
          <w:tcPr>
            <w:tcW w:w="1019" w:type="pct"/>
            <w:tcBorders>
              <w:top w:val="single" w:sz="4" w:space="0" w:color="auto"/>
              <w:left w:val="nil"/>
              <w:bottom w:val="single" w:sz="4" w:space="0" w:color="auto"/>
              <w:right w:val="nil"/>
            </w:tcBorders>
            <w:shd w:val="clear" w:color="auto" w:fill="FFE1E1"/>
            <w:noWrap/>
            <w:hideMark/>
          </w:tcPr>
          <w:p w14:paraId="693FF9BC"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(37,657)</w:t>
            </w:r>
          </w:p>
        </w:tc>
      </w:tr>
      <w:tr w:rsidR="006705F2" w:rsidRPr="006705F2" w14:paraId="22F2656A" w14:textId="77777777" w:rsidTr="5A995008">
        <w:trPr>
          <w:trHeight w:val="310"/>
        </w:trPr>
        <w:tc>
          <w:tcPr>
            <w:tcW w:w="995" w:type="pct"/>
            <w:tcBorders>
              <w:top w:val="nil"/>
              <w:left w:val="nil"/>
              <w:bottom w:val="nil"/>
              <w:right w:val="nil"/>
            </w:tcBorders>
            <w:shd w:val="clear" w:color="auto" w:fill="FFFFFF" w:themeFill="background1"/>
            <w:noWrap/>
            <w:hideMark/>
          </w:tcPr>
          <w:p w14:paraId="359937A1"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c>
          <w:tcPr>
            <w:tcW w:w="2986" w:type="pct"/>
            <w:tcBorders>
              <w:top w:val="nil"/>
              <w:left w:val="nil"/>
              <w:bottom w:val="nil"/>
              <w:right w:val="nil"/>
            </w:tcBorders>
            <w:shd w:val="clear" w:color="auto" w:fill="FFFFFF" w:themeFill="background1"/>
            <w:noWrap/>
            <w:hideMark/>
          </w:tcPr>
          <w:p w14:paraId="51F7E3CB"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 </w:t>
            </w:r>
          </w:p>
        </w:tc>
        <w:tc>
          <w:tcPr>
            <w:tcW w:w="1019" w:type="pct"/>
            <w:tcBorders>
              <w:top w:val="nil"/>
              <w:left w:val="nil"/>
              <w:bottom w:val="nil"/>
              <w:right w:val="nil"/>
            </w:tcBorders>
            <w:shd w:val="clear" w:color="auto" w:fill="FFE1E1"/>
            <w:noWrap/>
            <w:hideMark/>
          </w:tcPr>
          <w:p w14:paraId="2DEAC773"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r>
      <w:tr w:rsidR="006705F2" w:rsidRPr="006705F2" w14:paraId="080A994F" w14:textId="77777777" w:rsidTr="5A995008">
        <w:trPr>
          <w:trHeight w:val="43"/>
        </w:trPr>
        <w:tc>
          <w:tcPr>
            <w:tcW w:w="995" w:type="pct"/>
            <w:tcBorders>
              <w:top w:val="nil"/>
              <w:left w:val="nil"/>
              <w:bottom w:val="nil"/>
              <w:right w:val="nil"/>
            </w:tcBorders>
            <w:shd w:val="clear" w:color="auto" w:fill="FFFFFF" w:themeFill="background1"/>
            <w:noWrap/>
            <w:hideMark/>
          </w:tcPr>
          <w:p w14:paraId="482956CB"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c>
          <w:tcPr>
            <w:tcW w:w="2986" w:type="pct"/>
            <w:tcBorders>
              <w:top w:val="nil"/>
              <w:left w:val="nil"/>
              <w:bottom w:val="nil"/>
              <w:right w:val="nil"/>
            </w:tcBorders>
            <w:shd w:val="clear" w:color="auto" w:fill="FFFFFF" w:themeFill="background1"/>
            <w:noWrap/>
            <w:hideMark/>
          </w:tcPr>
          <w:p w14:paraId="74F387EE" w14:textId="77777777" w:rsidR="006705F2" w:rsidRPr="006705F2" w:rsidRDefault="006705F2" w:rsidP="006705F2">
            <w:pPr>
              <w:spacing w:line="240" w:lineRule="auto"/>
              <w:ind w:firstLineChars="200" w:firstLine="440"/>
              <w:jc w:val="left"/>
              <w:rPr>
                <w:rFonts w:ascii="Calibri" w:eastAsia="Times New Roman" w:hAnsi="Calibri" w:cs="Calibri"/>
                <w:lang w:eastAsia="en-GB"/>
              </w:rPr>
            </w:pPr>
            <w:r w:rsidRPr="006705F2">
              <w:rPr>
                <w:rFonts w:ascii="Calibri" w:eastAsia="Times New Roman" w:hAnsi="Calibri" w:cs="Calibri"/>
                <w:lang w:eastAsia="en-GB"/>
              </w:rPr>
              <w:t> </w:t>
            </w:r>
          </w:p>
        </w:tc>
        <w:tc>
          <w:tcPr>
            <w:tcW w:w="1019" w:type="pct"/>
            <w:tcBorders>
              <w:top w:val="nil"/>
              <w:left w:val="nil"/>
              <w:bottom w:val="nil"/>
              <w:right w:val="nil"/>
            </w:tcBorders>
            <w:shd w:val="clear" w:color="auto" w:fill="FFE1E1"/>
            <w:noWrap/>
            <w:hideMark/>
          </w:tcPr>
          <w:p w14:paraId="3DB29BAA" w14:textId="77777777" w:rsidR="006705F2" w:rsidRPr="006705F2" w:rsidRDefault="006705F2" w:rsidP="006705F2">
            <w:pPr>
              <w:spacing w:line="240" w:lineRule="auto"/>
              <w:jc w:val="right"/>
              <w:rPr>
                <w:rFonts w:ascii="Calibri" w:eastAsia="Times New Roman" w:hAnsi="Calibri" w:cs="Calibri"/>
                <w:lang w:eastAsia="en-GB"/>
              </w:rPr>
            </w:pPr>
            <w:r w:rsidRPr="006705F2">
              <w:rPr>
                <w:rFonts w:ascii="Calibri" w:eastAsia="Times New Roman" w:hAnsi="Calibri" w:cs="Calibri"/>
                <w:lang w:eastAsia="en-GB"/>
              </w:rPr>
              <w:t> </w:t>
            </w:r>
          </w:p>
        </w:tc>
      </w:tr>
      <w:tr w:rsidR="006705F2" w:rsidRPr="006705F2" w14:paraId="3A264ADA" w14:textId="77777777" w:rsidTr="5A995008">
        <w:trPr>
          <w:trHeight w:val="310"/>
        </w:trPr>
        <w:tc>
          <w:tcPr>
            <w:tcW w:w="995" w:type="pct"/>
            <w:tcBorders>
              <w:top w:val="single" w:sz="4" w:space="0" w:color="auto"/>
              <w:left w:val="nil"/>
              <w:bottom w:val="single" w:sz="4" w:space="0" w:color="auto"/>
              <w:right w:val="nil"/>
            </w:tcBorders>
            <w:shd w:val="clear" w:color="auto" w:fill="FFFFFF" w:themeFill="background1"/>
            <w:noWrap/>
            <w:hideMark/>
          </w:tcPr>
          <w:p w14:paraId="19A8294B"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8,772</w:t>
            </w:r>
          </w:p>
        </w:tc>
        <w:tc>
          <w:tcPr>
            <w:tcW w:w="2986" w:type="pct"/>
            <w:tcBorders>
              <w:top w:val="single" w:sz="4" w:space="0" w:color="auto"/>
              <w:left w:val="nil"/>
              <w:bottom w:val="single" w:sz="4" w:space="0" w:color="auto"/>
              <w:right w:val="nil"/>
            </w:tcBorders>
            <w:shd w:val="clear" w:color="auto" w:fill="FFFFFF" w:themeFill="background1"/>
            <w:noWrap/>
            <w:hideMark/>
          </w:tcPr>
          <w:p w14:paraId="6344E18F" w14:textId="77777777" w:rsidR="006705F2" w:rsidRPr="006705F2" w:rsidRDefault="006705F2" w:rsidP="006705F2">
            <w:pPr>
              <w:spacing w:line="240" w:lineRule="auto"/>
              <w:jc w:val="left"/>
              <w:rPr>
                <w:rFonts w:ascii="Calibri" w:eastAsia="Times New Roman" w:hAnsi="Calibri" w:cs="Calibri"/>
                <w:b/>
                <w:bCs/>
                <w:lang w:eastAsia="en-GB"/>
              </w:rPr>
            </w:pPr>
            <w:r w:rsidRPr="006705F2">
              <w:rPr>
                <w:rFonts w:ascii="Calibri" w:eastAsia="Times New Roman" w:hAnsi="Calibri" w:cs="Calibri"/>
                <w:b/>
                <w:bCs/>
                <w:lang w:eastAsia="en-GB"/>
              </w:rPr>
              <w:t>Closing Capital Financing Requirement</w:t>
            </w:r>
          </w:p>
        </w:tc>
        <w:tc>
          <w:tcPr>
            <w:tcW w:w="1019" w:type="pct"/>
            <w:tcBorders>
              <w:top w:val="single" w:sz="4" w:space="0" w:color="auto"/>
              <w:left w:val="nil"/>
              <w:bottom w:val="single" w:sz="4" w:space="0" w:color="auto"/>
              <w:right w:val="nil"/>
            </w:tcBorders>
            <w:shd w:val="clear" w:color="auto" w:fill="FFE1E1"/>
            <w:noWrap/>
            <w:hideMark/>
          </w:tcPr>
          <w:p w14:paraId="648E1772" w14:textId="77777777" w:rsidR="006705F2" w:rsidRPr="006705F2" w:rsidRDefault="006705F2" w:rsidP="006705F2">
            <w:pPr>
              <w:spacing w:line="240" w:lineRule="auto"/>
              <w:jc w:val="right"/>
              <w:rPr>
                <w:rFonts w:ascii="Calibri" w:eastAsia="Times New Roman" w:hAnsi="Calibri" w:cs="Calibri"/>
                <w:b/>
                <w:bCs/>
                <w:lang w:eastAsia="en-GB"/>
              </w:rPr>
            </w:pPr>
            <w:r w:rsidRPr="006705F2">
              <w:rPr>
                <w:rFonts w:ascii="Calibri" w:eastAsia="Times New Roman" w:hAnsi="Calibri" w:cs="Calibri"/>
                <w:b/>
                <w:bCs/>
                <w:lang w:eastAsia="en-GB"/>
              </w:rPr>
              <w:t>9,773</w:t>
            </w:r>
          </w:p>
        </w:tc>
      </w:tr>
    </w:tbl>
    <w:p w14:paraId="27A46DC7" w14:textId="248F3679" w:rsidR="00B7310A" w:rsidRDefault="00B7310A" w:rsidP="00B7310A">
      <w:pPr>
        <w:rPr>
          <w:noProof/>
        </w:rPr>
      </w:pPr>
    </w:p>
    <w:p w14:paraId="7BD00A13" w14:textId="77777777" w:rsidR="00B7310A" w:rsidRDefault="00B7310A" w:rsidP="00B7310A"/>
    <w:p w14:paraId="06E5DD71" w14:textId="615F918D" w:rsidR="00B7310A" w:rsidRPr="004A2CC8" w:rsidRDefault="00B7310A" w:rsidP="002A1ADD">
      <w:pPr>
        <w:pStyle w:val="VAHeadingLevel2"/>
      </w:pPr>
      <w:r w:rsidRPr="004A2CC8">
        <w:t>Note 2</w:t>
      </w:r>
      <w:r w:rsidR="004A2CC8">
        <w:t>5</w:t>
      </w:r>
      <w:r w:rsidRPr="004A2CC8">
        <w:t xml:space="preserve">. </w:t>
      </w:r>
      <w:r w:rsidR="004A2CC8">
        <w:t xml:space="preserve">Capital </w:t>
      </w:r>
      <w:r w:rsidRPr="004A2CC8">
        <w:t xml:space="preserve">Commitments  </w:t>
      </w:r>
    </w:p>
    <w:p w14:paraId="077C3A61" w14:textId="71C441B9" w:rsidR="00524C28" w:rsidRPr="00BE640D" w:rsidRDefault="00B7310A" w:rsidP="00BE640D">
      <w:r w:rsidRPr="008856B4">
        <w:t>NCFRA discloses all material Capital Commitments and after a review of all approved contracts, there were no significant capital commitments in existence prior to 31</w:t>
      </w:r>
      <w:r w:rsidRPr="008856B4">
        <w:rPr>
          <w:vertAlign w:val="superscript"/>
        </w:rPr>
        <w:t>st</w:t>
      </w:r>
      <w:r w:rsidRPr="008856B4">
        <w:t xml:space="preserve"> March 202</w:t>
      </w:r>
      <w:r w:rsidR="0010148F">
        <w:t>5</w:t>
      </w:r>
      <w:r w:rsidRPr="008856B4">
        <w:t xml:space="preserve">.  NCFRA </w:t>
      </w:r>
      <w:r>
        <w:t xml:space="preserve">has a significant capital programme for the next 10 years and therefore the expectation is to spend a material amount on a capital expenditure in future years but as at the </w:t>
      </w:r>
      <w:proofErr w:type="gramStart"/>
      <w:r>
        <w:t>31</w:t>
      </w:r>
      <w:r w:rsidRPr="008856B4">
        <w:rPr>
          <w:vertAlign w:val="superscript"/>
        </w:rPr>
        <w:t>st</w:t>
      </w:r>
      <w:proofErr w:type="gramEnd"/>
      <w:r>
        <w:t xml:space="preserve"> March 202</w:t>
      </w:r>
      <w:r w:rsidR="001A504A">
        <w:t>5</w:t>
      </w:r>
      <w:r>
        <w:t xml:space="preserve"> </w:t>
      </w:r>
      <w:r w:rsidR="00A15705">
        <w:t>NCFRA had</w:t>
      </w:r>
      <w:r>
        <w:t xml:space="preserve"> not entered into any material contracts for delivery in the 202</w:t>
      </w:r>
      <w:r w:rsidR="001A504A">
        <w:t>5</w:t>
      </w:r>
      <w:r>
        <w:t>/2</w:t>
      </w:r>
      <w:r w:rsidR="001A504A">
        <w:t>6</w:t>
      </w:r>
      <w:r>
        <w:t xml:space="preserve"> financial year and beyond.</w:t>
      </w:r>
    </w:p>
    <w:p w14:paraId="0538D7B7" w14:textId="3E70C682" w:rsidR="00743D70" w:rsidRPr="004A2CC8" w:rsidRDefault="00743D70" w:rsidP="002A1ADD">
      <w:pPr>
        <w:pStyle w:val="VAHeadingLevel2"/>
      </w:pPr>
      <w:r w:rsidRPr="004A2CC8">
        <w:lastRenderedPageBreak/>
        <w:t>Note 2</w:t>
      </w:r>
      <w:r w:rsidR="004A2CC8" w:rsidRPr="004A2CC8">
        <w:t>6</w:t>
      </w:r>
      <w:r w:rsidRPr="004A2CC8">
        <w:t xml:space="preserve">. Debtors </w:t>
      </w:r>
    </w:p>
    <w:p w14:paraId="70B84D50" w14:textId="77777777" w:rsidR="00743D70" w:rsidRDefault="00743D70" w:rsidP="00743D70">
      <w:r w:rsidRPr="007F07C2">
        <w:t xml:space="preserve">The analysis of Debtors is shown below: </w:t>
      </w:r>
    </w:p>
    <w:p w14:paraId="03F3E65E" w14:textId="1DF6EA82" w:rsidR="00A25ED3" w:rsidRDefault="00A25ED3" w:rsidP="00743D70">
      <w:pPr>
        <w:rPr>
          <w:rFonts w:cstheme="minorBidi"/>
        </w:rPr>
      </w:pPr>
    </w:p>
    <w:tbl>
      <w:tblPr>
        <w:tblW w:w="0" w:type="auto"/>
        <w:tblLayout w:type="fixed"/>
        <w:tblLook w:val="04A0" w:firstRow="1" w:lastRow="0" w:firstColumn="1" w:lastColumn="0" w:noHBand="0" w:noVBand="1"/>
      </w:tblPr>
      <w:tblGrid>
        <w:gridCol w:w="1865"/>
        <w:gridCol w:w="6657"/>
        <w:gridCol w:w="1853"/>
      </w:tblGrid>
      <w:tr w:rsidR="00A25ED3" w:rsidRPr="00A25ED3" w14:paraId="1CAB0F0B" w14:textId="77777777" w:rsidTr="00515A57">
        <w:trPr>
          <w:trHeight w:val="319"/>
        </w:trPr>
        <w:tc>
          <w:tcPr>
            <w:tcW w:w="1865" w:type="dxa"/>
            <w:tcBorders>
              <w:top w:val="nil"/>
              <w:left w:val="nil"/>
              <w:bottom w:val="nil"/>
              <w:right w:val="nil"/>
            </w:tcBorders>
            <w:shd w:val="clear" w:color="000000" w:fill="AB2328"/>
            <w:noWrap/>
            <w:vAlign w:val="bottom"/>
            <w:hideMark/>
          </w:tcPr>
          <w:p w14:paraId="6562DC2A" w14:textId="4A2EE429"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31 March 2024</w:t>
            </w:r>
          </w:p>
        </w:tc>
        <w:tc>
          <w:tcPr>
            <w:tcW w:w="6657" w:type="dxa"/>
            <w:tcBorders>
              <w:top w:val="nil"/>
              <w:left w:val="nil"/>
              <w:bottom w:val="nil"/>
              <w:right w:val="nil"/>
            </w:tcBorders>
            <w:shd w:val="clear" w:color="000000" w:fill="AB2328"/>
            <w:vAlign w:val="bottom"/>
            <w:hideMark/>
          </w:tcPr>
          <w:p w14:paraId="1CA51E70" w14:textId="77777777"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 </w:t>
            </w:r>
          </w:p>
        </w:tc>
        <w:tc>
          <w:tcPr>
            <w:tcW w:w="1853" w:type="dxa"/>
            <w:tcBorders>
              <w:top w:val="nil"/>
              <w:left w:val="nil"/>
              <w:bottom w:val="nil"/>
              <w:right w:val="nil"/>
            </w:tcBorders>
            <w:shd w:val="clear" w:color="000000" w:fill="AB2328"/>
            <w:noWrap/>
            <w:vAlign w:val="bottom"/>
            <w:hideMark/>
          </w:tcPr>
          <w:p w14:paraId="058D66BD" w14:textId="77777777"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31 March 2025</w:t>
            </w:r>
          </w:p>
        </w:tc>
      </w:tr>
      <w:tr w:rsidR="00A25ED3" w:rsidRPr="00A25ED3" w14:paraId="78409F2D" w14:textId="77777777" w:rsidTr="00515A57">
        <w:trPr>
          <w:trHeight w:val="319"/>
        </w:trPr>
        <w:tc>
          <w:tcPr>
            <w:tcW w:w="1865" w:type="dxa"/>
            <w:tcBorders>
              <w:top w:val="nil"/>
              <w:left w:val="nil"/>
              <w:bottom w:val="nil"/>
              <w:right w:val="nil"/>
            </w:tcBorders>
            <w:shd w:val="clear" w:color="000000" w:fill="AB2328"/>
            <w:noWrap/>
            <w:vAlign w:val="bottom"/>
            <w:hideMark/>
          </w:tcPr>
          <w:p w14:paraId="696CDD2E" w14:textId="77777777"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£000</w:t>
            </w:r>
          </w:p>
        </w:tc>
        <w:tc>
          <w:tcPr>
            <w:tcW w:w="6657" w:type="dxa"/>
            <w:tcBorders>
              <w:top w:val="nil"/>
              <w:left w:val="nil"/>
              <w:bottom w:val="nil"/>
              <w:right w:val="nil"/>
            </w:tcBorders>
            <w:shd w:val="clear" w:color="000000" w:fill="AB2328"/>
            <w:noWrap/>
            <w:vAlign w:val="bottom"/>
            <w:hideMark/>
          </w:tcPr>
          <w:p w14:paraId="106E12CB" w14:textId="77777777"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 </w:t>
            </w:r>
          </w:p>
        </w:tc>
        <w:tc>
          <w:tcPr>
            <w:tcW w:w="1853" w:type="dxa"/>
            <w:tcBorders>
              <w:top w:val="nil"/>
              <w:left w:val="nil"/>
              <w:bottom w:val="nil"/>
              <w:right w:val="nil"/>
            </w:tcBorders>
            <w:shd w:val="clear" w:color="000000" w:fill="AB2328"/>
            <w:noWrap/>
            <w:vAlign w:val="bottom"/>
            <w:hideMark/>
          </w:tcPr>
          <w:p w14:paraId="69D3AA7E" w14:textId="77777777" w:rsidR="00A25ED3" w:rsidRPr="00A25ED3" w:rsidRDefault="00A25ED3" w:rsidP="00A25ED3">
            <w:pPr>
              <w:spacing w:line="240" w:lineRule="auto"/>
              <w:jc w:val="right"/>
              <w:rPr>
                <w:rFonts w:ascii="Calibri" w:eastAsia="Times New Roman" w:hAnsi="Calibri" w:cs="Calibri"/>
                <w:b/>
                <w:bCs/>
                <w:color w:val="FFFFFF"/>
                <w:lang w:eastAsia="en-GB"/>
              </w:rPr>
            </w:pPr>
            <w:r w:rsidRPr="00A25ED3">
              <w:rPr>
                <w:rFonts w:ascii="Calibri" w:eastAsia="Times New Roman" w:hAnsi="Calibri" w:cs="Calibri"/>
                <w:b/>
                <w:bCs/>
                <w:color w:val="FFFFFF"/>
                <w:lang w:eastAsia="en-GB"/>
              </w:rPr>
              <w:t>£000</w:t>
            </w:r>
          </w:p>
        </w:tc>
      </w:tr>
      <w:tr w:rsidR="00373BB6" w:rsidRPr="00A25ED3" w14:paraId="6FAABFF6" w14:textId="77777777" w:rsidTr="00515A57">
        <w:trPr>
          <w:trHeight w:val="319"/>
        </w:trPr>
        <w:tc>
          <w:tcPr>
            <w:tcW w:w="1865" w:type="dxa"/>
            <w:tcBorders>
              <w:top w:val="nil"/>
              <w:left w:val="nil"/>
              <w:bottom w:val="nil"/>
              <w:right w:val="nil"/>
            </w:tcBorders>
            <w:shd w:val="clear" w:color="000000" w:fill="FFFFFF"/>
            <w:noWrap/>
            <w:vAlign w:val="bottom"/>
            <w:hideMark/>
          </w:tcPr>
          <w:p w14:paraId="622787C4" w14:textId="77777777" w:rsidR="00373BB6" w:rsidRPr="00A25ED3" w:rsidRDefault="00373BB6" w:rsidP="00373BB6">
            <w:pPr>
              <w:spacing w:line="240" w:lineRule="auto"/>
              <w:jc w:val="right"/>
              <w:rPr>
                <w:rFonts w:ascii="Calibri" w:eastAsia="Times New Roman" w:hAnsi="Calibri" w:cs="Calibri"/>
                <w:lang w:eastAsia="en-GB"/>
              </w:rPr>
            </w:pPr>
            <w:r w:rsidRPr="00A25ED3">
              <w:rPr>
                <w:rFonts w:ascii="Calibri" w:eastAsia="Times New Roman" w:hAnsi="Calibri" w:cs="Calibri"/>
                <w:lang w:eastAsia="en-GB"/>
              </w:rPr>
              <w:t>692</w:t>
            </w:r>
          </w:p>
        </w:tc>
        <w:tc>
          <w:tcPr>
            <w:tcW w:w="6657" w:type="dxa"/>
            <w:tcBorders>
              <w:top w:val="nil"/>
              <w:left w:val="nil"/>
              <w:bottom w:val="nil"/>
              <w:right w:val="nil"/>
            </w:tcBorders>
            <w:shd w:val="clear" w:color="000000" w:fill="FFFFFF"/>
            <w:vAlign w:val="bottom"/>
            <w:hideMark/>
          </w:tcPr>
          <w:p w14:paraId="21906550" w14:textId="77777777" w:rsidR="00373BB6" w:rsidRPr="00A25ED3" w:rsidRDefault="00373BB6" w:rsidP="00373BB6">
            <w:pPr>
              <w:spacing w:line="240" w:lineRule="auto"/>
              <w:jc w:val="left"/>
              <w:rPr>
                <w:rFonts w:ascii="Calibri" w:eastAsia="Times New Roman" w:hAnsi="Calibri" w:cs="Calibri"/>
                <w:lang w:eastAsia="en-GB"/>
              </w:rPr>
            </w:pPr>
            <w:r w:rsidRPr="00A25ED3">
              <w:rPr>
                <w:rFonts w:ascii="Calibri" w:eastAsia="Times New Roman" w:hAnsi="Calibri" w:cs="Calibri"/>
                <w:lang w:eastAsia="en-GB"/>
              </w:rPr>
              <w:t xml:space="preserve"> Trade Debtors </w:t>
            </w:r>
          </w:p>
        </w:tc>
        <w:tc>
          <w:tcPr>
            <w:tcW w:w="1853" w:type="dxa"/>
            <w:tcBorders>
              <w:top w:val="nil"/>
              <w:left w:val="nil"/>
              <w:bottom w:val="nil"/>
              <w:right w:val="nil"/>
            </w:tcBorders>
            <w:shd w:val="clear" w:color="000000" w:fill="FFE1E1"/>
            <w:noWrap/>
            <w:vAlign w:val="bottom"/>
            <w:hideMark/>
          </w:tcPr>
          <w:p w14:paraId="3B8B723F" w14:textId="4A108870" w:rsidR="00373BB6" w:rsidRPr="00A25ED3" w:rsidRDefault="00373BB6" w:rsidP="00373BB6">
            <w:pPr>
              <w:spacing w:line="240" w:lineRule="auto"/>
              <w:jc w:val="right"/>
              <w:rPr>
                <w:rFonts w:ascii="Calibri" w:eastAsia="Times New Roman" w:hAnsi="Calibri" w:cs="Calibri"/>
                <w:lang w:eastAsia="en-GB"/>
              </w:rPr>
            </w:pPr>
            <w:r>
              <w:rPr>
                <w:rFonts w:ascii="Calibri" w:hAnsi="Calibri" w:cs="Calibri"/>
              </w:rPr>
              <w:t>1,09</w:t>
            </w:r>
            <w:r w:rsidR="002614B7">
              <w:rPr>
                <w:rFonts w:ascii="Calibri" w:hAnsi="Calibri" w:cs="Calibri"/>
              </w:rPr>
              <w:t>2</w:t>
            </w:r>
          </w:p>
        </w:tc>
      </w:tr>
      <w:tr w:rsidR="00373BB6" w:rsidRPr="00A25ED3" w14:paraId="3FE6E1E6" w14:textId="77777777" w:rsidTr="00515A57">
        <w:trPr>
          <w:trHeight w:val="319"/>
        </w:trPr>
        <w:tc>
          <w:tcPr>
            <w:tcW w:w="1865" w:type="dxa"/>
            <w:tcBorders>
              <w:top w:val="nil"/>
              <w:left w:val="nil"/>
              <w:bottom w:val="nil"/>
              <w:right w:val="nil"/>
            </w:tcBorders>
            <w:shd w:val="clear" w:color="000000" w:fill="FFFFFF"/>
            <w:noWrap/>
            <w:vAlign w:val="bottom"/>
            <w:hideMark/>
          </w:tcPr>
          <w:p w14:paraId="049341D9" w14:textId="77777777" w:rsidR="00373BB6" w:rsidRPr="00A25ED3" w:rsidRDefault="00373BB6" w:rsidP="00373BB6">
            <w:pPr>
              <w:spacing w:line="240" w:lineRule="auto"/>
              <w:jc w:val="right"/>
              <w:rPr>
                <w:rFonts w:ascii="Calibri" w:eastAsia="Times New Roman" w:hAnsi="Calibri" w:cs="Calibri"/>
                <w:lang w:eastAsia="en-GB"/>
              </w:rPr>
            </w:pPr>
            <w:r w:rsidRPr="00A25ED3">
              <w:rPr>
                <w:rFonts w:ascii="Calibri" w:eastAsia="Times New Roman" w:hAnsi="Calibri" w:cs="Calibri"/>
                <w:lang w:eastAsia="en-GB"/>
              </w:rPr>
              <w:t>3,119</w:t>
            </w:r>
          </w:p>
        </w:tc>
        <w:tc>
          <w:tcPr>
            <w:tcW w:w="6657" w:type="dxa"/>
            <w:tcBorders>
              <w:top w:val="nil"/>
              <w:left w:val="nil"/>
              <w:bottom w:val="nil"/>
              <w:right w:val="nil"/>
            </w:tcBorders>
            <w:shd w:val="clear" w:color="000000" w:fill="FFFFFF"/>
            <w:vAlign w:val="bottom"/>
            <w:hideMark/>
          </w:tcPr>
          <w:p w14:paraId="2051D084" w14:textId="77777777" w:rsidR="00373BB6" w:rsidRPr="00A25ED3" w:rsidRDefault="00373BB6" w:rsidP="00373BB6">
            <w:pPr>
              <w:spacing w:line="240" w:lineRule="auto"/>
              <w:jc w:val="left"/>
              <w:rPr>
                <w:rFonts w:ascii="Calibri" w:eastAsia="Times New Roman" w:hAnsi="Calibri" w:cs="Calibri"/>
                <w:color w:val="000000"/>
                <w:lang w:eastAsia="en-GB"/>
              </w:rPr>
            </w:pPr>
            <w:r w:rsidRPr="00A25ED3">
              <w:rPr>
                <w:rFonts w:ascii="Calibri" w:eastAsia="Times New Roman" w:hAnsi="Calibri" w:cs="Calibri"/>
                <w:color w:val="000000"/>
                <w:lang w:eastAsia="en-GB"/>
              </w:rPr>
              <w:t xml:space="preserve"> Other Debtors </w:t>
            </w:r>
          </w:p>
        </w:tc>
        <w:tc>
          <w:tcPr>
            <w:tcW w:w="1853" w:type="dxa"/>
            <w:tcBorders>
              <w:top w:val="nil"/>
              <w:left w:val="nil"/>
              <w:bottom w:val="nil"/>
              <w:right w:val="nil"/>
            </w:tcBorders>
            <w:shd w:val="clear" w:color="000000" w:fill="FFE1E1"/>
            <w:noWrap/>
            <w:vAlign w:val="bottom"/>
            <w:hideMark/>
          </w:tcPr>
          <w:p w14:paraId="7DB911A5" w14:textId="3FEDAD15" w:rsidR="00373BB6" w:rsidRPr="00A25ED3" w:rsidRDefault="00373BB6" w:rsidP="00373BB6">
            <w:pPr>
              <w:spacing w:line="240" w:lineRule="auto"/>
              <w:jc w:val="right"/>
              <w:rPr>
                <w:rFonts w:ascii="Calibri" w:eastAsia="Times New Roman" w:hAnsi="Calibri" w:cs="Calibri"/>
                <w:lang w:eastAsia="en-GB"/>
              </w:rPr>
            </w:pPr>
            <w:r>
              <w:rPr>
                <w:rFonts w:ascii="Calibri" w:hAnsi="Calibri" w:cs="Calibri"/>
              </w:rPr>
              <w:t>6,18</w:t>
            </w:r>
            <w:r w:rsidR="00930F98">
              <w:rPr>
                <w:rFonts w:ascii="Calibri" w:hAnsi="Calibri" w:cs="Calibri"/>
              </w:rPr>
              <w:t>3</w:t>
            </w:r>
          </w:p>
        </w:tc>
      </w:tr>
      <w:tr w:rsidR="00373BB6" w:rsidRPr="00A25ED3" w14:paraId="55485347" w14:textId="77777777" w:rsidTr="00515A57">
        <w:trPr>
          <w:trHeight w:val="319"/>
        </w:trPr>
        <w:tc>
          <w:tcPr>
            <w:tcW w:w="1865" w:type="dxa"/>
            <w:tcBorders>
              <w:top w:val="single" w:sz="4" w:space="0" w:color="auto"/>
              <w:left w:val="nil"/>
              <w:bottom w:val="single" w:sz="4" w:space="0" w:color="auto"/>
              <w:right w:val="nil"/>
            </w:tcBorders>
            <w:shd w:val="clear" w:color="000000" w:fill="FFFFFF"/>
            <w:noWrap/>
            <w:vAlign w:val="bottom"/>
            <w:hideMark/>
          </w:tcPr>
          <w:p w14:paraId="1775113E" w14:textId="77777777" w:rsidR="00373BB6" w:rsidRPr="00A25ED3" w:rsidRDefault="00373BB6" w:rsidP="00373BB6">
            <w:pPr>
              <w:spacing w:line="240" w:lineRule="auto"/>
              <w:jc w:val="right"/>
              <w:rPr>
                <w:rFonts w:ascii="Calibri" w:eastAsia="Times New Roman" w:hAnsi="Calibri" w:cs="Calibri"/>
                <w:b/>
                <w:bCs/>
                <w:lang w:eastAsia="en-GB"/>
              </w:rPr>
            </w:pPr>
            <w:r w:rsidRPr="00A25ED3">
              <w:rPr>
                <w:rFonts w:ascii="Calibri" w:eastAsia="Times New Roman" w:hAnsi="Calibri" w:cs="Calibri"/>
                <w:b/>
                <w:bCs/>
                <w:lang w:eastAsia="en-GB"/>
              </w:rPr>
              <w:t>3,811</w:t>
            </w:r>
          </w:p>
        </w:tc>
        <w:tc>
          <w:tcPr>
            <w:tcW w:w="6657" w:type="dxa"/>
            <w:tcBorders>
              <w:top w:val="single" w:sz="4" w:space="0" w:color="auto"/>
              <w:left w:val="nil"/>
              <w:bottom w:val="single" w:sz="4" w:space="0" w:color="auto"/>
              <w:right w:val="nil"/>
            </w:tcBorders>
            <w:shd w:val="clear" w:color="000000" w:fill="FFFFFF"/>
            <w:vAlign w:val="bottom"/>
            <w:hideMark/>
          </w:tcPr>
          <w:p w14:paraId="01234574" w14:textId="77777777" w:rsidR="00373BB6" w:rsidRPr="00A25ED3" w:rsidRDefault="00373BB6" w:rsidP="00373BB6">
            <w:pPr>
              <w:spacing w:line="240" w:lineRule="auto"/>
              <w:jc w:val="left"/>
              <w:rPr>
                <w:rFonts w:ascii="Calibri" w:eastAsia="Times New Roman" w:hAnsi="Calibri" w:cs="Calibri"/>
                <w:b/>
                <w:bCs/>
                <w:lang w:eastAsia="en-GB"/>
              </w:rPr>
            </w:pPr>
            <w:r w:rsidRPr="00A25ED3">
              <w:rPr>
                <w:rFonts w:ascii="Calibri" w:eastAsia="Times New Roman" w:hAnsi="Calibri" w:cs="Calibri"/>
                <w:b/>
                <w:bCs/>
                <w:lang w:eastAsia="en-GB"/>
              </w:rPr>
              <w:t xml:space="preserve"> Total Debtors </w:t>
            </w:r>
          </w:p>
        </w:tc>
        <w:tc>
          <w:tcPr>
            <w:tcW w:w="1853" w:type="dxa"/>
            <w:tcBorders>
              <w:top w:val="single" w:sz="4" w:space="0" w:color="auto"/>
              <w:left w:val="nil"/>
              <w:bottom w:val="single" w:sz="4" w:space="0" w:color="auto"/>
              <w:right w:val="nil"/>
            </w:tcBorders>
            <w:shd w:val="clear" w:color="000000" w:fill="FFE1E1"/>
            <w:noWrap/>
            <w:vAlign w:val="bottom"/>
            <w:hideMark/>
          </w:tcPr>
          <w:p w14:paraId="412C2305" w14:textId="0C9FCAF6" w:rsidR="00373BB6" w:rsidRPr="00A25ED3" w:rsidRDefault="00373BB6" w:rsidP="00373BB6">
            <w:pPr>
              <w:spacing w:line="240" w:lineRule="auto"/>
              <w:jc w:val="right"/>
              <w:rPr>
                <w:rFonts w:ascii="Calibri" w:eastAsia="Times New Roman" w:hAnsi="Calibri" w:cs="Calibri"/>
                <w:b/>
                <w:bCs/>
                <w:lang w:eastAsia="en-GB"/>
              </w:rPr>
            </w:pPr>
            <w:r>
              <w:rPr>
                <w:rFonts w:ascii="Calibri" w:hAnsi="Calibri" w:cs="Calibri"/>
                <w:b/>
                <w:bCs/>
              </w:rPr>
              <w:t>7,27</w:t>
            </w:r>
            <w:r w:rsidR="00930F98">
              <w:rPr>
                <w:rFonts w:ascii="Calibri" w:hAnsi="Calibri" w:cs="Calibri"/>
                <w:b/>
                <w:bCs/>
              </w:rPr>
              <w:t>6</w:t>
            </w:r>
          </w:p>
        </w:tc>
      </w:tr>
    </w:tbl>
    <w:p w14:paraId="2BF3FB74" w14:textId="2A47C254" w:rsidR="00743D70" w:rsidRDefault="00743D70" w:rsidP="00743D70"/>
    <w:p w14:paraId="4A0258EC" w14:textId="3B568F4B" w:rsidR="00743D70" w:rsidRDefault="00743D70" w:rsidP="00743D70">
      <w:r w:rsidRPr="00B81411">
        <w:t xml:space="preserve">Trade Debtors consist primarily of payments in advance made to suppliers for goods and services.  Other debtors include the Authority’s share of Council Tax and Business Rates debtors due to be paid to </w:t>
      </w:r>
      <w:r>
        <w:t>the Northamptonshire Unitary Authorities</w:t>
      </w:r>
      <w:r w:rsidRPr="00B81411">
        <w:t xml:space="preserve"> by taxpayers, grants and from other local government organisations for a variety of arrangements.</w:t>
      </w:r>
    </w:p>
    <w:p w14:paraId="6FD1AF9B" w14:textId="6324F969" w:rsidR="00743D70" w:rsidRDefault="00F1536E" w:rsidP="00743D70">
      <w:r>
        <w:t xml:space="preserve">In 2024/25 the Authority experienced </w:t>
      </w:r>
      <w:r w:rsidR="00DE5A0D">
        <w:t>a significant increase in the V</w:t>
      </w:r>
      <w:r w:rsidR="00680201">
        <w:t>AT</w:t>
      </w:r>
      <w:r w:rsidR="00DE5A0D">
        <w:t xml:space="preserve"> debtor, which was due to be paid by HMRC after the Balance Sheet date.</w:t>
      </w:r>
    </w:p>
    <w:p w14:paraId="1573D22C" w14:textId="77777777" w:rsidR="00DE5A0D" w:rsidRPr="00B81411" w:rsidRDefault="00DE5A0D" w:rsidP="00743D70"/>
    <w:p w14:paraId="4CD3759E" w14:textId="3A185290" w:rsidR="00743D70" w:rsidRPr="00FF4E73" w:rsidRDefault="00743D70" w:rsidP="002A1ADD">
      <w:pPr>
        <w:pStyle w:val="VAHeadingLevel2"/>
      </w:pPr>
      <w:r w:rsidRPr="00FF4E73">
        <w:t>Note 2</w:t>
      </w:r>
      <w:r w:rsidR="00FF4E73">
        <w:t>7</w:t>
      </w:r>
      <w:r w:rsidRPr="00FF4E73">
        <w:t xml:space="preserve">. Inventories </w:t>
      </w:r>
    </w:p>
    <w:p w14:paraId="20146395" w14:textId="73CFA396" w:rsidR="00743D70" w:rsidRDefault="00743D70" w:rsidP="00743D70">
      <w:r w:rsidRPr="007F07C2">
        <w:t xml:space="preserve">The values of stock items held are summarised in the table below: </w:t>
      </w:r>
    </w:p>
    <w:p w14:paraId="55AD09D7" w14:textId="0A20E041" w:rsidR="00FF4E73" w:rsidRDefault="00FF4E73" w:rsidP="00743D70">
      <w:pPr>
        <w:rPr>
          <w:rFonts w:cstheme="minorBidi"/>
        </w:rPr>
      </w:pPr>
    </w:p>
    <w:tbl>
      <w:tblPr>
        <w:tblW w:w="5000" w:type="pct"/>
        <w:tblLook w:val="04A0" w:firstRow="1" w:lastRow="0" w:firstColumn="1" w:lastColumn="0" w:noHBand="0" w:noVBand="1"/>
      </w:tblPr>
      <w:tblGrid>
        <w:gridCol w:w="1863"/>
        <w:gridCol w:w="6657"/>
        <w:gridCol w:w="1855"/>
      </w:tblGrid>
      <w:tr w:rsidR="00C07C49" w:rsidRPr="00227822" w14:paraId="6BAD20C5" w14:textId="77777777" w:rsidTr="00C07C49">
        <w:trPr>
          <w:trHeight w:val="320"/>
        </w:trPr>
        <w:tc>
          <w:tcPr>
            <w:tcW w:w="898" w:type="pct"/>
            <w:tcBorders>
              <w:top w:val="nil"/>
              <w:left w:val="nil"/>
              <w:bottom w:val="nil"/>
              <w:right w:val="nil"/>
            </w:tcBorders>
            <w:shd w:val="clear" w:color="000000" w:fill="AB2328"/>
            <w:vAlign w:val="bottom"/>
            <w:hideMark/>
          </w:tcPr>
          <w:p w14:paraId="08CBF212"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31 March 2024</w:t>
            </w:r>
          </w:p>
        </w:tc>
        <w:tc>
          <w:tcPr>
            <w:tcW w:w="3208" w:type="pct"/>
            <w:tcBorders>
              <w:top w:val="nil"/>
              <w:left w:val="nil"/>
              <w:bottom w:val="nil"/>
              <w:right w:val="nil"/>
            </w:tcBorders>
            <w:shd w:val="clear" w:color="000000" w:fill="AB2328"/>
            <w:vAlign w:val="bottom"/>
            <w:hideMark/>
          </w:tcPr>
          <w:p w14:paraId="13125D35"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vAlign w:val="bottom"/>
            <w:hideMark/>
          </w:tcPr>
          <w:p w14:paraId="428E645D"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31 March 2025</w:t>
            </w:r>
          </w:p>
        </w:tc>
      </w:tr>
      <w:tr w:rsidR="00C07C49" w:rsidRPr="00227822" w14:paraId="49FB13B1" w14:textId="77777777" w:rsidTr="00C07C49">
        <w:trPr>
          <w:trHeight w:val="320"/>
        </w:trPr>
        <w:tc>
          <w:tcPr>
            <w:tcW w:w="898" w:type="pct"/>
            <w:tcBorders>
              <w:top w:val="nil"/>
              <w:left w:val="nil"/>
              <w:bottom w:val="nil"/>
              <w:right w:val="nil"/>
            </w:tcBorders>
            <w:shd w:val="clear" w:color="000000" w:fill="AB2328"/>
            <w:noWrap/>
            <w:vAlign w:val="bottom"/>
            <w:hideMark/>
          </w:tcPr>
          <w:p w14:paraId="6BCF0F5D"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£000</w:t>
            </w:r>
          </w:p>
        </w:tc>
        <w:tc>
          <w:tcPr>
            <w:tcW w:w="3208" w:type="pct"/>
            <w:tcBorders>
              <w:top w:val="nil"/>
              <w:left w:val="nil"/>
              <w:bottom w:val="nil"/>
              <w:right w:val="nil"/>
            </w:tcBorders>
            <w:shd w:val="clear" w:color="000000" w:fill="AB2328"/>
            <w:noWrap/>
            <w:vAlign w:val="bottom"/>
            <w:hideMark/>
          </w:tcPr>
          <w:p w14:paraId="018D4EE9"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2518F851" w14:textId="77777777" w:rsidR="00227822" w:rsidRPr="00227822" w:rsidRDefault="00227822" w:rsidP="00227822">
            <w:pPr>
              <w:spacing w:line="240" w:lineRule="auto"/>
              <w:jc w:val="right"/>
              <w:rPr>
                <w:rFonts w:ascii="Calibri" w:eastAsia="Times New Roman" w:hAnsi="Calibri" w:cs="Calibri"/>
                <w:b/>
                <w:bCs/>
                <w:color w:val="FFFFFF"/>
                <w:lang w:eastAsia="en-GB"/>
              </w:rPr>
            </w:pPr>
            <w:r w:rsidRPr="00227822">
              <w:rPr>
                <w:rFonts w:ascii="Calibri" w:eastAsia="Times New Roman" w:hAnsi="Calibri" w:cs="Calibri"/>
                <w:b/>
                <w:bCs/>
                <w:color w:val="FFFFFF"/>
                <w:lang w:eastAsia="en-GB"/>
              </w:rPr>
              <w:t>£000</w:t>
            </w:r>
          </w:p>
        </w:tc>
      </w:tr>
      <w:tr w:rsidR="00C07C49" w:rsidRPr="00227822" w14:paraId="1C92A89D" w14:textId="77777777" w:rsidTr="00C07C49">
        <w:trPr>
          <w:trHeight w:val="320"/>
        </w:trPr>
        <w:tc>
          <w:tcPr>
            <w:tcW w:w="898" w:type="pct"/>
            <w:tcBorders>
              <w:top w:val="nil"/>
              <w:left w:val="nil"/>
              <w:bottom w:val="nil"/>
              <w:right w:val="nil"/>
            </w:tcBorders>
            <w:shd w:val="clear" w:color="000000" w:fill="FFFFFF"/>
            <w:noWrap/>
            <w:vAlign w:val="bottom"/>
            <w:hideMark/>
          </w:tcPr>
          <w:p w14:paraId="402F5198"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264</w:t>
            </w:r>
          </w:p>
        </w:tc>
        <w:tc>
          <w:tcPr>
            <w:tcW w:w="3208" w:type="pct"/>
            <w:tcBorders>
              <w:top w:val="nil"/>
              <w:left w:val="nil"/>
              <w:bottom w:val="nil"/>
              <w:right w:val="nil"/>
            </w:tcBorders>
            <w:shd w:val="clear" w:color="000000" w:fill="FFFFFF"/>
            <w:vAlign w:val="bottom"/>
            <w:hideMark/>
          </w:tcPr>
          <w:p w14:paraId="7259FFBE" w14:textId="77777777" w:rsidR="00227822" w:rsidRPr="00227822" w:rsidRDefault="00227822" w:rsidP="00227822">
            <w:pPr>
              <w:spacing w:line="240" w:lineRule="auto"/>
              <w:jc w:val="left"/>
              <w:rPr>
                <w:rFonts w:ascii="Calibri" w:eastAsia="Times New Roman" w:hAnsi="Calibri" w:cs="Calibri"/>
                <w:lang w:eastAsia="en-GB"/>
              </w:rPr>
            </w:pPr>
            <w:r w:rsidRPr="00227822">
              <w:rPr>
                <w:rFonts w:ascii="Calibri" w:eastAsia="Times New Roman" w:hAnsi="Calibri" w:cs="Calibri"/>
                <w:lang w:eastAsia="en-GB"/>
              </w:rPr>
              <w:t xml:space="preserve"> Opening Balance </w:t>
            </w:r>
          </w:p>
        </w:tc>
        <w:tc>
          <w:tcPr>
            <w:tcW w:w="894" w:type="pct"/>
            <w:tcBorders>
              <w:top w:val="nil"/>
              <w:left w:val="nil"/>
              <w:bottom w:val="nil"/>
              <w:right w:val="nil"/>
            </w:tcBorders>
            <w:shd w:val="clear" w:color="000000" w:fill="FFE1E1"/>
            <w:noWrap/>
            <w:vAlign w:val="bottom"/>
            <w:hideMark/>
          </w:tcPr>
          <w:p w14:paraId="01B51FD4"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343</w:t>
            </w:r>
          </w:p>
        </w:tc>
      </w:tr>
      <w:tr w:rsidR="00C07C49" w:rsidRPr="00227822" w14:paraId="346C0E03" w14:textId="77777777" w:rsidTr="00C07C49">
        <w:trPr>
          <w:trHeight w:val="320"/>
        </w:trPr>
        <w:tc>
          <w:tcPr>
            <w:tcW w:w="898" w:type="pct"/>
            <w:tcBorders>
              <w:top w:val="nil"/>
              <w:left w:val="nil"/>
              <w:bottom w:val="nil"/>
              <w:right w:val="nil"/>
            </w:tcBorders>
            <w:shd w:val="clear" w:color="000000" w:fill="FFFFFF"/>
            <w:noWrap/>
            <w:vAlign w:val="bottom"/>
            <w:hideMark/>
          </w:tcPr>
          <w:p w14:paraId="415B430A"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224</w:t>
            </w:r>
          </w:p>
        </w:tc>
        <w:tc>
          <w:tcPr>
            <w:tcW w:w="3208" w:type="pct"/>
            <w:tcBorders>
              <w:top w:val="nil"/>
              <w:left w:val="nil"/>
              <w:bottom w:val="nil"/>
              <w:right w:val="nil"/>
            </w:tcBorders>
            <w:shd w:val="clear" w:color="000000" w:fill="FFFFFF"/>
            <w:vAlign w:val="bottom"/>
            <w:hideMark/>
          </w:tcPr>
          <w:p w14:paraId="6527A35C" w14:textId="77777777" w:rsidR="00227822" w:rsidRPr="00227822" w:rsidRDefault="00227822" w:rsidP="00227822">
            <w:pPr>
              <w:spacing w:line="240" w:lineRule="auto"/>
              <w:jc w:val="left"/>
              <w:rPr>
                <w:rFonts w:ascii="Calibri" w:eastAsia="Times New Roman" w:hAnsi="Calibri" w:cs="Calibri"/>
                <w:lang w:eastAsia="en-GB"/>
              </w:rPr>
            </w:pPr>
            <w:r w:rsidRPr="00227822">
              <w:rPr>
                <w:rFonts w:ascii="Calibri" w:eastAsia="Times New Roman" w:hAnsi="Calibri" w:cs="Calibri"/>
                <w:lang w:eastAsia="en-GB"/>
              </w:rPr>
              <w:t xml:space="preserve"> Purchases </w:t>
            </w:r>
          </w:p>
        </w:tc>
        <w:tc>
          <w:tcPr>
            <w:tcW w:w="894" w:type="pct"/>
            <w:tcBorders>
              <w:top w:val="nil"/>
              <w:left w:val="nil"/>
              <w:bottom w:val="nil"/>
              <w:right w:val="nil"/>
            </w:tcBorders>
            <w:shd w:val="clear" w:color="000000" w:fill="FFE1E1"/>
            <w:noWrap/>
            <w:vAlign w:val="bottom"/>
            <w:hideMark/>
          </w:tcPr>
          <w:p w14:paraId="3CB2DA43"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276</w:t>
            </w:r>
          </w:p>
        </w:tc>
      </w:tr>
      <w:tr w:rsidR="00C07C49" w:rsidRPr="00227822" w14:paraId="43C33908" w14:textId="77777777" w:rsidTr="00C07C49">
        <w:trPr>
          <w:trHeight w:val="320"/>
        </w:trPr>
        <w:tc>
          <w:tcPr>
            <w:tcW w:w="898" w:type="pct"/>
            <w:tcBorders>
              <w:top w:val="nil"/>
              <w:left w:val="nil"/>
              <w:bottom w:val="nil"/>
              <w:right w:val="nil"/>
            </w:tcBorders>
            <w:shd w:val="clear" w:color="000000" w:fill="FFFFFF"/>
            <w:noWrap/>
            <w:vAlign w:val="bottom"/>
            <w:hideMark/>
          </w:tcPr>
          <w:p w14:paraId="3062627B"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(145)</w:t>
            </w:r>
          </w:p>
        </w:tc>
        <w:tc>
          <w:tcPr>
            <w:tcW w:w="3208" w:type="pct"/>
            <w:tcBorders>
              <w:top w:val="nil"/>
              <w:left w:val="nil"/>
              <w:bottom w:val="nil"/>
              <w:right w:val="nil"/>
            </w:tcBorders>
            <w:shd w:val="clear" w:color="000000" w:fill="FFFFFF"/>
            <w:vAlign w:val="bottom"/>
            <w:hideMark/>
          </w:tcPr>
          <w:p w14:paraId="4968D6E9" w14:textId="77777777" w:rsidR="00227822" w:rsidRPr="00227822" w:rsidRDefault="00227822" w:rsidP="00227822">
            <w:pPr>
              <w:spacing w:line="240" w:lineRule="auto"/>
              <w:jc w:val="left"/>
              <w:rPr>
                <w:rFonts w:ascii="Calibri" w:eastAsia="Times New Roman" w:hAnsi="Calibri" w:cs="Calibri"/>
                <w:lang w:eastAsia="en-GB"/>
              </w:rPr>
            </w:pPr>
            <w:r w:rsidRPr="00227822">
              <w:rPr>
                <w:rFonts w:ascii="Calibri" w:eastAsia="Times New Roman" w:hAnsi="Calibri" w:cs="Calibri"/>
                <w:lang w:eastAsia="en-GB"/>
              </w:rPr>
              <w:t xml:space="preserve"> Recognised as an expense in year </w:t>
            </w:r>
          </w:p>
        </w:tc>
        <w:tc>
          <w:tcPr>
            <w:tcW w:w="894" w:type="pct"/>
            <w:tcBorders>
              <w:top w:val="nil"/>
              <w:left w:val="nil"/>
              <w:bottom w:val="nil"/>
              <w:right w:val="nil"/>
            </w:tcBorders>
            <w:shd w:val="clear" w:color="000000" w:fill="FFE1E1"/>
            <w:noWrap/>
            <w:vAlign w:val="bottom"/>
            <w:hideMark/>
          </w:tcPr>
          <w:p w14:paraId="56097465" w14:textId="77777777" w:rsidR="00227822" w:rsidRPr="00227822" w:rsidRDefault="00227822" w:rsidP="00227822">
            <w:pPr>
              <w:spacing w:line="240" w:lineRule="auto"/>
              <w:jc w:val="right"/>
              <w:rPr>
                <w:rFonts w:ascii="Calibri" w:eastAsia="Times New Roman" w:hAnsi="Calibri" w:cs="Calibri"/>
                <w:lang w:eastAsia="en-GB"/>
              </w:rPr>
            </w:pPr>
            <w:r w:rsidRPr="00227822">
              <w:rPr>
                <w:rFonts w:ascii="Calibri" w:eastAsia="Times New Roman" w:hAnsi="Calibri" w:cs="Calibri"/>
                <w:lang w:eastAsia="en-GB"/>
              </w:rPr>
              <w:t>(170)</w:t>
            </w:r>
          </w:p>
        </w:tc>
      </w:tr>
      <w:tr w:rsidR="00C07C49" w:rsidRPr="00227822" w14:paraId="012BAF65" w14:textId="77777777" w:rsidTr="00C07C49">
        <w:trPr>
          <w:trHeight w:val="320"/>
        </w:trPr>
        <w:tc>
          <w:tcPr>
            <w:tcW w:w="898" w:type="pct"/>
            <w:tcBorders>
              <w:top w:val="single" w:sz="4" w:space="0" w:color="auto"/>
              <w:left w:val="nil"/>
              <w:bottom w:val="single" w:sz="4" w:space="0" w:color="auto"/>
              <w:right w:val="nil"/>
            </w:tcBorders>
            <w:shd w:val="clear" w:color="000000" w:fill="FFFFFF"/>
            <w:noWrap/>
            <w:vAlign w:val="bottom"/>
            <w:hideMark/>
          </w:tcPr>
          <w:p w14:paraId="336FC8CA" w14:textId="77777777" w:rsidR="00227822" w:rsidRPr="00227822" w:rsidRDefault="00227822" w:rsidP="00227822">
            <w:pPr>
              <w:spacing w:line="240" w:lineRule="auto"/>
              <w:jc w:val="right"/>
              <w:rPr>
                <w:rFonts w:ascii="Calibri" w:eastAsia="Times New Roman" w:hAnsi="Calibri" w:cs="Calibri"/>
                <w:b/>
                <w:bCs/>
                <w:lang w:eastAsia="en-GB"/>
              </w:rPr>
            </w:pPr>
            <w:r w:rsidRPr="00227822">
              <w:rPr>
                <w:rFonts w:ascii="Calibri" w:eastAsia="Times New Roman" w:hAnsi="Calibri" w:cs="Calibri"/>
                <w:b/>
                <w:bCs/>
                <w:lang w:eastAsia="en-GB"/>
              </w:rPr>
              <w:t>343</w:t>
            </w:r>
          </w:p>
        </w:tc>
        <w:tc>
          <w:tcPr>
            <w:tcW w:w="3208" w:type="pct"/>
            <w:tcBorders>
              <w:top w:val="single" w:sz="4" w:space="0" w:color="auto"/>
              <w:left w:val="nil"/>
              <w:bottom w:val="single" w:sz="4" w:space="0" w:color="auto"/>
              <w:right w:val="nil"/>
            </w:tcBorders>
            <w:shd w:val="clear" w:color="000000" w:fill="FFFFFF"/>
            <w:vAlign w:val="bottom"/>
            <w:hideMark/>
          </w:tcPr>
          <w:p w14:paraId="6276C1E6" w14:textId="77777777" w:rsidR="00227822" w:rsidRPr="00227822" w:rsidRDefault="00227822" w:rsidP="00227822">
            <w:pPr>
              <w:spacing w:line="240" w:lineRule="auto"/>
              <w:jc w:val="left"/>
              <w:rPr>
                <w:rFonts w:ascii="Calibri" w:eastAsia="Times New Roman" w:hAnsi="Calibri" w:cs="Calibri"/>
                <w:b/>
                <w:bCs/>
                <w:lang w:eastAsia="en-GB"/>
              </w:rPr>
            </w:pPr>
            <w:r w:rsidRPr="00227822">
              <w:rPr>
                <w:rFonts w:ascii="Calibri" w:eastAsia="Times New Roman" w:hAnsi="Calibri" w:cs="Calibri"/>
                <w:b/>
                <w:bCs/>
                <w:lang w:eastAsia="en-GB"/>
              </w:rPr>
              <w:t xml:space="preserve"> Total Inventories </w:t>
            </w:r>
          </w:p>
        </w:tc>
        <w:tc>
          <w:tcPr>
            <w:tcW w:w="894" w:type="pct"/>
            <w:tcBorders>
              <w:top w:val="single" w:sz="4" w:space="0" w:color="auto"/>
              <w:left w:val="nil"/>
              <w:bottom w:val="single" w:sz="4" w:space="0" w:color="auto"/>
              <w:right w:val="nil"/>
            </w:tcBorders>
            <w:shd w:val="clear" w:color="000000" w:fill="FFE1E1"/>
            <w:noWrap/>
            <w:vAlign w:val="bottom"/>
            <w:hideMark/>
          </w:tcPr>
          <w:p w14:paraId="00F99091" w14:textId="77777777" w:rsidR="00227822" w:rsidRPr="00227822" w:rsidRDefault="00227822" w:rsidP="00227822">
            <w:pPr>
              <w:spacing w:line="240" w:lineRule="auto"/>
              <w:jc w:val="right"/>
              <w:rPr>
                <w:rFonts w:ascii="Calibri" w:eastAsia="Times New Roman" w:hAnsi="Calibri" w:cs="Calibri"/>
                <w:b/>
                <w:bCs/>
                <w:lang w:eastAsia="en-GB"/>
              </w:rPr>
            </w:pPr>
            <w:r w:rsidRPr="00227822">
              <w:rPr>
                <w:rFonts w:ascii="Calibri" w:eastAsia="Times New Roman" w:hAnsi="Calibri" w:cs="Calibri"/>
                <w:b/>
                <w:bCs/>
                <w:lang w:eastAsia="en-GB"/>
              </w:rPr>
              <w:t>449</w:t>
            </w:r>
          </w:p>
        </w:tc>
      </w:tr>
    </w:tbl>
    <w:p w14:paraId="55EBA1F1" w14:textId="77777777" w:rsidR="00F46148" w:rsidRDefault="00F46148" w:rsidP="00F46148"/>
    <w:p w14:paraId="59BEA432" w14:textId="56BA046D" w:rsidR="00743D70" w:rsidRPr="00B05389" w:rsidRDefault="00743D70" w:rsidP="002A1ADD">
      <w:pPr>
        <w:pStyle w:val="VAHeadingLevel2"/>
      </w:pPr>
      <w:r w:rsidRPr="00B05389">
        <w:t>Note 2</w:t>
      </w:r>
      <w:r w:rsidR="00FF4E73" w:rsidRPr="00B05389">
        <w:t>8</w:t>
      </w:r>
      <w:r w:rsidRPr="00B05389">
        <w:t>. Provisions</w:t>
      </w:r>
    </w:p>
    <w:p w14:paraId="01ADF60C" w14:textId="77777777" w:rsidR="00743D70" w:rsidRDefault="00743D70" w:rsidP="00743D70">
      <w:pPr>
        <w:rPr>
          <w:color w:val="1F497D"/>
        </w:rPr>
      </w:pPr>
      <w:r w:rsidRPr="007F07C2">
        <w:t xml:space="preserve">Each </w:t>
      </w:r>
      <w:r>
        <w:t>Unitary</w:t>
      </w:r>
      <w:r w:rsidRPr="007F07C2">
        <w:t xml:space="preserve"> Council, based on their local data, calculates a provision for potential losses arising from ratepayers successfully appealing the level of their property’s rateable value. </w:t>
      </w:r>
      <w:r>
        <w:t xml:space="preserve"> </w:t>
      </w:r>
      <w:r w:rsidRPr="007F07C2">
        <w:t>A proportion of each provision (currently 1%) is allocated to the Authority and recognised in the accounts</w:t>
      </w:r>
      <w:r w:rsidRPr="007F07C2">
        <w:rPr>
          <w:color w:val="1F497D"/>
        </w:rPr>
        <w:t>.</w:t>
      </w:r>
    </w:p>
    <w:p w14:paraId="26A166B4" w14:textId="2C5AB2FA" w:rsidR="005D6D33" w:rsidRDefault="005D6D33" w:rsidP="00743D70">
      <w:pPr>
        <w:rPr>
          <w:rFonts w:cstheme="minorBidi"/>
        </w:rPr>
      </w:pPr>
    </w:p>
    <w:tbl>
      <w:tblPr>
        <w:tblW w:w="5000" w:type="pct"/>
        <w:tblLook w:val="04A0" w:firstRow="1" w:lastRow="0" w:firstColumn="1" w:lastColumn="0" w:noHBand="0" w:noVBand="1"/>
      </w:tblPr>
      <w:tblGrid>
        <w:gridCol w:w="1865"/>
        <w:gridCol w:w="6657"/>
        <w:gridCol w:w="1853"/>
      </w:tblGrid>
      <w:tr w:rsidR="005D6D33" w:rsidRPr="005D6D33" w14:paraId="175EC00F" w14:textId="77777777" w:rsidTr="00B34BFE">
        <w:trPr>
          <w:trHeight w:val="315"/>
        </w:trPr>
        <w:tc>
          <w:tcPr>
            <w:tcW w:w="899" w:type="pct"/>
            <w:tcBorders>
              <w:top w:val="nil"/>
              <w:left w:val="nil"/>
              <w:bottom w:val="nil"/>
              <w:right w:val="nil"/>
            </w:tcBorders>
            <w:shd w:val="clear" w:color="000000" w:fill="AB2328"/>
            <w:noWrap/>
            <w:hideMark/>
          </w:tcPr>
          <w:p w14:paraId="38631336" w14:textId="2C2BC7EC" w:rsidR="005D6D33" w:rsidRPr="005D6D33" w:rsidRDefault="005D6D33" w:rsidP="005D6D33">
            <w:pPr>
              <w:spacing w:line="240" w:lineRule="auto"/>
              <w:jc w:val="right"/>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31 March 2024</w:t>
            </w:r>
          </w:p>
        </w:tc>
        <w:tc>
          <w:tcPr>
            <w:tcW w:w="3207" w:type="pct"/>
            <w:tcBorders>
              <w:top w:val="nil"/>
              <w:left w:val="nil"/>
              <w:bottom w:val="nil"/>
              <w:right w:val="nil"/>
            </w:tcBorders>
            <w:shd w:val="clear" w:color="000000" w:fill="AB2328"/>
            <w:noWrap/>
            <w:hideMark/>
          </w:tcPr>
          <w:p w14:paraId="4BE4C50D" w14:textId="77777777" w:rsidR="005D6D33" w:rsidRPr="005D6D33" w:rsidRDefault="005D6D33" w:rsidP="005D6D33">
            <w:pPr>
              <w:spacing w:line="240" w:lineRule="auto"/>
              <w:jc w:val="center"/>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 </w:t>
            </w:r>
          </w:p>
        </w:tc>
        <w:tc>
          <w:tcPr>
            <w:tcW w:w="893" w:type="pct"/>
            <w:tcBorders>
              <w:top w:val="nil"/>
              <w:left w:val="nil"/>
              <w:bottom w:val="nil"/>
              <w:right w:val="nil"/>
            </w:tcBorders>
            <w:shd w:val="clear" w:color="000000" w:fill="AB2328"/>
            <w:noWrap/>
            <w:hideMark/>
          </w:tcPr>
          <w:p w14:paraId="226853AC" w14:textId="77777777" w:rsidR="005D6D33" w:rsidRPr="005D6D33" w:rsidRDefault="005D6D33" w:rsidP="005D6D33">
            <w:pPr>
              <w:spacing w:line="240" w:lineRule="auto"/>
              <w:jc w:val="right"/>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31 March 2025</w:t>
            </w:r>
          </w:p>
        </w:tc>
      </w:tr>
      <w:tr w:rsidR="005D6D33" w:rsidRPr="005D6D33" w14:paraId="2FD5D3AB" w14:textId="77777777" w:rsidTr="00B34BFE">
        <w:trPr>
          <w:trHeight w:val="315"/>
        </w:trPr>
        <w:tc>
          <w:tcPr>
            <w:tcW w:w="899" w:type="pct"/>
            <w:tcBorders>
              <w:top w:val="nil"/>
              <w:left w:val="nil"/>
              <w:bottom w:val="nil"/>
              <w:right w:val="nil"/>
            </w:tcBorders>
            <w:shd w:val="clear" w:color="000000" w:fill="AB2328"/>
            <w:noWrap/>
            <w:vAlign w:val="bottom"/>
            <w:hideMark/>
          </w:tcPr>
          <w:p w14:paraId="28FAB95F" w14:textId="77777777" w:rsidR="005D6D33" w:rsidRPr="005D6D33" w:rsidRDefault="005D6D33" w:rsidP="005D6D33">
            <w:pPr>
              <w:spacing w:line="240" w:lineRule="auto"/>
              <w:jc w:val="right"/>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£000</w:t>
            </w:r>
          </w:p>
        </w:tc>
        <w:tc>
          <w:tcPr>
            <w:tcW w:w="3207" w:type="pct"/>
            <w:tcBorders>
              <w:top w:val="nil"/>
              <w:left w:val="nil"/>
              <w:bottom w:val="nil"/>
              <w:right w:val="nil"/>
            </w:tcBorders>
            <w:shd w:val="clear" w:color="000000" w:fill="AB2328"/>
            <w:noWrap/>
            <w:vAlign w:val="bottom"/>
            <w:hideMark/>
          </w:tcPr>
          <w:p w14:paraId="35A634A6" w14:textId="77777777" w:rsidR="005D6D33" w:rsidRPr="005D6D33" w:rsidRDefault="005D6D33" w:rsidP="005D6D33">
            <w:pPr>
              <w:spacing w:line="240" w:lineRule="auto"/>
              <w:jc w:val="center"/>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 </w:t>
            </w:r>
          </w:p>
        </w:tc>
        <w:tc>
          <w:tcPr>
            <w:tcW w:w="893" w:type="pct"/>
            <w:tcBorders>
              <w:top w:val="nil"/>
              <w:left w:val="nil"/>
              <w:bottom w:val="nil"/>
              <w:right w:val="nil"/>
            </w:tcBorders>
            <w:shd w:val="clear" w:color="000000" w:fill="AB2328"/>
            <w:noWrap/>
            <w:vAlign w:val="bottom"/>
            <w:hideMark/>
          </w:tcPr>
          <w:p w14:paraId="443E948E" w14:textId="77777777" w:rsidR="005D6D33" w:rsidRPr="005D6D33" w:rsidRDefault="005D6D33" w:rsidP="005D6D33">
            <w:pPr>
              <w:spacing w:line="240" w:lineRule="auto"/>
              <w:jc w:val="right"/>
              <w:rPr>
                <w:rFonts w:ascii="Calibri" w:eastAsia="Times New Roman" w:hAnsi="Calibri" w:cs="Calibri"/>
                <w:b/>
                <w:bCs/>
                <w:color w:val="FFFFFF"/>
                <w:lang w:eastAsia="en-GB"/>
              </w:rPr>
            </w:pPr>
            <w:r w:rsidRPr="005D6D33">
              <w:rPr>
                <w:rFonts w:ascii="Calibri" w:eastAsia="Times New Roman" w:hAnsi="Calibri" w:cs="Calibri"/>
                <w:b/>
                <w:bCs/>
                <w:color w:val="FFFFFF"/>
                <w:lang w:eastAsia="en-GB"/>
              </w:rPr>
              <w:t>£000</w:t>
            </w:r>
          </w:p>
        </w:tc>
      </w:tr>
      <w:tr w:rsidR="005D6D33" w:rsidRPr="005D6D33" w14:paraId="367C153C" w14:textId="77777777" w:rsidTr="00B34BFE">
        <w:trPr>
          <w:trHeight w:val="345"/>
        </w:trPr>
        <w:tc>
          <w:tcPr>
            <w:tcW w:w="899" w:type="pct"/>
            <w:tcBorders>
              <w:top w:val="nil"/>
              <w:left w:val="nil"/>
              <w:bottom w:val="nil"/>
              <w:right w:val="nil"/>
            </w:tcBorders>
            <w:shd w:val="clear" w:color="000000" w:fill="FFFFFF"/>
            <w:noWrap/>
            <w:vAlign w:val="bottom"/>
            <w:hideMark/>
          </w:tcPr>
          <w:p w14:paraId="392616EC" w14:textId="77777777" w:rsidR="005D6D33" w:rsidRPr="005D6D33" w:rsidRDefault="005D6D33" w:rsidP="005D6D33">
            <w:pPr>
              <w:spacing w:line="240" w:lineRule="auto"/>
              <w:jc w:val="right"/>
              <w:rPr>
                <w:rFonts w:ascii="Calibri" w:eastAsia="Times New Roman" w:hAnsi="Calibri" w:cs="Calibri"/>
                <w:lang w:eastAsia="en-GB"/>
              </w:rPr>
            </w:pPr>
            <w:r w:rsidRPr="005D6D33">
              <w:rPr>
                <w:rFonts w:ascii="Calibri" w:eastAsia="Times New Roman" w:hAnsi="Calibri" w:cs="Calibri"/>
                <w:lang w:eastAsia="en-GB"/>
              </w:rPr>
              <w:t>(178)</w:t>
            </w:r>
          </w:p>
        </w:tc>
        <w:tc>
          <w:tcPr>
            <w:tcW w:w="3207" w:type="pct"/>
            <w:tcBorders>
              <w:top w:val="nil"/>
              <w:left w:val="nil"/>
              <w:bottom w:val="nil"/>
              <w:right w:val="nil"/>
            </w:tcBorders>
            <w:shd w:val="clear" w:color="000000" w:fill="FFFFFF"/>
            <w:noWrap/>
            <w:vAlign w:val="bottom"/>
            <w:hideMark/>
          </w:tcPr>
          <w:p w14:paraId="054A205F" w14:textId="77777777" w:rsidR="005D6D33" w:rsidRPr="005D6D33" w:rsidRDefault="005D6D33" w:rsidP="005D6D33">
            <w:pPr>
              <w:spacing w:line="240" w:lineRule="auto"/>
              <w:jc w:val="left"/>
              <w:rPr>
                <w:rFonts w:ascii="Calibri" w:eastAsia="Times New Roman" w:hAnsi="Calibri" w:cs="Calibri"/>
                <w:lang w:eastAsia="en-GB"/>
              </w:rPr>
            </w:pPr>
            <w:r w:rsidRPr="005D6D33">
              <w:rPr>
                <w:rFonts w:ascii="Calibri" w:eastAsia="Times New Roman" w:hAnsi="Calibri" w:cs="Calibri"/>
                <w:lang w:eastAsia="en-GB"/>
              </w:rPr>
              <w:t>Provision for Business Rates Appeals</w:t>
            </w:r>
          </w:p>
        </w:tc>
        <w:tc>
          <w:tcPr>
            <w:tcW w:w="893" w:type="pct"/>
            <w:tcBorders>
              <w:top w:val="nil"/>
              <w:left w:val="nil"/>
              <w:bottom w:val="nil"/>
              <w:right w:val="nil"/>
            </w:tcBorders>
            <w:shd w:val="clear" w:color="000000" w:fill="FFE1E1"/>
            <w:noWrap/>
            <w:vAlign w:val="bottom"/>
            <w:hideMark/>
          </w:tcPr>
          <w:p w14:paraId="07C89EAD" w14:textId="77777777" w:rsidR="005D6D33" w:rsidRPr="005D6D33" w:rsidRDefault="005D6D33" w:rsidP="005D6D33">
            <w:pPr>
              <w:spacing w:line="240" w:lineRule="auto"/>
              <w:jc w:val="right"/>
              <w:rPr>
                <w:rFonts w:ascii="Calibri" w:eastAsia="Times New Roman" w:hAnsi="Calibri" w:cs="Calibri"/>
                <w:lang w:eastAsia="en-GB"/>
              </w:rPr>
            </w:pPr>
            <w:r w:rsidRPr="005D6D33">
              <w:rPr>
                <w:rFonts w:ascii="Calibri" w:eastAsia="Times New Roman" w:hAnsi="Calibri" w:cs="Calibri"/>
                <w:lang w:eastAsia="en-GB"/>
              </w:rPr>
              <w:t>(293)</w:t>
            </w:r>
          </w:p>
        </w:tc>
      </w:tr>
      <w:tr w:rsidR="005D6D33" w:rsidRPr="005D6D33" w14:paraId="650847E3" w14:textId="77777777" w:rsidTr="00B34BFE">
        <w:trPr>
          <w:trHeight w:val="315"/>
        </w:trPr>
        <w:tc>
          <w:tcPr>
            <w:tcW w:w="899" w:type="pct"/>
            <w:tcBorders>
              <w:top w:val="single" w:sz="4" w:space="0" w:color="auto"/>
              <w:left w:val="nil"/>
              <w:bottom w:val="single" w:sz="4" w:space="0" w:color="auto"/>
              <w:right w:val="nil"/>
            </w:tcBorders>
            <w:shd w:val="clear" w:color="000000" w:fill="FFFFFF"/>
            <w:noWrap/>
            <w:vAlign w:val="bottom"/>
            <w:hideMark/>
          </w:tcPr>
          <w:p w14:paraId="51477616" w14:textId="77777777" w:rsidR="005D6D33" w:rsidRPr="005D6D33" w:rsidRDefault="005D6D33" w:rsidP="005D6D33">
            <w:pPr>
              <w:spacing w:line="240" w:lineRule="auto"/>
              <w:jc w:val="right"/>
              <w:rPr>
                <w:rFonts w:ascii="Calibri" w:eastAsia="Times New Roman" w:hAnsi="Calibri" w:cs="Calibri"/>
                <w:b/>
                <w:bCs/>
                <w:lang w:eastAsia="en-GB"/>
              </w:rPr>
            </w:pPr>
            <w:r w:rsidRPr="005D6D33">
              <w:rPr>
                <w:rFonts w:ascii="Calibri" w:eastAsia="Times New Roman" w:hAnsi="Calibri" w:cs="Calibri"/>
                <w:b/>
                <w:bCs/>
                <w:lang w:eastAsia="en-GB"/>
              </w:rPr>
              <w:t>(178)</w:t>
            </w:r>
          </w:p>
        </w:tc>
        <w:tc>
          <w:tcPr>
            <w:tcW w:w="3207" w:type="pct"/>
            <w:tcBorders>
              <w:top w:val="single" w:sz="4" w:space="0" w:color="auto"/>
              <w:left w:val="nil"/>
              <w:bottom w:val="single" w:sz="4" w:space="0" w:color="auto"/>
              <w:right w:val="nil"/>
            </w:tcBorders>
            <w:shd w:val="clear" w:color="000000" w:fill="FFFFFF"/>
            <w:noWrap/>
            <w:vAlign w:val="bottom"/>
            <w:hideMark/>
          </w:tcPr>
          <w:p w14:paraId="3D8A1B49" w14:textId="77777777" w:rsidR="005D6D33" w:rsidRPr="005D6D33" w:rsidRDefault="005D6D33" w:rsidP="005D6D33">
            <w:pPr>
              <w:spacing w:line="240" w:lineRule="auto"/>
              <w:jc w:val="left"/>
              <w:rPr>
                <w:rFonts w:ascii="Calibri" w:eastAsia="Times New Roman" w:hAnsi="Calibri" w:cs="Calibri"/>
                <w:b/>
                <w:bCs/>
                <w:lang w:eastAsia="en-GB"/>
              </w:rPr>
            </w:pPr>
            <w:r w:rsidRPr="005D6D33">
              <w:rPr>
                <w:rFonts w:ascii="Calibri" w:eastAsia="Times New Roman" w:hAnsi="Calibri" w:cs="Calibri"/>
                <w:b/>
                <w:bCs/>
                <w:lang w:eastAsia="en-GB"/>
              </w:rPr>
              <w:t>Total Provisions</w:t>
            </w:r>
          </w:p>
        </w:tc>
        <w:tc>
          <w:tcPr>
            <w:tcW w:w="893" w:type="pct"/>
            <w:tcBorders>
              <w:top w:val="single" w:sz="4" w:space="0" w:color="auto"/>
              <w:left w:val="nil"/>
              <w:bottom w:val="single" w:sz="4" w:space="0" w:color="auto"/>
              <w:right w:val="nil"/>
            </w:tcBorders>
            <w:shd w:val="clear" w:color="000000" w:fill="FFE1E1"/>
            <w:noWrap/>
            <w:vAlign w:val="bottom"/>
            <w:hideMark/>
          </w:tcPr>
          <w:p w14:paraId="76458B92" w14:textId="77777777" w:rsidR="005D6D33" w:rsidRPr="005D6D33" w:rsidRDefault="005D6D33" w:rsidP="005D6D33">
            <w:pPr>
              <w:spacing w:line="240" w:lineRule="auto"/>
              <w:jc w:val="right"/>
              <w:rPr>
                <w:rFonts w:ascii="Calibri" w:eastAsia="Times New Roman" w:hAnsi="Calibri" w:cs="Calibri"/>
                <w:b/>
                <w:bCs/>
                <w:lang w:eastAsia="en-GB"/>
              </w:rPr>
            </w:pPr>
            <w:r w:rsidRPr="005D6D33">
              <w:rPr>
                <w:rFonts w:ascii="Calibri" w:eastAsia="Times New Roman" w:hAnsi="Calibri" w:cs="Calibri"/>
                <w:b/>
                <w:bCs/>
                <w:lang w:eastAsia="en-GB"/>
              </w:rPr>
              <w:t>(293)</w:t>
            </w:r>
          </w:p>
        </w:tc>
      </w:tr>
    </w:tbl>
    <w:p w14:paraId="302188EF" w14:textId="77777777" w:rsidR="00743D70" w:rsidRDefault="00743D70" w:rsidP="00743D70"/>
    <w:p w14:paraId="4B4EB54D" w14:textId="6AA94C02" w:rsidR="00743D70" w:rsidRPr="00B05389" w:rsidRDefault="00743D70" w:rsidP="002A1ADD">
      <w:pPr>
        <w:pStyle w:val="VAHeadingLevel2"/>
      </w:pPr>
      <w:r w:rsidRPr="00B05389">
        <w:t>Note 2</w:t>
      </w:r>
      <w:r w:rsidR="00B05389" w:rsidRPr="00B05389">
        <w:t>9</w:t>
      </w:r>
      <w:r w:rsidRPr="00B05389">
        <w:t xml:space="preserve">. Creditors </w:t>
      </w:r>
    </w:p>
    <w:p w14:paraId="258E1FF1" w14:textId="77777777" w:rsidR="00743D70" w:rsidRDefault="00743D70" w:rsidP="00743D70">
      <w:r w:rsidRPr="007F07C2">
        <w:t xml:space="preserve">The analysis of Creditors is shown below: </w:t>
      </w:r>
    </w:p>
    <w:p w14:paraId="246CF9EF" w14:textId="25D66516" w:rsidR="00541A09" w:rsidRDefault="00541A09" w:rsidP="00743D70">
      <w:pPr>
        <w:rPr>
          <w:rFonts w:cstheme="minorBidi"/>
        </w:rPr>
      </w:pPr>
    </w:p>
    <w:tbl>
      <w:tblPr>
        <w:tblW w:w="4995" w:type="pct"/>
        <w:tblLook w:val="04A0" w:firstRow="1" w:lastRow="0" w:firstColumn="1" w:lastColumn="0" w:noHBand="0" w:noVBand="1"/>
      </w:tblPr>
      <w:tblGrid>
        <w:gridCol w:w="1864"/>
        <w:gridCol w:w="6648"/>
        <w:gridCol w:w="1853"/>
      </w:tblGrid>
      <w:tr w:rsidR="00541A09" w:rsidRPr="00541A09" w14:paraId="761906A8" w14:textId="77777777" w:rsidTr="00B34BFE">
        <w:trPr>
          <w:trHeight w:val="184"/>
        </w:trPr>
        <w:tc>
          <w:tcPr>
            <w:tcW w:w="899" w:type="pct"/>
            <w:tcBorders>
              <w:top w:val="nil"/>
              <w:left w:val="nil"/>
              <w:bottom w:val="nil"/>
              <w:right w:val="nil"/>
            </w:tcBorders>
            <w:shd w:val="clear" w:color="000000" w:fill="AB2328"/>
            <w:noWrap/>
            <w:vAlign w:val="bottom"/>
            <w:hideMark/>
          </w:tcPr>
          <w:p w14:paraId="39B322AC" w14:textId="274F333A"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31 March 2024</w:t>
            </w:r>
          </w:p>
        </w:tc>
        <w:tc>
          <w:tcPr>
            <w:tcW w:w="3206" w:type="pct"/>
            <w:tcBorders>
              <w:top w:val="nil"/>
              <w:left w:val="nil"/>
              <w:bottom w:val="nil"/>
              <w:right w:val="nil"/>
            </w:tcBorders>
            <w:shd w:val="clear" w:color="000000" w:fill="AB2328"/>
            <w:vAlign w:val="bottom"/>
            <w:hideMark/>
          </w:tcPr>
          <w:p w14:paraId="2845EA24" w14:textId="77777777"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1D342FC3" w14:textId="77777777"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31 March 2025</w:t>
            </w:r>
          </w:p>
        </w:tc>
      </w:tr>
      <w:tr w:rsidR="00541A09" w:rsidRPr="00541A09" w14:paraId="4DA8C8FD" w14:textId="77777777" w:rsidTr="00B34BFE">
        <w:trPr>
          <w:trHeight w:val="184"/>
        </w:trPr>
        <w:tc>
          <w:tcPr>
            <w:tcW w:w="899" w:type="pct"/>
            <w:tcBorders>
              <w:top w:val="nil"/>
              <w:left w:val="nil"/>
              <w:bottom w:val="nil"/>
              <w:right w:val="nil"/>
            </w:tcBorders>
            <w:shd w:val="clear" w:color="000000" w:fill="AB2328"/>
            <w:noWrap/>
            <w:vAlign w:val="bottom"/>
            <w:hideMark/>
          </w:tcPr>
          <w:p w14:paraId="39214B6D" w14:textId="77777777"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£000</w:t>
            </w:r>
          </w:p>
        </w:tc>
        <w:tc>
          <w:tcPr>
            <w:tcW w:w="3206" w:type="pct"/>
            <w:tcBorders>
              <w:top w:val="nil"/>
              <w:left w:val="nil"/>
              <w:bottom w:val="nil"/>
              <w:right w:val="nil"/>
            </w:tcBorders>
            <w:shd w:val="clear" w:color="000000" w:fill="AB2328"/>
            <w:noWrap/>
            <w:vAlign w:val="bottom"/>
            <w:hideMark/>
          </w:tcPr>
          <w:p w14:paraId="4D5759C2" w14:textId="77777777"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2B1B340E" w14:textId="77777777" w:rsidR="00541A09" w:rsidRPr="00541A09" w:rsidRDefault="00541A09" w:rsidP="00541A09">
            <w:pPr>
              <w:spacing w:line="240" w:lineRule="auto"/>
              <w:jc w:val="right"/>
              <w:rPr>
                <w:rFonts w:ascii="Calibri" w:eastAsia="Times New Roman" w:hAnsi="Calibri" w:cs="Calibri"/>
                <w:b/>
                <w:bCs/>
                <w:color w:val="FFFFFF"/>
                <w:lang w:eastAsia="en-GB"/>
              </w:rPr>
            </w:pPr>
            <w:r w:rsidRPr="00541A09">
              <w:rPr>
                <w:rFonts w:ascii="Calibri" w:eastAsia="Times New Roman" w:hAnsi="Calibri" w:cs="Calibri"/>
                <w:b/>
                <w:bCs/>
                <w:color w:val="FFFFFF"/>
                <w:lang w:eastAsia="en-GB"/>
              </w:rPr>
              <w:t>£000</w:t>
            </w:r>
          </w:p>
        </w:tc>
      </w:tr>
      <w:tr w:rsidR="00541A09" w:rsidRPr="00541A09" w14:paraId="30E8A68E" w14:textId="77777777" w:rsidTr="00B34BFE">
        <w:trPr>
          <w:trHeight w:val="350"/>
        </w:trPr>
        <w:tc>
          <w:tcPr>
            <w:tcW w:w="899" w:type="pct"/>
            <w:tcBorders>
              <w:top w:val="nil"/>
              <w:left w:val="nil"/>
              <w:bottom w:val="nil"/>
              <w:right w:val="nil"/>
            </w:tcBorders>
            <w:shd w:val="clear" w:color="000000" w:fill="FFFFFF"/>
            <w:noWrap/>
            <w:vAlign w:val="bottom"/>
            <w:hideMark/>
          </w:tcPr>
          <w:p w14:paraId="5F336BD3" w14:textId="77777777" w:rsidR="00541A09" w:rsidRPr="00541A09" w:rsidRDefault="00541A09" w:rsidP="00541A09">
            <w:pPr>
              <w:spacing w:line="240" w:lineRule="auto"/>
              <w:jc w:val="right"/>
              <w:rPr>
                <w:rFonts w:ascii="Calibri" w:eastAsia="Times New Roman" w:hAnsi="Calibri" w:cs="Calibri"/>
                <w:lang w:eastAsia="en-GB"/>
              </w:rPr>
            </w:pPr>
            <w:r w:rsidRPr="00541A09">
              <w:rPr>
                <w:rFonts w:ascii="Calibri" w:eastAsia="Times New Roman" w:hAnsi="Calibri" w:cs="Calibri"/>
                <w:lang w:eastAsia="en-GB"/>
              </w:rPr>
              <w:t>(4,660)</w:t>
            </w:r>
          </w:p>
        </w:tc>
        <w:tc>
          <w:tcPr>
            <w:tcW w:w="3206" w:type="pct"/>
            <w:tcBorders>
              <w:top w:val="nil"/>
              <w:left w:val="nil"/>
              <w:bottom w:val="nil"/>
              <w:right w:val="nil"/>
            </w:tcBorders>
            <w:shd w:val="clear" w:color="000000" w:fill="FFFFFF"/>
            <w:vAlign w:val="bottom"/>
            <w:hideMark/>
          </w:tcPr>
          <w:p w14:paraId="52BC564B" w14:textId="77777777" w:rsidR="00541A09" w:rsidRPr="00541A09" w:rsidRDefault="00541A09" w:rsidP="00541A09">
            <w:pPr>
              <w:spacing w:line="240" w:lineRule="auto"/>
              <w:jc w:val="left"/>
              <w:rPr>
                <w:rFonts w:ascii="Calibri" w:eastAsia="Times New Roman" w:hAnsi="Calibri" w:cs="Calibri"/>
                <w:lang w:eastAsia="en-GB"/>
              </w:rPr>
            </w:pPr>
            <w:r w:rsidRPr="00541A09">
              <w:rPr>
                <w:rFonts w:ascii="Calibri" w:eastAsia="Times New Roman" w:hAnsi="Calibri" w:cs="Calibri"/>
                <w:lang w:eastAsia="en-GB"/>
              </w:rPr>
              <w:t xml:space="preserve"> Trade Creditors </w:t>
            </w:r>
          </w:p>
        </w:tc>
        <w:tc>
          <w:tcPr>
            <w:tcW w:w="894" w:type="pct"/>
            <w:tcBorders>
              <w:top w:val="nil"/>
              <w:left w:val="nil"/>
              <w:bottom w:val="nil"/>
              <w:right w:val="nil"/>
            </w:tcBorders>
            <w:shd w:val="clear" w:color="000000" w:fill="FFE1E1"/>
            <w:noWrap/>
            <w:vAlign w:val="bottom"/>
            <w:hideMark/>
          </w:tcPr>
          <w:p w14:paraId="1E475084" w14:textId="77777777" w:rsidR="00541A09" w:rsidRPr="00541A09" w:rsidRDefault="00541A09" w:rsidP="00541A09">
            <w:pPr>
              <w:spacing w:line="240" w:lineRule="auto"/>
              <w:jc w:val="right"/>
              <w:rPr>
                <w:rFonts w:ascii="Calibri" w:eastAsia="Times New Roman" w:hAnsi="Calibri" w:cs="Calibri"/>
                <w:lang w:eastAsia="en-GB"/>
              </w:rPr>
            </w:pPr>
            <w:r w:rsidRPr="00541A09">
              <w:rPr>
                <w:rFonts w:ascii="Calibri" w:eastAsia="Times New Roman" w:hAnsi="Calibri" w:cs="Calibri"/>
                <w:lang w:eastAsia="en-GB"/>
              </w:rPr>
              <w:t>(5,732)</w:t>
            </w:r>
          </w:p>
        </w:tc>
      </w:tr>
      <w:tr w:rsidR="00541A09" w:rsidRPr="00541A09" w14:paraId="7277F114" w14:textId="77777777" w:rsidTr="00B34BFE">
        <w:trPr>
          <w:trHeight w:val="350"/>
        </w:trPr>
        <w:tc>
          <w:tcPr>
            <w:tcW w:w="899" w:type="pct"/>
            <w:tcBorders>
              <w:top w:val="nil"/>
              <w:left w:val="nil"/>
              <w:bottom w:val="nil"/>
              <w:right w:val="nil"/>
            </w:tcBorders>
            <w:shd w:val="clear" w:color="000000" w:fill="FFFFFF"/>
            <w:noWrap/>
            <w:vAlign w:val="bottom"/>
            <w:hideMark/>
          </w:tcPr>
          <w:p w14:paraId="684A5DD1" w14:textId="77777777" w:rsidR="00541A09" w:rsidRPr="00541A09" w:rsidRDefault="00541A09" w:rsidP="00541A09">
            <w:pPr>
              <w:spacing w:line="240" w:lineRule="auto"/>
              <w:jc w:val="right"/>
              <w:rPr>
                <w:rFonts w:ascii="Calibri" w:eastAsia="Times New Roman" w:hAnsi="Calibri" w:cs="Calibri"/>
                <w:lang w:eastAsia="en-GB"/>
              </w:rPr>
            </w:pPr>
            <w:r w:rsidRPr="00541A09">
              <w:rPr>
                <w:rFonts w:ascii="Calibri" w:eastAsia="Times New Roman" w:hAnsi="Calibri" w:cs="Calibri"/>
                <w:lang w:eastAsia="en-GB"/>
              </w:rPr>
              <w:t>(2,519)</w:t>
            </w:r>
          </w:p>
        </w:tc>
        <w:tc>
          <w:tcPr>
            <w:tcW w:w="3206" w:type="pct"/>
            <w:tcBorders>
              <w:top w:val="nil"/>
              <w:left w:val="nil"/>
              <w:bottom w:val="nil"/>
              <w:right w:val="nil"/>
            </w:tcBorders>
            <w:shd w:val="clear" w:color="000000" w:fill="FFFFFF"/>
            <w:vAlign w:val="bottom"/>
            <w:hideMark/>
          </w:tcPr>
          <w:p w14:paraId="07FDF8AA" w14:textId="77777777" w:rsidR="00541A09" w:rsidRPr="00541A09" w:rsidRDefault="00541A09" w:rsidP="00541A09">
            <w:pPr>
              <w:spacing w:line="240" w:lineRule="auto"/>
              <w:jc w:val="left"/>
              <w:rPr>
                <w:rFonts w:ascii="Calibri" w:eastAsia="Times New Roman" w:hAnsi="Calibri" w:cs="Calibri"/>
                <w:color w:val="000000"/>
                <w:lang w:eastAsia="en-GB"/>
              </w:rPr>
            </w:pPr>
            <w:r w:rsidRPr="00541A09">
              <w:rPr>
                <w:rFonts w:ascii="Calibri" w:eastAsia="Times New Roman" w:hAnsi="Calibri" w:cs="Calibri"/>
                <w:color w:val="000000"/>
                <w:lang w:eastAsia="en-GB"/>
              </w:rPr>
              <w:t xml:space="preserve"> Other Creditors </w:t>
            </w:r>
          </w:p>
        </w:tc>
        <w:tc>
          <w:tcPr>
            <w:tcW w:w="894" w:type="pct"/>
            <w:tcBorders>
              <w:top w:val="nil"/>
              <w:left w:val="nil"/>
              <w:bottom w:val="nil"/>
              <w:right w:val="nil"/>
            </w:tcBorders>
            <w:shd w:val="clear" w:color="000000" w:fill="FFE1E1"/>
            <w:noWrap/>
            <w:vAlign w:val="bottom"/>
            <w:hideMark/>
          </w:tcPr>
          <w:p w14:paraId="35394E27" w14:textId="77777777" w:rsidR="00541A09" w:rsidRPr="00541A09" w:rsidRDefault="00541A09" w:rsidP="00541A09">
            <w:pPr>
              <w:spacing w:line="240" w:lineRule="auto"/>
              <w:jc w:val="right"/>
              <w:rPr>
                <w:rFonts w:ascii="Calibri" w:eastAsia="Times New Roman" w:hAnsi="Calibri" w:cs="Calibri"/>
                <w:lang w:eastAsia="en-GB"/>
              </w:rPr>
            </w:pPr>
            <w:r w:rsidRPr="00541A09">
              <w:rPr>
                <w:rFonts w:ascii="Calibri" w:eastAsia="Times New Roman" w:hAnsi="Calibri" w:cs="Calibri"/>
                <w:lang w:eastAsia="en-GB"/>
              </w:rPr>
              <w:t>(7,101)</w:t>
            </w:r>
          </w:p>
        </w:tc>
      </w:tr>
      <w:tr w:rsidR="00541A09" w:rsidRPr="00541A09" w14:paraId="248D174A" w14:textId="77777777" w:rsidTr="00B34BFE">
        <w:trPr>
          <w:trHeight w:val="82"/>
        </w:trPr>
        <w:tc>
          <w:tcPr>
            <w:tcW w:w="899" w:type="pct"/>
            <w:tcBorders>
              <w:top w:val="single" w:sz="4" w:space="0" w:color="auto"/>
              <w:left w:val="nil"/>
              <w:bottom w:val="single" w:sz="4" w:space="0" w:color="auto"/>
              <w:right w:val="nil"/>
            </w:tcBorders>
            <w:shd w:val="clear" w:color="000000" w:fill="FFFFFF"/>
            <w:noWrap/>
            <w:vAlign w:val="bottom"/>
            <w:hideMark/>
          </w:tcPr>
          <w:p w14:paraId="7E686DF8" w14:textId="77777777" w:rsidR="00541A09" w:rsidRPr="00541A09" w:rsidRDefault="00541A09" w:rsidP="00541A09">
            <w:pPr>
              <w:spacing w:line="240" w:lineRule="auto"/>
              <w:jc w:val="right"/>
              <w:rPr>
                <w:rFonts w:ascii="Calibri" w:eastAsia="Times New Roman" w:hAnsi="Calibri" w:cs="Calibri"/>
                <w:b/>
                <w:bCs/>
                <w:lang w:eastAsia="en-GB"/>
              </w:rPr>
            </w:pPr>
            <w:r w:rsidRPr="00541A09">
              <w:rPr>
                <w:rFonts w:ascii="Calibri" w:eastAsia="Times New Roman" w:hAnsi="Calibri" w:cs="Calibri"/>
                <w:b/>
                <w:bCs/>
                <w:lang w:eastAsia="en-GB"/>
              </w:rPr>
              <w:t>(7,179)</w:t>
            </w:r>
          </w:p>
        </w:tc>
        <w:tc>
          <w:tcPr>
            <w:tcW w:w="3206" w:type="pct"/>
            <w:tcBorders>
              <w:top w:val="single" w:sz="4" w:space="0" w:color="auto"/>
              <w:left w:val="nil"/>
              <w:bottom w:val="single" w:sz="4" w:space="0" w:color="auto"/>
              <w:right w:val="nil"/>
            </w:tcBorders>
            <w:shd w:val="clear" w:color="000000" w:fill="FFFFFF"/>
            <w:vAlign w:val="bottom"/>
            <w:hideMark/>
          </w:tcPr>
          <w:p w14:paraId="074FBDE8" w14:textId="77777777" w:rsidR="00541A09" w:rsidRPr="00541A09" w:rsidRDefault="00541A09" w:rsidP="00541A09">
            <w:pPr>
              <w:spacing w:line="240" w:lineRule="auto"/>
              <w:jc w:val="left"/>
              <w:rPr>
                <w:rFonts w:ascii="Calibri" w:eastAsia="Times New Roman" w:hAnsi="Calibri" w:cs="Calibri"/>
                <w:b/>
                <w:bCs/>
                <w:lang w:eastAsia="en-GB"/>
              </w:rPr>
            </w:pPr>
            <w:r w:rsidRPr="00541A09">
              <w:rPr>
                <w:rFonts w:ascii="Calibri" w:eastAsia="Times New Roman" w:hAnsi="Calibri" w:cs="Calibri"/>
                <w:b/>
                <w:bCs/>
                <w:lang w:eastAsia="en-GB"/>
              </w:rPr>
              <w:t xml:space="preserve"> Total Creditors </w:t>
            </w:r>
          </w:p>
        </w:tc>
        <w:tc>
          <w:tcPr>
            <w:tcW w:w="894" w:type="pct"/>
            <w:tcBorders>
              <w:top w:val="single" w:sz="4" w:space="0" w:color="auto"/>
              <w:left w:val="nil"/>
              <w:bottom w:val="single" w:sz="4" w:space="0" w:color="auto"/>
              <w:right w:val="nil"/>
            </w:tcBorders>
            <w:shd w:val="clear" w:color="000000" w:fill="FFE1E1"/>
            <w:noWrap/>
            <w:vAlign w:val="bottom"/>
            <w:hideMark/>
          </w:tcPr>
          <w:p w14:paraId="193515AC" w14:textId="77777777" w:rsidR="00541A09" w:rsidRPr="00541A09" w:rsidRDefault="00541A09" w:rsidP="00541A09">
            <w:pPr>
              <w:spacing w:line="240" w:lineRule="auto"/>
              <w:jc w:val="right"/>
              <w:rPr>
                <w:rFonts w:ascii="Calibri" w:eastAsia="Times New Roman" w:hAnsi="Calibri" w:cs="Calibri"/>
                <w:b/>
                <w:bCs/>
                <w:lang w:eastAsia="en-GB"/>
              </w:rPr>
            </w:pPr>
            <w:r w:rsidRPr="00541A09">
              <w:rPr>
                <w:rFonts w:ascii="Calibri" w:eastAsia="Times New Roman" w:hAnsi="Calibri" w:cs="Calibri"/>
                <w:b/>
                <w:bCs/>
                <w:lang w:eastAsia="en-GB"/>
              </w:rPr>
              <w:t>(12,833)</w:t>
            </w:r>
          </w:p>
        </w:tc>
      </w:tr>
    </w:tbl>
    <w:p w14:paraId="75E236C5" w14:textId="77777777" w:rsidR="00743D70" w:rsidRDefault="00743D70" w:rsidP="00743D70"/>
    <w:p w14:paraId="025C0E7E" w14:textId="114D6592" w:rsidR="00743D70" w:rsidRDefault="00743D70" w:rsidP="00743D70">
      <w:r w:rsidRPr="00ED2A06">
        <w:t xml:space="preserve">Other creditors include the Authority’s share of Council Tax and Business Rates prepayments made to </w:t>
      </w:r>
      <w:r>
        <w:t>the Northamptonshire Unitary Authorities</w:t>
      </w:r>
      <w:r w:rsidRPr="00B81411">
        <w:t xml:space="preserve"> </w:t>
      </w:r>
      <w:r w:rsidRPr="00ED2A06">
        <w:t>by taxpayers, grants received in advance from central government (</w:t>
      </w:r>
      <w:r>
        <w:t>see N</w:t>
      </w:r>
      <w:r w:rsidRPr="00ED2A06">
        <w:t>ote 1</w:t>
      </w:r>
      <w:r w:rsidR="00136E34">
        <w:t>4</w:t>
      </w:r>
      <w:r w:rsidR="0062439C">
        <w:t>.1</w:t>
      </w:r>
      <w:r w:rsidRPr="00ED2A06">
        <w:t>), payments due to central government for income tax and national insurance and pension contributions due to be paid to the pension fund.</w:t>
      </w:r>
    </w:p>
    <w:p w14:paraId="0B0EB830" w14:textId="77777777" w:rsidR="00073737" w:rsidRDefault="00073737" w:rsidP="002A1ADD">
      <w:pPr>
        <w:pStyle w:val="VAHeadingLevel2"/>
      </w:pPr>
    </w:p>
    <w:p w14:paraId="17D4235C" w14:textId="2AE81616" w:rsidR="00700D4F" w:rsidRDefault="008502CD" w:rsidP="002A1ADD">
      <w:pPr>
        <w:pStyle w:val="VAHeadingLevel2"/>
      </w:pPr>
      <w:r w:rsidRPr="00B05389">
        <w:lastRenderedPageBreak/>
        <w:t>Note 29.</w:t>
      </w:r>
      <w:r>
        <w:t>1</w:t>
      </w:r>
      <w:r w:rsidRPr="00B05389">
        <w:t xml:space="preserve"> </w:t>
      </w:r>
      <w:r w:rsidR="00700D4F">
        <w:t>Other Short Term Liabilities</w:t>
      </w:r>
    </w:p>
    <w:p w14:paraId="7BED3852" w14:textId="495B415E" w:rsidR="00700D4F" w:rsidRDefault="00700D4F" w:rsidP="00700D4F">
      <w:r w:rsidRPr="00394461">
        <w:t xml:space="preserve">The Authority has other </w:t>
      </w:r>
      <w:r w:rsidR="005C4E31">
        <w:t>short</w:t>
      </w:r>
      <w:r w:rsidRPr="00394461">
        <w:t xml:space="preserve"> term liabilities as below, which relate to </w:t>
      </w:r>
      <w:r>
        <w:t>leases</w:t>
      </w:r>
      <w:r w:rsidRPr="00394461">
        <w:t xml:space="preserve"> liabilities</w:t>
      </w:r>
      <w:r w:rsidR="00787E43">
        <w:t>.</w:t>
      </w:r>
    </w:p>
    <w:p w14:paraId="54CBA534" w14:textId="77777777" w:rsidR="00787E43" w:rsidRDefault="00787E43" w:rsidP="00700D4F"/>
    <w:tbl>
      <w:tblPr>
        <w:tblW w:w="5000" w:type="pct"/>
        <w:tblLook w:val="04A0" w:firstRow="1" w:lastRow="0" w:firstColumn="1" w:lastColumn="0" w:noHBand="0" w:noVBand="1"/>
      </w:tblPr>
      <w:tblGrid>
        <w:gridCol w:w="1863"/>
        <w:gridCol w:w="6657"/>
        <w:gridCol w:w="1855"/>
      </w:tblGrid>
      <w:tr w:rsidR="00960463" w:rsidRPr="00960463" w14:paraId="331A76C1" w14:textId="77777777" w:rsidTr="00A71CC0">
        <w:trPr>
          <w:trHeight w:val="290"/>
        </w:trPr>
        <w:tc>
          <w:tcPr>
            <w:tcW w:w="898" w:type="pct"/>
            <w:tcBorders>
              <w:top w:val="nil"/>
              <w:left w:val="nil"/>
              <w:bottom w:val="nil"/>
              <w:right w:val="nil"/>
            </w:tcBorders>
            <w:shd w:val="clear" w:color="000000" w:fill="AB2328"/>
            <w:noWrap/>
            <w:hideMark/>
          </w:tcPr>
          <w:p w14:paraId="0B8DB49A"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31 March 2024</w:t>
            </w:r>
          </w:p>
        </w:tc>
        <w:tc>
          <w:tcPr>
            <w:tcW w:w="3208" w:type="pct"/>
            <w:tcBorders>
              <w:top w:val="nil"/>
              <w:left w:val="nil"/>
              <w:bottom w:val="nil"/>
              <w:right w:val="nil"/>
            </w:tcBorders>
            <w:shd w:val="clear" w:color="000000" w:fill="AB2328"/>
            <w:noWrap/>
            <w:hideMark/>
          </w:tcPr>
          <w:p w14:paraId="56563396"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hideMark/>
          </w:tcPr>
          <w:p w14:paraId="4405F1CF"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31 March 2025</w:t>
            </w:r>
          </w:p>
        </w:tc>
      </w:tr>
      <w:tr w:rsidR="00960463" w:rsidRPr="00960463" w14:paraId="2476D6A1" w14:textId="77777777" w:rsidTr="00A71CC0">
        <w:trPr>
          <w:trHeight w:val="290"/>
        </w:trPr>
        <w:tc>
          <w:tcPr>
            <w:tcW w:w="898" w:type="pct"/>
            <w:tcBorders>
              <w:top w:val="nil"/>
              <w:left w:val="nil"/>
              <w:bottom w:val="nil"/>
              <w:right w:val="nil"/>
            </w:tcBorders>
            <w:shd w:val="clear" w:color="000000" w:fill="AB2328"/>
            <w:noWrap/>
            <w:hideMark/>
          </w:tcPr>
          <w:p w14:paraId="194A9AD0"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£000</w:t>
            </w:r>
          </w:p>
        </w:tc>
        <w:tc>
          <w:tcPr>
            <w:tcW w:w="3208" w:type="pct"/>
            <w:tcBorders>
              <w:top w:val="nil"/>
              <w:left w:val="nil"/>
              <w:bottom w:val="nil"/>
              <w:right w:val="nil"/>
            </w:tcBorders>
            <w:shd w:val="clear" w:color="000000" w:fill="AB2328"/>
            <w:noWrap/>
            <w:hideMark/>
          </w:tcPr>
          <w:p w14:paraId="5E21E917"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hideMark/>
          </w:tcPr>
          <w:p w14:paraId="55F7F4CA" w14:textId="77777777" w:rsidR="00960463" w:rsidRPr="00960463" w:rsidRDefault="00960463" w:rsidP="00960463">
            <w:pPr>
              <w:spacing w:line="240" w:lineRule="auto"/>
              <w:jc w:val="right"/>
              <w:rPr>
                <w:rFonts w:ascii="Calibri" w:eastAsia="Times New Roman" w:hAnsi="Calibri" w:cs="Calibri"/>
                <w:b/>
                <w:bCs/>
                <w:color w:val="FFFFFF"/>
                <w:lang w:eastAsia="en-GB"/>
              </w:rPr>
            </w:pPr>
            <w:r w:rsidRPr="00960463">
              <w:rPr>
                <w:rFonts w:ascii="Calibri" w:eastAsia="Times New Roman" w:hAnsi="Calibri" w:cs="Calibri"/>
                <w:b/>
                <w:bCs/>
                <w:color w:val="FFFFFF"/>
                <w:lang w:eastAsia="en-GB"/>
              </w:rPr>
              <w:t>£000</w:t>
            </w:r>
          </w:p>
        </w:tc>
      </w:tr>
      <w:tr w:rsidR="00960463" w:rsidRPr="00960463" w14:paraId="3E2F83E1" w14:textId="77777777" w:rsidTr="00A71CC0">
        <w:trPr>
          <w:trHeight w:val="290"/>
        </w:trPr>
        <w:tc>
          <w:tcPr>
            <w:tcW w:w="898" w:type="pct"/>
            <w:tcBorders>
              <w:top w:val="nil"/>
              <w:left w:val="nil"/>
              <w:bottom w:val="nil"/>
              <w:right w:val="nil"/>
            </w:tcBorders>
            <w:shd w:val="clear" w:color="000000" w:fill="FFFFFF"/>
            <w:noWrap/>
            <w:hideMark/>
          </w:tcPr>
          <w:p w14:paraId="7E14B1E1" w14:textId="3DB78F6B" w:rsidR="00960463" w:rsidRPr="00960463" w:rsidRDefault="00405DA8" w:rsidP="00960463">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3208" w:type="pct"/>
            <w:tcBorders>
              <w:top w:val="nil"/>
              <w:left w:val="nil"/>
              <w:bottom w:val="nil"/>
              <w:right w:val="nil"/>
            </w:tcBorders>
            <w:shd w:val="clear" w:color="000000" w:fill="FFFFFF"/>
            <w:hideMark/>
          </w:tcPr>
          <w:p w14:paraId="7AF90B4E" w14:textId="12B5EBC8" w:rsidR="00960463" w:rsidRPr="00960463" w:rsidRDefault="00960463" w:rsidP="00960463">
            <w:pPr>
              <w:spacing w:line="240" w:lineRule="auto"/>
              <w:jc w:val="left"/>
              <w:rPr>
                <w:rFonts w:ascii="Calibri" w:eastAsia="Times New Roman" w:hAnsi="Calibri" w:cs="Calibri"/>
                <w:color w:val="000000"/>
                <w:lang w:eastAsia="en-GB"/>
              </w:rPr>
            </w:pPr>
            <w:r w:rsidRPr="00960463">
              <w:rPr>
                <w:rFonts w:ascii="Calibri" w:eastAsia="Times New Roman" w:hAnsi="Calibri" w:cs="Calibri"/>
                <w:color w:val="000000"/>
                <w:lang w:eastAsia="en-GB"/>
              </w:rPr>
              <w:t xml:space="preserve">Short </w:t>
            </w:r>
            <w:r w:rsidR="00C9057E">
              <w:rPr>
                <w:rFonts w:ascii="Calibri" w:eastAsia="Times New Roman" w:hAnsi="Calibri" w:cs="Calibri"/>
                <w:color w:val="000000"/>
                <w:lang w:eastAsia="en-GB"/>
              </w:rPr>
              <w:t>T</w:t>
            </w:r>
            <w:r w:rsidRPr="00960463">
              <w:rPr>
                <w:rFonts w:ascii="Calibri" w:eastAsia="Times New Roman" w:hAnsi="Calibri" w:cs="Calibri"/>
                <w:color w:val="000000"/>
                <w:lang w:eastAsia="en-GB"/>
              </w:rPr>
              <w:t xml:space="preserve">erm </w:t>
            </w:r>
            <w:r w:rsidR="00C9057E">
              <w:rPr>
                <w:rFonts w:ascii="Calibri" w:eastAsia="Times New Roman" w:hAnsi="Calibri" w:cs="Calibri"/>
                <w:color w:val="000000"/>
                <w:lang w:eastAsia="en-GB"/>
              </w:rPr>
              <w:t>L</w:t>
            </w:r>
            <w:r w:rsidRPr="00960463">
              <w:rPr>
                <w:rFonts w:ascii="Calibri" w:eastAsia="Times New Roman" w:hAnsi="Calibri" w:cs="Calibri"/>
                <w:color w:val="000000"/>
                <w:lang w:eastAsia="en-GB"/>
              </w:rPr>
              <w:t>eas</w:t>
            </w:r>
            <w:r w:rsidR="00C9057E">
              <w:rPr>
                <w:rFonts w:ascii="Calibri" w:eastAsia="Times New Roman" w:hAnsi="Calibri" w:cs="Calibri"/>
                <w:color w:val="000000"/>
                <w:lang w:eastAsia="en-GB"/>
              </w:rPr>
              <w:t>e</w:t>
            </w:r>
            <w:r w:rsidRPr="00960463">
              <w:rPr>
                <w:rFonts w:ascii="Calibri" w:eastAsia="Times New Roman" w:hAnsi="Calibri" w:cs="Calibri"/>
                <w:color w:val="000000"/>
                <w:lang w:eastAsia="en-GB"/>
              </w:rPr>
              <w:t xml:space="preserve"> </w:t>
            </w:r>
            <w:r w:rsidR="00C9057E">
              <w:rPr>
                <w:rFonts w:ascii="Calibri" w:eastAsia="Times New Roman" w:hAnsi="Calibri" w:cs="Calibri"/>
                <w:color w:val="000000"/>
                <w:lang w:eastAsia="en-GB"/>
              </w:rPr>
              <w:t>L</w:t>
            </w:r>
            <w:r w:rsidRPr="00960463">
              <w:rPr>
                <w:rFonts w:ascii="Calibri" w:eastAsia="Times New Roman" w:hAnsi="Calibri" w:cs="Calibri"/>
                <w:color w:val="000000"/>
                <w:lang w:eastAsia="en-GB"/>
              </w:rPr>
              <w:t>iabilities</w:t>
            </w:r>
          </w:p>
        </w:tc>
        <w:tc>
          <w:tcPr>
            <w:tcW w:w="894" w:type="pct"/>
            <w:tcBorders>
              <w:top w:val="nil"/>
              <w:left w:val="nil"/>
              <w:bottom w:val="nil"/>
              <w:right w:val="nil"/>
            </w:tcBorders>
            <w:shd w:val="clear" w:color="000000" w:fill="FFE1E1"/>
            <w:noWrap/>
            <w:hideMark/>
          </w:tcPr>
          <w:p w14:paraId="3F33B83B" w14:textId="4AECBE6A" w:rsidR="00960463" w:rsidRPr="00960463" w:rsidRDefault="00960463" w:rsidP="00960463">
            <w:pPr>
              <w:spacing w:line="240" w:lineRule="auto"/>
              <w:jc w:val="right"/>
              <w:rPr>
                <w:rFonts w:ascii="Calibri" w:eastAsia="Times New Roman" w:hAnsi="Calibri" w:cs="Calibri"/>
                <w:color w:val="000000"/>
                <w:lang w:eastAsia="en-GB"/>
              </w:rPr>
            </w:pPr>
            <w:r w:rsidRPr="00960463">
              <w:rPr>
                <w:rFonts w:ascii="Calibri" w:eastAsia="Times New Roman" w:hAnsi="Calibri" w:cs="Calibri"/>
                <w:color w:val="000000"/>
                <w:lang w:eastAsia="en-GB"/>
              </w:rPr>
              <w:t>(</w:t>
            </w:r>
            <w:r w:rsidR="00687A24">
              <w:rPr>
                <w:rFonts w:ascii="Calibri" w:eastAsia="Times New Roman" w:hAnsi="Calibri" w:cs="Calibri"/>
                <w:color w:val="000000"/>
                <w:lang w:eastAsia="en-GB"/>
              </w:rPr>
              <w:t>39</w:t>
            </w:r>
            <w:r w:rsidRPr="00960463">
              <w:rPr>
                <w:rFonts w:ascii="Calibri" w:eastAsia="Times New Roman" w:hAnsi="Calibri" w:cs="Calibri"/>
                <w:color w:val="000000"/>
                <w:lang w:eastAsia="en-GB"/>
              </w:rPr>
              <w:t>)</w:t>
            </w:r>
          </w:p>
        </w:tc>
      </w:tr>
      <w:tr w:rsidR="00960463" w:rsidRPr="00960463" w14:paraId="03E1F848" w14:textId="77777777" w:rsidTr="00A71CC0">
        <w:trPr>
          <w:trHeight w:val="290"/>
        </w:trPr>
        <w:tc>
          <w:tcPr>
            <w:tcW w:w="898" w:type="pct"/>
            <w:tcBorders>
              <w:top w:val="single" w:sz="4" w:space="0" w:color="auto"/>
              <w:left w:val="nil"/>
              <w:bottom w:val="single" w:sz="4" w:space="0" w:color="auto"/>
              <w:right w:val="nil"/>
            </w:tcBorders>
            <w:shd w:val="clear" w:color="000000" w:fill="FFFFFF"/>
            <w:noWrap/>
            <w:hideMark/>
          </w:tcPr>
          <w:p w14:paraId="3FE31D6A" w14:textId="0722C0D6" w:rsidR="00960463" w:rsidRPr="00960463" w:rsidRDefault="00405DA8" w:rsidP="00960463">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w:t>
            </w:r>
          </w:p>
        </w:tc>
        <w:tc>
          <w:tcPr>
            <w:tcW w:w="3208" w:type="pct"/>
            <w:tcBorders>
              <w:top w:val="single" w:sz="4" w:space="0" w:color="auto"/>
              <w:left w:val="nil"/>
              <w:bottom w:val="single" w:sz="4" w:space="0" w:color="auto"/>
              <w:right w:val="nil"/>
            </w:tcBorders>
            <w:shd w:val="clear" w:color="000000" w:fill="FFFFFF"/>
            <w:noWrap/>
            <w:hideMark/>
          </w:tcPr>
          <w:p w14:paraId="06EC3AB6" w14:textId="77777777" w:rsidR="00960463" w:rsidRPr="00960463" w:rsidRDefault="00960463" w:rsidP="00960463">
            <w:pPr>
              <w:spacing w:line="240" w:lineRule="auto"/>
              <w:jc w:val="left"/>
              <w:rPr>
                <w:rFonts w:ascii="Calibri" w:eastAsia="Times New Roman" w:hAnsi="Calibri" w:cs="Calibri"/>
                <w:b/>
                <w:bCs/>
                <w:lang w:eastAsia="en-GB"/>
              </w:rPr>
            </w:pPr>
            <w:r w:rsidRPr="00960463">
              <w:rPr>
                <w:rFonts w:ascii="Calibri" w:eastAsia="Times New Roman" w:hAnsi="Calibri" w:cs="Calibri"/>
                <w:b/>
                <w:bCs/>
                <w:lang w:eastAsia="en-GB"/>
              </w:rPr>
              <w:t>Total Other Short Term Liabilities</w:t>
            </w:r>
          </w:p>
        </w:tc>
        <w:tc>
          <w:tcPr>
            <w:tcW w:w="894" w:type="pct"/>
            <w:tcBorders>
              <w:top w:val="single" w:sz="4" w:space="0" w:color="auto"/>
              <w:left w:val="nil"/>
              <w:bottom w:val="single" w:sz="4" w:space="0" w:color="auto"/>
              <w:right w:val="nil"/>
            </w:tcBorders>
            <w:shd w:val="clear" w:color="000000" w:fill="FFE1E1"/>
            <w:noWrap/>
            <w:hideMark/>
          </w:tcPr>
          <w:p w14:paraId="2F950B5F" w14:textId="2540BB1A" w:rsidR="00960463" w:rsidRPr="00960463" w:rsidRDefault="00960463" w:rsidP="00960463">
            <w:pPr>
              <w:spacing w:line="240" w:lineRule="auto"/>
              <w:jc w:val="right"/>
              <w:rPr>
                <w:rFonts w:ascii="Calibri" w:eastAsia="Times New Roman" w:hAnsi="Calibri" w:cs="Calibri"/>
                <w:b/>
                <w:bCs/>
                <w:lang w:eastAsia="en-GB"/>
              </w:rPr>
            </w:pPr>
            <w:r w:rsidRPr="00960463">
              <w:rPr>
                <w:rFonts w:ascii="Calibri" w:eastAsia="Times New Roman" w:hAnsi="Calibri" w:cs="Calibri"/>
                <w:b/>
                <w:bCs/>
                <w:lang w:eastAsia="en-GB"/>
              </w:rPr>
              <w:t>(</w:t>
            </w:r>
            <w:r w:rsidR="00687A24">
              <w:rPr>
                <w:rFonts w:ascii="Calibri" w:eastAsia="Times New Roman" w:hAnsi="Calibri" w:cs="Calibri"/>
                <w:b/>
                <w:bCs/>
                <w:lang w:eastAsia="en-GB"/>
              </w:rPr>
              <w:t>39</w:t>
            </w:r>
            <w:r w:rsidRPr="00960463">
              <w:rPr>
                <w:rFonts w:ascii="Calibri" w:eastAsia="Times New Roman" w:hAnsi="Calibri" w:cs="Calibri"/>
                <w:b/>
                <w:bCs/>
                <w:lang w:eastAsia="en-GB"/>
              </w:rPr>
              <w:t>)</w:t>
            </w:r>
          </w:p>
        </w:tc>
      </w:tr>
    </w:tbl>
    <w:p w14:paraId="39B0F549" w14:textId="77777777" w:rsidR="00787E43" w:rsidRDefault="00787E43" w:rsidP="00700D4F"/>
    <w:p w14:paraId="6B45CE41" w14:textId="5B19262B" w:rsidR="00B3379E" w:rsidRPr="005F273C" w:rsidRDefault="008502CD" w:rsidP="002A1ADD">
      <w:pPr>
        <w:pStyle w:val="VAHeadingLevel2"/>
      </w:pPr>
      <w:r w:rsidRPr="00B05389">
        <w:t xml:space="preserve"> </w:t>
      </w:r>
      <w:r w:rsidR="00B3379E" w:rsidRPr="005F273C">
        <w:t>Note 30</w:t>
      </w:r>
      <w:r w:rsidR="00367AE1" w:rsidRPr="005F273C">
        <w:t xml:space="preserve">. </w:t>
      </w:r>
      <w:r w:rsidR="00073505" w:rsidRPr="005F273C">
        <w:t>Capitalisation of Borrowing Costs</w:t>
      </w:r>
    </w:p>
    <w:p w14:paraId="7CD141B7" w14:textId="13AEC416" w:rsidR="00073505" w:rsidRPr="00ED2A06" w:rsidRDefault="00073505" w:rsidP="00073505">
      <w:r w:rsidRPr="00073505">
        <w:t>The Authority</w:t>
      </w:r>
      <w:r w:rsidR="00916760">
        <w:t xml:space="preserve"> has</w:t>
      </w:r>
      <w:r w:rsidRPr="00073505">
        <w:t xml:space="preserve"> elected not to capitalise its new borrowing costs.</w:t>
      </w:r>
    </w:p>
    <w:p w14:paraId="1AF0E5AA" w14:textId="77777777" w:rsidR="00743D70" w:rsidRPr="007F07C2" w:rsidRDefault="00743D70" w:rsidP="00743D70"/>
    <w:p w14:paraId="491ACE14" w14:textId="39792BAF" w:rsidR="00B7310A" w:rsidRPr="005F273C" w:rsidRDefault="007308CC" w:rsidP="002A1ADD">
      <w:pPr>
        <w:pStyle w:val="VAHeadingLevel2"/>
      </w:pPr>
      <w:r w:rsidRPr="005F273C">
        <w:t xml:space="preserve">Note </w:t>
      </w:r>
      <w:r w:rsidR="00C55186" w:rsidRPr="005F273C">
        <w:t>31</w:t>
      </w:r>
      <w:r w:rsidRPr="005F273C">
        <w:t>. Contingent Liabilities</w:t>
      </w:r>
    </w:p>
    <w:p w14:paraId="342AC3DD" w14:textId="20481DBA" w:rsidR="00C77525" w:rsidRPr="00ED2A06" w:rsidRDefault="00C77525" w:rsidP="00C77525">
      <w:r w:rsidRPr="00073505">
        <w:t>The Authority</w:t>
      </w:r>
      <w:r>
        <w:t xml:space="preserve"> has</w:t>
      </w:r>
      <w:r w:rsidRPr="00073505">
        <w:t xml:space="preserve"> </w:t>
      </w:r>
      <w:r>
        <w:t>not identified any contingent liabilities that require disclosure</w:t>
      </w:r>
      <w:r w:rsidRPr="00073505">
        <w:t>.</w:t>
      </w:r>
    </w:p>
    <w:p w14:paraId="7DA057EC" w14:textId="77777777" w:rsidR="007308CC" w:rsidRPr="005F273C" w:rsidRDefault="007308CC" w:rsidP="002A1ADD">
      <w:pPr>
        <w:pStyle w:val="VAHeadingLevel2"/>
      </w:pPr>
    </w:p>
    <w:p w14:paraId="4DDF271C" w14:textId="292DABEA" w:rsidR="007308CC" w:rsidRPr="005F273C" w:rsidRDefault="007308CC" w:rsidP="002A1ADD">
      <w:pPr>
        <w:pStyle w:val="VAHeadingLevel2"/>
      </w:pPr>
      <w:r w:rsidRPr="005F273C">
        <w:t xml:space="preserve">Note </w:t>
      </w:r>
      <w:r w:rsidR="00C55186" w:rsidRPr="005F273C">
        <w:t>32</w:t>
      </w:r>
      <w:r w:rsidRPr="005F273C">
        <w:t>. Contingent Assets</w:t>
      </w:r>
    </w:p>
    <w:p w14:paraId="395216C3" w14:textId="16CA2960" w:rsidR="00C77525" w:rsidRPr="00ED2A06" w:rsidRDefault="00C77525" w:rsidP="00C77525">
      <w:r w:rsidRPr="00073505">
        <w:t>The Authority</w:t>
      </w:r>
      <w:r>
        <w:t xml:space="preserve"> has</w:t>
      </w:r>
      <w:r w:rsidRPr="00073505">
        <w:t xml:space="preserve"> </w:t>
      </w:r>
      <w:r>
        <w:t>not identified any contingent assets that require disclosure</w:t>
      </w:r>
      <w:r w:rsidRPr="00073505">
        <w:t>.</w:t>
      </w:r>
    </w:p>
    <w:p w14:paraId="15DAFF12" w14:textId="1AABA42E" w:rsidR="004619A1" w:rsidRPr="005F273C" w:rsidRDefault="00CD1C28" w:rsidP="002A1ADD">
      <w:pPr>
        <w:pStyle w:val="VAHeadingLevel2"/>
      </w:pPr>
      <w:r w:rsidRPr="005F273C">
        <w:t xml:space="preserve">   </w:t>
      </w:r>
    </w:p>
    <w:p w14:paraId="7D7E6D41" w14:textId="397A8BBE" w:rsidR="00CF1BC8" w:rsidRPr="005F273C" w:rsidRDefault="00C337A2" w:rsidP="002A1ADD">
      <w:pPr>
        <w:pStyle w:val="VAHeadingLevel2"/>
      </w:pPr>
      <w:r w:rsidRPr="005F273C">
        <w:t xml:space="preserve">Note </w:t>
      </w:r>
      <w:r w:rsidR="005E4654" w:rsidRPr="005F273C">
        <w:t>3</w:t>
      </w:r>
      <w:r w:rsidR="00996B3D" w:rsidRPr="005F273C">
        <w:t>3</w:t>
      </w:r>
      <w:r w:rsidR="008D0DA1" w:rsidRPr="005F273C">
        <w:t>.</w:t>
      </w:r>
      <w:r w:rsidR="002D5031" w:rsidRPr="005F273C">
        <w:t xml:space="preserve"> Cash, </w:t>
      </w:r>
      <w:r w:rsidR="008D0DA1" w:rsidRPr="005F273C">
        <w:t>C</w:t>
      </w:r>
      <w:r w:rsidR="0079406E" w:rsidRPr="005F273C">
        <w:t xml:space="preserve">ash </w:t>
      </w:r>
      <w:r w:rsidR="008D0DA1" w:rsidRPr="005F273C">
        <w:t>E</w:t>
      </w:r>
      <w:r w:rsidR="0079406E" w:rsidRPr="005F273C">
        <w:t xml:space="preserve">quivalents </w:t>
      </w:r>
      <w:r w:rsidR="0062025C" w:rsidRPr="005F273C">
        <w:t xml:space="preserve">and </w:t>
      </w:r>
      <w:r w:rsidR="008D0DA1" w:rsidRPr="005F273C">
        <w:t>S</w:t>
      </w:r>
      <w:r w:rsidR="0062025C" w:rsidRPr="005F273C">
        <w:t>hort</w:t>
      </w:r>
      <w:r w:rsidR="008D0DA1" w:rsidRPr="005F273C">
        <w:t>-T</w:t>
      </w:r>
      <w:r w:rsidR="0062025C" w:rsidRPr="005F273C">
        <w:t xml:space="preserve">erm </w:t>
      </w:r>
      <w:r w:rsidR="008D0DA1" w:rsidRPr="005F273C">
        <w:t>I</w:t>
      </w:r>
      <w:r w:rsidR="0062025C" w:rsidRPr="005F273C">
        <w:t>nvestments</w:t>
      </w:r>
    </w:p>
    <w:p w14:paraId="4AFE4A78" w14:textId="74D874BB" w:rsidR="00C30DC3" w:rsidRDefault="00C30DC3" w:rsidP="002A1ADD">
      <w:pPr>
        <w:pStyle w:val="VAHeadingLevel2"/>
        <w:rPr>
          <w:rFonts w:eastAsiaTheme="minorHAnsi"/>
        </w:rPr>
      </w:pPr>
    </w:p>
    <w:tbl>
      <w:tblPr>
        <w:tblW w:w="5000" w:type="pct"/>
        <w:tblLook w:val="04A0" w:firstRow="1" w:lastRow="0" w:firstColumn="1" w:lastColumn="0" w:noHBand="0" w:noVBand="1"/>
      </w:tblPr>
      <w:tblGrid>
        <w:gridCol w:w="1863"/>
        <w:gridCol w:w="6657"/>
        <w:gridCol w:w="1855"/>
      </w:tblGrid>
      <w:tr w:rsidR="00C30DC3" w:rsidRPr="00C30DC3" w14:paraId="3C4AB6C3" w14:textId="77777777" w:rsidTr="148FF933">
        <w:trPr>
          <w:divId w:val="977762972"/>
          <w:trHeight w:val="310"/>
        </w:trPr>
        <w:tc>
          <w:tcPr>
            <w:tcW w:w="898" w:type="pct"/>
            <w:tcBorders>
              <w:top w:val="nil"/>
              <w:left w:val="nil"/>
              <w:bottom w:val="nil"/>
              <w:right w:val="nil"/>
            </w:tcBorders>
            <w:shd w:val="clear" w:color="auto" w:fill="AB2328"/>
            <w:noWrap/>
            <w:vAlign w:val="bottom"/>
            <w:hideMark/>
          </w:tcPr>
          <w:p w14:paraId="6E764C4A" w14:textId="597A7C45"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3208" w:type="pct"/>
            <w:tcBorders>
              <w:top w:val="nil"/>
              <w:left w:val="nil"/>
              <w:bottom w:val="nil"/>
              <w:right w:val="nil"/>
            </w:tcBorders>
            <w:shd w:val="clear" w:color="auto" w:fill="AB2328"/>
            <w:noWrap/>
            <w:vAlign w:val="bottom"/>
            <w:hideMark/>
          </w:tcPr>
          <w:p w14:paraId="4B59A84C"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94" w:type="pct"/>
            <w:tcBorders>
              <w:top w:val="nil"/>
              <w:left w:val="nil"/>
              <w:bottom w:val="nil"/>
              <w:right w:val="nil"/>
            </w:tcBorders>
            <w:shd w:val="clear" w:color="auto" w:fill="AB2328"/>
            <w:noWrap/>
            <w:vAlign w:val="bottom"/>
            <w:hideMark/>
          </w:tcPr>
          <w:p w14:paraId="499A375D"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083F9211" w14:textId="77777777" w:rsidTr="148FF933">
        <w:trPr>
          <w:divId w:val="977762972"/>
          <w:trHeight w:val="310"/>
        </w:trPr>
        <w:tc>
          <w:tcPr>
            <w:tcW w:w="898" w:type="pct"/>
            <w:tcBorders>
              <w:top w:val="nil"/>
              <w:left w:val="nil"/>
              <w:bottom w:val="nil"/>
              <w:right w:val="nil"/>
            </w:tcBorders>
            <w:shd w:val="clear" w:color="auto" w:fill="AB2328"/>
            <w:noWrap/>
            <w:vAlign w:val="bottom"/>
            <w:hideMark/>
          </w:tcPr>
          <w:p w14:paraId="195237BA"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3208" w:type="pct"/>
            <w:tcBorders>
              <w:top w:val="nil"/>
              <w:left w:val="nil"/>
              <w:bottom w:val="nil"/>
              <w:right w:val="nil"/>
            </w:tcBorders>
            <w:shd w:val="clear" w:color="auto" w:fill="AB2328"/>
            <w:noWrap/>
            <w:vAlign w:val="bottom"/>
            <w:hideMark/>
          </w:tcPr>
          <w:p w14:paraId="023088BB"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94" w:type="pct"/>
            <w:tcBorders>
              <w:top w:val="nil"/>
              <w:left w:val="nil"/>
              <w:bottom w:val="nil"/>
              <w:right w:val="nil"/>
            </w:tcBorders>
            <w:shd w:val="clear" w:color="auto" w:fill="AB2328"/>
            <w:noWrap/>
            <w:vAlign w:val="bottom"/>
            <w:hideMark/>
          </w:tcPr>
          <w:p w14:paraId="1AFA1D3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03F98AB4" w14:textId="77777777" w:rsidTr="148FF933">
        <w:trPr>
          <w:divId w:val="977762972"/>
          <w:trHeight w:val="310"/>
        </w:trPr>
        <w:tc>
          <w:tcPr>
            <w:tcW w:w="898" w:type="pct"/>
            <w:tcBorders>
              <w:top w:val="nil"/>
              <w:left w:val="nil"/>
              <w:bottom w:val="nil"/>
              <w:right w:val="nil"/>
            </w:tcBorders>
            <w:shd w:val="clear" w:color="auto" w:fill="FFFFFF" w:themeFill="background1"/>
            <w:noWrap/>
            <w:hideMark/>
          </w:tcPr>
          <w:p w14:paraId="09D33A72"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2,344</w:t>
            </w:r>
          </w:p>
        </w:tc>
        <w:tc>
          <w:tcPr>
            <w:tcW w:w="3208" w:type="pct"/>
            <w:tcBorders>
              <w:top w:val="nil"/>
              <w:left w:val="nil"/>
              <w:bottom w:val="nil"/>
              <w:right w:val="nil"/>
            </w:tcBorders>
            <w:shd w:val="clear" w:color="auto" w:fill="FFFFFF" w:themeFill="background1"/>
            <w:noWrap/>
            <w:hideMark/>
          </w:tcPr>
          <w:p w14:paraId="0775D799" w14:textId="5A889FBB"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Cash at Bank</w:t>
            </w:r>
            <w:r w:rsidR="005943FE">
              <w:rPr>
                <w:rFonts w:ascii="Calibri" w:eastAsia="Times New Roman" w:hAnsi="Calibri" w:cs="Calibri"/>
                <w:color w:val="000000"/>
                <w:lang w:eastAsia="en-GB"/>
              </w:rPr>
              <w:t xml:space="preserve"> (Call Accounts)</w:t>
            </w:r>
          </w:p>
        </w:tc>
        <w:tc>
          <w:tcPr>
            <w:tcW w:w="894" w:type="pct"/>
            <w:tcBorders>
              <w:top w:val="nil"/>
              <w:left w:val="nil"/>
              <w:bottom w:val="nil"/>
              <w:right w:val="nil"/>
            </w:tcBorders>
            <w:shd w:val="clear" w:color="auto" w:fill="FFE1E1"/>
            <w:noWrap/>
            <w:hideMark/>
          </w:tcPr>
          <w:p w14:paraId="4EDCB431" w14:textId="3CF6BF3B" w:rsidR="00C30DC3" w:rsidRPr="00C30DC3" w:rsidRDefault="005943FE" w:rsidP="00C30DC3">
            <w:pPr>
              <w:spacing w:line="240" w:lineRule="auto"/>
              <w:jc w:val="right"/>
              <w:rPr>
                <w:rFonts w:ascii="Calibri" w:eastAsia="Times New Roman" w:hAnsi="Calibri" w:cs="Calibri"/>
                <w:lang w:eastAsia="en-GB"/>
              </w:rPr>
            </w:pPr>
            <w:r w:rsidRPr="148FF933">
              <w:rPr>
                <w:rFonts w:ascii="Calibri" w:eastAsia="Times New Roman" w:hAnsi="Calibri" w:cs="Calibri"/>
                <w:lang w:eastAsia="en-GB"/>
              </w:rPr>
              <w:t>3,60</w:t>
            </w:r>
            <w:r w:rsidR="2367134A" w:rsidRPr="148FF933">
              <w:rPr>
                <w:rFonts w:ascii="Calibri" w:eastAsia="Times New Roman" w:hAnsi="Calibri" w:cs="Calibri"/>
                <w:lang w:eastAsia="en-GB"/>
              </w:rPr>
              <w:t>6</w:t>
            </w:r>
          </w:p>
        </w:tc>
      </w:tr>
      <w:tr w:rsidR="00C30DC3" w:rsidRPr="00C30DC3" w14:paraId="6911A1B7" w14:textId="77777777" w:rsidTr="148FF933">
        <w:trPr>
          <w:divId w:val="977762972"/>
          <w:trHeight w:val="310"/>
        </w:trPr>
        <w:tc>
          <w:tcPr>
            <w:tcW w:w="898" w:type="pct"/>
            <w:tcBorders>
              <w:top w:val="single" w:sz="4" w:space="0" w:color="auto"/>
              <w:left w:val="nil"/>
              <w:bottom w:val="single" w:sz="4" w:space="0" w:color="auto"/>
              <w:right w:val="nil"/>
            </w:tcBorders>
            <w:shd w:val="clear" w:color="auto" w:fill="FFFFFF" w:themeFill="background1"/>
            <w:noWrap/>
            <w:vAlign w:val="bottom"/>
            <w:hideMark/>
          </w:tcPr>
          <w:p w14:paraId="174AD922"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2,344</w:t>
            </w:r>
          </w:p>
        </w:tc>
        <w:tc>
          <w:tcPr>
            <w:tcW w:w="3208" w:type="pct"/>
            <w:tcBorders>
              <w:top w:val="single" w:sz="4" w:space="0" w:color="auto"/>
              <w:left w:val="nil"/>
              <w:bottom w:val="single" w:sz="4" w:space="0" w:color="auto"/>
              <w:right w:val="nil"/>
            </w:tcBorders>
            <w:shd w:val="clear" w:color="auto" w:fill="FFFFFF" w:themeFill="background1"/>
            <w:noWrap/>
            <w:vAlign w:val="bottom"/>
            <w:hideMark/>
          </w:tcPr>
          <w:p w14:paraId="2D78BA9B"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Total Cash</w:t>
            </w:r>
          </w:p>
        </w:tc>
        <w:tc>
          <w:tcPr>
            <w:tcW w:w="894" w:type="pct"/>
            <w:tcBorders>
              <w:top w:val="single" w:sz="4" w:space="0" w:color="auto"/>
              <w:left w:val="nil"/>
              <w:bottom w:val="single" w:sz="4" w:space="0" w:color="auto"/>
              <w:right w:val="nil"/>
            </w:tcBorders>
            <w:shd w:val="clear" w:color="auto" w:fill="FFE1E1"/>
            <w:noWrap/>
            <w:vAlign w:val="bottom"/>
            <w:hideMark/>
          </w:tcPr>
          <w:p w14:paraId="0B9B8A34" w14:textId="04E658E9" w:rsidR="00C30DC3" w:rsidRPr="00C30DC3" w:rsidRDefault="005943FE" w:rsidP="00C30DC3">
            <w:pPr>
              <w:spacing w:line="240" w:lineRule="auto"/>
              <w:jc w:val="right"/>
              <w:rPr>
                <w:rFonts w:ascii="Calibri" w:eastAsia="Times New Roman" w:hAnsi="Calibri" w:cs="Calibri"/>
                <w:b/>
                <w:bCs/>
                <w:lang w:eastAsia="en-GB"/>
              </w:rPr>
            </w:pPr>
            <w:r w:rsidRPr="148FF933">
              <w:rPr>
                <w:rFonts w:ascii="Calibri" w:eastAsia="Times New Roman" w:hAnsi="Calibri" w:cs="Calibri"/>
                <w:b/>
                <w:bCs/>
                <w:lang w:eastAsia="en-GB"/>
              </w:rPr>
              <w:t>3,60</w:t>
            </w:r>
            <w:r w:rsidR="6D921C15" w:rsidRPr="148FF933">
              <w:rPr>
                <w:rFonts w:ascii="Calibri" w:eastAsia="Times New Roman" w:hAnsi="Calibri" w:cs="Calibri"/>
                <w:b/>
                <w:bCs/>
                <w:lang w:eastAsia="en-GB"/>
              </w:rPr>
              <w:t>6</w:t>
            </w:r>
          </w:p>
        </w:tc>
      </w:tr>
    </w:tbl>
    <w:p w14:paraId="3C70BD19" w14:textId="481BFD7D" w:rsidR="00E35C46" w:rsidRDefault="00E35C46" w:rsidP="002A1ADD">
      <w:pPr>
        <w:pStyle w:val="VAHeadingLevel2"/>
      </w:pPr>
    </w:p>
    <w:tbl>
      <w:tblPr>
        <w:tblW w:w="5000" w:type="pct"/>
        <w:tblLook w:val="04A0" w:firstRow="1" w:lastRow="0" w:firstColumn="1" w:lastColumn="0" w:noHBand="0" w:noVBand="1"/>
      </w:tblPr>
      <w:tblGrid>
        <w:gridCol w:w="1863"/>
        <w:gridCol w:w="6657"/>
        <w:gridCol w:w="1855"/>
      </w:tblGrid>
      <w:tr w:rsidR="00C30DC3" w:rsidRPr="00C30DC3" w14:paraId="5B2A23C4" w14:textId="77777777" w:rsidTr="001A2323">
        <w:trPr>
          <w:divId w:val="845172778"/>
          <w:trHeight w:val="290"/>
        </w:trPr>
        <w:tc>
          <w:tcPr>
            <w:tcW w:w="898" w:type="pct"/>
            <w:tcBorders>
              <w:top w:val="nil"/>
              <w:left w:val="nil"/>
              <w:bottom w:val="nil"/>
              <w:right w:val="nil"/>
            </w:tcBorders>
            <w:shd w:val="clear" w:color="000000" w:fill="AB2328"/>
            <w:noWrap/>
            <w:vAlign w:val="bottom"/>
            <w:hideMark/>
          </w:tcPr>
          <w:p w14:paraId="6D9F86A2" w14:textId="16EF8FDC"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3208" w:type="pct"/>
            <w:tcBorders>
              <w:top w:val="nil"/>
              <w:left w:val="nil"/>
              <w:bottom w:val="nil"/>
              <w:right w:val="nil"/>
            </w:tcBorders>
            <w:shd w:val="clear" w:color="000000" w:fill="AB2328"/>
            <w:noWrap/>
            <w:vAlign w:val="bottom"/>
            <w:hideMark/>
          </w:tcPr>
          <w:p w14:paraId="1BFCF19C"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51CDB1C8"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1199D229" w14:textId="77777777" w:rsidTr="001A2323">
        <w:trPr>
          <w:divId w:val="845172778"/>
          <w:trHeight w:val="290"/>
        </w:trPr>
        <w:tc>
          <w:tcPr>
            <w:tcW w:w="898" w:type="pct"/>
            <w:tcBorders>
              <w:top w:val="nil"/>
              <w:left w:val="nil"/>
              <w:bottom w:val="nil"/>
              <w:right w:val="nil"/>
            </w:tcBorders>
            <w:shd w:val="clear" w:color="000000" w:fill="AB2328"/>
            <w:noWrap/>
            <w:vAlign w:val="bottom"/>
            <w:hideMark/>
          </w:tcPr>
          <w:p w14:paraId="7AAAF56F"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3208" w:type="pct"/>
            <w:tcBorders>
              <w:top w:val="nil"/>
              <w:left w:val="nil"/>
              <w:bottom w:val="nil"/>
              <w:right w:val="nil"/>
            </w:tcBorders>
            <w:shd w:val="clear" w:color="000000" w:fill="AB2328"/>
            <w:noWrap/>
            <w:vAlign w:val="bottom"/>
            <w:hideMark/>
          </w:tcPr>
          <w:p w14:paraId="0B969E5C"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2C45ECCA"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1FBE6B96" w14:textId="77777777" w:rsidTr="001A2323">
        <w:trPr>
          <w:divId w:val="845172778"/>
          <w:trHeight w:val="310"/>
        </w:trPr>
        <w:tc>
          <w:tcPr>
            <w:tcW w:w="898" w:type="pct"/>
            <w:tcBorders>
              <w:top w:val="nil"/>
              <w:left w:val="nil"/>
              <w:bottom w:val="nil"/>
              <w:right w:val="nil"/>
            </w:tcBorders>
            <w:shd w:val="clear" w:color="000000" w:fill="FFFFFF"/>
            <w:noWrap/>
            <w:hideMark/>
          </w:tcPr>
          <w:p w14:paraId="55201B0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10</w:t>
            </w:r>
          </w:p>
        </w:tc>
        <w:tc>
          <w:tcPr>
            <w:tcW w:w="3208" w:type="pct"/>
            <w:tcBorders>
              <w:top w:val="nil"/>
              <w:left w:val="nil"/>
              <w:bottom w:val="nil"/>
              <w:right w:val="nil"/>
            </w:tcBorders>
            <w:shd w:val="clear" w:color="000000" w:fill="FFFFFF"/>
            <w:noWrap/>
            <w:hideMark/>
          </w:tcPr>
          <w:p w14:paraId="4BB9B4DB" w14:textId="2A1A82A9"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Cash at Bank (Notice Account</w:t>
            </w:r>
            <w:r w:rsidR="001D6183">
              <w:rPr>
                <w:rFonts w:ascii="Calibri" w:eastAsia="Times New Roman" w:hAnsi="Calibri" w:cs="Calibri"/>
                <w:color w:val="000000"/>
                <w:lang w:eastAsia="en-GB"/>
              </w:rPr>
              <w:t>s</w:t>
            </w:r>
            <w:r w:rsidRPr="00C30DC3">
              <w:rPr>
                <w:rFonts w:ascii="Calibri" w:eastAsia="Times New Roman" w:hAnsi="Calibri" w:cs="Calibri"/>
                <w:color w:val="000000"/>
                <w:lang w:eastAsia="en-GB"/>
              </w:rPr>
              <w:t>)</w:t>
            </w:r>
          </w:p>
        </w:tc>
        <w:tc>
          <w:tcPr>
            <w:tcW w:w="894" w:type="pct"/>
            <w:tcBorders>
              <w:top w:val="nil"/>
              <w:left w:val="nil"/>
              <w:bottom w:val="nil"/>
              <w:right w:val="nil"/>
            </w:tcBorders>
            <w:shd w:val="clear" w:color="000000" w:fill="FFE1E1"/>
            <w:noWrap/>
            <w:hideMark/>
          </w:tcPr>
          <w:p w14:paraId="2E5C232E" w14:textId="60AE2CA3" w:rsidR="00C30DC3" w:rsidRPr="00C30DC3" w:rsidRDefault="00D53C54" w:rsidP="00C30DC3">
            <w:pPr>
              <w:spacing w:line="240" w:lineRule="auto"/>
              <w:jc w:val="right"/>
              <w:rPr>
                <w:rFonts w:ascii="Calibri" w:eastAsia="Times New Roman" w:hAnsi="Calibri" w:cs="Calibri"/>
                <w:lang w:eastAsia="en-GB"/>
              </w:rPr>
            </w:pPr>
            <w:r>
              <w:rPr>
                <w:rFonts w:ascii="Calibri" w:eastAsia="Times New Roman" w:hAnsi="Calibri" w:cs="Calibri"/>
                <w:lang w:eastAsia="en-GB"/>
              </w:rPr>
              <w:t>-</w:t>
            </w:r>
          </w:p>
        </w:tc>
      </w:tr>
      <w:tr w:rsidR="00C30DC3" w:rsidRPr="00C30DC3" w14:paraId="6AAE1DBB" w14:textId="77777777" w:rsidTr="001A2323">
        <w:trPr>
          <w:divId w:val="845172778"/>
          <w:trHeight w:val="310"/>
        </w:trPr>
        <w:tc>
          <w:tcPr>
            <w:tcW w:w="898" w:type="pct"/>
            <w:tcBorders>
              <w:top w:val="nil"/>
              <w:left w:val="nil"/>
              <w:bottom w:val="nil"/>
              <w:right w:val="nil"/>
            </w:tcBorders>
            <w:shd w:val="clear" w:color="000000" w:fill="FFFFFF"/>
            <w:noWrap/>
            <w:hideMark/>
          </w:tcPr>
          <w:p w14:paraId="6732251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w:t>
            </w:r>
          </w:p>
        </w:tc>
        <w:tc>
          <w:tcPr>
            <w:tcW w:w="3208" w:type="pct"/>
            <w:tcBorders>
              <w:top w:val="nil"/>
              <w:left w:val="nil"/>
              <w:bottom w:val="nil"/>
              <w:right w:val="nil"/>
            </w:tcBorders>
            <w:shd w:val="clear" w:color="000000" w:fill="FFFFFF"/>
            <w:noWrap/>
            <w:hideMark/>
          </w:tcPr>
          <w:p w14:paraId="09C5EE20"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Fixed Term Deposit</w:t>
            </w:r>
          </w:p>
        </w:tc>
        <w:tc>
          <w:tcPr>
            <w:tcW w:w="894" w:type="pct"/>
            <w:tcBorders>
              <w:top w:val="nil"/>
              <w:left w:val="nil"/>
              <w:bottom w:val="nil"/>
              <w:right w:val="nil"/>
            </w:tcBorders>
            <w:shd w:val="clear" w:color="000000" w:fill="FFE1E1"/>
            <w:noWrap/>
            <w:hideMark/>
          </w:tcPr>
          <w:p w14:paraId="094D0464" w14:textId="77777777" w:rsidR="00C30DC3" w:rsidRPr="00C30DC3" w:rsidRDefault="00C30DC3" w:rsidP="00C30DC3">
            <w:pPr>
              <w:spacing w:line="240" w:lineRule="auto"/>
              <w:jc w:val="right"/>
              <w:rPr>
                <w:rFonts w:ascii="Calibri" w:eastAsia="Times New Roman" w:hAnsi="Calibri" w:cs="Calibri"/>
                <w:lang w:eastAsia="en-GB"/>
              </w:rPr>
            </w:pPr>
            <w:r w:rsidRPr="00C30DC3">
              <w:rPr>
                <w:rFonts w:ascii="Calibri" w:eastAsia="Times New Roman" w:hAnsi="Calibri" w:cs="Calibri"/>
                <w:lang w:eastAsia="en-GB"/>
              </w:rPr>
              <w:t>2,001</w:t>
            </w:r>
          </w:p>
        </w:tc>
      </w:tr>
      <w:tr w:rsidR="00C30DC3" w:rsidRPr="00C30DC3" w14:paraId="60C346FD" w14:textId="77777777" w:rsidTr="001A2323">
        <w:trPr>
          <w:divId w:val="845172778"/>
          <w:trHeight w:val="290"/>
        </w:trPr>
        <w:tc>
          <w:tcPr>
            <w:tcW w:w="898" w:type="pct"/>
            <w:tcBorders>
              <w:top w:val="single" w:sz="4" w:space="0" w:color="auto"/>
              <w:left w:val="nil"/>
              <w:bottom w:val="single" w:sz="4" w:space="0" w:color="auto"/>
              <w:right w:val="nil"/>
            </w:tcBorders>
            <w:shd w:val="clear" w:color="000000" w:fill="FFFFFF"/>
            <w:noWrap/>
            <w:hideMark/>
          </w:tcPr>
          <w:p w14:paraId="34B791FC"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10</w:t>
            </w:r>
          </w:p>
        </w:tc>
        <w:tc>
          <w:tcPr>
            <w:tcW w:w="3208" w:type="pct"/>
            <w:tcBorders>
              <w:top w:val="single" w:sz="4" w:space="0" w:color="auto"/>
              <w:left w:val="nil"/>
              <w:bottom w:val="single" w:sz="4" w:space="0" w:color="auto"/>
              <w:right w:val="nil"/>
            </w:tcBorders>
            <w:shd w:val="clear" w:color="000000" w:fill="FFFFFF"/>
            <w:noWrap/>
            <w:hideMark/>
          </w:tcPr>
          <w:p w14:paraId="01683E7A"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Total Short Term Investments</w:t>
            </w:r>
          </w:p>
        </w:tc>
        <w:tc>
          <w:tcPr>
            <w:tcW w:w="894" w:type="pct"/>
            <w:tcBorders>
              <w:top w:val="single" w:sz="4" w:space="0" w:color="auto"/>
              <w:left w:val="nil"/>
              <w:bottom w:val="single" w:sz="4" w:space="0" w:color="auto"/>
              <w:right w:val="nil"/>
            </w:tcBorders>
            <w:shd w:val="clear" w:color="000000" w:fill="FFE1E1"/>
            <w:noWrap/>
            <w:hideMark/>
          </w:tcPr>
          <w:p w14:paraId="17317E34" w14:textId="2CECE7BF" w:rsidR="00C30DC3" w:rsidRPr="00C30DC3" w:rsidRDefault="005943FE" w:rsidP="00C30DC3">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2</w:t>
            </w:r>
            <w:r w:rsidR="00C30DC3" w:rsidRPr="00C30DC3">
              <w:rPr>
                <w:rFonts w:ascii="Calibri" w:eastAsia="Times New Roman" w:hAnsi="Calibri" w:cs="Calibri"/>
                <w:b/>
                <w:bCs/>
                <w:lang w:eastAsia="en-GB"/>
              </w:rPr>
              <w:t>,0</w:t>
            </w:r>
            <w:r>
              <w:rPr>
                <w:rFonts w:ascii="Calibri" w:eastAsia="Times New Roman" w:hAnsi="Calibri" w:cs="Calibri"/>
                <w:b/>
                <w:bCs/>
                <w:lang w:eastAsia="en-GB"/>
              </w:rPr>
              <w:t>0</w:t>
            </w:r>
            <w:r w:rsidR="00C30DC3" w:rsidRPr="00C30DC3">
              <w:rPr>
                <w:rFonts w:ascii="Calibri" w:eastAsia="Times New Roman" w:hAnsi="Calibri" w:cs="Calibri"/>
                <w:b/>
                <w:bCs/>
                <w:lang w:eastAsia="en-GB"/>
              </w:rPr>
              <w:t>1</w:t>
            </w:r>
          </w:p>
        </w:tc>
      </w:tr>
    </w:tbl>
    <w:p w14:paraId="4E017CA5" w14:textId="77777777" w:rsidR="00F46148" w:rsidRDefault="00F46148" w:rsidP="002A1ADD">
      <w:pPr>
        <w:pStyle w:val="VAHeadingLevel2"/>
      </w:pPr>
    </w:p>
    <w:p w14:paraId="5B57D5AD" w14:textId="27A8D3D0" w:rsidR="008D0DA1" w:rsidRPr="005F273C" w:rsidRDefault="004542C8" w:rsidP="002A1ADD">
      <w:pPr>
        <w:pStyle w:val="VAHeadingLevel2"/>
      </w:pPr>
      <w:r w:rsidRPr="005F273C">
        <w:t>Note 3</w:t>
      </w:r>
      <w:r w:rsidR="008951E6" w:rsidRPr="005F273C">
        <w:t>4</w:t>
      </w:r>
      <w:r w:rsidRPr="005F273C">
        <w:t>. Cash Flow from Operating Activities</w:t>
      </w:r>
    </w:p>
    <w:p w14:paraId="0A1C3D5A" w14:textId="6C2CE235" w:rsidR="000F7DCF" w:rsidRPr="008951E6" w:rsidRDefault="008951E6" w:rsidP="00A6442F">
      <w:r w:rsidRPr="008951E6">
        <w:t>Please see Cash Flow Statement.</w:t>
      </w:r>
    </w:p>
    <w:p w14:paraId="72B97D4B" w14:textId="77777777" w:rsidR="008951E6" w:rsidRPr="008951E6" w:rsidRDefault="008951E6" w:rsidP="00A6442F"/>
    <w:p w14:paraId="07F81731" w14:textId="2E87CE7A" w:rsidR="00835251" w:rsidRPr="005F273C" w:rsidRDefault="000F7DCF" w:rsidP="00A6442F">
      <w:pPr>
        <w:rPr>
          <w:rFonts w:eastAsia="Times New Roman" w:cs="Arial"/>
          <w:bCs/>
          <w:color w:val="AB2328"/>
          <w:sz w:val="24"/>
          <w:szCs w:val="24"/>
        </w:rPr>
      </w:pPr>
      <w:r w:rsidRPr="005F273C">
        <w:rPr>
          <w:rFonts w:eastAsia="Times New Roman" w:cs="Arial"/>
          <w:bCs/>
          <w:color w:val="AB2328"/>
          <w:sz w:val="24"/>
          <w:szCs w:val="24"/>
        </w:rPr>
        <w:t>Note 3</w:t>
      </w:r>
      <w:r w:rsidR="008951E6" w:rsidRPr="005F273C">
        <w:rPr>
          <w:rFonts w:eastAsia="Times New Roman" w:cs="Arial"/>
          <w:bCs/>
          <w:color w:val="AB2328"/>
          <w:sz w:val="24"/>
          <w:szCs w:val="24"/>
        </w:rPr>
        <w:t>5</w:t>
      </w:r>
      <w:r w:rsidRPr="005F273C">
        <w:rPr>
          <w:rFonts w:eastAsia="Times New Roman" w:cs="Arial"/>
          <w:bCs/>
          <w:color w:val="AB2328"/>
          <w:sz w:val="24"/>
          <w:szCs w:val="24"/>
        </w:rPr>
        <w:t>. Cash Flow from Investing Activities</w:t>
      </w:r>
    </w:p>
    <w:p w14:paraId="6489E838" w14:textId="77777777" w:rsidR="008951E6" w:rsidRDefault="008951E6" w:rsidP="008951E6"/>
    <w:tbl>
      <w:tblPr>
        <w:tblW w:w="5000" w:type="pct"/>
        <w:tblLook w:val="04A0" w:firstRow="1" w:lastRow="0" w:firstColumn="1" w:lastColumn="0" w:noHBand="0" w:noVBand="1"/>
      </w:tblPr>
      <w:tblGrid>
        <w:gridCol w:w="2137"/>
        <w:gridCol w:w="6103"/>
        <w:gridCol w:w="2135"/>
      </w:tblGrid>
      <w:tr w:rsidR="0024492F" w:rsidRPr="0024492F" w14:paraId="42F899C3" w14:textId="77777777" w:rsidTr="5A995008">
        <w:trPr>
          <w:trHeight w:val="300"/>
        </w:trPr>
        <w:tc>
          <w:tcPr>
            <w:tcW w:w="1030" w:type="pct"/>
            <w:tcBorders>
              <w:top w:val="nil"/>
              <w:left w:val="nil"/>
              <w:bottom w:val="nil"/>
              <w:right w:val="nil"/>
            </w:tcBorders>
            <w:shd w:val="clear" w:color="auto" w:fill="AB2328"/>
            <w:noWrap/>
            <w:vAlign w:val="bottom"/>
            <w:hideMark/>
          </w:tcPr>
          <w:p w14:paraId="01D373DF" w14:textId="77777777" w:rsidR="0024492F" w:rsidRPr="0024492F" w:rsidRDefault="0024492F" w:rsidP="0024492F">
            <w:pPr>
              <w:spacing w:line="240" w:lineRule="auto"/>
              <w:jc w:val="righ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31 March 2024</w:t>
            </w:r>
          </w:p>
        </w:tc>
        <w:tc>
          <w:tcPr>
            <w:tcW w:w="2941" w:type="pct"/>
            <w:tcBorders>
              <w:top w:val="nil"/>
              <w:left w:val="nil"/>
              <w:bottom w:val="nil"/>
              <w:right w:val="nil"/>
            </w:tcBorders>
            <w:shd w:val="clear" w:color="auto" w:fill="AB2328"/>
            <w:noWrap/>
            <w:vAlign w:val="bottom"/>
            <w:hideMark/>
          </w:tcPr>
          <w:p w14:paraId="2810D11C" w14:textId="77777777" w:rsidR="0024492F" w:rsidRPr="0024492F" w:rsidRDefault="0024492F" w:rsidP="0024492F">
            <w:pPr>
              <w:spacing w:line="240" w:lineRule="auto"/>
              <w:jc w:val="lef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 </w:t>
            </w:r>
          </w:p>
        </w:tc>
        <w:tc>
          <w:tcPr>
            <w:tcW w:w="1030" w:type="pct"/>
            <w:tcBorders>
              <w:top w:val="nil"/>
              <w:left w:val="nil"/>
              <w:bottom w:val="nil"/>
              <w:right w:val="nil"/>
            </w:tcBorders>
            <w:shd w:val="clear" w:color="auto" w:fill="AB2328"/>
            <w:noWrap/>
            <w:vAlign w:val="bottom"/>
            <w:hideMark/>
          </w:tcPr>
          <w:p w14:paraId="2832E143" w14:textId="77777777" w:rsidR="0024492F" w:rsidRPr="0024492F" w:rsidRDefault="0024492F" w:rsidP="0024492F">
            <w:pPr>
              <w:spacing w:line="240" w:lineRule="auto"/>
              <w:jc w:val="righ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31 March 2025</w:t>
            </w:r>
          </w:p>
        </w:tc>
      </w:tr>
      <w:tr w:rsidR="0024492F" w:rsidRPr="0024492F" w14:paraId="52B61DCC" w14:textId="77777777" w:rsidTr="5A995008">
        <w:trPr>
          <w:trHeight w:val="300"/>
        </w:trPr>
        <w:tc>
          <w:tcPr>
            <w:tcW w:w="1030" w:type="pct"/>
            <w:tcBorders>
              <w:top w:val="nil"/>
              <w:left w:val="nil"/>
              <w:bottom w:val="nil"/>
              <w:right w:val="nil"/>
            </w:tcBorders>
            <w:shd w:val="clear" w:color="auto" w:fill="AB2328"/>
            <w:noWrap/>
            <w:vAlign w:val="bottom"/>
            <w:hideMark/>
          </w:tcPr>
          <w:p w14:paraId="562FA02F" w14:textId="77777777" w:rsidR="0024492F" w:rsidRPr="0024492F" w:rsidRDefault="0024492F" w:rsidP="0024492F">
            <w:pPr>
              <w:spacing w:line="240" w:lineRule="auto"/>
              <w:jc w:val="righ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£000</w:t>
            </w:r>
          </w:p>
        </w:tc>
        <w:tc>
          <w:tcPr>
            <w:tcW w:w="2941" w:type="pct"/>
            <w:tcBorders>
              <w:top w:val="nil"/>
              <w:left w:val="nil"/>
              <w:bottom w:val="nil"/>
              <w:right w:val="nil"/>
            </w:tcBorders>
            <w:shd w:val="clear" w:color="auto" w:fill="AB2328"/>
            <w:noWrap/>
            <w:vAlign w:val="bottom"/>
            <w:hideMark/>
          </w:tcPr>
          <w:p w14:paraId="7C211CD0" w14:textId="77777777" w:rsidR="0024492F" w:rsidRPr="0024492F" w:rsidRDefault="0024492F" w:rsidP="0024492F">
            <w:pPr>
              <w:spacing w:line="240" w:lineRule="auto"/>
              <w:jc w:val="lef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 </w:t>
            </w:r>
          </w:p>
        </w:tc>
        <w:tc>
          <w:tcPr>
            <w:tcW w:w="1030" w:type="pct"/>
            <w:tcBorders>
              <w:top w:val="nil"/>
              <w:left w:val="nil"/>
              <w:bottom w:val="nil"/>
              <w:right w:val="nil"/>
            </w:tcBorders>
            <w:shd w:val="clear" w:color="auto" w:fill="AB2328"/>
            <w:noWrap/>
            <w:vAlign w:val="bottom"/>
            <w:hideMark/>
          </w:tcPr>
          <w:p w14:paraId="1D5B4D6D" w14:textId="77777777" w:rsidR="0024492F" w:rsidRPr="0024492F" w:rsidRDefault="0024492F" w:rsidP="0024492F">
            <w:pPr>
              <w:spacing w:line="240" w:lineRule="auto"/>
              <w:jc w:val="right"/>
              <w:rPr>
                <w:rFonts w:ascii="Calibri" w:eastAsia="Times New Roman" w:hAnsi="Calibri" w:cs="Calibri"/>
                <w:b/>
                <w:bCs/>
                <w:color w:val="FFFFFF"/>
                <w:lang w:eastAsia="en-GB"/>
              </w:rPr>
            </w:pPr>
            <w:r w:rsidRPr="0024492F">
              <w:rPr>
                <w:rFonts w:ascii="Calibri" w:eastAsia="Times New Roman" w:hAnsi="Calibri" w:cs="Calibri"/>
                <w:b/>
                <w:bCs/>
                <w:color w:val="FFFFFF"/>
                <w:lang w:eastAsia="en-GB"/>
              </w:rPr>
              <w:t>£000</w:t>
            </w:r>
          </w:p>
        </w:tc>
      </w:tr>
      <w:tr w:rsidR="0024492F" w:rsidRPr="0024492F" w14:paraId="0A18EBE4" w14:textId="77777777" w:rsidTr="5A995008">
        <w:trPr>
          <w:trHeight w:val="300"/>
        </w:trPr>
        <w:tc>
          <w:tcPr>
            <w:tcW w:w="1030" w:type="pct"/>
            <w:tcBorders>
              <w:top w:val="nil"/>
              <w:left w:val="nil"/>
              <w:bottom w:val="nil"/>
              <w:right w:val="nil"/>
            </w:tcBorders>
            <w:shd w:val="clear" w:color="auto" w:fill="FFFFFF" w:themeFill="background1"/>
            <w:noWrap/>
            <w:hideMark/>
          </w:tcPr>
          <w:p w14:paraId="2FA1F4BA" w14:textId="77777777" w:rsidR="0024492F" w:rsidRPr="0024492F" w:rsidRDefault="0024492F" w:rsidP="0024492F">
            <w:pPr>
              <w:spacing w:line="240" w:lineRule="auto"/>
              <w:jc w:val="right"/>
              <w:rPr>
                <w:rFonts w:ascii="Calibri" w:eastAsia="Times New Roman" w:hAnsi="Calibri" w:cs="Calibri"/>
                <w:color w:val="000000"/>
                <w:lang w:eastAsia="en-GB"/>
              </w:rPr>
            </w:pPr>
            <w:r w:rsidRPr="0024492F">
              <w:rPr>
                <w:rFonts w:ascii="Calibri" w:eastAsia="Times New Roman" w:hAnsi="Calibri" w:cs="Calibri"/>
                <w:color w:val="000000"/>
                <w:lang w:eastAsia="en-GB"/>
              </w:rPr>
              <w:t>-</w:t>
            </w:r>
          </w:p>
        </w:tc>
        <w:tc>
          <w:tcPr>
            <w:tcW w:w="2941" w:type="pct"/>
            <w:tcBorders>
              <w:top w:val="nil"/>
              <w:left w:val="nil"/>
              <w:bottom w:val="nil"/>
              <w:right w:val="nil"/>
            </w:tcBorders>
            <w:shd w:val="clear" w:color="auto" w:fill="FFFFFF" w:themeFill="background1"/>
            <w:vAlign w:val="bottom"/>
            <w:hideMark/>
          </w:tcPr>
          <w:p w14:paraId="73364056" w14:textId="77777777" w:rsidR="0024492F" w:rsidRPr="0024492F" w:rsidRDefault="0024492F" w:rsidP="0024492F">
            <w:pPr>
              <w:spacing w:line="240" w:lineRule="auto"/>
              <w:jc w:val="left"/>
              <w:rPr>
                <w:rFonts w:ascii="Calibri" w:eastAsia="Times New Roman" w:hAnsi="Calibri" w:cs="Calibri"/>
                <w:lang w:eastAsia="en-GB"/>
              </w:rPr>
            </w:pPr>
            <w:r w:rsidRPr="0024492F">
              <w:rPr>
                <w:rFonts w:ascii="Calibri" w:eastAsia="Times New Roman" w:hAnsi="Calibri" w:cs="Calibri"/>
                <w:lang w:eastAsia="en-GB"/>
              </w:rPr>
              <w:t>Proceeds from Sale of Assets</w:t>
            </w:r>
          </w:p>
        </w:tc>
        <w:tc>
          <w:tcPr>
            <w:tcW w:w="1030" w:type="pct"/>
            <w:tcBorders>
              <w:top w:val="nil"/>
              <w:left w:val="nil"/>
              <w:bottom w:val="nil"/>
              <w:right w:val="nil"/>
            </w:tcBorders>
            <w:shd w:val="clear" w:color="auto" w:fill="FFE1E1"/>
            <w:noWrap/>
            <w:vAlign w:val="bottom"/>
            <w:hideMark/>
          </w:tcPr>
          <w:p w14:paraId="034F0900" w14:textId="77777777" w:rsidR="0024492F" w:rsidRPr="0024492F" w:rsidRDefault="0024492F" w:rsidP="0024492F">
            <w:pPr>
              <w:spacing w:line="240" w:lineRule="auto"/>
              <w:jc w:val="right"/>
              <w:rPr>
                <w:rFonts w:ascii="Calibri" w:eastAsia="Times New Roman" w:hAnsi="Calibri" w:cs="Calibri"/>
                <w:color w:val="000000"/>
                <w:lang w:eastAsia="en-GB"/>
              </w:rPr>
            </w:pPr>
            <w:r w:rsidRPr="0024492F">
              <w:rPr>
                <w:rFonts w:ascii="Calibri" w:eastAsia="Times New Roman" w:hAnsi="Calibri" w:cs="Calibri"/>
                <w:color w:val="000000"/>
                <w:lang w:eastAsia="en-GB"/>
              </w:rPr>
              <w:t>3,260</w:t>
            </w:r>
          </w:p>
        </w:tc>
      </w:tr>
      <w:tr w:rsidR="0024492F" w:rsidRPr="0024492F" w14:paraId="7E0FC54B" w14:textId="77777777" w:rsidTr="5A995008">
        <w:trPr>
          <w:trHeight w:val="300"/>
        </w:trPr>
        <w:tc>
          <w:tcPr>
            <w:tcW w:w="1030" w:type="pct"/>
            <w:tcBorders>
              <w:top w:val="nil"/>
              <w:left w:val="nil"/>
              <w:bottom w:val="nil"/>
              <w:right w:val="nil"/>
            </w:tcBorders>
            <w:shd w:val="clear" w:color="auto" w:fill="FFFFFF" w:themeFill="background1"/>
            <w:noWrap/>
            <w:hideMark/>
          </w:tcPr>
          <w:p w14:paraId="791E47B8" w14:textId="77777777" w:rsidR="0024492F" w:rsidRPr="0024492F" w:rsidRDefault="0024492F" w:rsidP="0024492F">
            <w:pPr>
              <w:spacing w:line="240" w:lineRule="auto"/>
              <w:jc w:val="right"/>
              <w:rPr>
                <w:rFonts w:ascii="Calibri" w:eastAsia="Times New Roman" w:hAnsi="Calibri" w:cs="Calibri"/>
                <w:color w:val="000000"/>
                <w:lang w:eastAsia="en-GB"/>
              </w:rPr>
            </w:pPr>
            <w:r w:rsidRPr="0024492F">
              <w:rPr>
                <w:rFonts w:ascii="Calibri" w:eastAsia="Times New Roman" w:hAnsi="Calibri" w:cs="Calibri"/>
                <w:color w:val="000000"/>
                <w:lang w:eastAsia="en-GB"/>
              </w:rPr>
              <w:t>(2,305)</w:t>
            </w:r>
          </w:p>
        </w:tc>
        <w:tc>
          <w:tcPr>
            <w:tcW w:w="2941" w:type="pct"/>
            <w:tcBorders>
              <w:top w:val="nil"/>
              <w:left w:val="nil"/>
              <w:bottom w:val="nil"/>
              <w:right w:val="nil"/>
            </w:tcBorders>
            <w:shd w:val="clear" w:color="auto" w:fill="FFFFFF" w:themeFill="background1"/>
            <w:vAlign w:val="bottom"/>
            <w:hideMark/>
          </w:tcPr>
          <w:p w14:paraId="19B25007" w14:textId="77777777" w:rsidR="0024492F" w:rsidRPr="0024492F" w:rsidRDefault="0024492F" w:rsidP="0024492F">
            <w:pPr>
              <w:spacing w:line="240" w:lineRule="auto"/>
              <w:jc w:val="left"/>
              <w:rPr>
                <w:rFonts w:ascii="Calibri" w:eastAsia="Times New Roman" w:hAnsi="Calibri" w:cs="Calibri"/>
                <w:lang w:eastAsia="en-GB"/>
              </w:rPr>
            </w:pPr>
            <w:r w:rsidRPr="0024492F">
              <w:rPr>
                <w:rFonts w:ascii="Calibri" w:eastAsia="Times New Roman" w:hAnsi="Calibri" w:cs="Calibri"/>
                <w:lang w:eastAsia="en-GB"/>
              </w:rPr>
              <w:t>Additions of PPE Assets</w:t>
            </w:r>
          </w:p>
        </w:tc>
        <w:tc>
          <w:tcPr>
            <w:tcW w:w="1030" w:type="pct"/>
            <w:tcBorders>
              <w:top w:val="nil"/>
              <w:left w:val="nil"/>
              <w:bottom w:val="nil"/>
              <w:right w:val="nil"/>
            </w:tcBorders>
            <w:shd w:val="clear" w:color="auto" w:fill="FFE1E1"/>
            <w:noWrap/>
            <w:vAlign w:val="bottom"/>
            <w:hideMark/>
          </w:tcPr>
          <w:p w14:paraId="68B4E05A" w14:textId="77777777" w:rsidR="0024492F" w:rsidRPr="0024492F" w:rsidRDefault="0024492F" w:rsidP="0024492F">
            <w:pPr>
              <w:spacing w:line="240" w:lineRule="auto"/>
              <w:jc w:val="right"/>
              <w:rPr>
                <w:rFonts w:ascii="Calibri" w:eastAsia="Times New Roman" w:hAnsi="Calibri" w:cs="Calibri"/>
                <w:color w:val="000000"/>
                <w:lang w:eastAsia="en-GB"/>
              </w:rPr>
            </w:pPr>
            <w:r w:rsidRPr="0024492F">
              <w:rPr>
                <w:rFonts w:ascii="Calibri" w:eastAsia="Times New Roman" w:hAnsi="Calibri" w:cs="Calibri"/>
                <w:color w:val="000000"/>
                <w:lang w:eastAsia="en-GB"/>
              </w:rPr>
              <w:t>(2,741)</w:t>
            </w:r>
          </w:p>
        </w:tc>
      </w:tr>
      <w:tr w:rsidR="0024492F" w:rsidRPr="0024492F" w14:paraId="53459921" w14:textId="77777777" w:rsidTr="5A995008">
        <w:trPr>
          <w:trHeight w:val="300"/>
        </w:trPr>
        <w:tc>
          <w:tcPr>
            <w:tcW w:w="1030" w:type="pct"/>
            <w:tcBorders>
              <w:top w:val="nil"/>
              <w:left w:val="nil"/>
              <w:bottom w:val="nil"/>
              <w:right w:val="nil"/>
            </w:tcBorders>
            <w:shd w:val="clear" w:color="auto" w:fill="FFFFFF" w:themeFill="background1"/>
            <w:noWrap/>
            <w:hideMark/>
          </w:tcPr>
          <w:p w14:paraId="3E10BDF7" w14:textId="59388CDF" w:rsidR="0024492F" w:rsidRPr="0024492F" w:rsidRDefault="6FD29B9E" w:rsidP="0024492F">
            <w:pPr>
              <w:spacing w:line="240" w:lineRule="auto"/>
              <w:jc w:val="right"/>
              <w:rPr>
                <w:rFonts w:ascii="Calibri" w:eastAsia="Times New Roman" w:hAnsi="Calibri" w:cs="Calibri"/>
                <w:color w:val="000000"/>
                <w:lang w:eastAsia="en-GB"/>
              </w:rPr>
            </w:pPr>
            <w:r w:rsidRPr="5A995008">
              <w:rPr>
                <w:rFonts w:ascii="Calibri" w:eastAsia="Times New Roman" w:hAnsi="Calibri" w:cs="Calibri"/>
                <w:color w:val="000000" w:themeColor="text1"/>
                <w:lang w:eastAsia="en-GB"/>
              </w:rPr>
              <w:t>5,</w:t>
            </w:r>
            <w:r w:rsidR="1B179767" w:rsidRPr="5A995008">
              <w:rPr>
                <w:rFonts w:ascii="Calibri" w:eastAsia="Times New Roman" w:hAnsi="Calibri" w:cs="Calibri"/>
                <w:color w:val="000000" w:themeColor="text1"/>
                <w:lang w:eastAsia="en-GB"/>
              </w:rPr>
              <w:t>0</w:t>
            </w:r>
            <w:r w:rsidR="6FAAA6A7" w:rsidRPr="5A995008">
              <w:rPr>
                <w:rFonts w:ascii="Calibri" w:eastAsia="Times New Roman" w:hAnsi="Calibri" w:cs="Calibri"/>
                <w:color w:val="000000" w:themeColor="text1"/>
                <w:lang w:eastAsia="en-GB"/>
              </w:rPr>
              <w:t>0</w:t>
            </w:r>
            <w:r w:rsidR="1B179767" w:rsidRPr="5A995008">
              <w:rPr>
                <w:rFonts w:ascii="Calibri" w:eastAsia="Times New Roman" w:hAnsi="Calibri" w:cs="Calibri"/>
                <w:color w:val="000000" w:themeColor="text1"/>
                <w:lang w:eastAsia="en-GB"/>
              </w:rPr>
              <w:t>0</w:t>
            </w:r>
          </w:p>
        </w:tc>
        <w:tc>
          <w:tcPr>
            <w:tcW w:w="2941" w:type="pct"/>
            <w:tcBorders>
              <w:top w:val="nil"/>
              <w:left w:val="nil"/>
              <w:bottom w:val="nil"/>
              <w:right w:val="nil"/>
            </w:tcBorders>
            <w:shd w:val="clear" w:color="auto" w:fill="FFFFFF" w:themeFill="background1"/>
            <w:noWrap/>
            <w:hideMark/>
          </w:tcPr>
          <w:p w14:paraId="23547FFA" w14:textId="77777777" w:rsidR="0024492F" w:rsidRPr="0024492F" w:rsidRDefault="0024492F" w:rsidP="0024492F">
            <w:pPr>
              <w:spacing w:line="240" w:lineRule="auto"/>
              <w:jc w:val="left"/>
              <w:rPr>
                <w:rFonts w:ascii="Calibri" w:eastAsia="Times New Roman" w:hAnsi="Calibri" w:cs="Calibri"/>
                <w:color w:val="000000"/>
                <w:lang w:eastAsia="en-GB"/>
              </w:rPr>
            </w:pPr>
            <w:r w:rsidRPr="0024492F">
              <w:rPr>
                <w:rFonts w:ascii="Calibri" w:eastAsia="Times New Roman" w:hAnsi="Calibri" w:cs="Calibri"/>
                <w:color w:val="000000"/>
                <w:lang w:eastAsia="en-GB"/>
              </w:rPr>
              <w:t>Purchase of short-term and long-term investments</w:t>
            </w:r>
          </w:p>
        </w:tc>
        <w:tc>
          <w:tcPr>
            <w:tcW w:w="1030" w:type="pct"/>
            <w:tcBorders>
              <w:top w:val="nil"/>
              <w:left w:val="nil"/>
              <w:bottom w:val="nil"/>
              <w:right w:val="nil"/>
            </w:tcBorders>
            <w:shd w:val="clear" w:color="auto" w:fill="FFE1E1"/>
            <w:noWrap/>
            <w:vAlign w:val="bottom"/>
            <w:hideMark/>
          </w:tcPr>
          <w:p w14:paraId="7BBE6C17" w14:textId="77777777" w:rsidR="0024492F" w:rsidRPr="0024492F" w:rsidRDefault="0024492F" w:rsidP="0024492F">
            <w:pPr>
              <w:spacing w:line="240" w:lineRule="auto"/>
              <w:jc w:val="right"/>
              <w:rPr>
                <w:rFonts w:ascii="Calibri" w:eastAsia="Times New Roman" w:hAnsi="Calibri" w:cs="Calibri"/>
                <w:color w:val="000000"/>
                <w:lang w:eastAsia="en-GB"/>
              </w:rPr>
            </w:pPr>
            <w:r w:rsidRPr="0024492F">
              <w:rPr>
                <w:rFonts w:ascii="Calibri" w:eastAsia="Times New Roman" w:hAnsi="Calibri" w:cs="Calibri"/>
                <w:color w:val="000000"/>
                <w:lang w:eastAsia="en-GB"/>
              </w:rPr>
              <w:t>17,235</w:t>
            </w:r>
          </w:p>
        </w:tc>
      </w:tr>
      <w:tr w:rsidR="0024492F" w:rsidRPr="0024492F" w14:paraId="426F0F30" w14:textId="77777777" w:rsidTr="5A995008">
        <w:trPr>
          <w:trHeight w:val="300"/>
        </w:trPr>
        <w:tc>
          <w:tcPr>
            <w:tcW w:w="1030" w:type="pct"/>
            <w:tcBorders>
              <w:top w:val="nil"/>
              <w:left w:val="nil"/>
              <w:bottom w:val="nil"/>
              <w:right w:val="nil"/>
            </w:tcBorders>
            <w:shd w:val="clear" w:color="auto" w:fill="FFFFFF" w:themeFill="background1"/>
            <w:noWrap/>
            <w:hideMark/>
          </w:tcPr>
          <w:p w14:paraId="30105AAF" w14:textId="13E9B35D" w:rsidR="0024492F" w:rsidRPr="0024492F" w:rsidRDefault="6FD29B9E" w:rsidP="0024492F">
            <w:pPr>
              <w:spacing w:line="240" w:lineRule="auto"/>
              <w:jc w:val="right"/>
              <w:rPr>
                <w:rFonts w:ascii="Calibri" w:eastAsia="Times New Roman" w:hAnsi="Calibri" w:cs="Calibri"/>
                <w:color w:val="000000"/>
                <w:lang w:eastAsia="en-GB"/>
              </w:rPr>
            </w:pPr>
            <w:r w:rsidRPr="5A995008">
              <w:rPr>
                <w:rFonts w:ascii="Calibri" w:eastAsia="Times New Roman" w:hAnsi="Calibri" w:cs="Calibri"/>
                <w:color w:val="000000" w:themeColor="text1"/>
                <w:lang w:eastAsia="en-GB"/>
              </w:rPr>
              <w:t>(5,</w:t>
            </w:r>
            <w:r w:rsidR="5F520585" w:rsidRPr="5A995008">
              <w:rPr>
                <w:rFonts w:ascii="Calibri" w:eastAsia="Times New Roman" w:hAnsi="Calibri" w:cs="Calibri"/>
                <w:color w:val="000000" w:themeColor="text1"/>
                <w:lang w:eastAsia="en-GB"/>
              </w:rPr>
              <w:t>0</w:t>
            </w:r>
            <w:r w:rsidR="4FE06848" w:rsidRPr="5A995008">
              <w:rPr>
                <w:rFonts w:ascii="Calibri" w:eastAsia="Times New Roman" w:hAnsi="Calibri" w:cs="Calibri"/>
                <w:color w:val="000000" w:themeColor="text1"/>
                <w:lang w:eastAsia="en-GB"/>
              </w:rPr>
              <w:t>1</w:t>
            </w:r>
            <w:r w:rsidR="5F520585" w:rsidRPr="5A995008">
              <w:rPr>
                <w:rFonts w:ascii="Calibri" w:eastAsia="Times New Roman" w:hAnsi="Calibri" w:cs="Calibri"/>
                <w:color w:val="000000" w:themeColor="text1"/>
                <w:lang w:eastAsia="en-GB"/>
              </w:rPr>
              <w:t>0</w:t>
            </w:r>
            <w:r w:rsidRPr="5A995008">
              <w:rPr>
                <w:rFonts w:ascii="Calibri" w:eastAsia="Times New Roman" w:hAnsi="Calibri" w:cs="Calibri"/>
                <w:color w:val="000000" w:themeColor="text1"/>
                <w:lang w:eastAsia="en-GB"/>
              </w:rPr>
              <w:t>)</w:t>
            </w:r>
          </w:p>
        </w:tc>
        <w:tc>
          <w:tcPr>
            <w:tcW w:w="2941" w:type="pct"/>
            <w:tcBorders>
              <w:top w:val="nil"/>
              <w:left w:val="nil"/>
              <w:bottom w:val="nil"/>
              <w:right w:val="nil"/>
            </w:tcBorders>
            <w:shd w:val="clear" w:color="auto" w:fill="FFFFFF" w:themeFill="background1"/>
            <w:noWrap/>
            <w:hideMark/>
          </w:tcPr>
          <w:p w14:paraId="7E73C14A" w14:textId="77777777" w:rsidR="0024492F" w:rsidRPr="0024492F" w:rsidRDefault="0024492F" w:rsidP="0024492F">
            <w:pPr>
              <w:spacing w:line="240" w:lineRule="auto"/>
              <w:jc w:val="left"/>
              <w:rPr>
                <w:rFonts w:ascii="Calibri" w:eastAsia="Times New Roman" w:hAnsi="Calibri" w:cs="Calibri"/>
                <w:color w:val="000000"/>
                <w:lang w:eastAsia="en-GB"/>
              </w:rPr>
            </w:pPr>
            <w:r w:rsidRPr="0024492F">
              <w:rPr>
                <w:rFonts w:ascii="Calibri" w:eastAsia="Times New Roman" w:hAnsi="Calibri" w:cs="Calibri"/>
                <w:color w:val="000000"/>
                <w:lang w:eastAsia="en-GB"/>
              </w:rPr>
              <w:t>Proceeds from short-term and long-term investments</w:t>
            </w:r>
          </w:p>
        </w:tc>
        <w:tc>
          <w:tcPr>
            <w:tcW w:w="1030" w:type="pct"/>
            <w:tcBorders>
              <w:top w:val="nil"/>
              <w:left w:val="nil"/>
              <w:bottom w:val="nil"/>
              <w:right w:val="nil"/>
            </w:tcBorders>
            <w:shd w:val="clear" w:color="auto" w:fill="FFE1E1"/>
            <w:noWrap/>
            <w:hideMark/>
          </w:tcPr>
          <w:p w14:paraId="39CB2C4B" w14:textId="77777777" w:rsidR="0024492F" w:rsidRPr="0024492F" w:rsidRDefault="0024492F" w:rsidP="0024492F">
            <w:pPr>
              <w:spacing w:line="240" w:lineRule="auto"/>
              <w:jc w:val="right"/>
              <w:rPr>
                <w:rFonts w:ascii="Calibri" w:eastAsia="Times New Roman" w:hAnsi="Calibri" w:cs="Calibri"/>
                <w:lang w:eastAsia="en-GB"/>
              </w:rPr>
            </w:pPr>
            <w:r w:rsidRPr="0024492F">
              <w:rPr>
                <w:rFonts w:ascii="Calibri" w:eastAsia="Times New Roman" w:hAnsi="Calibri" w:cs="Calibri"/>
                <w:lang w:eastAsia="en-GB"/>
              </w:rPr>
              <w:t>(19,226)</w:t>
            </w:r>
          </w:p>
        </w:tc>
      </w:tr>
      <w:tr w:rsidR="0024492F" w:rsidRPr="0024492F" w14:paraId="32C4FE79" w14:textId="77777777" w:rsidTr="5A995008">
        <w:trPr>
          <w:trHeight w:val="300"/>
        </w:trPr>
        <w:tc>
          <w:tcPr>
            <w:tcW w:w="1030" w:type="pct"/>
            <w:tcBorders>
              <w:top w:val="single" w:sz="4" w:space="0" w:color="auto"/>
              <w:left w:val="nil"/>
              <w:bottom w:val="single" w:sz="4" w:space="0" w:color="auto"/>
              <w:right w:val="nil"/>
            </w:tcBorders>
            <w:shd w:val="clear" w:color="auto" w:fill="FFFFFF" w:themeFill="background1"/>
            <w:noWrap/>
            <w:hideMark/>
          </w:tcPr>
          <w:p w14:paraId="39A68B64" w14:textId="14959D28" w:rsidR="0024492F" w:rsidRPr="0024492F" w:rsidRDefault="6FD29B9E" w:rsidP="5A995008">
            <w:pPr>
              <w:spacing w:line="240" w:lineRule="auto"/>
              <w:jc w:val="right"/>
              <w:rPr>
                <w:rFonts w:ascii="Calibri" w:eastAsia="Times New Roman" w:hAnsi="Calibri" w:cs="Calibri"/>
                <w:b/>
                <w:bCs/>
                <w:color w:val="000000" w:themeColor="text1"/>
                <w:lang w:eastAsia="en-GB"/>
              </w:rPr>
            </w:pPr>
            <w:r w:rsidRPr="5A995008">
              <w:rPr>
                <w:rFonts w:ascii="Calibri" w:eastAsia="Times New Roman" w:hAnsi="Calibri" w:cs="Calibri"/>
                <w:b/>
                <w:bCs/>
                <w:color w:val="000000" w:themeColor="text1"/>
                <w:lang w:eastAsia="en-GB"/>
              </w:rPr>
              <w:t>(2,</w:t>
            </w:r>
            <w:r w:rsidR="57D6EB5F" w:rsidRPr="5A995008">
              <w:rPr>
                <w:rFonts w:ascii="Calibri" w:eastAsia="Times New Roman" w:hAnsi="Calibri" w:cs="Calibri"/>
                <w:b/>
                <w:bCs/>
                <w:color w:val="000000" w:themeColor="text1"/>
                <w:lang w:eastAsia="en-GB"/>
              </w:rPr>
              <w:t>315</w:t>
            </w:r>
            <w:r w:rsidRPr="5A995008">
              <w:rPr>
                <w:rFonts w:ascii="Calibri" w:eastAsia="Times New Roman" w:hAnsi="Calibri" w:cs="Calibri"/>
                <w:b/>
                <w:bCs/>
                <w:color w:val="000000" w:themeColor="text1"/>
                <w:lang w:eastAsia="en-GB"/>
              </w:rPr>
              <w:t>)</w:t>
            </w:r>
          </w:p>
        </w:tc>
        <w:tc>
          <w:tcPr>
            <w:tcW w:w="2941" w:type="pct"/>
            <w:tcBorders>
              <w:top w:val="single" w:sz="4" w:space="0" w:color="auto"/>
              <w:left w:val="nil"/>
              <w:bottom w:val="single" w:sz="4" w:space="0" w:color="auto"/>
              <w:right w:val="nil"/>
            </w:tcBorders>
            <w:shd w:val="clear" w:color="auto" w:fill="FFFFFF" w:themeFill="background1"/>
            <w:noWrap/>
            <w:hideMark/>
          </w:tcPr>
          <w:p w14:paraId="453E44D5" w14:textId="77777777" w:rsidR="0024492F" w:rsidRPr="0024492F" w:rsidRDefault="0024492F" w:rsidP="0024492F">
            <w:pPr>
              <w:spacing w:line="240" w:lineRule="auto"/>
              <w:jc w:val="left"/>
              <w:rPr>
                <w:rFonts w:ascii="Calibri" w:eastAsia="Times New Roman" w:hAnsi="Calibri" w:cs="Calibri"/>
                <w:b/>
                <w:bCs/>
                <w:lang w:eastAsia="en-GB"/>
              </w:rPr>
            </w:pPr>
            <w:r w:rsidRPr="0024492F">
              <w:rPr>
                <w:rFonts w:ascii="Calibri" w:eastAsia="Times New Roman" w:hAnsi="Calibri" w:cs="Calibri"/>
                <w:b/>
                <w:bCs/>
                <w:lang w:eastAsia="en-GB"/>
              </w:rPr>
              <w:t>Net cash flow from investing activities</w:t>
            </w:r>
          </w:p>
        </w:tc>
        <w:tc>
          <w:tcPr>
            <w:tcW w:w="1030" w:type="pct"/>
            <w:tcBorders>
              <w:top w:val="single" w:sz="4" w:space="0" w:color="auto"/>
              <w:left w:val="nil"/>
              <w:bottom w:val="single" w:sz="4" w:space="0" w:color="auto"/>
              <w:right w:val="nil"/>
            </w:tcBorders>
            <w:shd w:val="clear" w:color="auto" w:fill="FFE1E1"/>
            <w:noWrap/>
            <w:hideMark/>
          </w:tcPr>
          <w:p w14:paraId="00E3807D" w14:textId="77777777" w:rsidR="0024492F" w:rsidRPr="0024492F" w:rsidRDefault="0024492F" w:rsidP="0024492F">
            <w:pPr>
              <w:spacing w:line="240" w:lineRule="auto"/>
              <w:jc w:val="right"/>
              <w:rPr>
                <w:rFonts w:ascii="Calibri" w:eastAsia="Times New Roman" w:hAnsi="Calibri" w:cs="Calibri"/>
                <w:b/>
                <w:bCs/>
                <w:lang w:eastAsia="en-GB"/>
              </w:rPr>
            </w:pPr>
            <w:r w:rsidRPr="0024492F">
              <w:rPr>
                <w:rFonts w:ascii="Calibri" w:eastAsia="Times New Roman" w:hAnsi="Calibri" w:cs="Calibri"/>
                <w:b/>
                <w:bCs/>
                <w:lang w:eastAsia="en-GB"/>
              </w:rPr>
              <w:t>(1,472)</w:t>
            </w:r>
          </w:p>
        </w:tc>
      </w:tr>
    </w:tbl>
    <w:p w14:paraId="024303E9" w14:textId="77777777" w:rsidR="004B4699" w:rsidRDefault="004B4699" w:rsidP="008951E6"/>
    <w:p w14:paraId="22F0B654" w14:textId="77777777" w:rsidR="008A3A9F" w:rsidRDefault="008A3A9F">
      <w:pPr>
        <w:spacing w:after="160"/>
        <w:jc w:val="left"/>
        <w:rPr>
          <w:rFonts w:eastAsia="Times New Roman" w:cs="Arial"/>
          <w:bCs/>
          <w:color w:val="C00000"/>
          <w:sz w:val="24"/>
          <w:szCs w:val="24"/>
        </w:rPr>
      </w:pPr>
      <w:r>
        <w:br w:type="page"/>
      </w:r>
    </w:p>
    <w:p w14:paraId="45D1F83D" w14:textId="516175CA" w:rsidR="000F7DCF" w:rsidRPr="005F273C" w:rsidRDefault="000F7DCF" w:rsidP="002A1ADD">
      <w:pPr>
        <w:pStyle w:val="VAHeadingLevel2"/>
      </w:pPr>
      <w:r w:rsidRPr="005F273C">
        <w:lastRenderedPageBreak/>
        <w:t>Note 3</w:t>
      </w:r>
      <w:r w:rsidR="002D1295" w:rsidRPr="005F273C">
        <w:t>6</w:t>
      </w:r>
      <w:r w:rsidRPr="005F273C">
        <w:t xml:space="preserve">. Redundancy and Early Retirement Costs – Exit packages </w:t>
      </w:r>
    </w:p>
    <w:p w14:paraId="2EC4F793" w14:textId="77777777" w:rsidR="005754C1" w:rsidRDefault="005754C1" w:rsidP="005754C1">
      <w:r>
        <w:t xml:space="preserve">Redundancy and early retirement costs are payable when employment is terminated before the normal retirement date or when an employee accepts voluntary redundancy in exchange for these payments. </w:t>
      </w:r>
    </w:p>
    <w:p w14:paraId="555A98F2" w14:textId="77777777" w:rsidR="005754C1" w:rsidRDefault="005754C1" w:rsidP="005754C1"/>
    <w:p w14:paraId="0FAA4DE4" w14:textId="77777777" w:rsidR="005754C1" w:rsidRDefault="005754C1" w:rsidP="005754C1">
      <w:r>
        <w:t xml:space="preserve">These costs are recognised only when the Authority is demonstrably committed to terminate the employment on the affected employees. </w:t>
      </w:r>
    </w:p>
    <w:p w14:paraId="137ACC5E" w14:textId="77777777" w:rsidR="005754C1" w:rsidRDefault="005754C1" w:rsidP="005754C1"/>
    <w:p w14:paraId="1745CB15" w14:textId="131048AB" w:rsidR="005754C1" w:rsidRDefault="005754C1" w:rsidP="005754C1">
      <w:r>
        <w:t xml:space="preserve">During the 12 months from April 2023 to March 2024, a single redundancy payment of £30k was committed. </w:t>
      </w:r>
    </w:p>
    <w:p w14:paraId="615D3FB2" w14:textId="77777777" w:rsidR="008A3A9F" w:rsidRDefault="008A3A9F" w:rsidP="005754C1"/>
    <w:p w14:paraId="7C15E823" w14:textId="7499D5EF" w:rsidR="000F7DCF" w:rsidRPr="005F273C" w:rsidRDefault="562AFF3C" w:rsidP="6C31340A">
      <w:r>
        <w:t>There was no redundancy payments decided in the 12 months between April 2024 and March 2025.</w:t>
      </w:r>
    </w:p>
    <w:p w14:paraId="1E075917" w14:textId="77777777" w:rsidR="0024492F" w:rsidRDefault="0024492F" w:rsidP="0024492F"/>
    <w:p w14:paraId="021143BA" w14:textId="02D41A73" w:rsidR="000F7DCF" w:rsidRPr="005F273C" w:rsidRDefault="24189549" w:rsidP="0024492F">
      <w:pPr>
        <w:pStyle w:val="VAHeadingLevel2"/>
      </w:pPr>
      <w:r>
        <w:t>Note 3</w:t>
      </w:r>
      <w:r w:rsidR="0062B2EA">
        <w:t>7</w:t>
      </w:r>
      <w:r w:rsidR="16713A50">
        <w:t>.</w:t>
      </w:r>
      <w:r>
        <w:t xml:space="preserve"> Participation in </w:t>
      </w:r>
      <w:r w:rsidR="7076C9EC">
        <w:t>P</w:t>
      </w:r>
      <w:r>
        <w:t xml:space="preserve">ension </w:t>
      </w:r>
      <w:r w:rsidR="7076C9EC">
        <w:t>S</w:t>
      </w:r>
      <w:r>
        <w:t xml:space="preserve">chemes </w:t>
      </w:r>
    </w:p>
    <w:p w14:paraId="6B5FE6BF" w14:textId="77777777" w:rsidR="000F7DCF" w:rsidRPr="007F07C2" w:rsidRDefault="000F7DCF" w:rsidP="000F7DCF">
      <w:r w:rsidRPr="007F07C2">
        <w:t xml:space="preserve">As part of the terms and conditions of employment of its officers and other employees, the Authority offers retirement benefits. Although these will not actually be payable until employees retire, the Authority has a commitment to make payments that need to be disclosed at the time that employees earn their future entitlement. The Authority participates in two defined benefit pension schemes: </w:t>
      </w:r>
    </w:p>
    <w:p w14:paraId="592425B9" w14:textId="77777777" w:rsidR="000F7DCF" w:rsidRPr="007F07C2" w:rsidRDefault="000F7DCF" w:rsidP="000F7DCF"/>
    <w:p w14:paraId="5AC8102F" w14:textId="42C67BD7" w:rsidR="000F7DCF" w:rsidRDefault="000F7DCF" w:rsidP="000F7DCF">
      <w:pPr>
        <w:pStyle w:val="Firebullet"/>
      </w:pPr>
      <w:r w:rsidRPr="007F07C2">
        <w:t xml:space="preserve">the Local Government Pension Scheme for civilian employees, administered by </w:t>
      </w:r>
      <w:r>
        <w:t xml:space="preserve">West </w:t>
      </w:r>
      <w:r w:rsidRPr="007F07C2">
        <w:t xml:space="preserve">Northamptonshire Council – this is a funded scheme, meaning that the Authority and employees pay contributions into a fund, calculated at a level estimated to balance the pensions liabilities with investment assets. </w:t>
      </w:r>
      <w:r>
        <w:t xml:space="preserve"> </w:t>
      </w:r>
      <w:r w:rsidRPr="008856B4">
        <w:t>In 202</w:t>
      </w:r>
      <w:r w:rsidR="004E74ED">
        <w:t>4</w:t>
      </w:r>
      <w:r w:rsidRPr="008856B4">
        <w:t>/2</w:t>
      </w:r>
      <w:r w:rsidR="004E74ED">
        <w:t>5</w:t>
      </w:r>
      <w:r w:rsidRPr="008856B4">
        <w:t xml:space="preserve">, the rate of contributions payable by employees range from 5.5% to 12.5% depending on the salary band of the employee. </w:t>
      </w:r>
      <w:r>
        <w:t xml:space="preserve"> </w:t>
      </w:r>
      <w:r w:rsidRPr="008856B4">
        <w:t>The</w:t>
      </w:r>
      <w:r w:rsidRPr="007F07C2">
        <w:t xml:space="preserve"> Authority contributes at the rate prescribed by the Fund’s actuary </w:t>
      </w:r>
    </w:p>
    <w:p w14:paraId="4821BD15" w14:textId="77777777" w:rsidR="000F7DCF" w:rsidRPr="007F07C2" w:rsidRDefault="000F7DCF" w:rsidP="00E77502">
      <w:pPr>
        <w:pStyle w:val="Firebullet"/>
        <w:numPr>
          <w:ilvl w:val="0"/>
          <w:numId w:val="0"/>
        </w:numPr>
        <w:ind w:left="720"/>
      </w:pPr>
    </w:p>
    <w:p w14:paraId="0B6266CE" w14:textId="5389AC90" w:rsidR="00E77502" w:rsidRPr="00E77502" w:rsidRDefault="000F7DCF" w:rsidP="00E77502">
      <w:pPr>
        <w:pStyle w:val="Firebullet"/>
      </w:pPr>
      <w:r w:rsidRPr="007F07C2">
        <w:t xml:space="preserve">the Firefighters’ Pension Scheme – this is an unfunded scheme, meaning that there </w:t>
      </w:r>
      <w:proofErr w:type="gramStart"/>
      <w:r w:rsidRPr="007F07C2">
        <w:t>are</w:t>
      </w:r>
      <w:proofErr w:type="gramEnd"/>
      <w:r w:rsidRPr="007F07C2">
        <w:t xml:space="preserve"> no investment assets built up to meet the pensions liabilities, and cash has to be generated to meet actual pensions payments as they eventually fall due </w:t>
      </w:r>
    </w:p>
    <w:p w14:paraId="29740AD9" w14:textId="77777777" w:rsidR="00E77502" w:rsidRDefault="00E77502" w:rsidP="00E77502">
      <w:pPr>
        <w:pStyle w:val="Firebullet"/>
        <w:numPr>
          <w:ilvl w:val="0"/>
          <w:numId w:val="0"/>
        </w:numPr>
        <w:ind w:left="720"/>
      </w:pPr>
    </w:p>
    <w:p w14:paraId="0E20B647" w14:textId="5B62EF06" w:rsidR="008D5E38" w:rsidRDefault="000F7DCF" w:rsidP="008D5E38">
      <w:pPr>
        <w:pStyle w:val="Firebullet"/>
        <w:numPr>
          <w:ilvl w:val="0"/>
          <w:numId w:val="0"/>
        </w:numPr>
        <w:ind w:left="720"/>
      </w:pPr>
      <w:r w:rsidRPr="007F07C2">
        <w:t xml:space="preserve">On 1 April 2015 a new Firefighters’ Pension Scheme was introduced, and the following notes include the data for the three schemes combined </w:t>
      </w:r>
      <w:r>
        <w:t>(</w:t>
      </w:r>
      <w:r w:rsidRPr="007F07C2">
        <w:t>2015, 2006 and 1992</w:t>
      </w:r>
      <w:r>
        <w:t>)</w:t>
      </w:r>
      <w:r w:rsidRPr="007F07C2">
        <w:t>.</w:t>
      </w:r>
      <w:r>
        <w:t xml:space="preserve"> </w:t>
      </w:r>
      <w:r w:rsidRPr="007F07C2">
        <w:t xml:space="preserve"> Employees' and employers' contributions into the Firefighters’ Pension Fund are determined by the Secretary of State on the advice of the Government Actuary. </w:t>
      </w:r>
      <w:r>
        <w:t xml:space="preserve"> </w:t>
      </w:r>
      <w:r w:rsidRPr="007F07C2">
        <w:t xml:space="preserve">Payments of pensions and other retirement benefits are made from the Pension Fund. </w:t>
      </w:r>
      <w:r>
        <w:t xml:space="preserve"> </w:t>
      </w:r>
      <w:r w:rsidRPr="007F07C2">
        <w:t xml:space="preserve">Government grant is payable to cover any shortfall on the Pension Fund </w:t>
      </w:r>
      <w:r>
        <w:t>A</w:t>
      </w:r>
      <w:r w:rsidRPr="007F07C2">
        <w:t>ccount</w:t>
      </w:r>
    </w:p>
    <w:p w14:paraId="33D66B31" w14:textId="77777777" w:rsidR="004D07AB" w:rsidRDefault="004D07AB" w:rsidP="008D5E38">
      <w:pPr>
        <w:pStyle w:val="Firebullet"/>
        <w:numPr>
          <w:ilvl w:val="0"/>
          <w:numId w:val="0"/>
        </w:numPr>
        <w:ind w:left="720"/>
      </w:pPr>
    </w:p>
    <w:p w14:paraId="43571510" w14:textId="6588F6D1" w:rsidR="004D07AB" w:rsidRPr="004D07AB" w:rsidRDefault="004D07AB" w:rsidP="004D07AB">
      <w:pPr>
        <w:pStyle w:val="VAHeadingLevel3"/>
        <w:rPr>
          <w:color w:val="AB2328"/>
        </w:rPr>
      </w:pPr>
      <w:r w:rsidRPr="004D07AB">
        <w:rPr>
          <w:color w:val="AB2328"/>
        </w:rPr>
        <w:t>Asset ceiling</w:t>
      </w:r>
    </w:p>
    <w:p w14:paraId="72FE8DBE" w14:textId="766E5D72" w:rsidR="009B383E" w:rsidRDefault="009B383E" w:rsidP="00C2401A">
      <w:r w:rsidRPr="009B383E">
        <w:t>In accordance with IAS 19 and IFRIC 14, the recognition of a surplus in the Local Government Pension Scheme (LGPS) is subject to the asset ceiling. This restricts the amount of surplus that can be recognized as an asset to the present value of economic benefits available to the employer, either through</w:t>
      </w:r>
      <w:r w:rsidR="00C2401A">
        <w:t xml:space="preserve"> r</w:t>
      </w:r>
      <w:r w:rsidRPr="009B383E">
        <w:t>efunds from the scheme, or</w:t>
      </w:r>
      <w:r w:rsidR="00C2401A">
        <w:t xml:space="preserve"> r</w:t>
      </w:r>
      <w:r w:rsidRPr="009B383E">
        <w:t>eductions in future contributions.</w:t>
      </w:r>
    </w:p>
    <w:p w14:paraId="48314BE4" w14:textId="3F8C1193" w:rsidR="000C4446" w:rsidRDefault="000C4446" w:rsidP="00C2401A">
      <w:r w:rsidRPr="000C4446">
        <w:t>The LGPS is a multi-employer defined benefit scheme administered under statutory regulations. Due to its structure, direct refunds are generally not available to individual employers. Therefore, the recognition of any surplus is typically limited to the extent that future service contributions can be reduced.</w:t>
      </w:r>
    </w:p>
    <w:p w14:paraId="74F34BAD" w14:textId="77777777" w:rsidR="00CA784C" w:rsidRDefault="00CA784C" w:rsidP="00C2401A"/>
    <w:p w14:paraId="197C9FD4" w14:textId="2C19407E" w:rsidR="009532F9" w:rsidRDefault="00CA784C" w:rsidP="00357D38">
      <w:pPr>
        <w:pStyle w:val="VAHeadingLevel3"/>
        <w:rPr>
          <w:color w:val="AB2328"/>
        </w:rPr>
      </w:pPr>
      <w:r w:rsidRPr="008D5E38">
        <w:rPr>
          <w:color w:val="AB2328"/>
        </w:rPr>
        <w:t xml:space="preserve">Impact of </w:t>
      </w:r>
      <w:r w:rsidR="008D5E38" w:rsidRPr="008D5E38">
        <w:rPr>
          <w:color w:val="AB2328"/>
        </w:rPr>
        <w:t>asset ceiling</w:t>
      </w:r>
    </w:p>
    <w:tbl>
      <w:tblPr>
        <w:tblW w:w="5000" w:type="pct"/>
        <w:tblLook w:val="04A0" w:firstRow="1" w:lastRow="0" w:firstColumn="1" w:lastColumn="0" w:noHBand="0" w:noVBand="1"/>
      </w:tblPr>
      <w:tblGrid>
        <w:gridCol w:w="1863"/>
        <w:gridCol w:w="6657"/>
        <w:gridCol w:w="1855"/>
      </w:tblGrid>
      <w:tr w:rsidR="00C24AB9" w:rsidRPr="00C30DC3" w14:paraId="55C64D9D" w14:textId="77777777">
        <w:trPr>
          <w:trHeight w:val="290"/>
        </w:trPr>
        <w:tc>
          <w:tcPr>
            <w:tcW w:w="898" w:type="pct"/>
            <w:tcBorders>
              <w:top w:val="nil"/>
              <w:left w:val="nil"/>
              <w:bottom w:val="nil"/>
              <w:right w:val="nil"/>
            </w:tcBorders>
            <w:shd w:val="clear" w:color="000000" w:fill="AB2328"/>
            <w:noWrap/>
            <w:vAlign w:val="bottom"/>
            <w:hideMark/>
          </w:tcPr>
          <w:p w14:paraId="561B57EB" w14:textId="77777777" w:rsidR="00C24AB9" w:rsidRPr="00C30DC3" w:rsidRDefault="00C24AB9" w:rsidP="00C24AB9">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3208" w:type="pct"/>
            <w:tcBorders>
              <w:top w:val="nil"/>
              <w:left w:val="nil"/>
              <w:bottom w:val="nil"/>
              <w:right w:val="nil"/>
            </w:tcBorders>
            <w:shd w:val="clear" w:color="000000" w:fill="AB2328"/>
            <w:noWrap/>
            <w:vAlign w:val="bottom"/>
            <w:hideMark/>
          </w:tcPr>
          <w:p w14:paraId="7208B44D" w14:textId="13ECD1CC" w:rsidR="00C24AB9" w:rsidRPr="00C30DC3" w:rsidRDefault="00C24AB9" w:rsidP="00C24AB9">
            <w:pPr>
              <w:spacing w:line="240" w:lineRule="auto"/>
              <w:jc w:val="center"/>
              <w:rPr>
                <w:rFonts w:ascii="Calibri" w:eastAsia="Times New Roman" w:hAnsi="Calibri" w:cs="Calibri"/>
                <w:b/>
                <w:bCs/>
                <w:color w:val="FFFFFF"/>
                <w:lang w:eastAsia="en-GB"/>
              </w:rPr>
            </w:pPr>
            <w:r w:rsidRPr="000B78BF">
              <w:rPr>
                <w:rFonts w:ascii="Calibri" w:eastAsia="Times New Roman" w:hAnsi="Calibri" w:cs="Calibri"/>
                <w:b/>
                <w:bCs/>
                <w:color w:val="FFFFFF"/>
                <w:lang w:eastAsia="en-GB"/>
              </w:rPr>
              <w:t>Local Government Pension Scheme</w:t>
            </w:r>
          </w:p>
        </w:tc>
        <w:tc>
          <w:tcPr>
            <w:tcW w:w="894" w:type="pct"/>
            <w:tcBorders>
              <w:top w:val="nil"/>
              <w:left w:val="nil"/>
              <w:bottom w:val="nil"/>
              <w:right w:val="nil"/>
            </w:tcBorders>
            <w:shd w:val="clear" w:color="000000" w:fill="AB2328"/>
            <w:noWrap/>
            <w:vAlign w:val="bottom"/>
            <w:hideMark/>
          </w:tcPr>
          <w:p w14:paraId="52F9D752" w14:textId="77777777" w:rsidR="00C24AB9" w:rsidRPr="00C30DC3" w:rsidRDefault="00C24AB9" w:rsidP="00C24AB9">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24AB9" w:rsidRPr="00C30DC3" w14:paraId="54A878F0" w14:textId="77777777">
        <w:trPr>
          <w:trHeight w:val="290"/>
        </w:trPr>
        <w:tc>
          <w:tcPr>
            <w:tcW w:w="898" w:type="pct"/>
            <w:tcBorders>
              <w:top w:val="nil"/>
              <w:left w:val="nil"/>
              <w:bottom w:val="nil"/>
              <w:right w:val="nil"/>
            </w:tcBorders>
            <w:shd w:val="clear" w:color="000000" w:fill="AB2328"/>
            <w:noWrap/>
            <w:vAlign w:val="bottom"/>
            <w:hideMark/>
          </w:tcPr>
          <w:p w14:paraId="339C5E4C" w14:textId="77777777" w:rsidR="00C24AB9" w:rsidRPr="00C30DC3" w:rsidRDefault="00C24AB9" w:rsidP="00C24AB9">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3208" w:type="pct"/>
            <w:tcBorders>
              <w:top w:val="nil"/>
              <w:left w:val="nil"/>
              <w:bottom w:val="nil"/>
              <w:right w:val="nil"/>
            </w:tcBorders>
            <w:shd w:val="clear" w:color="000000" w:fill="AB2328"/>
            <w:noWrap/>
            <w:vAlign w:val="bottom"/>
            <w:hideMark/>
          </w:tcPr>
          <w:p w14:paraId="10DA506B" w14:textId="77777777" w:rsidR="00C24AB9" w:rsidRPr="00C30DC3" w:rsidRDefault="00C24AB9" w:rsidP="00C24AB9">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94" w:type="pct"/>
            <w:tcBorders>
              <w:top w:val="nil"/>
              <w:left w:val="nil"/>
              <w:bottom w:val="nil"/>
              <w:right w:val="nil"/>
            </w:tcBorders>
            <w:shd w:val="clear" w:color="000000" w:fill="AB2328"/>
            <w:noWrap/>
            <w:vAlign w:val="bottom"/>
            <w:hideMark/>
          </w:tcPr>
          <w:p w14:paraId="224BE54D" w14:textId="77777777" w:rsidR="00C24AB9" w:rsidRPr="00C30DC3" w:rsidRDefault="00C24AB9" w:rsidP="00C24AB9">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24AB9" w:rsidRPr="00C30DC3" w14:paraId="721C873E" w14:textId="77777777">
        <w:trPr>
          <w:trHeight w:val="310"/>
        </w:trPr>
        <w:tc>
          <w:tcPr>
            <w:tcW w:w="898" w:type="pct"/>
            <w:tcBorders>
              <w:top w:val="nil"/>
              <w:left w:val="nil"/>
              <w:bottom w:val="nil"/>
              <w:right w:val="nil"/>
            </w:tcBorders>
            <w:shd w:val="clear" w:color="000000" w:fill="FFFFFF"/>
            <w:noWrap/>
            <w:hideMark/>
          </w:tcPr>
          <w:p w14:paraId="5E347158" w14:textId="335B02CD" w:rsidR="00C24AB9" w:rsidRPr="00C30DC3" w:rsidRDefault="00C24AB9" w:rsidP="00C24AB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513</w:t>
            </w:r>
          </w:p>
        </w:tc>
        <w:tc>
          <w:tcPr>
            <w:tcW w:w="3208" w:type="pct"/>
            <w:tcBorders>
              <w:top w:val="nil"/>
              <w:left w:val="nil"/>
              <w:bottom w:val="nil"/>
              <w:right w:val="nil"/>
            </w:tcBorders>
            <w:shd w:val="clear" w:color="000000" w:fill="FFFFFF"/>
            <w:noWrap/>
            <w:hideMark/>
          </w:tcPr>
          <w:p w14:paraId="1CED14DD" w14:textId="2FDA9D06" w:rsidR="00C24AB9" w:rsidRPr="00C30DC3" w:rsidRDefault="00C24AB9" w:rsidP="00C24AB9">
            <w:pPr>
              <w:spacing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Net Asset / (Liability</w:t>
            </w:r>
            <w:r w:rsidR="00033FCA">
              <w:rPr>
                <w:rFonts w:ascii="Calibri" w:eastAsia="Times New Roman" w:hAnsi="Calibri" w:cs="Calibri"/>
                <w:color w:val="000000"/>
                <w:lang w:eastAsia="en-GB"/>
              </w:rPr>
              <w:t>) unadjusted</w:t>
            </w:r>
          </w:p>
        </w:tc>
        <w:tc>
          <w:tcPr>
            <w:tcW w:w="894" w:type="pct"/>
            <w:tcBorders>
              <w:top w:val="nil"/>
              <w:left w:val="nil"/>
              <w:bottom w:val="nil"/>
              <w:right w:val="nil"/>
            </w:tcBorders>
            <w:shd w:val="clear" w:color="000000" w:fill="FFE1E1"/>
            <w:noWrap/>
            <w:hideMark/>
          </w:tcPr>
          <w:p w14:paraId="4E46183C" w14:textId="62C7F23F" w:rsidR="00C24AB9" w:rsidRPr="00C30DC3" w:rsidRDefault="00033FCA" w:rsidP="00C24AB9">
            <w:pPr>
              <w:spacing w:line="240" w:lineRule="auto"/>
              <w:jc w:val="right"/>
              <w:rPr>
                <w:rFonts w:ascii="Calibri" w:eastAsia="Times New Roman" w:hAnsi="Calibri" w:cs="Calibri"/>
                <w:lang w:eastAsia="en-GB"/>
              </w:rPr>
            </w:pPr>
            <w:r>
              <w:rPr>
                <w:rFonts w:ascii="Calibri" w:eastAsia="Times New Roman" w:hAnsi="Calibri" w:cs="Calibri"/>
                <w:lang w:eastAsia="en-GB"/>
              </w:rPr>
              <w:t>2,125</w:t>
            </w:r>
          </w:p>
        </w:tc>
      </w:tr>
      <w:tr w:rsidR="00C24AB9" w:rsidRPr="00C30DC3" w14:paraId="2400F8ED" w14:textId="77777777">
        <w:trPr>
          <w:trHeight w:val="310"/>
        </w:trPr>
        <w:tc>
          <w:tcPr>
            <w:tcW w:w="898" w:type="pct"/>
            <w:tcBorders>
              <w:top w:val="nil"/>
              <w:left w:val="nil"/>
              <w:bottom w:val="nil"/>
              <w:right w:val="nil"/>
            </w:tcBorders>
            <w:shd w:val="clear" w:color="000000" w:fill="FFFFFF"/>
            <w:noWrap/>
          </w:tcPr>
          <w:p w14:paraId="6F87407E" w14:textId="332284DE" w:rsidR="00C24AB9" w:rsidRPr="00C30DC3" w:rsidRDefault="00033FCA" w:rsidP="00C24AB9">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(513)</w:t>
            </w:r>
          </w:p>
        </w:tc>
        <w:tc>
          <w:tcPr>
            <w:tcW w:w="3208" w:type="pct"/>
            <w:tcBorders>
              <w:top w:val="nil"/>
              <w:left w:val="nil"/>
              <w:bottom w:val="nil"/>
              <w:right w:val="nil"/>
            </w:tcBorders>
            <w:shd w:val="clear" w:color="000000" w:fill="FFFFFF"/>
            <w:noWrap/>
          </w:tcPr>
          <w:p w14:paraId="32C205F4" w14:textId="56156A1B" w:rsidR="00C24AB9" w:rsidRPr="00C30DC3" w:rsidRDefault="00033FCA" w:rsidP="00C24AB9">
            <w:pPr>
              <w:spacing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Effect of the asset ceiling</w:t>
            </w:r>
          </w:p>
        </w:tc>
        <w:tc>
          <w:tcPr>
            <w:tcW w:w="894" w:type="pct"/>
            <w:tcBorders>
              <w:top w:val="nil"/>
              <w:left w:val="nil"/>
              <w:bottom w:val="nil"/>
              <w:right w:val="nil"/>
            </w:tcBorders>
            <w:shd w:val="clear" w:color="000000" w:fill="FFE1E1"/>
            <w:noWrap/>
          </w:tcPr>
          <w:p w14:paraId="586B35EF" w14:textId="191A1A24" w:rsidR="00C24AB9" w:rsidRDefault="00033FCA" w:rsidP="00C24AB9">
            <w:pPr>
              <w:spacing w:line="240" w:lineRule="auto"/>
              <w:jc w:val="right"/>
              <w:rPr>
                <w:rFonts w:ascii="Calibri" w:eastAsia="Times New Roman" w:hAnsi="Calibri" w:cs="Calibri"/>
                <w:lang w:eastAsia="en-GB"/>
              </w:rPr>
            </w:pPr>
            <w:r>
              <w:rPr>
                <w:rFonts w:ascii="Calibri" w:eastAsia="Times New Roman" w:hAnsi="Calibri" w:cs="Calibri"/>
                <w:lang w:eastAsia="en-GB"/>
              </w:rPr>
              <w:t>(2,125)</w:t>
            </w:r>
          </w:p>
        </w:tc>
      </w:tr>
      <w:tr w:rsidR="00C24AB9" w:rsidRPr="00C30DC3" w14:paraId="48AEE917" w14:textId="77777777">
        <w:trPr>
          <w:trHeight w:val="290"/>
        </w:trPr>
        <w:tc>
          <w:tcPr>
            <w:tcW w:w="898" w:type="pct"/>
            <w:tcBorders>
              <w:top w:val="single" w:sz="4" w:space="0" w:color="auto"/>
              <w:left w:val="nil"/>
              <w:bottom w:val="single" w:sz="4" w:space="0" w:color="auto"/>
              <w:right w:val="nil"/>
            </w:tcBorders>
            <w:shd w:val="clear" w:color="000000" w:fill="FFFFFF"/>
            <w:noWrap/>
            <w:hideMark/>
          </w:tcPr>
          <w:p w14:paraId="58EDFDDD" w14:textId="7D8DADCA" w:rsidR="00C24AB9" w:rsidRPr="00C30DC3" w:rsidRDefault="00E3066F" w:rsidP="00C24AB9">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w:t>
            </w:r>
          </w:p>
        </w:tc>
        <w:tc>
          <w:tcPr>
            <w:tcW w:w="3208" w:type="pct"/>
            <w:tcBorders>
              <w:top w:val="single" w:sz="4" w:space="0" w:color="auto"/>
              <w:left w:val="nil"/>
              <w:bottom w:val="single" w:sz="4" w:space="0" w:color="auto"/>
              <w:right w:val="nil"/>
            </w:tcBorders>
            <w:shd w:val="clear" w:color="000000" w:fill="FFFFFF"/>
            <w:noWrap/>
            <w:hideMark/>
          </w:tcPr>
          <w:p w14:paraId="3D30FC79" w14:textId="663ACFD3" w:rsidR="00C24AB9" w:rsidRPr="00C30DC3" w:rsidRDefault="007E6FDB" w:rsidP="00C24AB9">
            <w:pPr>
              <w:spacing w:line="240" w:lineRule="auto"/>
              <w:jc w:val="left"/>
              <w:rPr>
                <w:rFonts w:ascii="Calibri" w:eastAsia="Times New Roman" w:hAnsi="Calibri" w:cs="Calibri"/>
                <w:b/>
                <w:bCs/>
                <w:lang w:eastAsia="en-GB"/>
              </w:rPr>
            </w:pPr>
            <w:r>
              <w:rPr>
                <w:rFonts w:ascii="Calibri" w:eastAsia="Times New Roman" w:hAnsi="Calibri" w:cs="Calibri"/>
                <w:b/>
                <w:bCs/>
                <w:lang w:eastAsia="en-GB"/>
              </w:rPr>
              <w:t>Net Asset / (Liability)</w:t>
            </w:r>
          </w:p>
        </w:tc>
        <w:tc>
          <w:tcPr>
            <w:tcW w:w="894" w:type="pct"/>
            <w:tcBorders>
              <w:top w:val="single" w:sz="4" w:space="0" w:color="auto"/>
              <w:left w:val="nil"/>
              <w:bottom w:val="single" w:sz="4" w:space="0" w:color="auto"/>
              <w:right w:val="nil"/>
            </w:tcBorders>
            <w:shd w:val="clear" w:color="000000" w:fill="FFE1E1"/>
            <w:noWrap/>
            <w:hideMark/>
          </w:tcPr>
          <w:p w14:paraId="1B528B18" w14:textId="26097280" w:rsidR="00C24AB9" w:rsidRPr="00C30DC3" w:rsidRDefault="00E3066F" w:rsidP="00C24AB9">
            <w:pPr>
              <w:spacing w:line="240" w:lineRule="auto"/>
              <w:jc w:val="right"/>
              <w:rPr>
                <w:rFonts w:ascii="Calibri" w:eastAsia="Times New Roman" w:hAnsi="Calibri" w:cs="Calibri"/>
                <w:b/>
                <w:bCs/>
                <w:lang w:eastAsia="en-GB"/>
              </w:rPr>
            </w:pPr>
            <w:r>
              <w:rPr>
                <w:rFonts w:ascii="Calibri" w:eastAsia="Times New Roman" w:hAnsi="Calibri" w:cs="Calibri"/>
                <w:b/>
                <w:bCs/>
                <w:lang w:eastAsia="en-GB"/>
              </w:rPr>
              <w:t>-</w:t>
            </w:r>
          </w:p>
        </w:tc>
      </w:tr>
    </w:tbl>
    <w:p w14:paraId="39D19CC1" w14:textId="395F3F2D" w:rsidR="008A3A9F" w:rsidRDefault="008A3A9F" w:rsidP="00C2401A"/>
    <w:p w14:paraId="16363A17" w14:textId="266EAE07" w:rsidR="009532F9" w:rsidRPr="009B383E" w:rsidRDefault="008A3A9F" w:rsidP="008A3A9F">
      <w:pPr>
        <w:spacing w:after="160"/>
        <w:jc w:val="left"/>
      </w:pPr>
      <w:r>
        <w:br w:type="page"/>
      </w:r>
    </w:p>
    <w:p w14:paraId="56CAD3A0" w14:textId="35AF2D66" w:rsidR="000F7DCF" w:rsidRPr="00DF27D0" w:rsidRDefault="000F7DCF" w:rsidP="002A1ADD">
      <w:pPr>
        <w:pStyle w:val="VAHeadingLevel2"/>
      </w:pPr>
      <w:r w:rsidRPr="005F273C">
        <w:lastRenderedPageBreak/>
        <w:t>Note 3</w:t>
      </w:r>
      <w:r w:rsidR="004E7D2B" w:rsidRPr="005F273C">
        <w:t>7.1</w:t>
      </w:r>
      <w:r w:rsidRPr="005F273C">
        <w:t xml:space="preserve">. Transactions </w:t>
      </w:r>
      <w:r w:rsidR="0044236B" w:rsidRPr="005F273C">
        <w:t>R</w:t>
      </w:r>
      <w:r w:rsidRPr="005F273C">
        <w:t xml:space="preserve">elating to </w:t>
      </w:r>
      <w:r w:rsidR="0044236B" w:rsidRPr="005F273C">
        <w:t>R</w:t>
      </w:r>
      <w:r w:rsidRPr="005F273C">
        <w:t xml:space="preserve">etirement </w:t>
      </w:r>
      <w:r w:rsidR="0044236B" w:rsidRPr="005F273C">
        <w:t>B</w:t>
      </w:r>
      <w:r w:rsidRPr="005F273C">
        <w:t xml:space="preserve">enefits </w:t>
      </w:r>
    </w:p>
    <w:p w14:paraId="4143EC60" w14:textId="4E51A341" w:rsidR="000F7DCF" w:rsidRDefault="000F7DCF" w:rsidP="000F7DCF">
      <w:r w:rsidRPr="007F07C2">
        <w:t xml:space="preserve">The Authority recognises the cost of retirement benefits in the Net Cost of Services when employees earn them, rather than when the benefits are eventually paid as pensions. However, the funding needs of the Authority are based upon the cash payable in the year, so the real cost of retirement benefits is reversed out after Net Operating Expenditure. </w:t>
      </w:r>
      <w:r>
        <w:t xml:space="preserve"> </w:t>
      </w:r>
      <w:r w:rsidRPr="007F07C2">
        <w:t xml:space="preserve">The following transactions have been made during the year: </w:t>
      </w:r>
    </w:p>
    <w:p w14:paraId="690C0CC8" w14:textId="5903E4B9" w:rsidR="00C30DC3" w:rsidRDefault="00C30DC3" w:rsidP="000F7DCF">
      <w:pPr>
        <w:rPr>
          <w:rFonts w:cstheme="minorBidi"/>
        </w:rPr>
      </w:pPr>
    </w:p>
    <w:tbl>
      <w:tblPr>
        <w:tblW w:w="5000" w:type="pct"/>
        <w:tblLook w:val="04A0" w:firstRow="1" w:lastRow="0" w:firstColumn="1" w:lastColumn="0" w:noHBand="0" w:noVBand="1"/>
      </w:tblPr>
      <w:tblGrid>
        <w:gridCol w:w="3192"/>
        <w:gridCol w:w="1370"/>
        <w:gridCol w:w="1103"/>
        <w:gridCol w:w="1119"/>
        <w:gridCol w:w="1370"/>
        <w:gridCol w:w="1103"/>
        <w:gridCol w:w="1118"/>
      </w:tblGrid>
      <w:tr w:rsidR="00C71CD3" w:rsidRPr="00C71CD3" w14:paraId="4E446C26" w14:textId="77777777" w:rsidTr="00C71CD3">
        <w:trPr>
          <w:trHeight w:val="1200"/>
        </w:trPr>
        <w:tc>
          <w:tcPr>
            <w:tcW w:w="1575" w:type="pct"/>
            <w:tcBorders>
              <w:top w:val="nil"/>
              <w:left w:val="nil"/>
              <w:bottom w:val="nil"/>
              <w:right w:val="nil"/>
            </w:tcBorders>
            <w:shd w:val="clear" w:color="000000" w:fill="AB2328"/>
            <w:vAlign w:val="center"/>
            <w:hideMark/>
          </w:tcPr>
          <w:p w14:paraId="74BCE339"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AB2328"/>
            <w:hideMark/>
          </w:tcPr>
          <w:p w14:paraId="0D65F374"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Local Government Pension Scheme  </w:t>
            </w:r>
          </w:p>
        </w:tc>
        <w:tc>
          <w:tcPr>
            <w:tcW w:w="568" w:type="pct"/>
            <w:tcBorders>
              <w:top w:val="nil"/>
              <w:left w:val="nil"/>
              <w:bottom w:val="nil"/>
              <w:right w:val="nil"/>
            </w:tcBorders>
            <w:shd w:val="clear" w:color="000000" w:fill="AB2328"/>
            <w:hideMark/>
          </w:tcPr>
          <w:p w14:paraId="1B39526E"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Fire Fighters Pension Scheme  </w:t>
            </w:r>
          </w:p>
        </w:tc>
        <w:tc>
          <w:tcPr>
            <w:tcW w:w="576" w:type="pct"/>
            <w:tcBorders>
              <w:top w:val="nil"/>
              <w:left w:val="nil"/>
              <w:bottom w:val="nil"/>
              <w:right w:val="nil"/>
            </w:tcBorders>
            <w:shd w:val="clear" w:color="000000" w:fill="AB2328"/>
            <w:noWrap/>
            <w:vAlign w:val="center"/>
            <w:hideMark/>
          </w:tcPr>
          <w:p w14:paraId="011BFCAA"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Total</w:t>
            </w:r>
          </w:p>
        </w:tc>
        <w:tc>
          <w:tcPr>
            <w:tcW w:w="569" w:type="pct"/>
            <w:tcBorders>
              <w:top w:val="nil"/>
              <w:left w:val="nil"/>
              <w:bottom w:val="nil"/>
              <w:right w:val="nil"/>
            </w:tcBorders>
            <w:shd w:val="clear" w:color="000000" w:fill="AB2328"/>
            <w:hideMark/>
          </w:tcPr>
          <w:p w14:paraId="29B8A9CD"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Local Government Pension Scheme  </w:t>
            </w:r>
          </w:p>
        </w:tc>
        <w:tc>
          <w:tcPr>
            <w:tcW w:w="568" w:type="pct"/>
            <w:tcBorders>
              <w:top w:val="nil"/>
              <w:left w:val="nil"/>
              <w:bottom w:val="nil"/>
              <w:right w:val="nil"/>
            </w:tcBorders>
            <w:shd w:val="clear" w:color="000000" w:fill="AB2328"/>
            <w:hideMark/>
          </w:tcPr>
          <w:p w14:paraId="2C56DF1D"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Fire Fighters Pension Scheme  </w:t>
            </w:r>
          </w:p>
        </w:tc>
        <w:tc>
          <w:tcPr>
            <w:tcW w:w="576" w:type="pct"/>
            <w:tcBorders>
              <w:top w:val="nil"/>
              <w:left w:val="nil"/>
              <w:bottom w:val="nil"/>
              <w:right w:val="nil"/>
            </w:tcBorders>
            <w:shd w:val="clear" w:color="000000" w:fill="AB2328"/>
            <w:noWrap/>
            <w:vAlign w:val="center"/>
            <w:hideMark/>
          </w:tcPr>
          <w:p w14:paraId="1BBA1F03"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Total</w:t>
            </w:r>
          </w:p>
        </w:tc>
      </w:tr>
      <w:tr w:rsidR="00C71CD3" w:rsidRPr="00C71CD3" w14:paraId="289BD8B8" w14:textId="77777777" w:rsidTr="00C71CD3">
        <w:trPr>
          <w:trHeight w:val="300"/>
        </w:trPr>
        <w:tc>
          <w:tcPr>
            <w:tcW w:w="1575" w:type="pct"/>
            <w:tcBorders>
              <w:top w:val="nil"/>
              <w:left w:val="nil"/>
              <w:bottom w:val="nil"/>
              <w:right w:val="nil"/>
            </w:tcBorders>
            <w:shd w:val="clear" w:color="000000" w:fill="AB2328"/>
            <w:vAlign w:val="center"/>
            <w:hideMark/>
          </w:tcPr>
          <w:p w14:paraId="31F5DCE3" w14:textId="77777777" w:rsidR="00C71CD3" w:rsidRPr="00C71CD3" w:rsidRDefault="00C71CD3" w:rsidP="00C71CD3">
            <w:pPr>
              <w:spacing w:line="240" w:lineRule="auto"/>
              <w:jc w:val="left"/>
              <w:rPr>
                <w:rFonts w:ascii="Calibri" w:eastAsia="Times New Roman" w:hAnsi="Calibri" w:cs="Calibri"/>
                <w:color w:val="FFFFFF"/>
                <w:lang w:eastAsia="en-GB"/>
              </w:rPr>
            </w:pPr>
            <w:r w:rsidRPr="00C71CD3">
              <w:rPr>
                <w:rFonts w:ascii="Calibri" w:eastAsia="Times New Roman" w:hAnsi="Calibri" w:cs="Calibri"/>
                <w:color w:val="FFFFFF"/>
                <w:lang w:eastAsia="en-GB"/>
              </w:rPr>
              <w:t> </w:t>
            </w:r>
          </w:p>
        </w:tc>
        <w:tc>
          <w:tcPr>
            <w:tcW w:w="569" w:type="pct"/>
            <w:tcBorders>
              <w:top w:val="nil"/>
              <w:left w:val="nil"/>
              <w:bottom w:val="nil"/>
              <w:right w:val="nil"/>
            </w:tcBorders>
            <w:shd w:val="clear" w:color="000000" w:fill="AB2328"/>
            <w:vAlign w:val="center"/>
            <w:hideMark/>
          </w:tcPr>
          <w:p w14:paraId="4027C1FD"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2024</w:t>
            </w:r>
          </w:p>
        </w:tc>
        <w:tc>
          <w:tcPr>
            <w:tcW w:w="568" w:type="pct"/>
            <w:tcBorders>
              <w:top w:val="nil"/>
              <w:left w:val="nil"/>
              <w:bottom w:val="nil"/>
              <w:right w:val="nil"/>
            </w:tcBorders>
            <w:shd w:val="clear" w:color="000000" w:fill="AB2328"/>
            <w:vAlign w:val="center"/>
            <w:hideMark/>
          </w:tcPr>
          <w:p w14:paraId="5049D25D"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2024</w:t>
            </w:r>
          </w:p>
        </w:tc>
        <w:tc>
          <w:tcPr>
            <w:tcW w:w="576" w:type="pct"/>
            <w:tcBorders>
              <w:top w:val="nil"/>
              <w:left w:val="nil"/>
              <w:bottom w:val="nil"/>
              <w:right w:val="nil"/>
            </w:tcBorders>
            <w:shd w:val="clear" w:color="000000" w:fill="AB2328"/>
            <w:vAlign w:val="center"/>
            <w:hideMark/>
          </w:tcPr>
          <w:p w14:paraId="3B181041"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2024</w:t>
            </w:r>
          </w:p>
        </w:tc>
        <w:tc>
          <w:tcPr>
            <w:tcW w:w="569" w:type="pct"/>
            <w:tcBorders>
              <w:top w:val="nil"/>
              <w:left w:val="nil"/>
              <w:bottom w:val="nil"/>
              <w:right w:val="nil"/>
            </w:tcBorders>
            <w:shd w:val="clear" w:color="000000" w:fill="AB2328"/>
            <w:vAlign w:val="center"/>
            <w:hideMark/>
          </w:tcPr>
          <w:p w14:paraId="2534589E"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2025</w:t>
            </w:r>
          </w:p>
        </w:tc>
        <w:tc>
          <w:tcPr>
            <w:tcW w:w="568" w:type="pct"/>
            <w:tcBorders>
              <w:top w:val="nil"/>
              <w:left w:val="nil"/>
              <w:bottom w:val="nil"/>
              <w:right w:val="nil"/>
            </w:tcBorders>
            <w:shd w:val="clear" w:color="000000" w:fill="AB2328"/>
            <w:vAlign w:val="center"/>
            <w:hideMark/>
          </w:tcPr>
          <w:p w14:paraId="6438786B"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2025</w:t>
            </w:r>
          </w:p>
        </w:tc>
        <w:tc>
          <w:tcPr>
            <w:tcW w:w="576" w:type="pct"/>
            <w:tcBorders>
              <w:top w:val="nil"/>
              <w:left w:val="nil"/>
              <w:bottom w:val="nil"/>
              <w:right w:val="nil"/>
            </w:tcBorders>
            <w:shd w:val="clear" w:color="000000" w:fill="AB2328"/>
            <w:vAlign w:val="center"/>
            <w:hideMark/>
          </w:tcPr>
          <w:p w14:paraId="65708499"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xml:space="preserve"> March 2025</w:t>
            </w:r>
          </w:p>
        </w:tc>
      </w:tr>
      <w:tr w:rsidR="00C71CD3" w:rsidRPr="00C71CD3" w14:paraId="508DBE4C" w14:textId="77777777" w:rsidTr="00C71CD3">
        <w:trPr>
          <w:trHeight w:val="300"/>
        </w:trPr>
        <w:tc>
          <w:tcPr>
            <w:tcW w:w="1575" w:type="pct"/>
            <w:tcBorders>
              <w:top w:val="nil"/>
              <w:left w:val="nil"/>
              <w:bottom w:val="nil"/>
              <w:right w:val="nil"/>
            </w:tcBorders>
            <w:shd w:val="clear" w:color="000000" w:fill="AB2328"/>
            <w:vAlign w:val="center"/>
            <w:hideMark/>
          </w:tcPr>
          <w:p w14:paraId="7DD5DD56" w14:textId="77777777" w:rsidR="00C71CD3" w:rsidRPr="00C71CD3" w:rsidRDefault="00C71CD3" w:rsidP="00C71CD3">
            <w:pPr>
              <w:spacing w:line="240" w:lineRule="auto"/>
              <w:jc w:val="left"/>
              <w:rPr>
                <w:rFonts w:ascii="Calibri" w:eastAsia="Times New Roman" w:hAnsi="Calibri" w:cs="Calibri"/>
                <w:color w:val="FFFFFF"/>
                <w:lang w:eastAsia="en-GB"/>
              </w:rPr>
            </w:pPr>
            <w:r w:rsidRPr="00C71CD3">
              <w:rPr>
                <w:rFonts w:ascii="Calibri" w:eastAsia="Times New Roman" w:hAnsi="Calibri" w:cs="Calibri"/>
                <w:color w:val="FFFFFF"/>
                <w:lang w:eastAsia="en-GB"/>
              </w:rPr>
              <w:t> </w:t>
            </w:r>
          </w:p>
        </w:tc>
        <w:tc>
          <w:tcPr>
            <w:tcW w:w="569" w:type="pct"/>
            <w:tcBorders>
              <w:top w:val="nil"/>
              <w:left w:val="nil"/>
              <w:bottom w:val="nil"/>
              <w:right w:val="nil"/>
            </w:tcBorders>
            <w:shd w:val="clear" w:color="000000" w:fill="AB2328"/>
            <w:vAlign w:val="center"/>
            <w:hideMark/>
          </w:tcPr>
          <w:p w14:paraId="10992BEC"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c>
          <w:tcPr>
            <w:tcW w:w="568" w:type="pct"/>
            <w:tcBorders>
              <w:top w:val="nil"/>
              <w:left w:val="nil"/>
              <w:bottom w:val="nil"/>
              <w:right w:val="nil"/>
            </w:tcBorders>
            <w:shd w:val="clear" w:color="000000" w:fill="AB2328"/>
            <w:vAlign w:val="center"/>
            <w:hideMark/>
          </w:tcPr>
          <w:p w14:paraId="5F36C3FD"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c>
          <w:tcPr>
            <w:tcW w:w="576" w:type="pct"/>
            <w:tcBorders>
              <w:top w:val="nil"/>
              <w:left w:val="nil"/>
              <w:bottom w:val="nil"/>
              <w:right w:val="nil"/>
            </w:tcBorders>
            <w:shd w:val="clear" w:color="000000" w:fill="AB2328"/>
            <w:vAlign w:val="center"/>
            <w:hideMark/>
          </w:tcPr>
          <w:p w14:paraId="5309B725"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c>
          <w:tcPr>
            <w:tcW w:w="569" w:type="pct"/>
            <w:tcBorders>
              <w:top w:val="nil"/>
              <w:left w:val="nil"/>
              <w:bottom w:val="nil"/>
              <w:right w:val="nil"/>
            </w:tcBorders>
            <w:shd w:val="clear" w:color="000000" w:fill="AB2328"/>
            <w:vAlign w:val="center"/>
            <w:hideMark/>
          </w:tcPr>
          <w:p w14:paraId="36C3F869"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c>
          <w:tcPr>
            <w:tcW w:w="568" w:type="pct"/>
            <w:tcBorders>
              <w:top w:val="nil"/>
              <w:left w:val="nil"/>
              <w:bottom w:val="nil"/>
              <w:right w:val="nil"/>
            </w:tcBorders>
            <w:shd w:val="clear" w:color="000000" w:fill="AB2328"/>
            <w:vAlign w:val="center"/>
            <w:hideMark/>
          </w:tcPr>
          <w:p w14:paraId="171D9230"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c>
          <w:tcPr>
            <w:tcW w:w="576" w:type="pct"/>
            <w:tcBorders>
              <w:top w:val="nil"/>
              <w:left w:val="nil"/>
              <w:bottom w:val="nil"/>
              <w:right w:val="nil"/>
            </w:tcBorders>
            <w:shd w:val="clear" w:color="000000" w:fill="AB2328"/>
            <w:vAlign w:val="center"/>
            <w:hideMark/>
          </w:tcPr>
          <w:p w14:paraId="647DFE32"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£000</w:t>
            </w:r>
          </w:p>
        </w:tc>
      </w:tr>
      <w:tr w:rsidR="00C71CD3" w:rsidRPr="00C71CD3" w14:paraId="262BDDEB" w14:textId="77777777" w:rsidTr="00C71CD3">
        <w:trPr>
          <w:trHeight w:val="300"/>
        </w:trPr>
        <w:tc>
          <w:tcPr>
            <w:tcW w:w="1575" w:type="pct"/>
            <w:tcBorders>
              <w:top w:val="nil"/>
              <w:left w:val="nil"/>
              <w:bottom w:val="nil"/>
              <w:right w:val="nil"/>
            </w:tcBorders>
            <w:shd w:val="clear" w:color="000000" w:fill="FFFFFF"/>
            <w:hideMark/>
          </w:tcPr>
          <w:p w14:paraId="68CA464B"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 xml:space="preserve">Income and Expenditure </w:t>
            </w:r>
          </w:p>
        </w:tc>
        <w:tc>
          <w:tcPr>
            <w:tcW w:w="569" w:type="pct"/>
            <w:tcBorders>
              <w:top w:val="nil"/>
              <w:left w:val="nil"/>
              <w:bottom w:val="nil"/>
              <w:right w:val="nil"/>
            </w:tcBorders>
            <w:shd w:val="clear" w:color="000000" w:fill="FFFFFF"/>
            <w:hideMark/>
          </w:tcPr>
          <w:p w14:paraId="32F79F89"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w:t>
            </w:r>
          </w:p>
        </w:tc>
        <w:tc>
          <w:tcPr>
            <w:tcW w:w="568" w:type="pct"/>
            <w:tcBorders>
              <w:top w:val="nil"/>
              <w:left w:val="nil"/>
              <w:bottom w:val="nil"/>
              <w:right w:val="nil"/>
            </w:tcBorders>
            <w:shd w:val="clear" w:color="000000" w:fill="FFFFFF"/>
            <w:hideMark/>
          </w:tcPr>
          <w:p w14:paraId="60B02103"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w:t>
            </w:r>
          </w:p>
        </w:tc>
        <w:tc>
          <w:tcPr>
            <w:tcW w:w="576" w:type="pct"/>
            <w:tcBorders>
              <w:top w:val="nil"/>
              <w:left w:val="nil"/>
              <w:bottom w:val="nil"/>
              <w:right w:val="nil"/>
            </w:tcBorders>
            <w:shd w:val="clear" w:color="000000" w:fill="FFE1E1"/>
            <w:noWrap/>
            <w:hideMark/>
          </w:tcPr>
          <w:p w14:paraId="5FEF4C8D"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7A589C9A"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w:t>
            </w:r>
          </w:p>
        </w:tc>
        <w:tc>
          <w:tcPr>
            <w:tcW w:w="568" w:type="pct"/>
            <w:tcBorders>
              <w:top w:val="nil"/>
              <w:left w:val="nil"/>
              <w:bottom w:val="nil"/>
              <w:right w:val="nil"/>
            </w:tcBorders>
            <w:shd w:val="clear" w:color="000000" w:fill="FFFFFF"/>
            <w:hideMark/>
          </w:tcPr>
          <w:p w14:paraId="347CC8EA" w14:textId="77777777" w:rsidR="00C71CD3" w:rsidRPr="00C71CD3" w:rsidRDefault="00C71CD3" w:rsidP="00C71CD3">
            <w:pPr>
              <w:spacing w:line="240" w:lineRule="auto"/>
              <w:jc w:val="right"/>
              <w:rPr>
                <w:rFonts w:ascii="Calibri" w:eastAsia="Times New Roman" w:hAnsi="Calibri" w:cs="Calibri"/>
                <w:b/>
                <w:bCs/>
                <w:color w:val="FFFFFF"/>
                <w:lang w:eastAsia="en-GB"/>
              </w:rPr>
            </w:pPr>
            <w:r w:rsidRPr="00C71CD3">
              <w:rPr>
                <w:rFonts w:ascii="Calibri" w:eastAsia="Times New Roman" w:hAnsi="Calibri" w:cs="Calibri"/>
                <w:b/>
                <w:bCs/>
                <w:color w:val="FFFFFF"/>
                <w:lang w:eastAsia="en-GB"/>
              </w:rPr>
              <w:t> </w:t>
            </w:r>
          </w:p>
        </w:tc>
        <w:tc>
          <w:tcPr>
            <w:tcW w:w="576" w:type="pct"/>
            <w:tcBorders>
              <w:top w:val="nil"/>
              <w:left w:val="nil"/>
              <w:bottom w:val="nil"/>
              <w:right w:val="nil"/>
            </w:tcBorders>
            <w:shd w:val="clear" w:color="000000" w:fill="FFE1E1"/>
            <w:noWrap/>
            <w:hideMark/>
          </w:tcPr>
          <w:p w14:paraId="32349459"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7939DA23" w14:textId="77777777" w:rsidTr="00C71CD3">
        <w:trPr>
          <w:trHeight w:val="300"/>
        </w:trPr>
        <w:tc>
          <w:tcPr>
            <w:tcW w:w="1575" w:type="pct"/>
            <w:tcBorders>
              <w:top w:val="nil"/>
              <w:left w:val="nil"/>
              <w:bottom w:val="nil"/>
              <w:right w:val="nil"/>
            </w:tcBorders>
            <w:shd w:val="clear" w:color="000000" w:fill="FFFFFF"/>
            <w:hideMark/>
          </w:tcPr>
          <w:p w14:paraId="7BED5410"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Account</w:t>
            </w:r>
          </w:p>
        </w:tc>
        <w:tc>
          <w:tcPr>
            <w:tcW w:w="569" w:type="pct"/>
            <w:tcBorders>
              <w:top w:val="nil"/>
              <w:left w:val="nil"/>
              <w:bottom w:val="nil"/>
              <w:right w:val="nil"/>
            </w:tcBorders>
            <w:shd w:val="clear" w:color="000000" w:fill="FFFFFF"/>
            <w:hideMark/>
          </w:tcPr>
          <w:p w14:paraId="5ABEE5E4"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6886543C"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045A7E0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1EA1B28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3C4AB2A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18B52AD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740F2FAF" w14:textId="77777777" w:rsidTr="00C71CD3">
        <w:trPr>
          <w:trHeight w:val="300"/>
        </w:trPr>
        <w:tc>
          <w:tcPr>
            <w:tcW w:w="1575" w:type="pct"/>
            <w:tcBorders>
              <w:top w:val="nil"/>
              <w:left w:val="nil"/>
              <w:bottom w:val="nil"/>
              <w:right w:val="nil"/>
            </w:tcBorders>
            <w:shd w:val="clear" w:color="000000" w:fill="FFFFFF"/>
            <w:hideMark/>
          </w:tcPr>
          <w:p w14:paraId="3B7274F7"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Cost of Services</w:t>
            </w:r>
          </w:p>
        </w:tc>
        <w:tc>
          <w:tcPr>
            <w:tcW w:w="569" w:type="pct"/>
            <w:tcBorders>
              <w:top w:val="nil"/>
              <w:left w:val="nil"/>
              <w:bottom w:val="nil"/>
              <w:right w:val="nil"/>
            </w:tcBorders>
            <w:shd w:val="clear" w:color="000000" w:fill="FFFFFF"/>
            <w:hideMark/>
          </w:tcPr>
          <w:p w14:paraId="30FDF22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193EEA5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1DB15D0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384AC9AF"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282806E2"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229CCA72"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4A6C112F" w14:textId="77777777" w:rsidTr="00C71CD3">
        <w:trPr>
          <w:trHeight w:val="300"/>
        </w:trPr>
        <w:tc>
          <w:tcPr>
            <w:tcW w:w="1575" w:type="pct"/>
            <w:tcBorders>
              <w:top w:val="nil"/>
              <w:left w:val="nil"/>
              <w:bottom w:val="nil"/>
              <w:right w:val="nil"/>
            </w:tcBorders>
            <w:shd w:val="clear" w:color="000000" w:fill="FFFFFF"/>
            <w:hideMark/>
          </w:tcPr>
          <w:p w14:paraId="05A5363A"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Current Service Cost</w:t>
            </w:r>
          </w:p>
        </w:tc>
        <w:tc>
          <w:tcPr>
            <w:tcW w:w="569" w:type="pct"/>
            <w:tcBorders>
              <w:top w:val="nil"/>
              <w:left w:val="nil"/>
              <w:bottom w:val="nil"/>
              <w:right w:val="nil"/>
            </w:tcBorders>
            <w:shd w:val="clear" w:color="000000" w:fill="FFFFFF"/>
            <w:hideMark/>
          </w:tcPr>
          <w:p w14:paraId="2E1E070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455</w:t>
            </w:r>
          </w:p>
        </w:tc>
        <w:tc>
          <w:tcPr>
            <w:tcW w:w="568" w:type="pct"/>
            <w:tcBorders>
              <w:top w:val="nil"/>
              <w:left w:val="nil"/>
              <w:bottom w:val="nil"/>
              <w:right w:val="nil"/>
            </w:tcBorders>
            <w:shd w:val="clear" w:color="000000" w:fill="FFFFFF"/>
            <w:hideMark/>
          </w:tcPr>
          <w:p w14:paraId="5100FEC5"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1,530</w:t>
            </w:r>
          </w:p>
        </w:tc>
        <w:tc>
          <w:tcPr>
            <w:tcW w:w="576" w:type="pct"/>
            <w:tcBorders>
              <w:top w:val="nil"/>
              <w:left w:val="nil"/>
              <w:bottom w:val="nil"/>
              <w:right w:val="nil"/>
            </w:tcBorders>
            <w:shd w:val="clear" w:color="000000" w:fill="FFE1E1"/>
            <w:noWrap/>
            <w:hideMark/>
          </w:tcPr>
          <w:p w14:paraId="2E3ABA3D"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1,985</w:t>
            </w:r>
          </w:p>
        </w:tc>
        <w:tc>
          <w:tcPr>
            <w:tcW w:w="569" w:type="pct"/>
            <w:tcBorders>
              <w:top w:val="nil"/>
              <w:left w:val="nil"/>
              <w:bottom w:val="nil"/>
              <w:right w:val="nil"/>
            </w:tcBorders>
            <w:shd w:val="clear" w:color="000000" w:fill="FFFFFF"/>
            <w:hideMark/>
          </w:tcPr>
          <w:p w14:paraId="1E07748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479</w:t>
            </w:r>
          </w:p>
        </w:tc>
        <w:tc>
          <w:tcPr>
            <w:tcW w:w="568" w:type="pct"/>
            <w:tcBorders>
              <w:top w:val="nil"/>
              <w:left w:val="nil"/>
              <w:bottom w:val="nil"/>
              <w:right w:val="nil"/>
            </w:tcBorders>
            <w:shd w:val="clear" w:color="000000" w:fill="FFFFFF"/>
            <w:hideMark/>
          </w:tcPr>
          <w:p w14:paraId="1F0D312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1,570</w:t>
            </w:r>
          </w:p>
        </w:tc>
        <w:tc>
          <w:tcPr>
            <w:tcW w:w="576" w:type="pct"/>
            <w:tcBorders>
              <w:top w:val="nil"/>
              <w:left w:val="nil"/>
              <w:bottom w:val="nil"/>
              <w:right w:val="nil"/>
            </w:tcBorders>
            <w:shd w:val="clear" w:color="000000" w:fill="FFE1E1"/>
            <w:noWrap/>
            <w:hideMark/>
          </w:tcPr>
          <w:p w14:paraId="5822CF00"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2,049</w:t>
            </w:r>
          </w:p>
        </w:tc>
      </w:tr>
      <w:tr w:rsidR="00C71CD3" w:rsidRPr="00C71CD3" w14:paraId="6B9F4FE9" w14:textId="77777777" w:rsidTr="00C71CD3">
        <w:trPr>
          <w:trHeight w:val="600"/>
        </w:trPr>
        <w:tc>
          <w:tcPr>
            <w:tcW w:w="1575" w:type="pct"/>
            <w:tcBorders>
              <w:top w:val="nil"/>
              <w:left w:val="nil"/>
              <w:bottom w:val="nil"/>
              <w:right w:val="nil"/>
            </w:tcBorders>
            <w:shd w:val="clear" w:color="000000" w:fill="FFFFFF"/>
            <w:hideMark/>
          </w:tcPr>
          <w:p w14:paraId="2EDC1E47"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Past Service Cost (including Settlements and Curtailments)</w:t>
            </w:r>
          </w:p>
        </w:tc>
        <w:tc>
          <w:tcPr>
            <w:tcW w:w="569" w:type="pct"/>
            <w:tcBorders>
              <w:top w:val="nil"/>
              <w:left w:val="nil"/>
              <w:bottom w:val="nil"/>
              <w:right w:val="nil"/>
            </w:tcBorders>
            <w:shd w:val="clear" w:color="000000" w:fill="FFFFFF"/>
            <w:hideMark/>
          </w:tcPr>
          <w:p w14:paraId="4D825A5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1CD09F90"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(40)</w:t>
            </w:r>
          </w:p>
        </w:tc>
        <w:tc>
          <w:tcPr>
            <w:tcW w:w="576" w:type="pct"/>
            <w:tcBorders>
              <w:top w:val="nil"/>
              <w:left w:val="nil"/>
              <w:bottom w:val="nil"/>
              <w:right w:val="nil"/>
            </w:tcBorders>
            <w:shd w:val="clear" w:color="000000" w:fill="FFE1E1"/>
            <w:noWrap/>
            <w:hideMark/>
          </w:tcPr>
          <w:p w14:paraId="0A8616A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(40)</w:t>
            </w:r>
          </w:p>
        </w:tc>
        <w:tc>
          <w:tcPr>
            <w:tcW w:w="569" w:type="pct"/>
            <w:tcBorders>
              <w:top w:val="nil"/>
              <w:left w:val="nil"/>
              <w:bottom w:val="nil"/>
              <w:right w:val="nil"/>
            </w:tcBorders>
            <w:shd w:val="clear" w:color="000000" w:fill="FFFFFF"/>
            <w:hideMark/>
          </w:tcPr>
          <w:p w14:paraId="551EE49F"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87</w:t>
            </w:r>
          </w:p>
        </w:tc>
        <w:tc>
          <w:tcPr>
            <w:tcW w:w="568" w:type="pct"/>
            <w:tcBorders>
              <w:top w:val="nil"/>
              <w:left w:val="nil"/>
              <w:bottom w:val="nil"/>
              <w:right w:val="nil"/>
            </w:tcBorders>
            <w:shd w:val="clear" w:color="000000" w:fill="FFFFFF"/>
            <w:hideMark/>
          </w:tcPr>
          <w:p w14:paraId="1D358234"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w:t>
            </w:r>
          </w:p>
        </w:tc>
        <w:tc>
          <w:tcPr>
            <w:tcW w:w="576" w:type="pct"/>
            <w:tcBorders>
              <w:top w:val="nil"/>
              <w:left w:val="nil"/>
              <w:bottom w:val="nil"/>
              <w:right w:val="nil"/>
            </w:tcBorders>
            <w:shd w:val="clear" w:color="000000" w:fill="FFE1E1"/>
            <w:noWrap/>
            <w:hideMark/>
          </w:tcPr>
          <w:p w14:paraId="28D0C196"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87</w:t>
            </w:r>
          </w:p>
        </w:tc>
      </w:tr>
      <w:tr w:rsidR="00C71CD3" w:rsidRPr="00C71CD3" w14:paraId="64A5690C" w14:textId="77777777" w:rsidTr="00C71CD3">
        <w:trPr>
          <w:trHeight w:val="600"/>
        </w:trPr>
        <w:tc>
          <w:tcPr>
            <w:tcW w:w="1575" w:type="pct"/>
            <w:tcBorders>
              <w:top w:val="nil"/>
              <w:left w:val="nil"/>
              <w:bottom w:val="nil"/>
              <w:right w:val="nil"/>
            </w:tcBorders>
            <w:shd w:val="clear" w:color="000000" w:fill="FFFFFF"/>
            <w:hideMark/>
          </w:tcPr>
          <w:p w14:paraId="59C9953B"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Financing and Investment Income and Expenditure</w:t>
            </w:r>
          </w:p>
        </w:tc>
        <w:tc>
          <w:tcPr>
            <w:tcW w:w="569" w:type="pct"/>
            <w:tcBorders>
              <w:top w:val="nil"/>
              <w:left w:val="nil"/>
              <w:bottom w:val="nil"/>
              <w:right w:val="nil"/>
            </w:tcBorders>
            <w:shd w:val="clear" w:color="000000" w:fill="FFFFFF"/>
            <w:hideMark/>
          </w:tcPr>
          <w:p w14:paraId="256ECE6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26F01FD4"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6501D185"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11CFBC6D"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697C64A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642E70AC"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176669C8" w14:textId="77777777" w:rsidTr="00C71CD3">
        <w:trPr>
          <w:trHeight w:val="300"/>
        </w:trPr>
        <w:tc>
          <w:tcPr>
            <w:tcW w:w="1575" w:type="pct"/>
            <w:tcBorders>
              <w:top w:val="nil"/>
              <w:left w:val="nil"/>
              <w:bottom w:val="nil"/>
              <w:right w:val="nil"/>
            </w:tcBorders>
            <w:shd w:val="clear" w:color="000000" w:fill="FFFFFF"/>
            <w:hideMark/>
          </w:tcPr>
          <w:p w14:paraId="38BBE726"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Net Interest Expense</w:t>
            </w:r>
          </w:p>
        </w:tc>
        <w:tc>
          <w:tcPr>
            <w:tcW w:w="569" w:type="pct"/>
            <w:tcBorders>
              <w:top w:val="nil"/>
              <w:left w:val="nil"/>
              <w:bottom w:val="nil"/>
              <w:right w:val="nil"/>
            </w:tcBorders>
            <w:shd w:val="clear" w:color="000000" w:fill="FFFFFF"/>
            <w:hideMark/>
          </w:tcPr>
          <w:p w14:paraId="1B9F64F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19</w:t>
            </w:r>
          </w:p>
        </w:tc>
        <w:tc>
          <w:tcPr>
            <w:tcW w:w="568" w:type="pct"/>
            <w:tcBorders>
              <w:top w:val="nil"/>
              <w:left w:val="nil"/>
              <w:bottom w:val="nil"/>
              <w:right w:val="nil"/>
            </w:tcBorders>
            <w:shd w:val="clear" w:color="000000" w:fill="FFFFFF"/>
            <w:hideMark/>
          </w:tcPr>
          <w:p w14:paraId="4CF10822"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10,950</w:t>
            </w:r>
          </w:p>
        </w:tc>
        <w:tc>
          <w:tcPr>
            <w:tcW w:w="576" w:type="pct"/>
            <w:tcBorders>
              <w:top w:val="nil"/>
              <w:left w:val="nil"/>
              <w:bottom w:val="nil"/>
              <w:right w:val="nil"/>
            </w:tcBorders>
            <w:shd w:val="clear" w:color="000000" w:fill="FFE1E1"/>
            <w:noWrap/>
            <w:hideMark/>
          </w:tcPr>
          <w:p w14:paraId="55D1E73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10,969</w:t>
            </w:r>
          </w:p>
        </w:tc>
        <w:tc>
          <w:tcPr>
            <w:tcW w:w="569" w:type="pct"/>
            <w:tcBorders>
              <w:top w:val="nil"/>
              <w:left w:val="nil"/>
              <w:bottom w:val="nil"/>
              <w:right w:val="nil"/>
            </w:tcBorders>
            <w:shd w:val="clear" w:color="000000" w:fill="FFFFFF"/>
            <w:hideMark/>
          </w:tcPr>
          <w:p w14:paraId="70A084F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(22)</w:t>
            </w:r>
          </w:p>
        </w:tc>
        <w:tc>
          <w:tcPr>
            <w:tcW w:w="568" w:type="pct"/>
            <w:tcBorders>
              <w:top w:val="nil"/>
              <w:left w:val="nil"/>
              <w:bottom w:val="nil"/>
              <w:right w:val="nil"/>
            </w:tcBorders>
            <w:shd w:val="clear" w:color="000000" w:fill="FFFFFF"/>
            <w:hideMark/>
          </w:tcPr>
          <w:p w14:paraId="591A0352"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11,470</w:t>
            </w:r>
          </w:p>
        </w:tc>
        <w:tc>
          <w:tcPr>
            <w:tcW w:w="576" w:type="pct"/>
            <w:tcBorders>
              <w:top w:val="nil"/>
              <w:left w:val="nil"/>
              <w:bottom w:val="nil"/>
              <w:right w:val="nil"/>
            </w:tcBorders>
            <w:shd w:val="clear" w:color="000000" w:fill="FFE1E1"/>
            <w:noWrap/>
            <w:hideMark/>
          </w:tcPr>
          <w:p w14:paraId="55FE49E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11,448</w:t>
            </w:r>
          </w:p>
        </w:tc>
      </w:tr>
      <w:tr w:rsidR="00C71CD3" w:rsidRPr="00C71CD3" w14:paraId="07E27E47" w14:textId="77777777" w:rsidTr="00C71CD3">
        <w:trPr>
          <w:trHeight w:val="600"/>
        </w:trPr>
        <w:tc>
          <w:tcPr>
            <w:tcW w:w="1575" w:type="pct"/>
            <w:tcBorders>
              <w:top w:val="single" w:sz="4" w:space="0" w:color="000000"/>
              <w:left w:val="nil"/>
              <w:bottom w:val="single" w:sz="4" w:space="0" w:color="000000"/>
              <w:right w:val="nil"/>
            </w:tcBorders>
            <w:shd w:val="clear" w:color="000000" w:fill="FFFFFF"/>
            <w:hideMark/>
          </w:tcPr>
          <w:p w14:paraId="4EF4D3FB"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Total defined benefit cost recognised in Income and Expenditure Account</w:t>
            </w:r>
          </w:p>
        </w:tc>
        <w:tc>
          <w:tcPr>
            <w:tcW w:w="569" w:type="pct"/>
            <w:tcBorders>
              <w:top w:val="single" w:sz="4" w:space="0" w:color="000000"/>
              <w:left w:val="nil"/>
              <w:bottom w:val="single" w:sz="4" w:space="0" w:color="000000"/>
              <w:right w:val="nil"/>
            </w:tcBorders>
            <w:shd w:val="clear" w:color="000000" w:fill="FFFFFF"/>
            <w:hideMark/>
          </w:tcPr>
          <w:p w14:paraId="2175121C"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474</w:t>
            </w:r>
          </w:p>
        </w:tc>
        <w:tc>
          <w:tcPr>
            <w:tcW w:w="568" w:type="pct"/>
            <w:tcBorders>
              <w:top w:val="single" w:sz="4" w:space="0" w:color="000000"/>
              <w:left w:val="nil"/>
              <w:bottom w:val="single" w:sz="4" w:space="0" w:color="000000"/>
              <w:right w:val="nil"/>
            </w:tcBorders>
            <w:shd w:val="clear" w:color="000000" w:fill="FFFFFF"/>
            <w:hideMark/>
          </w:tcPr>
          <w:p w14:paraId="2344926B"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12,440</w:t>
            </w:r>
          </w:p>
        </w:tc>
        <w:tc>
          <w:tcPr>
            <w:tcW w:w="576" w:type="pct"/>
            <w:tcBorders>
              <w:top w:val="single" w:sz="4" w:space="0" w:color="000000"/>
              <w:left w:val="nil"/>
              <w:bottom w:val="single" w:sz="4" w:space="0" w:color="000000"/>
              <w:right w:val="nil"/>
            </w:tcBorders>
            <w:shd w:val="clear" w:color="000000" w:fill="FFE1E1"/>
            <w:noWrap/>
            <w:hideMark/>
          </w:tcPr>
          <w:p w14:paraId="18B1C8F9"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12,914</w:t>
            </w:r>
          </w:p>
        </w:tc>
        <w:tc>
          <w:tcPr>
            <w:tcW w:w="569" w:type="pct"/>
            <w:tcBorders>
              <w:top w:val="single" w:sz="4" w:space="0" w:color="000000"/>
              <w:left w:val="nil"/>
              <w:bottom w:val="single" w:sz="4" w:space="0" w:color="000000"/>
              <w:right w:val="nil"/>
            </w:tcBorders>
            <w:shd w:val="clear" w:color="000000" w:fill="FFFFFF"/>
            <w:hideMark/>
          </w:tcPr>
          <w:p w14:paraId="7777B179"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544</w:t>
            </w:r>
          </w:p>
        </w:tc>
        <w:tc>
          <w:tcPr>
            <w:tcW w:w="568" w:type="pct"/>
            <w:tcBorders>
              <w:top w:val="single" w:sz="4" w:space="0" w:color="000000"/>
              <w:left w:val="nil"/>
              <w:bottom w:val="single" w:sz="4" w:space="0" w:color="000000"/>
              <w:right w:val="nil"/>
            </w:tcBorders>
            <w:shd w:val="clear" w:color="000000" w:fill="FFFFFF"/>
            <w:hideMark/>
          </w:tcPr>
          <w:p w14:paraId="45E077ED"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13,040</w:t>
            </w:r>
          </w:p>
        </w:tc>
        <w:tc>
          <w:tcPr>
            <w:tcW w:w="576" w:type="pct"/>
            <w:tcBorders>
              <w:top w:val="single" w:sz="4" w:space="0" w:color="000000"/>
              <w:left w:val="nil"/>
              <w:bottom w:val="single" w:sz="4" w:space="0" w:color="000000"/>
              <w:right w:val="nil"/>
            </w:tcBorders>
            <w:shd w:val="clear" w:color="000000" w:fill="FFE1E1"/>
            <w:noWrap/>
            <w:hideMark/>
          </w:tcPr>
          <w:p w14:paraId="4F659A6F"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13,584</w:t>
            </w:r>
          </w:p>
        </w:tc>
      </w:tr>
      <w:tr w:rsidR="00C71CD3" w:rsidRPr="00C71CD3" w14:paraId="4F9D1BDA" w14:textId="77777777" w:rsidTr="00C71CD3">
        <w:trPr>
          <w:trHeight w:val="300"/>
        </w:trPr>
        <w:tc>
          <w:tcPr>
            <w:tcW w:w="1575" w:type="pct"/>
            <w:tcBorders>
              <w:top w:val="nil"/>
              <w:left w:val="nil"/>
              <w:bottom w:val="nil"/>
              <w:right w:val="nil"/>
            </w:tcBorders>
            <w:shd w:val="clear" w:color="000000" w:fill="FFFFFF"/>
            <w:hideMark/>
          </w:tcPr>
          <w:p w14:paraId="17131721"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526AFC5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6D5F8E0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05D8055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4B50FAEC"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7CB70B4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15393B1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241185F1" w14:textId="77777777" w:rsidTr="00C71CD3">
        <w:trPr>
          <w:trHeight w:val="915"/>
        </w:trPr>
        <w:tc>
          <w:tcPr>
            <w:tcW w:w="1575" w:type="pct"/>
            <w:tcBorders>
              <w:top w:val="nil"/>
              <w:left w:val="nil"/>
              <w:bottom w:val="nil"/>
              <w:right w:val="nil"/>
            </w:tcBorders>
            <w:shd w:val="clear" w:color="000000" w:fill="FFFFFF"/>
            <w:hideMark/>
          </w:tcPr>
          <w:p w14:paraId="59425801"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Return on plan assets (excluding the amount included in the net interest expense)</w:t>
            </w:r>
          </w:p>
        </w:tc>
        <w:tc>
          <w:tcPr>
            <w:tcW w:w="569" w:type="pct"/>
            <w:tcBorders>
              <w:top w:val="nil"/>
              <w:left w:val="nil"/>
              <w:bottom w:val="nil"/>
              <w:right w:val="nil"/>
            </w:tcBorders>
            <w:shd w:val="clear" w:color="000000" w:fill="FFFFFF"/>
            <w:hideMark/>
          </w:tcPr>
          <w:p w14:paraId="61370816"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(504)</w:t>
            </w:r>
          </w:p>
        </w:tc>
        <w:tc>
          <w:tcPr>
            <w:tcW w:w="568" w:type="pct"/>
            <w:tcBorders>
              <w:top w:val="nil"/>
              <w:left w:val="nil"/>
              <w:bottom w:val="nil"/>
              <w:right w:val="nil"/>
            </w:tcBorders>
            <w:shd w:val="clear" w:color="000000" w:fill="FFFFFF"/>
            <w:hideMark/>
          </w:tcPr>
          <w:p w14:paraId="173E1926"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w:t>
            </w:r>
          </w:p>
        </w:tc>
        <w:tc>
          <w:tcPr>
            <w:tcW w:w="576" w:type="pct"/>
            <w:tcBorders>
              <w:top w:val="nil"/>
              <w:left w:val="nil"/>
              <w:bottom w:val="nil"/>
              <w:right w:val="nil"/>
            </w:tcBorders>
            <w:shd w:val="clear" w:color="000000" w:fill="FFE1E1"/>
            <w:noWrap/>
            <w:hideMark/>
          </w:tcPr>
          <w:p w14:paraId="44578286"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(504)</w:t>
            </w:r>
          </w:p>
        </w:tc>
        <w:tc>
          <w:tcPr>
            <w:tcW w:w="569" w:type="pct"/>
            <w:tcBorders>
              <w:top w:val="nil"/>
              <w:left w:val="nil"/>
              <w:bottom w:val="nil"/>
              <w:right w:val="nil"/>
            </w:tcBorders>
            <w:shd w:val="clear" w:color="000000" w:fill="FFFFFF"/>
            <w:hideMark/>
          </w:tcPr>
          <w:p w14:paraId="6C371F9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325</w:t>
            </w:r>
          </w:p>
        </w:tc>
        <w:tc>
          <w:tcPr>
            <w:tcW w:w="568" w:type="pct"/>
            <w:tcBorders>
              <w:top w:val="nil"/>
              <w:left w:val="nil"/>
              <w:bottom w:val="nil"/>
              <w:right w:val="nil"/>
            </w:tcBorders>
            <w:shd w:val="clear" w:color="000000" w:fill="FFFFFF"/>
            <w:hideMark/>
          </w:tcPr>
          <w:p w14:paraId="19C4376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w:t>
            </w:r>
          </w:p>
        </w:tc>
        <w:tc>
          <w:tcPr>
            <w:tcW w:w="576" w:type="pct"/>
            <w:tcBorders>
              <w:top w:val="nil"/>
              <w:left w:val="nil"/>
              <w:bottom w:val="nil"/>
              <w:right w:val="nil"/>
            </w:tcBorders>
            <w:shd w:val="clear" w:color="000000" w:fill="FFE1E1"/>
            <w:noWrap/>
            <w:hideMark/>
          </w:tcPr>
          <w:p w14:paraId="178D556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325</w:t>
            </w:r>
          </w:p>
        </w:tc>
      </w:tr>
      <w:tr w:rsidR="00C71CD3" w:rsidRPr="00C71CD3" w14:paraId="6C447D4B" w14:textId="77777777" w:rsidTr="00C71CD3">
        <w:trPr>
          <w:trHeight w:val="600"/>
        </w:trPr>
        <w:tc>
          <w:tcPr>
            <w:tcW w:w="1575" w:type="pct"/>
            <w:tcBorders>
              <w:top w:val="nil"/>
              <w:left w:val="nil"/>
              <w:bottom w:val="nil"/>
              <w:right w:val="nil"/>
            </w:tcBorders>
            <w:shd w:val="clear" w:color="000000" w:fill="FFFFFF"/>
            <w:hideMark/>
          </w:tcPr>
          <w:p w14:paraId="4F4C3342"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Actuarial gains and losses arising on changes in demographic assumptions</w:t>
            </w:r>
          </w:p>
        </w:tc>
        <w:tc>
          <w:tcPr>
            <w:tcW w:w="569" w:type="pct"/>
            <w:tcBorders>
              <w:top w:val="nil"/>
              <w:left w:val="nil"/>
              <w:bottom w:val="nil"/>
              <w:right w:val="nil"/>
            </w:tcBorders>
            <w:shd w:val="clear" w:color="000000" w:fill="FFFFFF"/>
            <w:hideMark/>
          </w:tcPr>
          <w:p w14:paraId="39575A7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(56)</w:t>
            </w:r>
          </w:p>
        </w:tc>
        <w:tc>
          <w:tcPr>
            <w:tcW w:w="568" w:type="pct"/>
            <w:tcBorders>
              <w:top w:val="nil"/>
              <w:left w:val="nil"/>
              <w:bottom w:val="nil"/>
              <w:right w:val="nil"/>
            </w:tcBorders>
            <w:shd w:val="clear" w:color="000000" w:fill="FFFFFF"/>
            <w:hideMark/>
          </w:tcPr>
          <w:p w14:paraId="6736923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w:t>
            </w:r>
          </w:p>
        </w:tc>
        <w:tc>
          <w:tcPr>
            <w:tcW w:w="576" w:type="pct"/>
            <w:tcBorders>
              <w:top w:val="nil"/>
              <w:left w:val="nil"/>
              <w:bottom w:val="nil"/>
              <w:right w:val="nil"/>
            </w:tcBorders>
            <w:shd w:val="clear" w:color="000000" w:fill="FFE1E1"/>
            <w:noWrap/>
            <w:hideMark/>
          </w:tcPr>
          <w:p w14:paraId="33946C60"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(56)</w:t>
            </w:r>
          </w:p>
        </w:tc>
        <w:tc>
          <w:tcPr>
            <w:tcW w:w="569" w:type="pct"/>
            <w:tcBorders>
              <w:top w:val="nil"/>
              <w:left w:val="nil"/>
              <w:bottom w:val="nil"/>
              <w:right w:val="nil"/>
            </w:tcBorders>
            <w:shd w:val="clear" w:color="000000" w:fill="FFFFFF"/>
            <w:hideMark/>
          </w:tcPr>
          <w:p w14:paraId="600E664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(18)</w:t>
            </w:r>
          </w:p>
        </w:tc>
        <w:tc>
          <w:tcPr>
            <w:tcW w:w="568" w:type="pct"/>
            <w:tcBorders>
              <w:top w:val="nil"/>
              <w:left w:val="nil"/>
              <w:bottom w:val="nil"/>
              <w:right w:val="nil"/>
            </w:tcBorders>
            <w:shd w:val="clear" w:color="000000" w:fill="FFFFFF"/>
            <w:hideMark/>
          </w:tcPr>
          <w:p w14:paraId="2376B5F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(640)</w:t>
            </w:r>
          </w:p>
        </w:tc>
        <w:tc>
          <w:tcPr>
            <w:tcW w:w="576" w:type="pct"/>
            <w:tcBorders>
              <w:top w:val="nil"/>
              <w:left w:val="nil"/>
              <w:bottom w:val="nil"/>
              <w:right w:val="nil"/>
            </w:tcBorders>
            <w:shd w:val="clear" w:color="000000" w:fill="FFE1E1"/>
            <w:noWrap/>
            <w:hideMark/>
          </w:tcPr>
          <w:p w14:paraId="1C2FAE75"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(658)</w:t>
            </w:r>
          </w:p>
        </w:tc>
      </w:tr>
      <w:tr w:rsidR="00C71CD3" w:rsidRPr="00C71CD3" w14:paraId="246586E9" w14:textId="77777777" w:rsidTr="00C71CD3">
        <w:trPr>
          <w:trHeight w:val="600"/>
        </w:trPr>
        <w:tc>
          <w:tcPr>
            <w:tcW w:w="1575" w:type="pct"/>
            <w:tcBorders>
              <w:top w:val="nil"/>
              <w:left w:val="nil"/>
              <w:bottom w:val="nil"/>
              <w:right w:val="nil"/>
            </w:tcBorders>
            <w:shd w:val="clear" w:color="000000" w:fill="FFFFFF"/>
            <w:hideMark/>
          </w:tcPr>
          <w:p w14:paraId="1A878854"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Actuarial gains and losses arising on changes in financial assumptions</w:t>
            </w:r>
          </w:p>
        </w:tc>
        <w:tc>
          <w:tcPr>
            <w:tcW w:w="569" w:type="pct"/>
            <w:tcBorders>
              <w:top w:val="nil"/>
              <w:left w:val="nil"/>
              <w:bottom w:val="nil"/>
              <w:right w:val="nil"/>
            </w:tcBorders>
            <w:shd w:val="clear" w:color="000000" w:fill="FFFFFF"/>
            <w:hideMark/>
          </w:tcPr>
          <w:p w14:paraId="5C85CF8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(698)</w:t>
            </w:r>
          </w:p>
        </w:tc>
        <w:tc>
          <w:tcPr>
            <w:tcW w:w="568" w:type="pct"/>
            <w:tcBorders>
              <w:top w:val="nil"/>
              <w:left w:val="nil"/>
              <w:bottom w:val="nil"/>
              <w:right w:val="nil"/>
            </w:tcBorders>
            <w:shd w:val="clear" w:color="000000" w:fill="FFFFFF"/>
            <w:hideMark/>
          </w:tcPr>
          <w:p w14:paraId="1476BBFE"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1,090</w:t>
            </w:r>
          </w:p>
        </w:tc>
        <w:tc>
          <w:tcPr>
            <w:tcW w:w="576" w:type="pct"/>
            <w:tcBorders>
              <w:top w:val="nil"/>
              <w:left w:val="nil"/>
              <w:bottom w:val="nil"/>
              <w:right w:val="nil"/>
            </w:tcBorders>
            <w:shd w:val="clear" w:color="000000" w:fill="FFE1E1"/>
            <w:noWrap/>
            <w:hideMark/>
          </w:tcPr>
          <w:p w14:paraId="2A16CC3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392</w:t>
            </w:r>
          </w:p>
        </w:tc>
        <w:tc>
          <w:tcPr>
            <w:tcW w:w="569" w:type="pct"/>
            <w:tcBorders>
              <w:top w:val="nil"/>
              <w:left w:val="nil"/>
              <w:bottom w:val="nil"/>
              <w:right w:val="nil"/>
            </w:tcBorders>
            <w:shd w:val="clear" w:color="000000" w:fill="FFFFFF"/>
            <w:hideMark/>
          </w:tcPr>
          <w:p w14:paraId="47A5957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(1,912)</w:t>
            </w:r>
          </w:p>
        </w:tc>
        <w:tc>
          <w:tcPr>
            <w:tcW w:w="568" w:type="pct"/>
            <w:tcBorders>
              <w:top w:val="nil"/>
              <w:left w:val="nil"/>
              <w:bottom w:val="nil"/>
              <w:right w:val="nil"/>
            </w:tcBorders>
            <w:shd w:val="clear" w:color="000000" w:fill="FFFFFF"/>
            <w:hideMark/>
          </w:tcPr>
          <w:p w14:paraId="3663487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(24,800)</w:t>
            </w:r>
          </w:p>
        </w:tc>
        <w:tc>
          <w:tcPr>
            <w:tcW w:w="576" w:type="pct"/>
            <w:tcBorders>
              <w:top w:val="nil"/>
              <w:left w:val="nil"/>
              <w:bottom w:val="nil"/>
              <w:right w:val="nil"/>
            </w:tcBorders>
            <w:shd w:val="clear" w:color="000000" w:fill="FFE1E1"/>
            <w:noWrap/>
            <w:hideMark/>
          </w:tcPr>
          <w:p w14:paraId="19DF3E4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(26,712)</w:t>
            </w:r>
          </w:p>
        </w:tc>
      </w:tr>
      <w:tr w:rsidR="00C71CD3" w:rsidRPr="00C71CD3" w14:paraId="29B96B1B" w14:textId="77777777" w:rsidTr="00C71CD3">
        <w:trPr>
          <w:trHeight w:val="300"/>
        </w:trPr>
        <w:tc>
          <w:tcPr>
            <w:tcW w:w="1575" w:type="pct"/>
            <w:tcBorders>
              <w:top w:val="nil"/>
              <w:left w:val="nil"/>
              <w:bottom w:val="nil"/>
              <w:right w:val="nil"/>
            </w:tcBorders>
            <w:shd w:val="clear" w:color="000000" w:fill="FFFFFF"/>
            <w:hideMark/>
          </w:tcPr>
          <w:p w14:paraId="65F54CF1"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Other</w:t>
            </w:r>
          </w:p>
        </w:tc>
        <w:tc>
          <w:tcPr>
            <w:tcW w:w="569" w:type="pct"/>
            <w:tcBorders>
              <w:top w:val="nil"/>
              <w:left w:val="nil"/>
              <w:bottom w:val="nil"/>
              <w:right w:val="nil"/>
            </w:tcBorders>
            <w:shd w:val="clear" w:color="000000" w:fill="FFFFFF"/>
            <w:hideMark/>
          </w:tcPr>
          <w:p w14:paraId="0E95B184" w14:textId="77777777" w:rsidR="00C71CD3" w:rsidRPr="00C71CD3" w:rsidRDefault="00C71CD3" w:rsidP="00C71CD3">
            <w:pPr>
              <w:spacing w:line="240" w:lineRule="auto"/>
              <w:jc w:val="right"/>
              <w:rPr>
                <w:rFonts w:ascii="Calibri" w:eastAsia="Times New Roman" w:hAnsi="Calibri" w:cs="Calibri"/>
                <w:lang w:eastAsia="en-GB"/>
              </w:rPr>
            </w:pPr>
            <w:r w:rsidRPr="00C71CD3">
              <w:rPr>
                <w:rFonts w:ascii="Calibri" w:eastAsia="Times New Roman" w:hAnsi="Calibri" w:cs="Calibri"/>
                <w:lang w:eastAsia="en-GB"/>
              </w:rPr>
              <w:t>297</w:t>
            </w:r>
          </w:p>
        </w:tc>
        <w:tc>
          <w:tcPr>
            <w:tcW w:w="568" w:type="pct"/>
            <w:tcBorders>
              <w:top w:val="nil"/>
              <w:left w:val="nil"/>
              <w:bottom w:val="nil"/>
              <w:right w:val="nil"/>
            </w:tcBorders>
            <w:shd w:val="clear" w:color="000000" w:fill="FFFFFF"/>
            <w:hideMark/>
          </w:tcPr>
          <w:p w14:paraId="1FC7C103" w14:textId="77777777" w:rsidR="00C71CD3" w:rsidRPr="00C71CD3" w:rsidRDefault="00C71CD3" w:rsidP="00C71CD3">
            <w:pPr>
              <w:spacing w:line="240" w:lineRule="auto"/>
              <w:jc w:val="right"/>
              <w:rPr>
                <w:rFonts w:ascii="Calibri" w:eastAsia="Times New Roman" w:hAnsi="Calibri" w:cs="Calibri"/>
                <w:lang w:eastAsia="en-GB"/>
              </w:rPr>
            </w:pPr>
            <w:r w:rsidRPr="00C71CD3">
              <w:rPr>
                <w:rFonts w:ascii="Calibri" w:eastAsia="Times New Roman" w:hAnsi="Calibri" w:cs="Calibri"/>
                <w:lang w:eastAsia="en-GB"/>
              </w:rPr>
              <w:t> </w:t>
            </w:r>
          </w:p>
        </w:tc>
        <w:tc>
          <w:tcPr>
            <w:tcW w:w="576" w:type="pct"/>
            <w:tcBorders>
              <w:top w:val="nil"/>
              <w:left w:val="nil"/>
              <w:bottom w:val="nil"/>
              <w:right w:val="nil"/>
            </w:tcBorders>
            <w:shd w:val="clear" w:color="000000" w:fill="FFE1E1"/>
            <w:noWrap/>
            <w:hideMark/>
          </w:tcPr>
          <w:p w14:paraId="4D446270" w14:textId="77777777" w:rsidR="00C71CD3" w:rsidRPr="00C71CD3" w:rsidRDefault="00C71CD3" w:rsidP="00C71CD3">
            <w:pPr>
              <w:spacing w:line="240" w:lineRule="auto"/>
              <w:jc w:val="right"/>
              <w:rPr>
                <w:rFonts w:ascii="Calibri" w:eastAsia="Times New Roman" w:hAnsi="Calibri" w:cs="Calibri"/>
                <w:lang w:eastAsia="en-GB"/>
              </w:rPr>
            </w:pPr>
            <w:r w:rsidRPr="00C71CD3">
              <w:rPr>
                <w:rFonts w:ascii="Calibri" w:eastAsia="Times New Roman" w:hAnsi="Calibri" w:cs="Calibri"/>
                <w:lang w:eastAsia="en-GB"/>
              </w:rPr>
              <w:t>297</w:t>
            </w:r>
          </w:p>
        </w:tc>
        <w:tc>
          <w:tcPr>
            <w:tcW w:w="569" w:type="pct"/>
            <w:tcBorders>
              <w:top w:val="nil"/>
              <w:left w:val="nil"/>
              <w:bottom w:val="nil"/>
              <w:right w:val="nil"/>
            </w:tcBorders>
            <w:shd w:val="clear" w:color="000000" w:fill="FFFFFF"/>
            <w:hideMark/>
          </w:tcPr>
          <w:p w14:paraId="53812E11" w14:textId="77777777" w:rsidR="00C71CD3" w:rsidRPr="00C71CD3" w:rsidRDefault="00C71CD3" w:rsidP="00C71CD3">
            <w:pPr>
              <w:spacing w:line="240" w:lineRule="auto"/>
              <w:jc w:val="right"/>
              <w:rPr>
                <w:rFonts w:ascii="Calibri" w:eastAsia="Times New Roman" w:hAnsi="Calibri" w:cs="Calibri"/>
                <w:lang w:eastAsia="en-GB"/>
              </w:rPr>
            </w:pPr>
            <w:r w:rsidRPr="00C71CD3">
              <w:rPr>
                <w:rFonts w:ascii="Calibri" w:eastAsia="Times New Roman" w:hAnsi="Calibri" w:cs="Calibri"/>
                <w:lang w:eastAsia="en-GB"/>
              </w:rPr>
              <w:t>(90)</w:t>
            </w:r>
          </w:p>
        </w:tc>
        <w:tc>
          <w:tcPr>
            <w:tcW w:w="568" w:type="pct"/>
            <w:tcBorders>
              <w:top w:val="nil"/>
              <w:left w:val="nil"/>
              <w:bottom w:val="nil"/>
              <w:right w:val="nil"/>
            </w:tcBorders>
            <w:shd w:val="clear" w:color="000000" w:fill="FFFFFF"/>
            <w:hideMark/>
          </w:tcPr>
          <w:p w14:paraId="1DD111AD" w14:textId="77777777" w:rsidR="00C71CD3" w:rsidRPr="00C71CD3" w:rsidRDefault="00C71CD3" w:rsidP="00C71CD3">
            <w:pPr>
              <w:spacing w:line="240" w:lineRule="auto"/>
              <w:jc w:val="right"/>
              <w:rPr>
                <w:rFonts w:ascii="Calibri" w:eastAsia="Times New Roman" w:hAnsi="Calibri" w:cs="Calibri"/>
                <w:lang w:eastAsia="en-GB"/>
              </w:rPr>
            </w:pPr>
            <w:r w:rsidRPr="00C71CD3">
              <w:rPr>
                <w:rFonts w:ascii="Calibri" w:eastAsia="Times New Roman" w:hAnsi="Calibri" w:cs="Calibri"/>
                <w:lang w:eastAsia="en-GB"/>
              </w:rPr>
              <w:t>(470)</w:t>
            </w:r>
          </w:p>
        </w:tc>
        <w:tc>
          <w:tcPr>
            <w:tcW w:w="576" w:type="pct"/>
            <w:tcBorders>
              <w:top w:val="nil"/>
              <w:left w:val="nil"/>
              <w:bottom w:val="nil"/>
              <w:right w:val="nil"/>
            </w:tcBorders>
            <w:shd w:val="clear" w:color="000000" w:fill="FFE1E1"/>
            <w:noWrap/>
            <w:hideMark/>
          </w:tcPr>
          <w:p w14:paraId="789FE8F8"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(560)</w:t>
            </w:r>
          </w:p>
        </w:tc>
      </w:tr>
      <w:tr w:rsidR="00C71CD3" w:rsidRPr="00C71CD3" w14:paraId="3CC146A1" w14:textId="77777777" w:rsidTr="00C71CD3">
        <w:trPr>
          <w:trHeight w:val="600"/>
        </w:trPr>
        <w:tc>
          <w:tcPr>
            <w:tcW w:w="1575" w:type="pct"/>
            <w:tcBorders>
              <w:top w:val="single" w:sz="4" w:space="0" w:color="000000"/>
              <w:left w:val="nil"/>
              <w:bottom w:val="single" w:sz="4" w:space="0" w:color="000000"/>
              <w:right w:val="nil"/>
            </w:tcBorders>
            <w:shd w:val="clear" w:color="000000" w:fill="FFFFFF"/>
            <w:hideMark/>
          </w:tcPr>
          <w:p w14:paraId="494EABC5"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Total remeasurements recognised in Other Comprehensive Income (OCI)</w:t>
            </w:r>
          </w:p>
        </w:tc>
        <w:tc>
          <w:tcPr>
            <w:tcW w:w="569" w:type="pct"/>
            <w:tcBorders>
              <w:top w:val="single" w:sz="4" w:space="0" w:color="000000"/>
              <w:left w:val="nil"/>
              <w:bottom w:val="single" w:sz="4" w:space="0" w:color="000000"/>
              <w:right w:val="nil"/>
            </w:tcBorders>
            <w:shd w:val="clear" w:color="000000" w:fill="FFFFFF"/>
            <w:hideMark/>
          </w:tcPr>
          <w:p w14:paraId="6A2090E9"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(961)</w:t>
            </w:r>
          </w:p>
        </w:tc>
        <w:tc>
          <w:tcPr>
            <w:tcW w:w="568" w:type="pct"/>
            <w:tcBorders>
              <w:top w:val="single" w:sz="4" w:space="0" w:color="000000"/>
              <w:left w:val="nil"/>
              <w:bottom w:val="single" w:sz="4" w:space="0" w:color="000000"/>
              <w:right w:val="nil"/>
            </w:tcBorders>
            <w:shd w:val="clear" w:color="000000" w:fill="FFFFFF"/>
            <w:hideMark/>
          </w:tcPr>
          <w:p w14:paraId="7E642D82"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1,090</w:t>
            </w:r>
          </w:p>
        </w:tc>
        <w:tc>
          <w:tcPr>
            <w:tcW w:w="576" w:type="pct"/>
            <w:tcBorders>
              <w:top w:val="single" w:sz="4" w:space="0" w:color="000000"/>
              <w:left w:val="nil"/>
              <w:bottom w:val="single" w:sz="4" w:space="0" w:color="000000"/>
              <w:right w:val="nil"/>
            </w:tcBorders>
            <w:shd w:val="clear" w:color="000000" w:fill="FFE1E1"/>
            <w:noWrap/>
            <w:hideMark/>
          </w:tcPr>
          <w:p w14:paraId="6432BF86"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129</w:t>
            </w:r>
          </w:p>
        </w:tc>
        <w:tc>
          <w:tcPr>
            <w:tcW w:w="569" w:type="pct"/>
            <w:tcBorders>
              <w:top w:val="single" w:sz="4" w:space="0" w:color="000000"/>
              <w:left w:val="nil"/>
              <w:bottom w:val="single" w:sz="4" w:space="0" w:color="000000"/>
              <w:right w:val="nil"/>
            </w:tcBorders>
            <w:shd w:val="clear" w:color="000000" w:fill="FFFFFF"/>
            <w:hideMark/>
          </w:tcPr>
          <w:p w14:paraId="09EA55B8"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(1,695)</w:t>
            </w:r>
          </w:p>
        </w:tc>
        <w:tc>
          <w:tcPr>
            <w:tcW w:w="568" w:type="pct"/>
            <w:tcBorders>
              <w:top w:val="single" w:sz="4" w:space="0" w:color="000000"/>
              <w:left w:val="nil"/>
              <w:bottom w:val="single" w:sz="4" w:space="0" w:color="000000"/>
              <w:right w:val="nil"/>
            </w:tcBorders>
            <w:shd w:val="clear" w:color="000000" w:fill="FFFFFF"/>
            <w:hideMark/>
          </w:tcPr>
          <w:p w14:paraId="7DE725BE"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(25,910)</w:t>
            </w:r>
          </w:p>
        </w:tc>
        <w:tc>
          <w:tcPr>
            <w:tcW w:w="576" w:type="pct"/>
            <w:tcBorders>
              <w:top w:val="single" w:sz="4" w:space="0" w:color="000000"/>
              <w:left w:val="nil"/>
              <w:bottom w:val="single" w:sz="4" w:space="0" w:color="000000"/>
              <w:right w:val="nil"/>
            </w:tcBorders>
            <w:shd w:val="clear" w:color="000000" w:fill="FFE1E1"/>
            <w:noWrap/>
            <w:hideMark/>
          </w:tcPr>
          <w:p w14:paraId="279FE92E" w14:textId="77777777" w:rsidR="00C71CD3" w:rsidRPr="00C71CD3" w:rsidRDefault="00C71CD3" w:rsidP="00C71CD3">
            <w:pPr>
              <w:spacing w:line="240" w:lineRule="auto"/>
              <w:jc w:val="righ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(27,605)</w:t>
            </w:r>
          </w:p>
        </w:tc>
      </w:tr>
      <w:tr w:rsidR="00C71CD3" w:rsidRPr="00C71CD3" w14:paraId="429EBA02" w14:textId="77777777" w:rsidTr="00C71CD3">
        <w:trPr>
          <w:trHeight w:val="300"/>
        </w:trPr>
        <w:tc>
          <w:tcPr>
            <w:tcW w:w="1575" w:type="pct"/>
            <w:tcBorders>
              <w:top w:val="nil"/>
              <w:left w:val="nil"/>
              <w:bottom w:val="nil"/>
              <w:right w:val="nil"/>
            </w:tcBorders>
            <w:shd w:val="clear" w:color="000000" w:fill="FFFFFF"/>
            <w:hideMark/>
          </w:tcPr>
          <w:p w14:paraId="5DBF5BD0"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Movement in Reserves Statement</w:t>
            </w:r>
          </w:p>
        </w:tc>
        <w:tc>
          <w:tcPr>
            <w:tcW w:w="569" w:type="pct"/>
            <w:tcBorders>
              <w:top w:val="nil"/>
              <w:left w:val="nil"/>
              <w:bottom w:val="nil"/>
              <w:right w:val="nil"/>
            </w:tcBorders>
            <w:shd w:val="clear" w:color="000000" w:fill="FFFFFF"/>
            <w:hideMark/>
          </w:tcPr>
          <w:p w14:paraId="113225C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4BE06716"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7ADF9360"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6E25C8A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3A8F9565"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31631EB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1DF4942E" w14:textId="77777777" w:rsidTr="00C71CD3">
        <w:trPr>
          <w:trHeight w:val="900"/>
        </w:trPr>
        <w:tc>
          <w:tcPr>
            <w:tcW w:w="1575" w:type="pct"/>
            <w:tcBorders>
              <w:top w:val="nil"/>
              <w:left w:val="nil"/>
              <w:bottom w:val="nil"/>
              <w:right w:val="nil"/>
            </w:tcBorders>
            <w:shd w:val="clear" w:color="000000" w:fill="FFFFFF"/>
            <w:hideMark/>
          </w:tcPr>
          <w:p w14:paraId="5E52C2E7"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Reversal of net charges made for retirement benefits in accordance with IAS19</w:t>
            </w:r>
          </w:p>
        </w:tc>
        <w:tc>
          <w:tcPr>
            <w:tcW w:w="569" w:type="pct"/>
            <w:tcBorders>
              <w:top w:val="nil"/>
              <w:left w:val="nil"/>
              <w:bottom w:val="nil"/>
              <w:right w:val="nil"/>
            </w:tcBorders>
            <w:shd w:val="clear" w:color="000000" w:fill="FFFFFF"/>
            <w:hideMark/>
          </w:tcPr>
          <w:p w14:paraId="280C128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868</w:t>
            </w:r>
          </w:p>
        </w:tc>
        <w:tc>
          <w:tcPr>
            <w:tcW w:w="568" w:type="pct"/>
            <w:tcBorders>
              <w:top w:val="nil"/>
              <w:left w:val="nil"/>
              <w:bottom w:val="nil"/>
              <w:right w:val="nil"/>
            </w:tcBorders>
            <w:shd w:val="clear" w:color="000000" w:fill="FFFFFF"/>
            <w:hideMark/>
          </w:tcPr>
          <w:p w14:paraId="722E98A1"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(6,720)</w:t>
            </w:r>
          </w:p>
        </w:tc>
        <w:tc>
          <w:tcPr>
            <w:tcW w:w="576" w:type="pct"/>
            <w:tcBorders>
              <w:top w:val="nil"/>
              <w:left w:val="nil"/>
              <w:bottom w:val="nil"/>
              <w:right w:val="nil"/>
            </w:tcBorders>
            <w:shd w:val="clear" w:color="000000" w:fill="FFE1E1"/>
            <w:noWrap/>
            <w:hideMark/>
          </w:tcPr>
          <w:p w14:paraId="00A25A6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(5,852)</w:t>
            </w:r>
          </w:p>
        </w:tc>
        <w:tc>
          <w:tcPr>
            <w:tcW w:w="569" w:type="pct"/>
            <w:tcBorders>
              <w:top w:val="nil"/>
              <w:left w:val="nil"/>
              <w:bottom w:val="nil"/>
              <w:right w:val="nil"/>
            </w:tcBorders>
            <w:shd w:val="clear" w:color="000000" w:fill="FFFFFF"/>
            <w:hideMark/>
          </w:tcPr>
          <w:p w14:paraId="6F736D25"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1,612</w:t>
            </w:r>
          </w:p>
        </w:tc>
        <w:tc>
          <w:tcPr>
            <w:tcW w:w="568" w:type="pct"/>
            <w:tcBorders>
              <w:top w:val="nil"/>
              <w:left w:val="nil"/>
              <w:bottom w:val="nil"/>
              <w:right w:val="nil"/>
            </w:tcBorders>
            <w:shd w:val="clear" w:color="000000" w:fill="FFFFFF"/>
            <w:hideMark/>
          </w:tcPr>
          <w:p w14:paraId="3A2F2013"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23,410</w:t>
            </w:r>
          </w:p>
        </w:tc>
        <w:tc>
          <w:tcPr>
            <w:tcW w:w="576" w:type="pct"/>
            <w:tcBorders>
              <w:top w:val="nil"/>
              <w:left w:val="nil"/>
              <w:bottom w:val="nil"/>
              <w:right w:val="nil"/>
            </w:tcBorders>
            <w:shd w:val="clear" w:color="000000" w:fill="FFE1E1"/>
            <w:noWrap/>
            <w:hideMark/>
          </w:tcPr>
          <w:p w14:paraId="3CEE530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25,022</w:t>
            </w:r>
          </w:p>
        </w:tc>
      </w:tr>
      <w:tr w:rsidR="00C71CD3" w:rsidRPr="00C71CD3" w14:paraId="69B6BD59" w14:textId="77777777" w:rsidTr="00C71CD3">
        <w:trPr>
          <w:trHeight w:val="900"/>
        </w:trPr>
        <w:tc>
          <w:tcPr>
            <w:tcW w:w="1575" w:type="pct"/>
            <w:tcBorders>
              <w:top w:val="nil"/>
              <w:left w:val="nil"/>
              <w:bottom w:val="nil"/>
              <w:right w:val="nil"/>
            </w:tcBorders>
            <w:shd w:val="clear" w:color="000000" w:fill="FFFFFF"/>
            <w:hideMark/>
          </w:tcPr>
          <w:p w14:paraId="4AE5719E" w14:textId="77777777" w:rsidR="00C71CD3" w:rsidRPr="00C71CD3" w:rsidRDefault="00C71CD3" w:rsidP="00C71CD3">
            <w:pPr>
              <w:spacing w:line="240" w:lineRule="auto"/>
              <w:jc w:val="left"/>
              <w:rPr>
                <w:rFonts w:ascii="Calibri" w:eastAsia="Times New Roman" w:hAnsi="Calibri" w:cs="Calibri"/>
                <w:b/>
                <w:bCs/>
                <w:color w:val="000000"/>
                <w:lang w:eastAsia="en-GB"/>
              </w:rPr>
            </w:pPr>
            <w:r w:rsidRPr="00C71CD3">
              <w:rPr>
                <w:rFonts w:ascii="Calibri" w:eastAsia="Times New Roman" w:hAnsi="Calibri" w:cs="Calibri"/>
                <w:b/>
                <w:bCs/>
                <w:color w:val="000000"/>
                <w:lang w:eastAsia="en-GB"/>
              </w:rPr>
              <w:t>Actual amount charged against the General Fund Balance for pensions in the year:</w:t>
            </w:r>
          </w:p>
        </w:tc>
        <w:tc>
          <w:tcPr>
            <w:tcW w:w="569" w:type="pct"/>
            <w:tcBorders>
              <w:top w:val="nil"/>
              <w:left w:val="nil"/>
              <w:bottom w:val="nil"/>
              <w:right w:val="nil"/>
            </w:tcBorders>
            <w:shd w:val="clear" w:color="000000" w:fill="FFFFFF"/>
            <w:hideMark/>
          </w:tcPr>
          <w:p w14:paraId="5F448A1F"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6373AB4A"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677F228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9" w:type="pct"/>
            <w:tcBorders>
              <w:top w:val="nil"/>
              <w:left w:val="nil"/>
              <w:bottom w:val="nil"/>
              <w:right w:val="nil"/>
            </w:tcBorders>
            <w:shd w:val="clear" w:color="000000" w:fill="FFFFFF"/>
            <w:hideMark/>
          </w:tcPr>
          <w:p w14:paraId="135C7D6C"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68" w:type="pct"/>
            <w:tcBorders>
              <w:top w:val="nil"/>
              <w:left w:val="nil"/>
              <w:bottom w:val="nil"/>
              <w:right w:val="nil"/>
            </w:tcBorders>
            <w:shd w:val="clear" w:color="000000" w:fill="FFFFFF"/>
            <w:hideMark/>
          </w:tcPr>
          <w:p w14:paraId="5E444CAF"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c>
          <w:tcPr>
            <w:tcW w:w="576" w:type="pct"/>
            <w:tcBorders>
              <w:top w:val="nil"/>
              <w:left w:val="nil"/>
              <w:bottom w:val="nil"/>
              <w:right w:val="nil"/>
            </w:tcBorders>
            <w:shd w:val="clear" w:color="000000" w:fill="FFE1E1"/>
            <w:noWrap/>
            <w:hideMark/>
          </w:tcPr>
          <w:p w14:paraId="7D3EB51B"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 </w:t>
            </w:r>
          </w:p>
        </w:tc>
      </w:tr>
      <w:tr w:rsidR="00C71CD3" w:rsidRPr="00C71CD3" w14:paraId="7FC115B9" w14:textId="77777777" w:rsidTr="00C71CD3">
        <w:trPr>
          <w:trHeight w:val="900"/>
        </w:trPr>
        <w:tc>
          <w:tcPr>
            <w:tcW w:w="1575" w:type="pct"/>
            <w:tcBorders>
              <w:top w:val="nil"/>
              <w:left w:val="nil"/>
              <w:bottom w:val="nil"/>
              <w:right w:val="nil"/>
            </w:tcBorders>
            <w:shd w:val="clear" w:color="000000" w:fill="FFFFFF"/>
            <w:hideMark/>
          </w:tcPr>
          <w:p w14:paraId="228AF8F1" w14:textId="77777777" w:rsidR="00C71CD3" w:rsidRPr="00C71CD3" w:rsidRDefault="00C71CD3" w:rsidP="00C71CD3">
            <w:pPr>
              <w:spacing w:line="240" w:lineRule="auto"/>
              <w:jc w:val="left"/>
              <w:rPr>
                <w:rFonts w:ascii="Calibri" w:eastAsia="Times New Roman" w:hAnsi="Calibri" w:cs="Calibri"/>
                <w:color w:val="000000"/>
                <w:lang w:eastAsia="en-GB"/>
              </w:rPr>
            </w:pPr>
            <w:r w:rsidRPr="00C71CD3">
              <w:rPr>
                <w:rFonts w:ascii="Calibri" w:eastAsia="Times New Roman" w:hAnsi="Calibri" w:cs="Calibri"/>
                <w:color w:val="000000"/>
                <w:lang w:eastAsia="en-GB"/>
              </w:rPr>
              <w:t>Employers' contribution payable to scheme (LGPS)/Retirement Benefits payable to pensioners (FPS)</w:t>
            </w:r>
          </w:p>
        </w:tc>
        <w:tc>
          <w:tcPr>
            <w:tcW w:w="569" w:type="pct"/>
            <w:tcBorders>
              <w:top w:val="nil"/>
              <w:left w:val="nil"/>
              <w:bottom w:val="nil"/>
              <w:right w:val="nil"/>
            </w:tcBorders>
            <w:shd w:val="clear" w:color="000000" w:fill="FFFFFF"/>
            <w:hideMark/>
          </w:tcPr>
          <w:p w14:paraId="487D07D2"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(389)</w:t>
            </w:r>
          </w:p>
        </w:tc>
        <w:tc>
          <w:tcPr>
            <w:tcW w:w="568" w:type="pct"/>
            <w:tcBorders>
              <w:top w:val="nil"/>
              <w:left w:val="nil"/>
              <w:bottom w:val="nil"/>
              <w:right w:val="nil"/>
            </w:tcBorders>
            <w:shd w:val="clear" w:color="000000" w:fill="FFFFFF"/>
            <w:hideMark/>
          </w:tcPr>
          <w:p w14:paraId="7FA1EE0F"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(8,840)</w:t>
            </w:r>
          </w:p>
        </w:tc>
        <w:tc>
          <w:tcPr>
            <w:tcW w:w="576" w:type="pct"/>
            <w:tcBorders>
              <w:top w:val="nil"/>
              <w:left w:val="nil"/>
              <w:bottom w:val="nil"/>
              <w:right w:val="nil"/>
            </w:tcBorders>
            <w:shd w:val="clear" w:color="000000" w:fill="FFE1E1"/>
            <w:noWrap/>
            <w:hideMark/>
          </w:tcPr>
          <w:p w14:paraId="0236AF70"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(9,229)</w:t>
            </w:r>
          </w:p>
        </w:tc>
        <w:tc>
          <w:tcPr>
            <w:tcW w:w="569" w:type="pct"/>
            <w:tcBorders>
              <w:top w:val="nil"/>
              <w:left w:val="nil"/>
              <w:bottom w:val="nil"/>
              <w:right w:val="nil"/>
            </w:tcBorders>
            <w:shd w:val="clear" w:color="000000" w:fill="FFFFFF"/>
            <w:hideMark/>
          </w:tcPr>
          <w:p w14:paraId="06F50414"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(461)</w:t>
            </w:r>
          </w:p>
        </w:tc>
        <w:tc>
          <w:tcPr>
            <w:tcW w:w="568" w:type="pct"/>
            <w:tcBorders>
              <w:top w:val="nil"/>
              <w:left w:val="nil"/>
              <w:bottom w:val="nil"/>
              <w:right w:val="nil"/>
            </w:tcBorders>
            <w:shd w:val="clear" w:color="000000" w:fill="FFFFFF"/>
            <w:hideMark/>
          </w:tcPr>
          <w:p w14:paraId="00AA2314"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(10,540)</w:t>
            </w:r>
          </w:p>
        </w:tc>
        <w:tc>
          <w:tcPr>
            <w:tcW w:w="576" w:type="pct"/>
            <w:tcBorders>
              <w:top w:val="nil"/>
              <w:left w:val="nil"/>
              <w:bottom w:val="nil"/>
              <w:right w:val="nil"/>
            </w:tcBorders>
            <w:shd w:val="clear" w:color="000000" w:fill="FFE1E1"/>
            <w:noWrap/>
            <w:hideMark/>
          </w:tcPr>
          <w:p w14:paraId="1A105607" w14:textId="77777777" w:rsidR="00C71CD3" w:rsidRPr="00C71CD3" w:rsidRDefault="00C71CD3" w:rsidP="00C71CD3">
            <w:pPr>
              <w:spacing w:line="240" w:lineRule="auto"/>
              <w:jc w:val="right"/>
              <w:rPr>
                <w:rFonts w:ascii="Calibri" w:eastAsia="Times New Roman" w:hAnsi="Calibri" w:cs="Calibri"/>
                <w:color w:val="000000"/>
                <w:lang w:eastAsia="en-GB"/>
              </w:rPr>
            </w:pPr>
            <w:r w:rsidRPr="00C71CD3">
              <w:rPr>
                <w:rFonts w:ascii="Calibri" w:eastAsia="Times New Roman" w:hAnsi="Calibri" w:cs="Calibri"/>
                <w:color w:val="000000"/>
                <w:lang w:eastAsia="en-GB"/>
              </w:rPr>
              <w:t>(11,001)</w:t>
            </w:r>
          </w:p>
        </w:tc>
      </w:tr>
    </w:tbl>
    <w:p w14:paraId="3B195369" w14:textId="77777777" w:rsidR="0049509C" w:rsidRDefault="0049509C" w:rsidP="007F697F">
      <w:pPr>
        <w:spacing w:after="160"/>
        <w:jc w:val="left"/>
        <w:rPr>
          <w:color w:val="AB2328"/>
        </w:rPr>
      </w:pPr>
    </w:p>
    <w:p w14:paraId="7DE00129" w14:textId="3D938AEE" w:rsidR="000F7DCF" w:rsidRPr="005F273C" w:rsidRDefault="000F7DCF" w:rsidP="002A1ADD">
      <w:pPr>
        <w:pStyle w:val="VAHeadingLevel2"/>
      </w:pPr>
      <w:r w:rsidRPr="005F273C">
        <w:lastRenderedPageBreak/>
        <w:t>Note 3</w:t>
      </w:r>
      <w:r w:rsidR="0044236B" w:rsidRPr="005F273C">
        <w:t>7.2</w:t>
      </w:r>
      <w:r w:rsidRPr="005F273C">
        <w:t xml:space="preserve">. Assets and </w:t>
      </w:r>
      <w:r w:rsidR="0044236B" w:rsidRPr="005F273C">
        <w:t>L</w:t>
      </w:r>
      <w:r w:rsidRPr="005F273C">
        <w:t xml:space="preserve">iabilities in </w:t>
      </w:r>
      <w:r w:rsidR="0044236B" w:rsidRPr="005F273C">
        <w:t>R</w:t>
      </w:r>
      <w:r w:rsidRPr="005F273C">
        <w:t xml:space="preserve">elation to </w:t>
      </w:r>
      <w:r w:rsidR="0044236B" w:rsidRPr="005F273C">
        <w:t>R</w:t>
      </w:r>
      <w:r w:rsidRPr="005F273C">
        <w:t xml:space="preserve">etirement </w:t>
      </w:r>
      <w:r w:rsidR="0044236B" w:rsidRPr="005F273C">
        <w:t>B</w:t>
      </w:r>
      <w:r w:rsidRPr="005F273C">
        <w:t xml:space="preserve">enefits </w:t>
      </w:r>
    </w:p>
    <w:p w14:paraId="15998CF7" w14:textId="38D1249C" w:rsidR="000F7DCF" w:rsidRDefault="000F7DCF" w:rsidP="000F7DCF">
      <w:r w:rsidRPr="007F07C2">
        <w:t xml:space="preserve">The Local Government Pension Scheme contributions payable by employers are determined by the actuary to the Pension Fund based on triennial valuations, the most recent of which was </w:t>
      </w:r>
      <w:proofErr w:type="gramStart"/>
      <w:r w:rsidRPr="007F07C2">
        <w:t>at</w:t>
      </w:r>
      <w:proofErr w:type="gramEnd"/>
      <w:r w:rsidRPr="007F07C2">
        <w:t xml:space="preserve"> 31 March 20</w:t>
      </w:r>
      <w:r>
        <w:t>2</w:t>
      </w:r>
      <w:r w:rsidR="00211423">
        <w:t>3</w:t>
      </w:r>
      <w:r>
        <w:t xml:space="preserve"> which has changed the level of contributions from 2023/24.  The </w:t>
      </w:r>
      <w:r w:rsidRPr="007F07C2">
        <w:t xml:space="preserve">level of contributions payable during </w:t>
      </w:r>
      <w:r w:rsidR="00DB4025">
        <w:t>2024/25</w:t>
      </w:r>
      <w:r>
        <w:t xml:space="preserve"> was consistent with 202</w:t>
      </w:r>
      <w:r w:rsidR="00805C26">
        <w:t>3</w:t>
      </w:r>
      <w:r>
        <w:t>/</w:t>
      </w:r>
      <w:r w:rsidR="00805C26">
        <w:t>24</w:t>
      </w:r>
      <w:r w:rsidRPr="007F07C2">
        <w:t>.</w:t>
      </w:r>
    </w:p>
    <w:p w14:paraId="3EC19801" w14:textId="77777777" w:rsidR="000F7DCF" w:rsidRDefault="000F7DCF" w:rsidP="000F7DCF">
      <w:pPr>
        <w:rPr>
          <w:sz w:val="18"/>
          <w:szCs w:val="18"/>
        </w:rPr>
      </w:pPr>
    </w:p>
    <w:p w14:paraId="23F121A7" w14:textId="77777777" w:rsidR="000F7DCF" w:rsidRPr="001A409E" w:rsidRDefault="000F7DCF" w:rsidP="000F7DCF">
      <w:pPr>
        <w:rPr>
          <w:sz w:val="18"/>
          <w:szCs w:val="18"/>
        </w:rPr>
      </w:pPr>
      <w:r>
        <w:t>R</w:t>
      </w:r>
      <w:r w:rsidRPr="007F07C2">
        <w:t xml:space="preserve">econciliation of asset and benefit obligation: </w:t>
      </w:r>
    </w:p>
    <w:p w14:paraId="65533B1D" w14:textId="1EE5CB1D" w:rsidR="00C30DC3" w:rsidRDefault="00C30DC3" w:rsidP="000F7DCF">
      <w:pPr>
        <w:rPr>
          <w:rFonts w:cstheme="minorBidi"/>
        </w:rPr>
      </w:pPr>
    </w:p>
    <w:tbl>
      <w:tblPr>
        <w:tblW w:w="0" w:type="auto"/>
        <w:tblLayout w:type="fixed"/>
        <w:tblLook w:val="04A0" w:firstRow="1" w:lastRow="0" w:firstColumn="1" w:lastColumn="0" w:noHBand="0" w:noVBand="1"/>
      </w:tblPr>
      <w:tblGrid>
        <w:gridCol w:w="2886"/>
        <w:gridCol w:w="1440"/>
        <w:gridCol w:w="1168"/>
        <w:gridCol w:w="1123"/>
        <w:gridCol w:w="1440"/>
        <w:gridCol w:w="1168"/>
        <w:gridCol w:w="1123"/>
      </w:tblGrid>
      <w:tr w:rsidR="005313DD" w:rsidRPr="00F43AFF" w14:paraId="24EEEFF0" w14:textId="77777777" w:rsidTr="006869D3">
        <w:trPr>
          <w:trHeight w:val="580"/>
        </w:trPr>
        <w:tc>
          <w:tcPr>
            <w:tcW w:w="2886" w:type="dxa"/>
            <w:tcBorders>
              <w:top w:val="nil"/>
              <w:left w:val="nil"/>
              <w:bottom w:val="nil"/>
              <w:right w:val="nil"/>
            </w:tcBorders>
            <w:shd w:val="clear" w:color="000000" w:fill="AB2328"/>
            <w:vAlign w:val="center"/>
            <w:hideMark/>
          </w:tcPr>
          <w:p w14:paraId="0604F78E" w14:textId="77777777" w:rsidR="00F43AFF" w:rsidRPr="00F43AFF" w:rsidRDefault="00F43AFF" w:rsidP="00F43AFF">
            <w:pPr>
              <w:spacing w:line="240" w:lineRule="auto"/>
              <w:jc w:val="left"/>
              <w:rPr>
                <w:rFonts w:ascii="Calibri" w:eastAsia="Times New Roman" w:hAnsi="Calibri" w:cs="Calibri"/>
                <w:color w:val="FFFFFF"/>
                <w:lang w:eastAsia="en-GB"/>
              </w:rPr>
            </w:pPr>
            <w:r w:rsidRPr="00F43AFF">
              <w:rPr>
                <w:rFonts w:ascii="Calibri" w:eastAsia="Times New Roman" w:hAnsi="Calibri" w:cs="Calibri"/>
                <w:color w:val="FFFFFF"/>
                <w:lang w:eastAsia="en-GB"/>
              </w:rPr>
              <w:t> </w:t>
            </w:r>
          </w:p>
        </w:tc>
        <w:tc>
          <w:tcPr>
            <w:tcW w:w="1440" w:type="dxa"/>
            <w:tcBorders>
              <w:top w:val="nil"/>
              <w:left w:val="nil"/>
              <w:bottom w:val="nil"/>
              <w:right w:val="nil"/>
            </w:tcBorders>
            <w:shd w:val="clear" w:color="000000" w:fill="AB2328"/>
            <w:hideMark/>
          </w:tcPr>
          <w:p w14:paraId="0799C5A7"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Local Government</w:t>
            </w:r>
          </w:p>
        </w:tc>
        <w:tc>
          <w:tcPr>
            <w:tcW w:w="1168" w:type="dxa"/>
            <w:tcBorders>
              <w:top w:val="nil"/>
              <w:left w:val="nil"/>
              <w:bottom w:val="nil"/>
              <w:right w:val="nil"/>
            </w:tcBorders>
            <w:shd w:val="clear" w:color="000000" w:fill="AB2328"/>
            <w:hideMark/>
          </w:tcPr>
          <w:p w14:paraId="31403A96"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Fire Fighters</w:t>
            </w:r>
          </w:p>
        </w:tc>
        <w:tc>
          <w:tcPr>
            <w:tcW w:w="1123" w:type="dxa"/>
            <w:tcBorders>
              <w:top w:val="nil"/>
              <w:left w:val="nil"/>
              <w:bottom w:val="nil"/>
              <w:right w:val="nil"/>
            </w:tcBorders>
            <w:shd w:val="clear" w:color="000000" w:fill="AB2328"/>
            <w:noWrap/>
            <w:hideMark/>
          </w:tcPr>
          <w:p w14:paraId="081458B3"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 </w:t>
            </w:r>
          </w:p>
        </w:tc>
        <w:tc>
          <w:tcPr>
            <w:tcW w:w="1440" w:type="dxa"/>
            <w:tcBorders>
              <w:top w:val="nil"/>
              <w:left w:val="nil"/>
              <w:bottom w:val="nil"/>
              <w:right w:val="nil"/>
            </w:tcBorders>
            <w:shd w:val="clear" w:color="000000" w:fill="AB2328"/>
            <w:hideMark/>
          </w:tcPr>
          <w:p w14:paraId="0F9B7417"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Local Government</w:t>
            </w:r>
          </w:p>
        </w:tc>
        <w:tc>
          <w:tcPr>
            <w:tcW w:w="1168" w:type="dxa"/>
            <w:tcBorders>
              <w:top w:val="nil"/>
              <w:left w:val="nil"/>
              <w:bottom w:val="nil"/>
              <w:right w:val="nil"/>
            </w:tcBorders>
            <w:shd w:val="clear" w:color="000000" w:fill="AB2328"/>
            <w:hideMark/>
          </w:tcPr>
          <w:p w14:paraId="59C15E83"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Fire Fighters</w:t>
            </w:r>
          </w:p>
        </w:tc>
        <w:tc>
          <w:tcPr>
            <w:tcW w:w="1123" w:type="dxa"/>
            <w:tcBorders>
              <w:top w:val="nil"/>
              <w:left w:val="nil"/>
              <w:bottom w:val="nil"/>
              <w:right w:val="nil"/>
            </w:tcBorders>
            <w:shd w:val="clear" w:color="000000" w:fill="AB2328"/>
            <w:noWrap/>
            <w:hideMark/>
          </w:tcPr>
          <w:p w14:paraId="6A539E5B"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 </w:t>
            </w:r>
          </w:p>
        </w:tc>
      </w:tr>
      <w:tr w:rsidR="00F43AFF" w:rsidRPr="00F43AFF" w14:paraId="51DAD22B" w14:textId="77777777" w:rsidTr="006869D3">
        <w:trPr>
          <w:trHeight w:val="380"/>
        </w:trPr>
        <w:tc>
          <w:tcPr>
            <w:tcW w:w="2886" w:type="dxa"/>
            <w:tcBorders>
              <w:top w:val="nil"/>
              <w:left w:val="nil"/>
              <w:bottom w:val="nil"/>
              <w:right w:val="nil"/>
            </w:tcBorders>
            <w:shd w:val="clear" w:color="000000" w:fill="AB2328"/>
            <w:vAlign w:val="center"/>
            <w:hideMark/>
          </w:tcPr>
          <w:p w14:paraId="7D778CB8" w14:textId="77777777" w:rsidR="00F43AFF" w:rsidRPr="00F43AFF" w:rsidRDefault="00F43AFF" w:rsidP="00F43AFF">
            <w:pPr>
              <w:spacing w:line="240" w:lineRule="auto"/>
              <w:jc w:val="left"/>
              <w:rPr>
                <w:rFonts w:ascii="Calibri" w:eastAsia="Times New Roman" w:hAnsi="Calibri" w:cs="Calibri"/>
                <w:color w:val="FFFFFF"/>
                <w:lang w:eastAsia="en-GB"/>
              </w:rPr>
            </w:pPr>
            <w:r w:rsidRPr="00F43AFF">
              <w:rPr>
                <w:rFonts w:ascii="Calibri" w:eastAsia="Times New Roman" w:hAnsi="Calibri" w:cs="Calibri"/>
                <w:color w:val="FFFFFF"/>
                <w:lang w:eastAsia="en-GB"/>
              </w:rPr>
              <w:t> </w:t>
            </w:r>
          </w:p>
        </w:tc>
        <w:tc>
          <w:tcPr>
            <w:tcW w:w="1440" w:type="dxa"/>
            <w:tcBorders>
              <w:top w:val="nil"/>
              <w:left w:val="nil"/>
              <w:bottom w:val="nil"/>
              <w:right w:val="nil"/>
            </w:tcBorders>
            <w:shd w:val="clear" w:color="000000" w:fill="AB2328"/>
            <w:hideMark/>
          </w:tcPr>
          <w:p w14:paraId="6E5E7A6F"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Pension Scheme</w:t>
            </w:r>
          </w:p>
        </w:tc>
        <w:tc>
          <w:tcPr>
            <w:tcW w:w="1168" w:type="dxa"/>
            <w:tcBorders>
              <w:top w:val="nil"/>
              <w:left w:val="nil"/>
              <w:bottom w:val="nil"/>
              <w:right w:val="nil"/>
            </w:tcBorders>
            <w:shd w:val="clear" w:color="000000" w:fill="AB2328"/>
            <w:hideMark/>
          </w:tcPr>
          <w:p w14:paraId="398BDD73"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Pension Scheme</w:t>
            </w:r>
          </w:p>
        </w:tc>
        <w:tc>
          <w:tcPr>
            <w:tcW w:w="1123" w:type="dxa"/>
            <w:tcBorders>
              <w:top w:val="nil"/>
              <w:left w:val="nil"/>
              <w:bottom w:val="nil"/>
              <w:right w:val="nil"/>
            </w:tcBorders>
            <w:shd w:val="clear" w:color="000000" w:fill="AB2328"/>
            <w:noWrap/>
            <w:hideMark/>
          </w:tcPr>
          <w:p w14:paraId="45BB589F"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Total</w:t>
            </w:r>
          </w:p>
        </w:tc>
        <w:tc>
          <w:tcPr>
            <w:tcW w:w="1440" w:type="dxa"/>
            <w:tcBorders>
              <w:top w:val="nil"/>
              <w:left w:val="nil"/>
              <w:bottom w:val="nil"/>
              <w:right w:val="nil"/>
            </w:tcBorders>
            <w:shd w:val="clear" w:color="000000" w:fill="AB2328"/>
            <w:hideMark/>
          </w:tcPr>
          <w:p w14:paraId="3F43AF6B"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Pension Scheme</w:t>
            </w:r>
          </w:p>
        </w:tc>
        <w:tc>
          <w:tcPr>
            <w:tcW w:w="1168" w:type="dxa"/>
            <w:tcBorders>
              <w:top w:val="nil"/>
              <w:left w:val="nil"/>
              <w:bottom w:val="nil"/>
              <w:right w:val="nil"/>
            </w:tcBorders>
            <w:shd w:val="clear" w:color="000000" w:fill="AB2328"/>
            <w:hideMark/>
          </w:tcPr>
          <w:p w14:paraId="22AD65AD"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Pension Scheme</w:t>
            </w:r>
          </w:p>
        </w:tc>
        <w:tc>
          <w:tcPr>
            <w:tcW w:w="1123" w:type="dxa"/>
            <w:tcBorders>
              <w:top w:val="nil"/>
              <w:left w:val="nil"/>
              <w:bottom w:val="nil"/>
              <w:right w:val="nil"/>
            </w:tcBorders>
            <w:shd w:val="clear" w:color="000000" w:fill="AB2328"/>
            <w:noWrap/>
            <w:hideMark/>
          </w:tcPr>
          <w:p w14:paraId="71227476"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Total</w:t>
            </w:r>
          </w:p>
        </w:tc>
      </w:tr>
      <w:tr w:rsidR="005313DD" w:rsidRPr="00F43AFF" w14:paraId="40B7B119" w14:textId="77777777" w:rsidTr="006869D3">
        <w:trPr>
          <w:trHeight w:val="290"/>
        </w:trPr>
        <w:tc>
          <w:tcPr>
            <w:tcW w:w="2886" w:type="dxa"/>
            <w:tcBorders>
              <w:top w:val="nil"/>
              <w:left w:val="nil"/>
              <w:bottom w:val="nil"/>
              <w:right w:val="nil"/>
            </w:tcBorders>
            <w:shd w:val="clear" w:color="000000" w:fill="AB2328"/>
            <w:vAlign w:val="center"/>
            <w:hideMark/>
          </w:tcPr>
          <w:p w14:paraId="52BDACD6" w14:textId="77777777" w:rsidR="00F43AFF" w:rsidRPr="00F43AFF" w:rsidRDefault="00F43AFF" w:rsidP="00F43AFF">
            <w:pPr>
              <w:spacing w:line="240" w:lineRule="auto"/>
              <w:jc w:val="left"/>
              <w:rPr>
                <w:rFonts w:ascii="Calibri" w:eastAsia="Times New Roman" w:hAnsi="Calibri" w:cs="Calibri"/>
                <w:color w:val="FFFFFF"/>
                <w:lang w:eastAsia="en-GB"/>
              </w:rPr>
            </w:pPr>
            <w:r w:rsidRPr="00F43AFF">
              <w:rPr>
                <w:rFonts w:ascii="Calibri" w:eastAsia="Times New Roman" w:hAnsi="Calibri" w:cs="Calibri"/>
                <w:color w:val="FFFFFF"/>
                <w:lang w:eastAsia="en-GB"/>
              </w:rPr>
              <w:t> </w:t>
            </w:r>
          </w:p>
        </w:tc>
        <w:tc>
          <w:tcPr>
            <w:tcW w:w="1440" w:type="dxa"/>
            <w:tcBorders>
              <w:top w:val="nil"/>
              <w:left w:val="nil"/>
              <w:bottom w:val="nil"/>
              <w:right w:val="nil"/>
            </w:tcBorders>
            <w:shd w:val="clear" w:color="000000" w:fill="AB2328"/>
            <w:noWrap/>
            <w:vAlign w:val="center"/>
            <w:hideMark/>
          </w:tcPr>
          <w:p w14:paraId="519C7930"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2024</w:t>
            </w:r>
          </w:p>
        </w:tc>
        <w:tc>
          <w:tcPr>
            <w:tcW w:w="1168" w:type="dxa"/>
            <w:tcBorders>
              <w:top w:val="nil"/>
              <w:left w:val="nil"/>
              <w:bottom w:val="nil"/>
              <w:right w:val="nil"/>
            </w:tcBorders>
            <w:shd w:val="clear" w:color="000000" w:fill="AB2328"/>
            <w:noWrap/>
            <w:vAlign w:val="center"/>
            <w:hideMark/>
          </w:tcPr>
          <w:p w14:paraId="7AE21268"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2024</w:t>
            </w:r>
          </w:p>
        </w:tc>
        <w:tc>
          <w:tcPr>
            <w:tcW w:w="1123" w:type="dxa"/>
            <w:tcBorders>
              <w:top w:val="nil"/>
              <w:left w:val="nil"/>
              <w:bottom w:val="nil"/>
              <w:right w:val="nil"/>
            </w:tcBorders>
            <w:shd w:val="clear" w:color="000000" w:fill="AB2328"/>
            <w:noWrap/>
            <w:vAlign w:val="center"/>
            <w:hideMark/>
          </w:tcPr>
          <w:p w14:paraId="4DE9162B"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2024</w:t>
            </w:r>
          </w:p>
        </w:tc>
        <w:tc>
          <w:tcPr>
            <w:tcW w:w="1440" w:type="dxa"/>
            <w:tcBorders>
              <w:top w:val="nil"/>
              <w:left w:val="nil"/>
              <w:bottom w:val="nil"/>
              <w:right w:val="nil"/>
            </w:tcBorders>
            <w:shd w:val="clear" w:color="000000" w:fill="AB2328"/>
            <w:noWrap/>
            <w:vAlign w:val="center"/>
            <w:hideMark/>
          </w:tcPr>
          <w:p w14:paraId="0204492A"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2025</w:t>
            </w:r>
          </w:p>
        </w:tc>
        <w:tc>
          <w:tcPr>
            <w:tcW w:w="1168" w:type="dxa"/>
            <w:tcBorders>
              <w:top w:val="nil"/>
              <w:left w:val="nil"/>
              <w:bottom w:val="nil"/>
              <w:right w:val="nil"/>
            </w:tcBorders>
            <w:shd w:val="clear" w:color="000000" w:fill="AB2328"/>
            <w:noWrap/>
            <w:vAlign w:val="center"/>
            <w:hideMark/>
          </w:tcPr>
          <w:p w14:paraId="7977860E"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2025</w:t>
            </w:r>
          </w:p>
        </w:tc>
        <w:tc>
          <w:tcPr>
            <w:tcW w:w="1123" w:type="dxa"/>
            <w:tcBorders>
              <w:top w:val="nil"/>
              <w:left w:val="nil"/>
              <w:bottom w:val="nil"/>
              <w:right w:val="nil"/>
            </w:tcBorders>
            <w:shd w:val="clear" w:color="000000" w:fill="AB2328"/>
            <w:noWrap/>
            <w:vAlign w:val="center"/>
            <w:hideMark/>
          </w:tcPr>
          <w:p w14:paraId="795EB0F5"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31 March 2025</w:t>
            </w:r>
          </w:p>
        </w:tc>
      </w:tr>
      <w:tr w:rsidR="005313DD" w:rsidRPr="00F43AFF" w14:paraId="3C73CB6D" w14:textId="77777777" w:rsidTr="006869D3">
        <w:trPr>
          <w:trHeight w:val="290"/>
        </w:trPr>
        <w:tc>
          <w:tcPr>
            <w:tcW w:w="2886" w:type="dxa"/>
            <w:tcBorders>
              <w:top w:val="nil"/>
              <w:left w:val="nil"/>
              <w:bottom w:val="nil"/>
              <w:right w:val="nil"/>
            </w:tcBorders>
            <w:shd w:val="clear" w:color="000000" w:fill="AB2328"/>
            <w:vAlign w:val="center"/>
            <w:hideMark/>
          </w:tcPr>
          <w:p w14:paraId="6211DCEE" w14:textId="77777777" w:rsidR="00F43AFF" w:rsidRPr="00F43AFF" w:rsidRDefault="00F43AFF" w:rsidP="00F43AFF">
            <w:pPr>
              <w:spacing w:line="240" w:lineRule="auto"/>
              <w:jc w:val="left"/>
              <w:rPr>
                <w:rFonts w:ascii="Calibri" w:eastAsia="Times New Roman" w:hAnsi="Calibri" w:cs="Calibri"/>
                <w:color w:val="FFFFFF"/>
                <w:lang w:eastAsia="en-GB"/>
              </w:rPr>
            </w:pPr>
            <w:r w:rsidRPr="00F43AFF">
              <w:rPr>
                <w:rFonts w:ascii="Calibri" w:eastAsia="Times New Roman" w:hAnsi="Calibri" w:cs="Calibri"/>
                <w:color w:val="FFFFFF"/>
                <w:lang w:eastAsia="en-GB"/>
              </w:rPr>
              <w:t> </w:t>
            </w:r>
          </w:p>
        </w:tc>
        <w:tc>
          <w:tcPr>
            <w:tcW w:w="1440" w:type="dxa"/>
            <w:tcBorders>
              <w:top w:val="nil"/>
              <w:left w:val="nil"/>
              <w:bottom w:val="nil"/>
              <w:right w:val="nil"/>
            </w:tcBorders>
            <w:shd w:val="clear" w:color="000000" w:fill="AB2328"/>
            <w:vAlign w:val="center"/>
            <w:hideMark/>
          </w:tcPr>
          <w:p w14:paraId="62556FEC"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c>
          <w:tcPr>
            <w:tcW w:w="1168" w:type="dxa"/>
            <w:tcBorders>
              <w:top w:val="nil"/>
              <w:left w:val="nil"/>
              <w:bottom w:val="nil"/>
              <w:right w:val="nil"/>
            </w:tcBorders>
            <w:shd w:val="clear" w:color="000000" w:fill="AB2328"/>
            <w:vAlign w:val="center"/>
            <w:hideMark/>
          </w:tcPr>
          <w:p w14:paraId="02B3AC4C"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c>
          <w:tcPr>
            <w:tcW w:w="1123" w:type="dxa"/>
            <w:tcBorders>
              <w:top w:val="nil"/>
              <w:left w:val="nil"/>
              <w:bottom w:val="nil"/>
              <w:right w:val="nil"/>
            </w:tcBorders>
            <w:shd w:val="clear" w:color="000000" w:fill="AB2328"/>
            <w:vAlign w:val="center"/>
            <w:hideMark/>
          </w:tcPr>
          <w:p w14:paraId="41E580E1"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c>
          <w:tcPr>
            <w:tcW w:w="1440" w:type="dxa"/>
            <w:tcBorders>
              <w:top w:val="nil"/>
              <w:left w:val="nil"/>
              <w:bottom w:val="nil"/>
              <w:right w:val="nil"/>
            </w:tcBorders>
            <w:shd w:val="clear" w:color="000000" w:fill="AB2328"/>
            <w:vAlign w:val="center"/>
            <w:hideMark/>
          </w:tcPr>
          <w:p w14:paraId="1C8E0418"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c>
          <w:tcPr>
            <w:tcW w:w="1168" w:type="dxa"/>
            <w:tcBorders>
              <w:top w:val="nil"/>
              <w:left w:val="nil"/>
              <w:bottom w:val="nil"/>
              <w:right w:val="nil"/>
            </w:tcBorders>
            <w:shd w:val="clear" w:color="000000" w:fill="AB2328"/>
            <w:vAlign w:val="center"/>
            <w:hideMark/>
          </w:tcPr>
          <w:p w14:paraId="0F3FDAB9"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c>
          <w:tcPr>
            <w:tcW w:w="1123" w:type="dxa"/>
            <w:tcBorders>
              <w:top w:val="nil"/>
              <w:left w:val="nil"/>
              <w:bottom w:val="nil"/>
              <w:right w:val="nil"/>
            </w:tcBorders>
            <w:shd w:val="clear" w:color="000000" w:fill="AB2328"/>
            <w:vAlign w:val="center"/>
            <w:hideMark/>
          </w:tcPr>
          <w:p w14:paraId="1FB6A20F" w14:textId="77777777" w:rsidR="00F43AFF" w:rsidRPr="00F43AFF" w:rsidRDefault="00F43AFF" w:rsidP="00F43AFF">
            <w:pPr>
              <w:spacing w:line="240" w:lineRule="auto"/>
              <w:jc w:val="right"/>
              <w:rPr>
                <w:rFonts w:ascii="Calibri" w:eastAsia="Times New Roman" w:hAnsi="Calibri" w:cs="Calibri"/>
                <w:b/>
                <w:bCs/>
                <w:color w:val="FFFFFF"/>
                <w:lang w:eastAsia="en-GB"/>
              </w:rPr>
            </w:pPr>
            <w:r w:rsidRPr="00F43AFF">
              <w:rPr>
                <w:rFonts w:ascii="Calibri" w:eastAsia="Times New Roman" w:hAnsi="Calibri" w:cs="Calibri"/>
                <w:b/>
                <w:bCs/>
                <w:color w:val="FFFFFF"/>
                <w:lang w:eastAsia="en-GB"/>
              </w:rPr>
              <w:t>£000</w:t>
            </w:r>
          </w:p>
        </w:tc>
      </w:tr>
      <w:tr w:rsidR="00F43AFF" w:rsidRPr="00F43AFF" w14:paraId="31E9A985" w14:textId="77777777" w:rsidTr="006869D3">
        <w:trPr>
          <w:trHeight w:val="290"/>
        </w:trPr>
        <w:tc>
          <w:tcPr>
            <w:tcW w:w="2886" w:type="dxa"/>
            <w:tcBorders>
              <w:top w:val="nil"/>
              <w:left w:val="nil"/>
              <w:bottom w:val="nil"/>
              <w:right w:val="nil"/>
            </w:tcBorders>
            <w:shd w:val="clear" w:color="000000" w:fill="FFFFFF"/>
            <w:hideMark/>
          </w:tcPr>
          <w:p w14:paraId="414FF45B" w14:textId="77777777" w:rsidR="00F43AFF" w:rsidRPr="00F43AFF" w:rsidRDefault="00F43AFF" w:rsidP="00F43AFF">
            <w:pPr>
              <w:spacing w:line="240" w:lineRule="auto"/>
              <w:jc w:val="lef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Opening Defined Benefit Obligation</w:t>
            </w:r>
          </w:p>
        </w:tc>
        <w:tc>
          <w:tcPr>
            <w:tcW w:w="1440" w:type="dxa"/>
            <w:tcBorders>
              <w:top w:val="nil"/>
              <w:left w:val="nil"/>
              <w:bottom w:val="nil"/>
              <w:right w:val="nil"/>
            </w:tcBorders>
            <w:shd w:val="clear" w:color="000000" w:fill="FFFFFF"/>
            <w:hideMark/>
          </w:tcPr>
          <w:p w14:paraId="335E2625"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9,384</w:t>
            </w:r>
          </w:p>
        </w:tc>
        <w:tc>
          <w:tcPr>
            <w:tcW w:w="1168" w:type="dxa"/>
            <w:tcBorders>
              <w:top w:val="nil"/>
              <w:left w:val="nil"/>
              <w:bottom w:val="nil"/>
              <w:right w:val="nil"/>
            </w:tcBorders>
            <w:shd w:val="clear" w:color="000000" w:fill="FFFFFF"/>
            <w:hideMark/>
          </w:tcPr>
          <w:p w14:paraId="3DEA202D"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243,370</w:t>
            </w:r>
          </w:p>
        </w:tc>
        <w:tc>
          <w:tcPr>
            <w:tcW w:w="1123" w:type="dxa"/>
            <w:tcBorders>
              <w:top w:val="nil"/>
              <w:left w:val="nil"/>
              <w:bottom w:val="nil"/>
              <w:right w:val="nil"/>
            </w:tcBorders>
            <w:shd w:val="clear" w:color="000000" w:fill="FFE1E1"/>
            <w:noWrap/>
            <w:hideMark/>
          </w:tcPr>
          <w:p w14:paraId="59E123CE"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252,754</w:t>
            </w:r>
          </w:p>
        </w:tc>
        <w:tc>
          <w:tcPr>
            <w:tcW w:w="1440" w:type="dxa"/>
            <w:tcBorders>
              <w:top w:val="nil"/>
              <w:left w:val="nil"/>
              <w:bottom w:val="nil"/>
              <w:right w:val="nil"/>
            </w:tcBorders>
            <w:shd w:val="clear" w:color="000000" w:fill="FFFFFF"/>
            <w:hideMark/>
          </w:tcPr>
          <w:p w14:paraId="2D277E4A"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9,782</w:t>
            </w:r>
          </w:p>
        </w:tc>
        <w:tc>
          <w:tcPr>
            <w:tcW w:w="1168" w:type="dxa"/>
            <w:tcBorders>
              <w:top w:val="nil"/>
              <w:left w:val="nil"/>
              <w:bottom w:val="nil"/>
              <w:right w:val="nil"/>
            </w:tcBorders>
            <w:shd w:val="clear" w:color="000000" w:fill="FFFFFF"/>
            <w:hideMark/>
          </w:tcPr>
          <w:p w14:paraId="5F24984D"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245,880</w:t>
            </w:r>
          </w:p>
        </w:tc>
        <w:tc>
          <w:tcPr>
            <w:tcW w:w="1123" w:type="dxa"/>
            <w:tcBorders>
              <w:top w:val="nil"/>
              <w:left w:val="nil"/>
              <w:bottom w:val="nil"/>
              <w:right w:val="nil"/>
            </w:tcBorders>
            <w:shd w:val="clear" w:color="000000" w:fill="FFE1E1"/>
            <w:noWrap/>
            <w:hideMark/>
          </w:tcPr>
          <w:p w14:paraId="19F39D63"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255,662</w:t>
            </w:r>
          </w:p>
        </w:tc>
      </w:tr>
      <w:tr w:rsidR="00F43AFF" w:rsidRPr="00F43AFF" w14:paraId="04395C06" w14:textId="77777777" w:rsidTr="006869D3">
        <w:trPr>
          <w:trHeight w:val="290"/>
        </w:trPr>
        <w:tc>
          <w:tcPr>
            <w:tcW w:w="2886" w:type="dxa"/>
            <w:tcBorders>
              <w:top w:val="nil"/>
              <w:left w:val="nil"/>
              <w:bottom w:val="nil"/>
              <w:right w:val="nil"/>
            </w:tcBorders>
            <w:shd w:val="clear" w:color="000000" w:fill="FFFFFF"/>
            <w:hideMark/>
          </w:tcPr>
          <w:p w14:paraId="6C1922E3"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Current Service Cost</w:t>
            </w:r>
          </w:p>
        </w:tc>
        <w:tc>
          <w:tcPr>
            <w:tcW w:w="1440" w:type="dxa"/>
            <w:tcBorders>
              <w:top w:val="nil"/>
              <w:left w:val="nil"/>
              <w:bottom w:val="nil"/>
              <w:right w:val="nil"/>
            </w:tcBorders>
            <w:shd w:val="clear" w:color="000000" w:fill="FFFFFF"/>
            <w:hideMark/>
          </w:tcPr>
          <w:p w14:paraId="1B5C5AEC"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455</w:t>
            </w:r>
          </w:p>
        </w:tc>
        <w:tc>
          <w:tcPr>
            <w:tcW w:w="1168" w:type="dxa"/>
            <w:tcBorders>
              <w:top w:val="nil"/>
              <w:left w:val="nil"/>
              <w:bottom w:val="nil"/>
              <w:right w:val="nil"/>
            </w:tcBorders>
            <w:shd w:val="clear" w:color="000000" w:fill="FFFFFF"/>
            <w:hideMark/>
          </w:tcPr>
          <w:p w14:paraId="4118DE56"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1,530</w:t>
            </w:r>
          </w:p>
        </w:tc>
        <w:tc>
          <w:tcPr>
            <w:tcW w:w="1123" w:type="dxa"/>
            <w:tcBorders>
              <w:top w:val="nil"/>
              <w:left w:val="nil"/>
              <w:bottom w:val="nil"/>
              <w:right w:val="nil"/>
            </w:tcBorders>
            <w:shd w:val="clear" w:color="000000" w:fill="FFE1E1"/>
            <w:noWrap/>
            <w:hideMark/>
          </w:tcPr>
          <w:p w14:paraId="72165178"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1,985</w:t>
            </w:r>
          </w:p>
        </w:tc>
        <w:tc>
          <w:tcPr>
            <w:tcW w:w="1440" w:type="dxa"/>
            <w:tcBorders>
              <w:top w:val="nil"/>
              <w:left w:val="nil"/>
              <w:bottom w:val="nil"/>
              <w:right w:val="nil"/>
            </w:tcBorders>
            <w:shd w:val="clear" w:color="000000" w:fill="FFFFFF"/>
            <w:hideMark/>
          </w:tcPr>
          <w:p w14:paraId="5D406CB1"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479</w:t>
            </w:r>
          </w:p>
        </w:tc>
        <w:tc>
          <w:tcPr>
            <w:tcW w:w="1168" w:type="dxa"/>
            <w:tcBorders>
              <w:top w:val="nil"/>
              <w:left w:val="nil"/>
              <w:bottom w:val="nil"/>
              <w:right w:val="nil"/>
            </w:tcBorders>
            <w:shd w:val="clear" w:color="000000" w:fill="FFFFFF"/>
            <w:hideMark/>
          </w:tcPr>
          <w:p w14:paraId="0B96A522"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1,570</w:t>
            </w:r>
          </w:p>
        </w:tc>
        <w:tc>
          <w:tcPr>
            <w:tcW w:w="1123" w:type="dxa"/>
            <w:tcBorders>
              <w:top w:val="nil"/>
              <w:left w:val="nil"/>
              <w:bottom w:val="nil"/>
              <w:right w:val="nil"/>
            </w:tcBorders>
            <w:shd w:val="clear" w:color="000000" w:fill="FFE1E1"/>
            <w:noWrap/>
            <w:hideMark/>
          </w:tcPr>
          <w:p w14:paraId="2D49D33B"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2,049</w:t>
            </w:r>
          </w:p>
        </w:tc>
      </w:tr>
      <w:tr w:rsidR="00F43AFF" w:rsidRPr="00F43AFF" w14:paraId="65113A56" w14:textId="77777777" w:rsidTr="006869D3">
        <w:trPr>
          <w:trHeight w:val="290"/>
        </w:trPr>
        <w:tc>
          <w:tcPr>
            <w:tcW w:w="2886" w:type="dxa"/>
            <w:tcBorders>
              <w:top w:val="nil"/>
              <w:left w:val="nil"/>
              <w:bottom w:val="nil"/>
              <w:right w:val="nil"/>
            </w:tcBorders>
            <w:shd w:val="clear" w:color="000000" w:fill="FFFFFF"/>
            <w:hideMark/>
          </w:tcPr>
          <w:p w14:paraId="278C00A3"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Past Service Cost</w:t>
            </w:r>
          </w:p>
        </w:tc>
        <w:tc>
          <w:tcPr>
            <w:tcW w:w="1440" w:type="dxa"/>
            <w:tcBorders>
              <w:top w:val="nil"/>
              <w:left w:val="nil"/>
              <w:bottom w:val="nil"/>
              <w:right w:val="nil"/>
            </w:tcBorders>
            <w:shd w:val="clear" w:color="000000" w:fill="FFFFFF"/>
            <w:hideMark/>
          </w:tcPr>
          <w:p w14:paraId="4101385E"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68" w:type="dxa"/>
            <w:tcBorders>
              <w:top w:val="nil"/>
              <w:left w:val="nil"/>
              <w:bottom w:val="nil"/>
              <w:right w:val="nil"/>
            </w:tcBorders>
            <w:shd w:val="clear" w:color="000000" w:fill="FFFFFF"/>
            <w:hideMark/>
          </w:tcPr>
          <w:p w14:paraId="66DC4F1B"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(40)</w:t>
            </w:r>
          </w:p>
        </w:tc>
        <w:tc>
          <w:tcPr>
            <w:tcW w:w="1123" w:type="dxa"/>
            <w:tcBorders>
              <w:top w:val="nil"/>
              <w:left w:val="nil"/>
              <w:bottom w:val="nil"/>
              <w:right w:val="nil"/>
            </w:tcBorders>
            <w:shd w:val="clear" w:color="000000" w:fill="FFE1E1"/>
            <w:noWrap/>
            <w:hideMark/>
          </w:tcPr>
          <w:p w14:paraId="2CD39A4C"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(40)</w:t>
            </w:r>
          </w:p>
        </w:tc>
        <w:tc>
          <w:tcPr>
            <w:tcW w:w="1440" w:type="dxa"/>
            <w:tcBorders>
              <w:top w:val="nil"/>
              <w:left w:val="nil"/>
              <w:bottom w:val="nil"/>
              <w:right w:val="nil"/>
            </w:tcBorders>
            <w:shd w:val="clear" w:color="000000" w:fill="FFFFFF"/>
            <w:hideMark/>
          </w:tcPr>
          <w:p w14:paraId="4CD32722"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87</w:t>
            </w:r>
          </w:p>
        </w:tc>
        <w:tc>
          <w:tcPr>
            <w:tcW w:w="1168" w:type="dxa"/>
            <w:tcBorders>
              <w:top w:val="nil"/>
              <w:left w:val="nil"/>
              <w:bottom w:val="nil"/>
              <w:right w:val="nil"/>
            </w:tcBorders>
            <w:shd w:val="clear" w:color="000000" w:fill="FFFFFF"/>
            <w:hideMark/>
          </w:tcPr>
          <w:p w14:paraId="5B910ECE"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66F1CB4D"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87</w:t>
            </w:r>
          </w:p>
        </w:tc>
      </w:tr>
      <w:tr w:rsidR="00F43AFF" w:rsidRPr="00F43AFF" w14:paraId="1F7305C2" w14:textId="77777777" w:rsidTr="006869D3">
        <w:trPr>
          <w:trHeight w:val="290"/>
        </w:trPr>
        <w:tc>
          <w:tcPr>
            <w:tcW w:w="2886" w:type="dxa"/>
            <w:tcBorders>
              <w:top w:val="nil"/>
              <w:left w:val="nil"/>
              <w:bottom w:val="nil"/>
              <w:right w:val="nil"/>
            </w:tcBorders>
            <w:shd w:val="clear" w:color="000000" w:fill="FFFFFF"/>
            <w:hideMark/>
          </w:tcPr>
          <w:p w14:paraId="60F7EEA0"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Interest Cost</w:t>
            </w:r>
          </w:p>
        </w:tc>
        <w:tc>
          <w:tcPr>
            <w:tcW w:w="1440" w:type="dxa"/>
            <w:tcBorders>
              <w:top w:val="nil"/>
              <w:left w:val="nil"/>
              <w:bottom w:val="nil"/>
              <w:right w:val="nil"/>
            </w:tcBorders>
            <w:shd w:val="clear" w:color="000000" w:fill="FFFFFF"/>
            <w:hideMark/>
          </w:tcPr>
          <w:p w14:paraId="228A53DB"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455</w:t>
            </w:r>
          </w:p>
        </w:tc>
        <w:tc>
          <w:tcPr>
            <w:tcW w:w="1168" w:type="dxa"/>
            <w:tcBorders>
              <w:top w:val="nil"/>
              <w:left w:val="nil"/>
              <w:bottom w:val="nil"/>
              <w:right w:val="nil"/>
            </w:tcBorders>
            <w:shd w:val="clear" w:color="000000" w:fill="FFFFFF"/>
            <w:hideMark/>
          </w:tcPr>
          <w:p w14:paraId="2FBFC955"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10,950</w:t>
            </w:r>
          </w:p>
        </w:tc>
        <w:tc>
          <w:tcPr>
            <w:tcW w:w="1123" w:type="dxa"/>
            <w:tcBorders>
              <w:top w:val="nil"/>
              <w:left w:val="nil"/>
              <w:bottom w:val="nil"/>
              <w:right w:val="nil"/>
            </w:tcBorders>
            <w:shd w:val="clear" w:color="000000" w:fill="FFE1E1"/>
            <w:noWrap/>
            <w:hideMark/>
          </w:tcPr>
          <w:p w14:paraId="6B9B945F"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11,405</w:t>
            </w:r>
          </w:p>
        </w:tc>
        <w:tc>
          <w:tcPr>
            <w:tcW w:w="1440" w:type="dxa"/>
            <w:tcBorders>
              <w:top w:val="nil"/>
              <w:left w:val="nil"/>
              <w:bottom w:val="nil"/>
              <w:right w:val="nil"/>
            </w:tcBorders>
            <w:shd w:val="clear" w:color="000000" w:fill="FFFFFF"/>
            <w:hideMark/>
          </w:tcPr>
          <w:p w14:paraId="4A980030"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488</w:t>
            </w:r>
          </w:p>
        </w:tc>
        <w:tc>
          <w:tcPr>
            <w:tcW w:w="1168" w:type="dxa"/>
            <w:tcBorders>
              <w:top w:val="nil"/>
              <w:left w:val="nil"/>
              <w:bottom w:val="nil"/>
              <w:right w:val="nil"/>
            </w:tcBorders>
            <w:shd w:val="clear" w:color="000000" w:fill="FFFFFF"/>
            <w:hideMark/>
          </w:tcPr>
          <w:p w14:paraId="444C1F0F"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11,470</w:t>
            </w:r>
          </w:p>
        </w:tc>
        <w:tc>
          <w:tcPr>
            <w:tcW w:w="1123" w:type="dxa"/>
            <w:tcBorders>
              <w:top w:val="nil"/>
              <w:left w:val="nil"/>
              <w:bottom w:val="nil"/>
              <w:right w:val="nil"/>
            </w:tcBorders>
            <w:shd w:val="clear" w:color="000000" w:fill="FFE1E1"/>
            <w:noWrap/>
            <w:hideMark/>
          </w:tcPr>
          <w:p w14:paraId="37505253"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11,958</w:t>
            </w:r>
          </w:p>
        </w:tc>
      </w:tr>
      <w:tr w:rsidR="00F43AFF" w:rsidRPr="00F43AFF" w14:paraId="6EA41994" w14:textId="77777777" w:rsidTr="006869D3">
        <w:trPr>
          <w:trHeight w:val="290"/>
        </w:trPr>
        <w:tc>
          <w:tcPr>
            <w:tcW w:w="2886" w:type="dxa"/>
            <w:tcBorders>
              <w:top w:val="nil"/>
              <w:left w:val="nil"/>
              <w:bottom w:val="nil"/>
              <w:right w:val="nil"/>
            </w:tcBorders>
            <w:shd w:val="clear" w:color="000000" w:fill="FFFFFF"/>
            <w:hideMark/>
          </w:tcPr>
          <w:p w14:paraId="1AB0A185"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Contribution by Scheme Participants</w:t>
            </w:r>
          </w:p>
        </w:tc>
        <w:tc>
          <w:tcPr>
            <w:tcW w:w="1440" w:type="dxa"/>
            <w:tcBorders>
              <w:top w:val="nil"/>
              <w:left w:val="nil"/>
              <w:bottom w:val="nil"/>
              <w:right w:val="nil"/>
            </w:tcBorders>
            <w:shd w:val="clear" w:color="000000" w:fill="FFFFFF"/>
            <w:hideMark/>
          </w:tcPr>
          <w:p w14:paraId="05312E15"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142</w:t>
            </w:r>
          </w:p>
        </w:tc>
        <w:tc>
          <w:tcPr>
            <w:tcW w:w="1168" w:type="dxa"/>
            <w:tcBorders>
              <w:top w:val="nil"/>
              <w:left w:val="nil"/>
              <w:bottom w:val="nil"/>
              <w:right w:val="nil"/>
            </w:tcBorders>
            <w:shd w:val="clear" w:color="000000" w:fill="FFFFFF"/>
            <w:hideMark/>
          </w:tcPr>
          <w:p w14:paraId="4AC1890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1,430</w:t>
            </w:r>
          </w:p>
        </w:tc>
        <w:tc>
          <w:tcPr>
            <w:tcW w:w="1123" w:type="dxa"/>
            <w:tcBorders>
              <w:top w:val="nil"/>
              <w:left w:val="nil"/>
              <w:bottom w:val="nil"/>
              <w:right w:val="nil"/>
            </w:tcBorders>
            <w:shd w:val="clear" w:color="000000" w:fill="FFE1E1"/>
            <w:noWrap/>
            <w:hideMark/>
          </w:tcPr>
          <w:p w14:paraId="7DB2FAF4"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1,572</w:t>
            </w:r>
          </w:p>
        </w:tc>
        <w:tc>
          <w:tcPr>
            <w:tcW w:w="1440" w:type="dxa"/>
            <w:tcBorders>
              <w:top w:val="nil"/>
              <w:left w:val="nil"/>
              <w:bottom w:val="nil"/>
              <w:right w:val="nil"/>
            </w:tcBorders>
            <w:shd w:val="clear" w:color="000000" w:fill="FFFFFF"/>
            <w:hideMark/>
          </w:tcPr>
          <w:p w14:paraId="565256EE"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162</w:t>
            </w:r>
          </w:p>
        </w:tc>
        <w:tc>
          <w:tcPr>
            <w:tcW w:w="1168" w:type="dxa"/>
            <w:tcBorders>
              <w:top w:val="nil"/>
              <w:left w:val="nil"/>
              <w:bottom w:val="nil"/>
              <w:right w:val="nil"/>
            </w:tcBorders>
            <w:shd w:val="clear" w:color="000000" w:fill="FFFFFF"/>
            <w:hideMark/>
          </w:tcPr>
          <w:p w14:paraId="2FDDBEB4"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1,900</w:t>
            </w:r>
          </w:p>
        </w:tc>
        <w:tc>
          <w:tcPr>
            <w:tcW w:w="1123" w:type="dxa"/>
            <w:tcBorders>
              <w:top w:val="nil"/>
              <w:left w:val="nil"/>
              <w:bottom w:val="nil"/>
              <w:right w:val="nil"/>
            </w:tcBorders>
            <w:shd w:val="clear" w:color="000000" w:fill="FFE1E1"/>
            <w:noWrap/>
            <w:hideMark/>
          </w:tcPr>
          <w:p w14:paraId="68E9DBDA"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2,062</w:t>
            </w:r>
          </w:p>
        </w:tc>
      </w:tr>
      <w:tr w:rsidR="00F43AFF" w:rsidRPr="00F43AFF" w14:paraId="0D1E6347" w14:textId="77777777" w:rsidTr="006869D3">
        <w:trPr>
          <w:trHeight w:val="290"/>
        </w:trPr>
        <w:tc>
          <w:tcPr>
            <w:tcW w:w="2886" w:type="dxa"/>
            <w:tcBorders>
              <w:top w:val="nil"/>
              <w:left w:val="nil"/>
              <w:bottom w:val="nil"/>
              <w:right w:val="nil"/>
            </w:tcBorders>
            <w:shd w:val="clear" w:color="000000" w:fill="FFFFFF"/>
            <w:hideMark/>
          </w:tcPr>
          <w:p w14:paraId="2876255F" w14:textId="77777777" w:rsidR="00F43AFF" w:rsidRPr="00F43AFF" w:rsidRDefault="00F43AFF" w:rsidP="00F43AFF">
            <w:pPr>
              <w:spacing w:line="240" w:lineRule="auto"/>
              <w:jc w:val="lef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Actuarial Gains and Losses:</w:t>
            </w:r>
          </w:p>
        </w:tc>
        <w:tc>
          <w:tcPr>
            <w:tcW w:w="1440" w:type="dxa"/>
            <w:tcBorders>
              <w:top w:val="nil"/>
              <w:left w:val="nil"/>
              <w:bottom w:val="nil"/>
              <w:right w:val="nil"/>
            </w:tcBorders>
            <w:shd w:val="clear" w:color="000000" w:fill="FFFFFF"/>
            <w:hideMark/>
          </w:tcPr>
          <w:p w14:paraId="578488D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 </w:t>
            </w:r>
          </w:p>
        </w:tc>
        <w:tc>
          <w:tcPr>
            <w:tcW w:w="1168" w:type="dxa"/>
            <w:tcBorders>
              <w:top w:val="nil"/>
              <w:left w:val="nil"/>
              <w:bottom w:val="nil"/>
              <w:right w:val="nil"/>
            </w:tcBorders>
            <w:shd w:val="clear" w:color="000000" w:fill="FFFFFF"/>
            <w:hideMark/>
          </w:tcPr>
          <w:p w14:paraId="1282D6C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 </w:t>
            </w:r>
          </w:p>
        </w:tc>
        <w:tc>
          <w:tcPr>
            <w:tcW w:w="1123" w:type="dxa"/>
            <w:tcBorders>
              <w:top w:val="nil"/>
              <w:left w:val="nil"/>
              <w:bottom w:val="nil"/>
              <w:right w:val="nil"/>
            </w:tcBorders>
            <w:shd w:val="clear" w:color="000000" w:fill="FFE1E1"/>
            <w:noWrap/>
            <w:hideMark/>
          </w:tcPr>
          <w:p w14:paraId="40768A5A"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440" w:type="dxa"/>
            <w:tcBorders>
              <w:top w:val="nil"/>
              <w:left w:val="nil"/>
              <w:bottom w:val="nil"/>
              <w:right w:val="nil"/>
            </w:tcBorders>
            <w:shd w:val="clear" w:color="000000" w:fill="FFFFFF"/>
            <w:hideMark/>
          </w:tcPr>
          <w:p w14:paraId="1EA6746A"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 </w:t>
            </w:r>
          </w:p>
        </w:tc>
        <w:tc>
          <w:tcPr>
            <w:tcW w:w="1168" w:type="dxa"/>
            <w:tcBorders>
              <w:top w:val="nil"/>
              <w:left w:val="nil"/>
              <w:bottom w:val="nil"/>
              <w:right w:val="nil"/>
            </w:tcBorders>
            <w:shd w:val="clear" w:color="000000" w:fill="FFFFFF"/>
            <w:hideMark/>
          </w:tcPr>
          <w:p w14:paraId="72CCD88D"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 </w:t>
            </w:r>
          </w:p>
        </w:tc>
        <w:tc>
          <w:tcPr>
            <w:tcW w:w="1123" w:type="dxa"/>
            <w:tcBorders>
              <w:top w:val="nil"/>
              <w:left w:val="nil"/>
              <w:bottom w:val="nil"/>
              <w:right w:val="nil"/>
            </w:tcBorders>
            <w:shd w:val="clear" w:color="000000" w:fill="FFE1E1"/>
            <w:noWrap/>
            <w:hideMark/>
          </w:tcPr>
          <w:p w14:paraId="379C9574"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w:t>
            </w:r>
          </w:p>
        </w:tc>
      </w:tr>
      <w:tr w:rsidR="00F43AFF" w:rsidRPr="00F43AFF" w14:paraId="77D99B8B" w14:textId="77777777" w:rsidTr="006869D3">
        <w:trPr>
          <w:trHeight w:val="580"/>
        </w:trPr>
        <w:tc>
          <w:tcPr>
            <w:tcW w:w="2886" w:type="dxa"/>
            <w:tcBorders>
              <w:top w:val="nil"/>
              <w:left w:val="nil"/>
              <w:bottom w:val="nil"/>
              <w:right w:val="nil"/>
            </w:tcBorders>
            <w:shd w:val="clear" w:color="000000" w:fill="FFFFFF"/>
            <w:hideMark/>
          </w:tcPr>
          <w:p w14:paraId="61D34FFE"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Arising from changes in demographic assumptions</w:t>
            </w:r>
          </w:p>
        </w:tc>
        <w:tc>
          <w:tcPr>
            <w:tcW w:w="1440" w:type="dxa"/>
            <w:tcBorders>
              <w:top w:val="nil"/>
              <w:left w:val="nil"/>
              <w:bottom w:val="nil"/>
              <w:right w:val="nil"/>
            </w:tcBorders>
            <w:shd w:val="clear" w:color="000000" w:fill="FFFFFF"/>
            <w:hideMark/>
          </w:tcPr>
          <w:p w14:paraId="02B09BC5"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(56)</w:t>
            </w:r>
          </w:p>
        </w:tc>
        <w:tc>
          <w:tcPr>
            <w:tcW w:w="1168" w:type="dxa"/>
            <w:tcBorders>
              <w:top w:val="nil"/>
              <w:left w:val="nil"/>
              <w:bottom w:val="nil"/>
              <w:right w:val="nil"/>
            </w:tcBorders>
            <w:shd w:val="clear" w:color="000000" w:fill="FFFFFF"/>
            <w:hideMark/>
          </w:tcPr>
          <w:p w14:paraId="4C54758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5F2DDF9D"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(56)</w:t>
            </w:r>
          </w:p>
        </w:tc>
        <w:tc>
          <w:tcPr>
            <w:tcW w:w="1440" w:type="dxa"/>
            <w:tcBorders>
              <w:top w:val="nil"/>
              <w:left w:val="nil"/>
              <w:bottom w:val="nil"/>
              <w:right w:val="nil"/>
            </w:tcBorders>
            <w:shd w:val="clear" w:color="000000" w:fill="FFFFFF"/>
            <w:hideMark/>
          </w:tcPr>
          <w:p w14:paraId="7DE86884"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(18)</w:t>
            </w:r>
          </w:p>
        </w:tc>
        <w:tc>
          <w:tcPr>
            <w:tcW w:w="1168" w:type="dxa"/>
            <w:tcBorders>
              <w:top w:val="nil"/>
              <w:left w:val="nil"/>
              <w:bottom w:val="nil"/>
              <w:right w:val="nil"/>
            </w:tcBorders>
            <w:shd w:val="clear" w:color="000000" w:fill="FFFFFF"/>
            <w:hideMark/>
          </w:tcPr>
          <w:p w14:paraId="57FE9207"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(640)</w:t>
            </w:r>
          </w:p>
        </w:tc>
        <w:tc>
          <w:tcPr>
            <w:tcW w:w="1123" w:type="dxa"/>
            <w:tcBorders>
              <w:top w:val="nil"/>
              <w:left w:val="nil"/>
              <w:bottom w:val="nil"/>
              <w:right w:val="nil"/>
            </w:tcBorders>
            <w:shd w:val="clear" w:color="000000" w:fill="FFE1E1"/>
            <w:noWrap/>
            <w:hideMark/>
          </w:tcPr>
          <w:p w14:paraId="5C34FCF8"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(658)</w:t>
            </w:r>
          </w:p>
        </w:tc>
      </w:tr>
      <w:tr w:rsidR="00F43AFF" w:rsidRPr="00F43AFF" w14:paraId="5E211788" w14:textId="77777777" w:rsidTr="006869D3">
        <w:trPr>
          <w:trHeight w:val="290"/>
        </w:trPr>
        <w:tc>
          <w:tcPr>
            <w:tcW w:w="2886" w:type="dxa"/>
            <w:tcBorders>
              <w:top w:val="nil"/>
              <w:left w:val="nil"/>
              <w:bottom w:val="nil"/>
              <w:right w:val="nil"/>
            </w:tcBorders>
            <w:shd w:val="clear" w:color="000000" w:fill="FFFFFF"/>
            <w:hideMark/>
          </w:tcPr>
          <w:p w14:paraId="72312173"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Arising from changes in financial assumptions</w:t>
            </w:r>
          </w:p>
        </w:tc>
        <w:tc>
          <w:tcPr>
            <w:tcW w:w="1440" w:type="dxa"/>
            <w:tcBorders>
              <w:top w:val="nil"/>
              <w:left w:val="nil"/>
              <w:bottom w:val="nil"/>
              <w:right w:val="nil"/>
            </w:tcBorders>
            <w:shd w:val="clear" w:color="000000" w:fill="FFFFFF"/>
            <w:hideMark/>
          </w:tcPr>
          <w:p w14:paraId="61DD1FA7"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(698)</w:t>
            </w:r>
          </w:p>
        </w:tc>
        <w:tc>
          <w:tcPr>
            <w:tcW w:w="1168" w:type="dxa"/>
            <w:tcBorders>
              <w:top w:val="nil"/>
              <w:left w:val="nil"/>
              <w:bottom w:val="nil"/>
              <w:right w:val="nil"/>
            </w:tcBorders>
            <w:shd w:val="clear" w:color="000000" w:fill="FFFFFF"/>
            <w:hideMark/>
          </w:tcPr>
          <w:p w14:paraId="7B1432A4"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(1,090)</w:t>
            </w:r>
          </w:p>
        </w:tc>
        <w:tc>
          <w:tcPr>
            <w:tcW w:w="1123" w:type="dxa"/>
            <w:tcBorders>
              <w:top w:val="nil"/>
              <w:left w:val="nil"/>
              <w:bottom w:val="nil"/>
              <w:right w:val="nil"/>
            </w:tcBorders>
            <w:shd w:val="clear" w:color="000000" w:fill="FFE1E1"/>
            <w:noWrap/>
            <w:hideMark/>
          </w:tcPr>
          <w:p w14:paraId="50E7A9C6"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(1,788)</w:t>
            </w:r>
          </w:p>
        </w:tc>
        <w:tc>
          <w:tcPr>
            <w:tcW w:w="1440" w:type="dxa"/>
            <w:tcBorders>
              <w:top w:val="nil"/>
              <w:left w:val="nil"/>
              <w:bottom w:val="nil"/>
              <w:right w:val="nil"/>
            </w:tcBorders>
            <w:shd w:val="clear" w:color="000000" w:fill="FFFFFF"/>
            <w:hideMark/>
          </w:tcPr>
          <w:p w14:paraId="6268F5DB"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(1,912)</w:t>
            </w:r>
          </w:p>
        </w:tc>
        <w:tc>
          <w:tcPr>
            <w:tcW w:w="1168" w:type="dxa"/>
            <w:tcBorders>
              <w:top w:val="nil"/>
              <w:left w:val="nil"/>
              <w:bottom w:val="nil"/>
              <w:right w:val="nil"/>
            </w:tcBorders>
            <w:shd w:val="clear" w:color="000000" w:fill="FFFFFF"/>
            <w:hideMark/>
          </w:tcPr>
          <w:p w14:paraId="6FACC618"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(24,800)</w:t>
            </w:r>
          </w:p>
        </w:tc>
        <w:tc>
          <w:tcPr>
            <w:tcW w:w="1123" w:type="dxa"/>
            <w:tcBorders>
              <w:top w:val="nil"/>
              <w:left w:val="nil"/>
              <w:bottom w:val="nil"/>
              <w:right w:val="nil"/>
            </w:tcBorders>
            <w:shd w:val="clear" w:color="000000" w:fill="FFE1E1"/>
            <w:noWrap/>
            <w:hideMark/>
          </w:tcPr>
          <w:p w14:paraId="52388A5E"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(26,712)</w:t>
            </w:r>
          </w:p>
        </w:tc>
      </w:tr>
      <w:tr w:rsidR="00F43AFF" w:rsidRPr="00F43AFF" w14:paraId="76D3F993" w14:textId="77777777" w:rsidTr="006869D3">
        <w:trPr>
          <w:trHeight w:val="290"/>
        </w:trPr>
        <w:tc>
          <w:tcPr>
            <w:tcW w:w="2886" w:type="dxa"/>
            <w:tcBorders>
              <w:top w:val="nil"/>
              <w:left w:val="nil"/>
              <w:bottom w:val="nil"/>
              <w:right w:val="nil"/>
            </w:tcBorders>
            <w:shd w:val="clear" w:color="000000" w:fill="FFFFFF"/>
            <w:hideMark/>
          </w:tcPr>
          <w:p w14:paraId="36909F03"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Return on assets</w:t>
            </w:r>
          </w:p>
        </w:tc>
        <w:tc>
          <w:tcPr>
            <w:tcW w:w="1440" w:type="dxa"/>
            <w:tcBorders>
              <w:top w:val="nil"/>
              <w:left w:val="nil"/>
              <w:bottom w:val="nil"/>
              <w:right w:val="nil"/>
            </w:tcBorders>
            <w:shd w:val="clear" w:color="000000" w:fill="FFFFFF"/>
            <w:hideMark/>
          </w:tcPr>
          <w:p w14:paraId="6531116D"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68" w:type="dxa"/>
            <w:tcBorders>
              <w:top w:val="nil"/>
              <w:left w:val="nil"/>
              <w:bottom w:val="nil"/>
              <w:right w:val="nil"/>
            </w:tcBorders>
            <w:shd w:val="clear" w:color="000000" w:fill="FFFFFF"/>
            <w:hideMark/>
          </w:tcPr>
          <w:p w14:paraId="26766C8C"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282F0A8E"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440" w:type="dxa"/>
            <w:tcBorders>
              <w:top w:val="nil"/>
              <w:left w:val="nil"/>
              <w:bottom w:val="nil"/>
              <w:right w:val="nil"/>
            </w:tcBorders>
            <w:shd w:val="clear" w:color="000000" w:fill="FFFFFF"/>
            <w:hideMark/>
          </w:tcPr>
          <w:p w14:paraId="2FB4BF4E"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68" w:type="dxa"/>
            <w:tcBorders>
              <w:top w:val="nil"/>
              <w:left w:val="nil"/>
              <w:bottom w:val="nil"/>
              <w:right w:val="nil"/>
            </w:tcBorders>
            <w:shd w:val="clear" w:color="000000" w:fill="FFFFFF"/>
            <w:hideMark/>
          </w:tcPr>
          <w:p w14:paraId="441BE562"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7D3BB677"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w:t>
            </w:r>
          </w:p>
        </w:tc>
      </w:tr>
      <w:tr w:rsidR="00F43AFF" w:rsidRPr="00F43AFF" w14:paraId="25398DBC" w14:textId="77777777" w:rsidTr="006869D3">
        <w:trPr>
          <w:trHeight w:val="290"/>
        </w:trPr>
        <w:tc>
          <w:tcPr>
            <w:tcW w:w="2886" w:type="dxa"/>
            <w:tcBorders>
              <w:top w:val="nil"/>
              <w:left w:val="nil"/>
              <w:bottom w:val="nil"/>
              <w:right w:val="nil"/>
            </w:tcBorders>
            <w:shd w:val="clear" w:color="000000" w:fill="FFFFFF"/>
            <w:hideMark/>
          </w:tcPr>
          <w:p w14:paraId="3D1A7077"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Other</w:t>
            </w:r>
          </w:p>
        </w:tc>
        <w:tc>
          <w:tcPr>
            <w:tcW w:w="1440" w:type="dxa"/>
            <w:tcBorders>
              <w:top w:val="nil"/>
              <w:left w:val="nil"/>
              <w:bottom w:val="nil"/>
              <w:right w:val="nil"/>
            </w:tcBorders>
            <w:shd w:val="clear" w:color="000000" w:fill="FFFFFF"/>
            <w:hideMark/>
          </w:tcPr>
          <w:p w14:paraId="3A596D02"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297</w:t>
            </w:r>
          </w:p>
        </w:tc>
        <w:tc>
          <w:tcPr>
            <w:tcW w:w="1168" w:type="dxa"/>
            <w:tcBorders>
              <w:top w:val="nil"/>
              <w:left w:val="nil"/>
              <w:bottom w:val="nil"/>
              <w:right w:val="nil"/>
            </w:tcBorders>
            <w:shd w:val="clear" w:color="000000" w:fill="FFFFFF"/>
            <w:hideMark/>
          </w:tcPr>
          <w:p w14:paraId="13B7AF2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08C76BAC"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297</w:t>
            </w:r>
          </w:p>
        </w:tc>
        <w:tc>
          <w:tcPr>
            <w:tcW w:w="1440" w:type="dxa"/>
            <w:tcBorders>
              <w:top w:val="nil"/>
              <w:left w:val="nil"/>
              <w:bottom w:val="nil"/>
              <w:right w:val="nil"/>
            </w:tcBorders>
            <w:shd w:val="clear" w:color="000000" w:fill="FFFFFF"/>
            <w:hideMark/>
          </w:tcPr>
          <w:p w14:paraId="657A6CAA"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(90)</w:t>
            </w:r>
          </w:p>
        </w:tc>
        <w:tc>
          <w:tcPr>
            <w:tcW w:w="1168" w:type="dxa"/>
            <w:tcBorders>
              <w:top w:val="nil"/>
              <w:left w:val="nil"/>
              <w:bottom w:val="nil"/>
              <w:right w:val="nil"/>
            </w:tcBorders>
            <w:shd w:val="clear" w:color="000000" w:fill="FFFFFF"/>
            <w:hideMark/>
          </w:tcPr>
          <w:p w14:paraId="24A7A507"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(470)</w:t>
            </w:r>
          </w:p>
        </w:tc>
        <w:tc>
          <w:tcPr>
            <w:tcW w:w="1123" w:type="dxa"/>
            <w:tcBorders>
              <w:top w:val="nil"/>
              <w:left w:val="nil"/>
              <w:bottom w:val="nil"/>
              <w:right w:val="nil"/>
            </w:tcBorders>
            <w:shd w:val="clear" w:color="000000" w:fill="FFE1E1"/>
            <w:noWrap/>
            <w:hideMark/>
          </w:tcPr>
          <w:p w14:paraId="4E72CD44"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(560)</w:t>
            </w:r>
          </w:p>
        </w:tc>
      </w:tr>
      <w:tr w:rsidR="00F43AFF" w:rsidRPr="00F43AFF" w14:paraId="3C6DAF21" w14:textId="77777777" w:rsidTr="006869D3">
        <w:trPr>
          <w:trHeight w:val="580"/>
        </w:trPr>
        <w:tc>
          <w:tcPr>
            <w:tcW w:w="2886" w:type="dxa"/>
            <w:tcBorders>
              <w:top w:val="nil"/>
              <w:left w:val="nil"/>
              <w:bottom w:val="nil"/>
              <w:right w:val="nil"/>
            </w:tcBorders>
            <w:shd w:val="clear" w:color="000000" w:fill="FFFFFF"/>
            <w:hideMark/>
          </w:tcPr>
          <w:p w14:paraId="2BFF2B95"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Curtailments, Settlements and past Service Costs</w:t>
            </w:r>
          </w:p>
        </w:tc>
        <w:tc>
          <w:tcPr>
            <w:tcW w:w="1440" w:type="dxa"/>
            <w:tcBorders>
              <w:top w:val="nil"/>
              <w:left w:val="nil"/>
              <w:bottom w:val="nil"/>
              <w:right w:val="nil"/>
            </w:tcBorders>
            <w:shd w:val="clear" w:color="000000" w:fill="FFFFFF"/>
            <w:hideMark/>
          </w:tcPr>
          <w:p w14:paraId="7737B523"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68" w:type="dxa"/>
            <w:tcBorders>
              <w:top w:val="nil"/>
              <w:left w:val="nil"/>
              <w:bottom w:val="nil"/>
              <w:right w:val="nil"/>
            </w:tcBorders>
            <w:shd w:val="clear" w:color="000000" w:fill="FFFFFF"/>
            <w:hideMark/>
          </w:tcPr>
          <w:p w14:paraId="2F2D00E4"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6C880A5C"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440" w:type="dxa"/>
            <w:tcBorders>
              <w:top w:val="nil"/>
              <w:left w:val="nil"/>
              <w:bottom w:val="nil"/>
              <w:right w:val="nil"/>
            </w:tcBorders>
            <w:shd w:val="clear" w:color="000000" w:fill="FFFFFF"/>
            <w:hideMark/>
          </w:tcPr>
          <w:p w14:paraId="3A025BF7"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68" w:type="dxa"/>
            <w:tcBorders>
              <w:top w:val="nil"/>
              <w:left w:val="nil"/>
              <w:bottom w:val="nil"/>
              <w:right w:val="nil"/>
            </w:tcBorders>
            <w:shd w:val="clear" w:color="000000" w:fill="FFFFFF"/>
            <w:hideMark/>
          </w:tcPr>
          <w:p w14:paraId="078EE5FB"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w:t>
            </w:r>
          </w:p>
        </w:tc>
        <w:tc>
          <w:tcPr>
            <w:tcW w:w="1123" w:type="dxa"/>
            <w:tcBorders>
              <w:top w:val="nil"/>
              <w:left w:val="nil"/>
              <w:bottom w:val="nil"/>
              <w:right w:val="nil"/>
            </w:tcBorders>
            <w:shd w:val="clear" w:color="000000" w:fill="FFE1E1"/>
            <w:noWrap/>
            <w:hideMark/>
          </w:tcPr>
          <w:p w14:paraId="10197A18"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w:t>
            </w:r>
          </w:p>
        </w:tc>
      </w:tr>
      <w:tr w:rsidR="00F43AFF" w:rsidRPr="00F43AFF" w14:paraId="7BDD300C" w14:textId="77777777" w:rsidTr="006869D3">
        <w:trPr>
          <w:trHeight w:val="290"/>
        </w:trPr>
        <w:tc>
          <w:tcPr>
            <w:tcW w:w="2886" w:type="dxa"/>
            <w:tcBorders>
              <w:top w:val="nil"/>
              <w:left w:val="nil"/>
              <w:bottom w:val="nil"/>
              <w:right w:val="nil"/>
            </w:tcBorders>
            <w:shd w:val="clear" w:color="000000" w:fill="FFFFFF"/>
            <w:hideMark/>
          </w:tcPr>
          <w:p w14:paraId="56E4589B" w14:textId="77777777" w:rsidR="00F43AFF" w:rsidRPr="00F43AFF" w:rsidRDefault="00F43AFF" w:rsidP="00F43AFF">
            <w:pPr>
              <w:spacing w:line="240" w:lineRule="auto"/>
              <w:jc w:val="left"/>
              <w:rPr>
                <w:rFonts w:ascii="Calibri" w:eastAsia="Times New Roman" w:hAnsi="Calibri" w:cs="Calibri"/>
                <w:color w:val="000000"/>
                <w:lang w:eastAsia="en-GB"/>
              </w:rPr>
            </w:pPr>
            <w:r w:rsidRPr="00F43AFF">
              <w:rPr>
                <w:rFonts w:ascii="Calibri" w:eastAsia="Times New Roman" w:hAnsi="Calibri" w:cs="Calibri"/>
                <w:color w:val="000000"/>
                <w:lang w:eastAsia="en-GB"/>
              </w:rPr>
              <w:t>Benefits paid</w:t>
            </w:r>
          </w:p>
        </w:tc>
        <w:tc>
          <w:tcPr>
            <w:tcW w:w="1440" w:type="dxa"/>
            <w:tcBorders>
              <w:top w:val="nil"/>
              <w:left w:val="nil"/>
              <w:bottom w:val="nil"/>
              <w:right w:val="nil"/>
            </w:tcBorders>
            <w:shd w:val="clear" w:color="000000" w:fill="FFFFFF"/>
            <w:hideMark/>
          </w:tcPr>
          <w:p w14:paraId="1128276D"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(197)</w:t>
            </w:r>
          </w:p>
        </w:tc>
        <w:tc>
          <w:tcPr>
            <w:tcW w:w="1168" w:type="dxa"/>
            <w:tcBorders>
              <w:top w:val="nil"/>
              <w:left w:val="nil"/>
              <w:bottom w:val="nil"/>
              <w:right w:val="nil"/>
            </w:tcBorders>
            <w:shd w:val="clear" w:color="000000" w:fill="FFFFFF"/>
            <w:hideMark/>
          </w:tcPr>
          <w:p w14:paraId="4C7D3067"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(10,270)</w:t>
            </w:r>
          </w:p>
        </w:tc>
        <w:tc>
          <w:tcPr>
            <w:tcW w:w="1123" w:type="dxa"/>
            <w:tcBorders>
              <w:top w:val="nil"/>
              <w:left w:val="nil"/>
              <w:bottom w:val="nil"/>
              <w:right w:val="nil"/>
            </w:tcBorders>
            <w:shd w:val="clear" w:color="000000" w:fill="FFE1E1"/>
            <w:noWrap/>
            <w:hideMark/>
          </w:tcPr>
          <w:p w14:paraId="79B6B4E8"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(10,467)</w:t>
            </w:r>
          </w:p>
        </w:tc>
        <w:tc>
          <w:tcPr>
            <w:tcW w:w="1440" w:type="dxa"/>
            <w:tcBorders>
              <w:top w:val="nil"/>
              <w:left w:val="nil"/>
              <w:bottom w:val="nil"/>
              <w:right w:val="nil"/>
            </w:tcBorders>
            <w:shd w:val="clear" w:color="000000" w:fill="FFFFFF"/>
            <w:hideMark/>
          </w:tcPr>
          <w:p w14:paraId="71473226"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(168)</w:t>
            </w:r>
          </w:p>
        </w:tc>
        <w:tc>
          <w:tcPr>
            <w:tcW w:w="1168" w:type="dxa"/>
            <w:tcBorders>
              <w:top w:val="nil"/>
              <w:left w:val="nil"/>
              <w:bottom w:val="nil"/>
              <w:right w:val="nil"/>
            </w:tcBorders>
            <w:shd w:val="clear" w:color="000000" w:fill="FFFFFF"/>
            <w:hideMark/>
          </w:tcPr>
          <w:p w14:paraId="535BBE09" w14:textId="77777777" w:rsidR="00F43AFF" w:rsidRPr="00F43AFF" w:rsidRDefault="00F43AFF" w:rsidP="00F43AFF">
            <w:pPr>
              <w:spacing w:line="240" w:lineRule="auto"/>
              <w:jc w:val="right"/>
              <w:rPr>
                <w:rFonts w:ascii="Calibri" w:eastAsia="Times New Roman" w:hAnsi="Calibri" w:cs="Calibri"/>
                <w:color w:val="000000"/>
                <w:lang w:eastAsia="en-GB"/>
              </w:rPr>
            </w:pPr>
            <w:r w:rsidRPr="00F43AFF">
              <w:rPr>
                <w:rFonts w:ascii="Calibri" w:eastAsia="Times New Roman" w:hAnsi="Calibri" w:cs="Calibri"/>
                <w:color w:val="000000"/>
                <w:lang w:eastAsia="en-GB"/>
              </w:rPr>
              <w:t>(12,440)</w:t>
            </w:r>
          </w:p>
        </w:tc>
        <w:tc>
          <w:tcPr>
            <w:tcW w:w="1123" w:type="dxa"/>
            <w:tcBorders>
              <w:top w:val="nil"/>
              <w:left w:val="nil"/>
              <w:bottom w:val="nil"/>
              <w:right w:val="nil"/>
            </w:tcBorders>
            <w:shd w:val="clear" w:color="000000" w:fill="FFE1E1"/>
            <w:noWrap/>
            <w:hideMark/>
          </w:tcPr>
          <w:p w14:paraId="01963E35"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(12,608)</w:t>
            </w:r>
          </w:p>
        </w:tc>
      </w:tr>
      <w:tr w:rsidR="00F43AFF" w:rsidRPr="00F43AFF" w14:paraId="09E0A9D7" w14:textId="77777777" w:rsidTr="006869D3">
        <w:trPr>
          <w:trHeight w:val="290"/>
        </w:trPr>
        <w:tc>
          <w:tcPr>
            <w:tcW w:w="2886" w:type="dxa"/>
            <w:tcBorders>
              <w:top w:val="single" w:sz="4" w:space="0" w:color="000000"/>
              <w:left w:val="nil"/>
              <w:bottom w:val="single" w:sz="4" w:space="0" w:color="000000"/>
              <w:right w:val="nil"/>
            </w:tcBorders>
            <w:shd w:val="clear" w:color="000000" w:fill="FFFFFF"/>
            <w:hideMark/>
          </w:tcPr>
          <w:p w14:paraId="6F89306C" w14:textId="77777777" w:rsidR="00F43AFF" w:rsidRPr="00F43AFF" w:rsidRDefault="00F43AFF" w:rsidP="00F43AFF">
            <w:pPr>
              <w:spacing w:line="240" w:lineRule="auto"/>
              <w:jc w:val="lef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Closing Defined Benefit Obligation</w:t>
            </w:r>
          </w:p>
        </w:tc>
        <w:tc>
          <w:tcPr>
            <w:tcW w:w="1440" w:type="dxa"/>
            <w:tcBorders>
              <w:top w:val="single" w:sz="4" w:space="0" w:color="000000"/>
              <w:left w:val="nil"/>
              <w:bottom w:val="single" w:sz="4" w:space="0" w:color="000000"/>
              <w:right w:val="nil"/>
            </w:tcBorders>
            <w:shd w:val="clear" w:color="000000" w:fill="FFFFFF"/>
            <w:hideMark/>
          </w:tcPr>
          <w:p w14:paraId="7D13928C"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9,782</w:t>
            </w:r>
          </w:p>
        </w:tc>
        <w:tc>
          <w:tcPr>
            <w:tcW w:w="1168" w:type="dxa"/>
            <w:tcBorders>
              <w:top w:val="single" w:sz="4" w:space="0" w:color="000000"/>
              <w:left w:val="nil"/>
              <w:bottom w:val="single" w:sz="4" w:space="0" w:color="000000"/>
              <w:right w:val="nil"/>
            </w:tcBorders>
            <w:shd w:val="clear" w:color="000000" w:fill="FFFFFF"/>
            <w:hideMark/>
          </w:tcPr>
          <w:p w14:paraId="72E9F3AD"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245,880</w:t>
            </w:r>
          </w:p>
        </w:tc>
        <w:tc>
          <w:tcPr>
            <w:tcW w:w="1123" w:type="dxa"/>
            <w:tcBorders>
              <w:top w:val="single" w:sz="4" w:space="0" w:color="000000"/>
              <w:left w:val="nil"/>
              <w:bottom w:val="single" w:sz="4" w:space="0" w:color="000000"/>
              <w:right w:val="nil"/>
            </w:tcBorders>
            <w:shd w:val="clear" w:color="000000" w:fill="FFE1E1"/>
            <w:noWrap/>
            <w:hideMark/>
          </w:tcPr>
          <w:p w14:paraId="14362691"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255,662</w:t>
            </w:r>
          </w:p>
        </w:tc>
        <w:tc>
          <w:tcPr>
            <w:tcW w:w="1440" w:type="dxa"/>
            <w:tcBorders>
              <w:top w:val="single" w:sz="4" w:space="0" w:color="000000"/>
              <w:left w:val="nil"/>
              <w:bottom w:val="single" w:sz="4" w:space="0" w:color="000000"/>
              <w:right w:val="nil"/>
            </w:tcBorders>
            <w:shd w:val="clear" w:color="000000" w:fill="FFFFFF"/>
            <w:hideMark/>
          </w:tcPr>
          <w:p w14:paraId="7C723FBF"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8,810</w:t>
            </w:r>
          </w:p>
        </w:tc>
        <w:tc>
          <w:tcPr>
            <w:tcW w:w="1168" w:type="dxa"/>
            <w:tcBorders>
              <w:top w:val="single" w:sz="4" w:space="0" w:color="000000"/>
              <w:left w:val="nil"/>
              <w:bottom w:val="single" w:sz="4" w:space="0" w:color="000000"/>
              <w:right w:val="nil"/>
            </w:tcBorders>
            <w:shd w:val="clear" w:color="000000" w:fill="FFFFFF"/>
            <w:hideMark/>
          </w:tcPr>
          <w:p w14:paraId="46046FA2"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222,470</w:t>
            </w:r>
          </w:p>
        </w:tc>
        <w:tc>
          <w:tcPr>
            <w:tcW w:w="1123" w:type="dxa"/>
            <w:tcBorders>
              <w:top w:val="single" w:sz="4" w:space="0" w:color="000000"/>
              <w:left w:val="nil"/>
              <w:bottom w:val="single" w:sz="4" w:space="0" w:color="000000"/>
              <w:right w:val="nil"/>
            </w:tcBorders>
            <w:shd w:val="clear" w:color="000000" w:fill="FFE1E1"/>
            <w:noWrap/>
            <w:hideMark/>
          </w:tcPr>
          <w:p w14:paraId="333B6D66" w14:textId="77777777" w:rsidR="00F43AFF" w:rsidRPr="00F43AFF" w:rsidRDefault="00F43AFF" w:rsidP="00F43AFF">
            <w:pPr>
              <w:spacing w:line="240" w:lineRule="auto"/>
              <w:jc w:val="right"/>
              <w:rPr>
                <w:rFonts w:ascii="Calibri" w:eastAsia="Times New Roman" w:hAnsi="Calibri" w:cs="Calibri"/>
                <w:b/>
                <w:bCs/>
                <w:color w:val="000000"/>
                <w:lang w:eastAsia="en-GB"/>
              </w:rPr>
            </w:pPr>
            <w:r w:rsidRPr="00F43AFF">
              <w:rPr>
                <w:rFonts w:ascii="Calibri" w:eastAsia="Times New Roman" w:hAnsi="Calibri" w:cs="Calibri"/>
                <w:b/>
                <w:bCs/>
                <w:color w:val="000000"/>
                <w:lang w:eastAsia="en-GB"/>
              </w:rPr>
              <w:t>231,280</w:t>
            </w:r>
          </w:p>
        </w:tc>
      </w:tr>
    </w:tbl>
    <w:p w14:paraId="74A4BB7D" w14:textId="53B9EDD4" w:rsidR="000F7DCF" w:rsidRDefault="000F7DCF" w:rsidP="000F7DCF"/>
    <w:p w14:paraId="4B94403E" w14:textId="77777777" w:rsidR="000F7DCF" w:rsidRDefault="000F7DCF" w:rsidP="000F7DCF">
      <w:r w:rsidRPr="00ED2A06">
        <w:t xml:space="preserve">Reconciliation of opening and closing balances of the fair value of scheme assets: </w:t>
      </w:r>
    </w:p>
    <w:p w14:paraId="07395FE3" w14:textId="0638FFCC" w:rsidR="00C30DC3" w:rsidRDefault="00C30DC3" w:rsidP="000F7DCF">
      <w:pPr>
        <w:rPr>
          <w:rFonts w:cstheme="minorBidi"/>
        </w:rPr>
      </w:pPr>
    </w:p>
    <w:tbl>
      <w:tblPr>
        <w:tblW w:w="5000" w:type="pct"/>
        <w:tblLook w:val="04A0" w:firstRow="1" w:lastRow="0" w:firstColumn="1" w:lastColumn="0" w:noHBand="0" w:noVBand="1"/>
      </w:tblPr>
      <w:tblGrid>
        <w:gridCol w:w="6029"/>
        <w:gridCol w:w="2173"/>
        <w:gridCol w:w="2173"/>
      </w:tblGrid>
      <w:tr w:rsidR="00EF6267" w:rsidRPr="00EF6267" w14:paraId="41CB6CF5" w14:textId="77777777" w:rsidTr="00EF6267">
        <w:trPr>
          <w:trHeight w:val="600"/>
        </w:trPr>
        <w:tc>
          <w:tcPr>
            <w:tcW w:w="2906" w:type="pct"/>
            <w:tcBorders>
              <w:top w:val="nil"/>
              <w:left w:val="nil"/>
              <w:bottom w:val="nil"/>
              <w:right w:val="nil"/>
            </w:tcBorders>
            <w:shd w:val="clear" w:color="000000" w:fill="AB2328"/>
            <w:vAlign w:val="center"/>
            <w:hideMark/>
          </w:tcPr>
          <w:p w14:paraId="647C0902" w14:textId="77777777" w:rsidR="00EF6267" w:rsidRPr="00EF6267" w:rsidRDefault="00EF6267" w:rsidP="00EF6267">
            <w:pPr>
              <w:spacing w:line="240" w:lineRule="auto"/>
              <w:jc w:val="left"/>
              <w:rPr>
                <w:rFonts w:ascii="Calibri" w:eastAsia="Times New Roman" w:hAnsi="Calibri" w:cs="Calibri"/>
                <w:color w:val="FFFFFF"/>
                <w:lang w:eastAsia="en-GB"/>
              </w:rPr>
            </w:pPr>
            <w:r w:rsidRPr="00EF6267">
              <w:rPr>
                <w:rFonts w:ascii="Calibri" w:eastAsia="Times New Roman" w:hAnsi="Calibri" w:cs="Calibri"/>
                <w:color w:val="FFFFFF"/>
                <w:lang w:eastAsia="en-GB"/>
              </w:rPr>
              <w:t> </w:t>
            </w:r>
          </w:p>
        </w:tc>
        <w:tc>
          <w:tcPr>
            <w:tcW w:w="1047" w:type="pct"/>
            <w:tcBorders>
              <w:top w:val="nil"/>
              <w:left w:val="nil"/>
              <w:bottom w:val="nil"/>
              <w:right w:val="nil"/>
            </w:tcBorders>
            <w:shd w:val="clear" w:color="000000" w:fill="AB2328"/>
            <w:vAlign w:val="center"/>
            <w:hideMark/>
          </w:tcPr>
          <w:p w14:paraId="057270E4"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 xml:space="preserve">LGPS Pension Scheme  </w:t>
            </w:r>
          </w:p>
        </w:tc>
        <w:tc>
          <w:tcPr>
            <w:tcW w:w="1047" w:type="pct"/>
            <w:tcBorders>
              <w:top w:val="nil"/>
              <w:left w:val="nil"/>
              <w:bottom w:val="nil"/>
              <w:right w:val="nil"/>
            </w:tcBorders>
            <w:shd w:val="clear" w:color="000000" w:fill="AB2328"/>
            <w:vAlign w:val="center"/>
            <w:hideMark/>
          </w:tcPr>
          <w:p w14:paraId="1261822B"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 xml:space="preserve">LGPS Pension Scheme  </w:t>
            </w:r>
          </w:p>
        </w:tc>
      </w:tr>
      <w:tr w:rsidR="00EF6267" w:rsidRPr="00EF6267" w14:paraId="3C7BA45F" w14:textId="77777777" w:rsidTr="00EF6267">
        <w:trPr>
          <w:trHeight w:val="300"/>
        </w:trPr>
        <w:tc>
          <w:tcPr>
            <w:tcW w:w="2906" w:type="pct"/>
            <w:tcBorders>
              <w:top w:val="nil"/>
              <w:left w:val="nil"/>
              <w:bottom w:val="nil"/>
              <w:right w:val="nil"/>
            </w:tcBorders>
            <w:shd w:val="clear" w:color="000000" w:fill="AB2328"/>
            <w:vAlign w:val="center"/>
            <w:hideMark/>
          </w:tcPr>
          <w:p w14:paraId="341FDBD4" w14:textId="77777777" w:rsidR="00EF6267" w:rsidRPr="00EF6267" w:rsidRDefault="00EF6267" w:rsidP="00EF6267">
            <w:pPr>
              <w:spacing w:line="240" w:lineRule="auto"/>
              <w:jc w:val="left"/>
              <w:rPr>
                <w:rFonts w:ascii="Calibri" w:eastAsia="Times New Roman" w:hAnsi="Calibri" w:cs="Calibri"/>
                <w:color w:val="FFFFFF"/>
                <w:lang w:eastAsia="en-GB"/>
              </w:rPr>
            </w:pPr>
            <w:r w:rsidRPr="00EF6267">
              <w:rPr>
                <w:rFonts w:ascii="Calibri" w:eastAsia="Times New Roman" w:hAnsi="Calibri" w:cs="Calibri"/>
                <w:color w:val="FFFFFF"/>
                <w:lang w:eastAsia="en-GB"/>
              </w:rPr>
              <w:t> </w:t>
            </w:r>
          </w:p>
        </w:tc>
        <w:tc>
          <w:tcPr>
            <w:tcW w:w="1047" w:type="pct"/>
            <w:tcBorders>
              <w:top w:val="nil"/>
              <w:left w:val="nil"/>
              <w:bottom w:val="nil"/>
              <w:right w:val="nil"/>
            </w:tcBorders>
            <w:shd w:val="clear" w:color="000000" w:fill="AB2328"/>
            <w:noWrap/>
            <w:vAlign w:val="center"/>
            <w:hideMark/>
          </w:tcPr>
          <w:p w14:paraId="45413247"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 xml:space="preserve"> 31 March 2024</w:t>
            </w:r>
          </w:p>
        </w:tc>
        <w:tc>
          <w:tcPr>
            <w:tcW w:w="1047" w:type="pct"/>
            <w:tcBorders>
              <w:top w:val="nil"/>
              <w:left w:val="nil"/>
              <w:bottom w:val="nil"/>
              <w:right w:val="nil"/>
            </w:tcBorders>
            <w:shd w:val="clear" w:color="000000" w:fill="AB2328"/>
            <w:noWrap/>
            <w:vAlign w:val="center"/>
            <w:hideMark/>
          </w:tcPr>
          <w:p w14:paraId="71329499"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 xml:space="preserve"> 31 March 2025</w:t>
            </w:r>
          </w:p>
        </w:tc>
      </w:tr>
      <w:tr w:rsidR="00EF6267" w:rsidRPr="00EF6267" w14:paraId="19077B7D" w14:textId="77777777" w:rsidTr="00EF6267">
        <w:trPr>
          <w:trHeight w:val="300"/>
        </w:trPr>
        <w:tc>
          <w:tcPr>
            <w:tcW w:w="2906" w:type="pct"/>
            <w:tcBorders>
              <w:top w:val="nil"/>
              <w:left w:val="nil"/>
              <w:bottom w:val="nil"/>
              <w:right w:val="nil"/>
            </w:tcBorders>
            <w:shd w:val="clear" w:color="000000" w:fill="AB2328"/>
            <w:vAlign w:val="center"/>
            <w:hideMark/>
          </w:tcPr>
          <w:p w14:paraId="6E5DB4D7" w14:textId="77777777" w:rsidR="00EF6267" w:rsidRPr="00EF6267" w:rsidRDefault="00EF6267" w:rsidP="00EF6267">
            <w:pPr>
              <w:spacing w:line="240" w:lineRule="auto"/>
              <w:jc w:val="left"/>
              <w:rPr>
                <w:rFonts w:ascii="Calibri" w:eastAsia="Times New Roman" w:hAnsi="Calibri" w:cs="Calibri"/>
                <w:color w:val="FFFFFF"/>
                <w:lang w:eastAsia="en-GB"/>
              </w:rPr>
            </w:pPr>
            <w:r w:rsidRPr="00EF6267">
              <w:rPr>
                <w:rFonts w:ascii="Calibri" w:eastAsia="Times New Roman" w:hAnsi="Calibri" w:cs="Calibri"/>
                <w:color w:val="FFFFFF"/>
                <w:lang w:eastAsia="en-GB"/>
              </w:rPr>
              <w:t> </w:t>
            </w:r>
          </w:p>
        </w:tc>
        <w:tc>
          <w:tcPr>
            <w:tcW w:w="1047" w:type="pct"/>
            <w:tcBorders>
              <w:top w:val="nil"/>
              <w:left w:val="nil"/>
              <w:bottom w:val="nil"/>
              <w:right w:val="nil"/>
            </w:tcBorders>
            <w:shd w:val="clear" w:color="000000" w:fill="AB2328"/>
            <w:vAlign w:val="center"/>
            <w:hideMark/>
          </w:tcPr>
          <w:p w14:paraId="1BEF7E44"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£000</w:t>
            </w:r>
          </w:p>
        </w:tc>
        <w:tc>
          <w:tcPr>
            <w:tcW w:w="1047" w:type="pct"/>
            <w:tcBorders>
              <w:top w:val="nil"/>
              <w:left w:val="nil"/>
              <w:bottom w:val="nil"/>
              <w:right w:val="nil"/>
            </w:tcBorders>
            <w:shd w:val="clear" w:color="000000" w:fill="AB2328"/>
            <w:vAlign w:val="center"/>
            <w:hideMark/>
          </w:tcPr>
          <w:p w14:paraId="4DCBA861" w14:textId="77777777" w:rsidR="00EF6267" w:rsidRPr="00EF6267" w:rsidRDefault="00EF6267" w:rsidP="00EF6267">
            <w:pPr>
              <w:spacing w:line="240" w:lineRule="auto"/>
              <w:jc w:val="right"/>
              <w:rPr>
                <w:rFonts w:ascii="Calibri" w:eastAsia="Times New Roman" w:hAnsi="Calibri" w:cs="Calibri"/>
                <w:b/>
                <w:bCs/>
                <w:color w:val="FFFFFF"/>
                <w:lang w:eastAsia="en-GB"/>
              </w:rPr>
            </w:pPr>
            <w:r w:rsidRPr="00EF6267">
              <w:rPr>
                <w:rFonts w:ascii="Calibri" w:eastAsia="Times New Roman" w:hAnsi="Calibri" w:cs="Calibri"/>
                <w:b/>
                <w:bCs/>
                <w:color w:val="FFFFFF"/>
                <w:lang w:eastAsia="en-GB"/>
              </w:rPr>
              <w:t>£000</w:t>
            </w:r>
          </w:p>
        </w:tc>
      </w:tr>
      <w:tr w:rsidR="00EF6267" w:rsidRPr="00EF6267" w14:paraId="039003D7" w14:textId="77777777" w:rsidTr="00EF6267">
        <w:trPr>
          <w:trHeight w:val="300"/>
        </w:trPr>
        <w:tc>
          <w:tcPr>
            <w:tcW w:w="2906" w:type="pct"/>
            <w:tcBorders>
              <w:top w:val="nil"/>
              <w:left w:val="nil"/>
              <w:bottom w:val="nil"/>
              <w:right w:val="nil"/>
            </w:tcBorders>
            <w:shd w:val="clear" w:color="000000" w:fill="FFFFFF"/>
            <w:hideMark/>
          </w:tcPr>
          <w:p w14:paraId="4F19339D"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Opening Fair Value of Employer Assets</w:t>
            </w:r>
          </w:p>
        </w:tc>
        <w:tc>
          <w:tcPr>
            <w:tcW w:w="1047" w:type="pct"/>
            <w:tcBorders>
              <w:top w:val="nil"/>
              <w:left w:val="nil"/>
              <w:bottom w:val="nil"/>
              <w:right w:val="nil"/>
            </w:tcBorders>
            <w:shd w:val="clear" w:color="000000" w:fill="FFE1E1"/>
            <w:noWrap/>
            <w:hideMark/>
          </w:tcPr>
          <w:p w14:paraId="14DDF9A3"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9,021</w:t>
            </w:r>
          </w:p>
        </w:tc>
        <w:tc>
          <w:tcPr>
            <w:tcW w:w="1047" w:type="pct"/>
            <w:tcBorders>
              <w:top w:val="nil"/>
              <w:left w:val="nil"/>
              <w:bottom w:val="nil"/>
              <w:right w:val="nil"/>
            </w:tcBorders>
            <w:shd w:val="clear" w:color="000000" w:fill="FFE1E1"/>
            <w:noWrap/>
            <w:hideMark/>
          </w:tcPr>
          <w:p w14:paraId="22BE8F66"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10,295</w:t>
            </w:r>
          </w:p>
        </w:tc>
      </w:tr>
      <w:tr w:rsidR="00EF6267" w:rsidRPr="00EF6267" w14:paraId="6B7A91BA" w14:textId="77777777" w:rsidTr="00EF6267">
        <w:trPr>
          <w:trHeight w:val="600"/>
        </w:trPr>
        <w:tc>
          <w:tcPr>
            <w:tcW w:w="2906" w:type="pct"/>
            <w:tcBorders>
              <w:top w:val="nil"/>
              <w:left w:val="nil"/>
              <w:bottom w:val="nil"/>
              <w:right w:val="nil"/>
            </w:tcBorders>
            <w:shd w:val="clear" w:color="000000" w:fill="FFFFFF"/>
            <w:hideMark/>
          </w:tcPr>
          <w:p w14:paraId="46F00308"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Return on Plan Assets, excluding the amount included in the net interest costs</w:t>
            </w:r>
          </w:p>
        </w:tc>
        <w:tc>
          <w:tcPr>
            <w:tcW w:w="1047" w:type="pct"/>
            <w:tcBorders>
              <w:top w:val="nil"/>
              <w:left w:val="nil"/>
              <w:bottom w:val="nil"/>
              <w:right w:val="nil"/>
            </w:tcBorders>
            <w:shd w:val="clear" w:color="000000" w:fill="FFE1E1"/>
            <w:noWrap/>
            <w:hideMark/>
          </w:tcPr>
          <w:p w14:paraId="00B11F07"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504</w:t>
            </w:r>
          </w:p>
        </w:tc>
        <w:tc>
          <w:tcPr>
            <w:tcW w:w="1047" w:type="pct"/>
            <w:tcBorders>
              <w:top w:val="nil"/>
              <w:left w:val="nil"/>
              <w:bottom w:val="nil"/>
              <w:right w:val="nil"/>
            </w:tcBorders>
            <w:shd w:val="clear" w:color="000000" w:fill="FFE1E1"/>
            <w:noWrap/>
            <w:hideMark/>
          </w:tcPr>
          <w:p w14:paraId="26001035"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(325)</w:t>
            </w:r>
          </w:p>
        </w:tc>
      </w:tr>
      <w:tr w:rsidR="00EF6267" w:rsidRPr="00EF6267" w14:paraId="05F62222" w14:textId="77777777" w:rsidTr="00EF6267">
        <w:trPr>
          <w:trHeight w:val="300"/>
        </w:trPr>
        <w:tc>
          <w:tcPr>
            <w:tcW w:w="2906" w:type="pct"/>
            <w:tcBorders>
              <w:top w:val="nil"/>
              <w:left w:val="nil"/>
              <w:bottom w:val="nil"/>
              <w:right w:val="nil"/>
            </w:tcBorders>
            <w:shd w:val="clear" w:color="000000" w:fill="FFFFFF"/>
            <w:hideMark/>
          </w:tcPr>
          <w:p w14:paraId="5835750F"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Interest income on Plan assets</w:t>
            </w:r>
          </w:p>
        </w:tc>
        <w:tc>
          <w:tcPr>
            <w:tcW w:w="1047" w:type="pct"/>
            <w:tcBorders>
              <w:top w:val="nil"/>
              <w:left w:val="nil"/>
              <w:bottom w:val="nil"/>
              <w:right w:val="nil"/>
            </w:tcBorders>
            <w:shd w:val="clear" w:color="000000" w:fill="FFE1E1"/>
            <w:noWrap/>
            <w:hideMark/>
          </w:tcPr>
          <w:p w14:paraId="15D892A6"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436</w:t>
            </w:r>
          </w:p>
        </w:tc>
        <w:tc>
          <w:tcPr>
            <w:tcW w:w="1047" w:type="pct"/>
            <w:tcBorders>
              <w:top w:val="nil"/>
              <w:left w:val="nil"/>
              <w:bottom w:val="nil"/>
              <w:right w:val="nil"/>
            </w:tcBorders>
            <w:shd w:val="clear" w:color="000000" w:fill="FFE1E1"/>
            <w:noWrap/>
            <w:hideMark/>
          </w:tcPr>
          <w:p w14:paraId="307EA7BF"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510</w:t>
            </w:r>
          </w:p>
        </w:tc>
      </w:tr>
      <w:tr w:rsidR="00EF6267" w:rsidRPr="00EF6267" w14:paraId="6183A9B7" w14:textId="77777777" w:rsidTr="00EF6267">
        <w:trPr>
          <w:trHeight w:val="300"/>
        </w:trPr>
        <w:tc>
          <w:tcPr>
            <w:tcW w:w="2906" w:type="pct"/>
            <w:tcBorders>
              <w:top w:val="nil"/>
              <w:left w:val="nil"/>
              <w:bottom w:val="nil"/>
              <w:right w:val="nil"/>
            </w:tcBorders>
            <w:shd w:val="clear" w:color="000000" w:fill="FFFFFF"/>
            <w:hideMark/>
          </w:tcPr>
          <w:p w14:paraId="4E881A5D"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Benefits Paid</w:t>
            </w:r>
          </w:p>
        </w:tc>
        <w:tc>
          <w:tcPr>
            <w:tcW w:w="1047" w:type="pct"/>
            <w:tcBorders>
              <w:top w:val="nil"/>
              <w:left w:val="nil"/>
              <w:bottom w:val="nil"/>
              <w:right w:val="nil"/>
            </w:tcBorders>
            <w:shd w:val="clear" w:color="000000" w:fill="FFE1E1"/>
            <w:noWrap/>
            <w:hideMark/>
          </w:tcPr>
          <w:p w14:paraId="56683B79"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(197)</w:t>
            </w:r>
          </w:p>
        </w:tc>
        <w:tc>
          <w:tcPr>
            <w:tcW w:w="1047" w:type="pct"/>
            <w:tcBorders>
              <w:top w:val="nil"/>
              <w:left w:val="nil"/>
              <w:bottom w:val="nil"/>
              <w:right w:val="nil"/>
            </w:tcBorders>
            <w:shd w:val="clear" w:color="000000" w:fill="FFE1E1"/>
            <w:noWrap/>
            <w:hideMark/>
          </w:tcPr>
          <w:p w14:paraId="77BE7B0D"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(168)</w:t>
            </w:r>
          </w:p>
        </w:tc>
      </w:tr>
      <w:tr w:rsidR="00EF6267" w:rsidRPr="00EF6267" w14:paraId="53B5AAC3" w14:textId="77777777" w:rsidTr="00EF6267">
        <w:trPr>
          <w:trHeight w:val="300"/>
        </w:trPr>
        <w:tc>
          <w:tcPr>
            <w:tcW w:w="2906" w:type="pct"/>
            <w:tcBorders>
              <w:top w:val="nil"/>
              <w:left w:val="nil"/>
              <w:bottom w:val="nil"/>
              <w:right w:val="nil"/>
            </w:tcBorders>
            <w:shd w:val="clear" w:color="000000" w:fill="FFFFFF"/>
            <w:hideMark/>
          </w:tcPr>
          <w:p w14:paraId="1312C566"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Contributions from Employer</w:t>
            </w:r>
          </w:p>
        </w:tc>
        <w:tc>
          <w:tcPr>
            <w:tcW w:w="1047" w:type="pct"/>
            <w:tcBorders>
              <w:top w:val="nil"/>
              <w:left w:val="nil"/>
              <w:bottom w:val="nil"/>
              <w:right w:val="nil"/>
            </w:tcBorders>
            <w:shd w:val="clear" w:color="000000" w:fill="FFE1E1"/>
            <w:noWrap/>
            <w:hideMark/>
          </w:tcPr>
          <w:p w14:paraId="522B8D74"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389</w:t>
            </w:r>
          </w:p>
        </w:tc>
        <w:tc>
          <w:tcPr>
            <w:tcW w:w="1047" w:type="pct"/>
            <w:tcBorders>
              <w:top w:val="nil"/>
              <w:left w:val="nil"/>
              <w:bottom w:val="nil"/>
              <w:right w:val="nil"/>
            </w:tcBorders>
            <w:shd w:val="clear" w:color="000000" w:fill="FFE1E1"/>
            <w:noWrap/>
            <w:hideMark/>
          </w:tcPr>
          <w:p w14:paraId="6BDE8C34"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461</w:t>
            </w:r>
          </w:p>
        </w:tc>
      </w:tr>
      <w:tr w:rsidR="00EF6267" w:rsidRPr="00EF6267" w14:paraId="01AB5A1E" w14:textId="77777777" w:rsidTr="00EF6267">
        <w:trPr>
          <w:trHeight w:val="300"/>
        </w:trPr>
        <w:tc>
          <w:tcPr>
            <w:tcW w:w="2906" w:type="pct"/>
            <w:tcBorders>
              <w:top w:val="nil"/>
              <w:left w:val="nil"/>
              <w:bottom w:val="nil"/>
              <w:right w:val="nil"/>
            </w:tcBorders>
            <w:shd w:val="clear" w:color="000000" w:fill="FFFFFF"/>
            <w:hideMark/>
          </w:tcPr>
          <w:p w14:paraId="7B64EF0D" w14:textId="77777777" w:rsidR="00EF6267" w:rsidRPr="00EF6267" w:rsidRDefault="00EF6267" w:rsidP="00EF6267">
            <w:pPr>
              <w:spacing w:line="240" w:lineRule="auto"/>
              <w:jc w:val="left"/>
              <w:rPr>
                <w:rFonts w:ascii="Calibri" w:eastAsia="Times New Roman" w:hAnsi="Calibri" w:cs="Calibri"/>
                <w:color w:val="000000"/>
                <w:lang w:eastAsia="en-GB"/>
              </w:rPr>
            </w:pPr>
            <w:r w:rsidRPr="00EF6267">
              <w:rPr>
                <w:rFonts w:ascii="Calibri" w:eastAsia="Times New Roman" w:hAnsi="Calibri" w:cs="Calibri"/>
                <w:color w:val="000000"/>
                <w:lang w:eastAsia="en-GB"/>
              </w:rPr>
              <w:t>Contributions by scheme participants</w:t>
            </w:r>
          </w:p>
        </w:tc>
        <w:tc>
          <w:tcPr>
            <w:tcW w:w="1047" w:type="pct"/>
            <w:tcBorders>
              <w:top w:val="nil"/>
              <w:left w:val="nil"/>
              <w:bottom w:val="nil"/>
              <w:right w:val="nil"/>
            </w:tcBorders>
            <w:shd w:val="clear" w:color="000000" w:fill="FFE1E1"/>
            <w:noWrap/>
            <w:hideMark/>
          </w:tcPr>
          <w:p w14:paraId="6A33BB5C"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142</w:t>
            </w:r>
          </w:p>
        </w:tc>
        <w:tc>
          <w:tcPr>
            <w:tcW w:w="1047" w:type="pct"/>
            <w:tcBorders>
              <w:top w:val="nil"/>
              <w:left w:val="nil"/>
              <w:bottom w:val="nil"/>
              <w:right w:val="nil"/>
            </w:tcBorders>
            <w:shd w:val="clear" w:color="000000" w:fill="FFE1E1"/>
            <w:noWrap/>
            <w:hideMark/>
          </w:tcPr>
          <w:p w14:paraId="5DA79927" w14:textId="77777777" w:rsidR="00EF6267" w:rsidRPr="00EF6267" w:rsidRDefault="00EF6267" w:rsidP="00EF6267">
            <w:pPr>
              <w:spacing w:line="240" w:lineRule="auto"/>
              <w:jc w:val="right"/>
              <w:rPr>
                <w:rFonts w:ascii="Calibri" w:eastAsia="Times New Roman" w:hAnsi="Calibri" w:cs="Calibri"/>
                <w:color w:val="000000"/>
                <w:lang w:eastAsia="en-GB"/>
              </w:rPr>
            </w:pPr>
            <w:r w:rsidRPr="00EF6267">
              <w:rPr>
                <w:rFonts w:ascii="Calibri" w:eastAsia="Times New Roman" w:hAnsi="Calibri" w:cs="Calibri"/>
                <w:color w:val="000000"/>
                <w:lang w:eastAsia="en-GB"/>
              </w:rPr>
              <w:t>162</w:t>
            </w:r>
          </w:p>
        </w:tc>
      </w:tr>
      <w:tr w:rsidR="00EF6267" w:rsidRPr="00EF6267" w14:paraId="15A414E0" w14:textId="77777777" w:rsidTr="00EF6267">
        <w:trPr>
          <w:trHeight w:val="300"/>
        </w:trPr>
        <w:tc>
          <w:tcPr>
            <w:tcW w:w="2906" w:type="pct"/>
            <w:tcBorders>
              <w:top w:val="single" w:sz="4" w:space="0" w:color="000000"/>
              <w:left w:val="nil"/>
              <w:bottom w:val="single" w:sz="4" w:space="0" w:color="000000"/>
              <w:right w:val="nil"/>
            </w:tcBorders>
            <w:shd w:val="clear" w:color="000000" w:fill="FFFFFF"/>
            <w:hideMark/>
          </w:tcPr>
          <w:p w14:paraId="25ACE86C" w14:textId="77777777" w:rsidR="00EF6267" w:rsidRPr="00EF6267" w:rsidRDefault="00EF6267" w:rsidP="00EF6267">
            <w:pPr>
              <w:spacing w:line="240" w:lineRule="auto"/>
              <w:jc w:val="left"/>
              <w:rPr>
                <w:rFonts w:ascii="Calibri" w:eastAsia="Times New Roman" w:hAnsi="Calibri" w:cs="Calibri"/>
                <w:b/>
                <w:bCs/>
                <w:color w:val="000000"/>
                <w:lang w:eastAsia="en-GB"/>
              </w:rPr>
            </w:pPr>
            <w:r w:rsidRPr="00EF6267">
              <w:rPr>
                <w:rFonts w:ascii="Calibri" w:eastAsia="Times New Roman" w:hAnsi="Calibri" w:cs="Calibri"/>
                <w:b/>
                <w:bCs/>
                <w:color w:val="000000"/>
                <w:lang w:eastAsia="en-GB"/>
              </w:rPr>
              <w:t>Closing Fair Value of Employer Assets</w:t>
            </w:r>
          </w:p>
        </w:tc>
        <w:tc>
          <w:tcPr>
            <w:tcW w:w="1047" w:type="pct"/>
            <w:tcBorders>
              <w:top w:val="single" w:sz="4" w:space="0" w:color="000000"/>
              <w:left w:val="nil"/>
              <w:bottom w:val="single" w:sz="4" w:space="0" w:color="000000"/>
              <w:right w:val="nil"/>
            </w:tcBorders>
            <w:shd w:val="clear" w:color="000000" w:fill="FFE1E1"/>
            <w:hideMark/>
          </w:tcPr>
          <w:p w14:paraId="755D4190" w14:textId="77777777" w:rsidR="00EF6267" w:rsidRPr="00EF6267" w:rsidRDefault="00EF6267" w:rsidP="00EF6267">
            <w:pPr>
              <w:spacing w:line="240" w:lineRule="auto"/>
              <w:jc w:val="right"/>
              <w:rPr>
                <w:rFonts w:ascii="Calibri" w:eastAsia="Times New Roman" w:hAnsi="Calibri" w:cs="Calibri"/>
                <w:b/>
                <w:bCs/>
                <w:color w:val="000000"/>
                <w:lang w:eastAsia="en-GB"/>
              </w:rPr>
            </w:pPr>
            <w:r w:rsidRPr="00EF6267">
              <w:rPr>
                <w:rFonts w:ascii="Calibri" w:eastAsia="Times New Roman" w:hAnsi="Calibri" w:cs="Calibri"/>
                <w:b/>
                <w:bCs/>
                <w:color w:val="000000"/>
                <w:lang w:eastAsia="en-GB"/>
              </w:rPr>
              <w:t>10,295</w:t>
            </w:r>
          </w:p>
        </w:tc>
        <w:tc>
          <w:tcPr>
            <w:tcW w:w="1047" w:type="pct"/>
            <w:tcBorders>
              <w:top w:val="single" w:sz="4" w:space="0" w:color="000000"/>
              <w:left w:val="nil"/>
              <w:bottom w:val="single" w:sz="4" w:space="0" w:color="000000"/>
              <w:right w:val="nil"/>
            </w:tcBorders>
            <w:shd w:val="clear" w:color="000000" w:fill="FFE1E1"/>
            <w:hideMark/>
          </w:tcPr>
          <w:p w14:paraId="15A9295A" w14:textId="77777777" w:rsidR="00EF6267" w:rsidRPr="00EF6267" w:rsidRDefault="00EF6267" w:rsidP="00EF6267">
            <w:pPr>
              <w:spacing w:line="240" w:lineRule="auto"/>
              <w:jc w:val="right"/>
              <w:rPr>
                <w:rFonts w:ascii="Calibri" w:eastAsia="Times New Roman" w:hAnsi="Calibri" w:cs="Calibri"/>
                <w:b/>
                <w:bCs/>
                <w:color w:val="000000"/>
                <w:lang w:eastAsia="en-GB"/>
              </w:rPr>
            </w:pPr>
            <w:r w:rsidRPr="00EF6267">
              <w:rPr>
                <w:rFonts w:ascii="Calibri" w:eastAsia="Times New Roman" w:hAnsi="Calibri" w:cs="Calibri"/>
                <w:b/>
                <w:bCs/>
                <w:color w:val="000000"/>
                <w:lang w:eastAsia="en-GB"/>
              </w:rPr>
              <w:t>10,935</w:t>
            </w:r>
          </w:p>
        </w:tc>
      </w:tr>
    </w:tbl>
    <w:p w14:paraId="11716EDB" w14:textId="3BCB6D9D" w:rsidR="000F7DCF" w:rsidRDefault="000F7DCF" w:rsidP="000F7DCF"/>
    <w:p w14:paraId="32861AEE" w14:textId="3F180051" w:rsidR="000F7DCF" w:rsidRDefault="24189549" w:rsidP="000F7DCF">
      <w:r>
        <w:t>The expected return on scheme assets is determined by considering the expected returns available on the assets underlying the current investment policy.</w:t>
      </w:r>
      <w:r w:rsidR="77F39938">
        <w:t xml:space="preserve"> </w:t>
      </w:r>
      <w:r>
        <w:t xml:space="preserve">Expected yields on fixed interest investments are based on gross </w:t>
      </w:r>
      <w:r>
        <w:lastRenderedPageBreak/>
        <w:t xml:space="preserve">redemption yields as at the Balance Sheet date.  Expected returns on equity investments reflect long-term real rates of return experienced in the respective markets. </w:t>
      </w:r>
    </w:p>
    <w:p w14:paraId="7C1E1FCF" w14:textId="228D1380" w:rsidR="6C31340A" w:rsidRDefault="6C31340A"/>
    <w:p w14:paraId="423CD49A" w14:textId="72B48243" w:rsidR="000F7DCF" w:rsidRPr="005F273C" w:rsidRDefault="000F7DCF" w:rsidP="002A1ADD">
      <w:pPr>
        <w:pStyle w:val="VAHeadingLevel2"/>
      </w:pPr>
      <w:r w:rsidRPr="005F273C">
        <w:t>Note 3</w:t>
      </w:r>
      <w:r w:rsidR="00A35BE3" w:rsidRPr="005F273C">
        <w:t>7.3</w:t>
      </w:r>
      <w:r w:rsidRPr="005F273C">
        <w:t xml:space="preserve">. Scheme </w:t>
      </w:r>
      <w:r w:rsidR="00A35BE3" w:rsidRPr="005F273C">
        <w:t>H</w:t>
      </w:r>
      <w:r w:rsidRPr="005F273C">
        <w:t xml:space="preserve">istory </w:t>
      </w:r>
    </w:p>
    <w:p w14:paraId="2A1C2247" w14:textId="41C849FE" w:rsidR="00C30DC3" w:rsidRPr="00CD2AA2" w:rsidRDefault="00C30DC3" w:rsidP="000F7DCF">
      <w:pPr>
        <w:rPr>
          <w:rFonts w:cstheme="minorBidi"/>
          <w:sz w:val="10"/>
          <w:szCs w:val="10"/>
        </w:rPr>
      </w:pPr>
    </w:p>
    <w:tbl>
      <w:tblPr>
        <w:tblW w:w="10395" w:type="dxa"/>
        <w:tblLayout w:type="fixed"/>
        <w:tblLook w:val="04A0" w:firstRow="1" w:lastRow="0" w:firstColumn="1" w:lastColumn="0" w:noHBand="0" w:noVBand="1"/>
      </w:tblPr>
      <w:tblGrid>
        <w:gridCol w:w="2886"/>
        <w:gridCol w:w="1440"/>
        <w:gridCol w:w="1168"/>
        <w:gridCol w:w="1200"/>
        <w:gridCol w:w="1363"/>
        <w:gridCol w:w="1168"/>
        <w:gridCol w:w="1170"/>
      </w:tblGrid>
      <w:tr w:rsidR="009A6AF2" w:rsidRPr="007C4F11" w14:paraId="42854DE7" w14:textId="77777777" w:rsidTr="5A995008">
        <w:trPr>
          <w:trHeight w:val="1160"/>
        </w:trPr>
        <w:tc>
          <w:tcPr>
            <w:tcW w:w="2886" w:type="dxa"/>
            <w:tcBorders>
              <w:top w:val="nil"/>
              <w:left w:val="nil"/>
              <w:bottom w:val="nil"/>
              <w:right w:val="nil"/>
            </w:tcBorders>
            <w:shd w:val="clear" w:color="auto" w:fill="AB2328"/>
            <w:vAlign w:val="center"/>
            <w:hideMark/>
          </w:tcPr>
          <w:p w14:paraId="7AE7EB8E" w14:textId="77777777" w:rsidR="007C4F11" w:rsidRPr="007C4F11" w:rsidRDefault="007C4F11" w:rsidP="007C4F11">
            <w:pPr>
              <w:spacing w:line="240" w:lineRule="auto"/>
              <w:jc w:val="left"/>
              <w:rPr>
                <w:rFonts w:ascii="Calibri" w:eastAsia="Times New Roman" w:hAnsi="Calibri" w:cs="Calibri"/>
                <w:color w:val="FFFFFF"/>
                <w:lang w:eastAsia="en-GB"/>
              </w:rPr>
            </w:pPr>
            <w:r w:rsidRPr="007C4F11">
              <w:rPr>
                <w:rFonts w:ascii="Calibri" w:eastAsia="Times New Roman" w:hAnsi="Calibri" w:cs="Calibri"/>
                <w:color w:val="FFFFFF"/>
                <w:lang w:eastAsia="en-GB"/>
              </w:rPr>
              <w:t> </w:t>
            </w:r>
          </w:p>
        </w:tc>
        <w:tc>
          <w:tcPr>
            <w:tcW w:w="1440" w:type="dxa"/>
            <w:tcBorders>
              <w:top w:val="nil"/>
              <w:left w:val="nil"/>
              <w:bottom w:val="nil"/>
              <w:right w:val="nil"/>
            </w:tcBorders>
            <w:shd w:val="clear" w:color="auto" w:fill="AB2328"/>
            <w:vAlign w:val="center"/>
            <w:hideMark/>
          </w:tcPr>
          <w:p w14:paraId="2E44B2EE"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Local Government Pension Scheme</w:t>
            </w:r>
          </w:p>
        </w:tc>
        <w:tc>
          <w:tcPr>
            <w:tcW w:w="1168" w:type="dxa"/>
            <w:tcBorders>
              <w:top w:val="nil"/>
              <w:left w:val="nil"/>
              <w:bottom w:val="nil"/>
              <w:right w:val="nil"/>
            </w:tcBorders>
            <w:shd w:val="clear" w:color="auto" w:fill="AB2328"/>
            <w:vAlign w:val="center"/>
            <w:hideMark/>
          </w:tcPr>
          <w:p w14:paraId="1C91102E"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Fire Fighters Pension Scheme</w:t>
            </w:r>
          </w:p>
        </w:tc>
        <w:tc>
          <w:tcPr>
            <w:tcW w:w="1200" w:type="dxa"/>
            <w:tcBorders>
              <w:top w:val="nil"/>
              <w:left w:val="nil"/>
              <w:bottom w:val="nil"/>
              <w:right w:val="nil"/>
            </w:tcBorders>
            <w:shd w:val="clear" w:color="auto" w:fill="AB2328"/>
            <w:vAlign w:val="center"/>
            <w:hideMark/>
          </w:tcPr>
          <w:p w14:paraId="042685A3"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Total</w:t>
            </w:r>
          </w:p>
        </w:tc>
        <w:tc>
          <w:tcPr>
            <w:tcW w:w="1363" w:type="dxa"/>
            <w:tcBorders>
              <w:top w:val="nil"/>
              <w:left w:val="nil"/>
              <w:bottom w:val="nil"/>
              <w:right w:val="nil"/>
            </w:tcBorders>
            <w:shd w:val="clear" w:color="auto" w:fill="AB2328"/>
            <w:vAlign w:val="center"/>
            <w:hideMark/>
          </w:tcPr>
          <w:p w14:paraId="54E17849"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Local Government Pension Scheme</w:t>
            </w:r>
          </w:p>
        </w:tc>
        <w:tc>
          <w:tcPr>
            <w:tcW w:w="1168" w:type="dxa"/>
            <w:tcBorders>
              <w:top w:val="nil"/>
              <w:left w:val="nil"/>
              <w:bottom w:val="nil"/>
              <w:right w:val="nil"/>
            </w:tcBorders>
            <w:shd w:val="clear" w:color="auto" w:fill="AB2328"/>
            <w:vAlign w:val="center"/>
            <w:hideMark/>
          </w:tcPr>
          <w:p w14:paraId="68D05997"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Fire Fighters Pension Scheme</w:t>
            </w:r>
          </w:p>
        </w:tc>
        <w:tc>
          <w:tcPr>
            <w:tcW w:w="1170" w:type="dxa"/>
            <w:tcBorders>
              <w:top w:val="nil"/>
              <w:left w:val="nil"/>
              <w:bottom w:val="nil"/>
              <w:right w:val="nil"/>
            </w:tcBorders>
            <w:shd w:val="clear" w:color="auto" w:fill="AB2328"/>
            <w:vAlign w:val="center"/>
            <w:hideMark/>
          </w:tcPr>
          <w:p w14:paraId="1C09E43A"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Total</w:t>
            </w:r>
          </w:p>
        </w:tc>
      </w:tr>
      <w:tr w:rsidR="009A6AF2" w:rsidRPr="007C4F11" w14:paraId="67A148DA" w14:textId="77777777" w:rsidTr="5A995008">
        <w:trPr>
          <w:trHeight w:val="290"/>
        </w:trPr>
        <w:tc>
          <w:tcPr>
            <w:tcW w:w="2886" w:type="dxa"/>
            <w:tcBorders>
              <w:top w:val="nil"/>
              <w:left w:val="nil"/>
              <w:bottom w:val="nil"/>
              <w:right w:val="nil"/>
            </w:tcBorders>
            <w:shd w:val="clear" w:color="auto" w:fill="AB2328"/>
            <w:vAlign w:val="center"/>
            <w:hideMark/>
          </w:tcPr>
          <w:p w14:paraId="0F0A5FAD" w14:textId="77777777" w:rsidR="007C4F11" w:rsidRPr="007C4F11" w:rsidRDefault="007C4F11" w:rsidP="007C4F11">
            <w:pPr>
              <w:spacing w:line="240" w:lineRule="auto"/>
              <w:jc w:val="left"/>
              <w:rPr>
                <w:rFonts w:ascii="Calibri" w:eastAsia="Times New Roman" w:hAnsi="Calibri" w:cs="Calibri"/>
                <w:color w:val="FFFFFF"/>
                <w:lang w:eastAsia="en-GB"/>
              </w:rPr>
            </w:pPr>
            <w:r w:rsidRPr="007C4F11">
              <w:rPr>
                <w:rFonts w:ascii="Calibri" w:eastAsia="Times New Roman" w:hAnsi="Calibri" w:cs="Calibri"/>
                <w:color w:val="FFFFFF"/>
                <w:lang w:eastAsia="en-GB"/>
              </w:rPr>
              <w:t> </w:t>
            </w:r>
          </w:p>
        </w:tc>
        <w:tc>
          <w:tcPr>
            <w:tcW w:w="1440" w:type="dxa"/>
            <w:tcBorders>
              <w:top w:val="nil"/>
              <w:left w:val="nil"/>
              <w:bottom w:val="nil"/>
              <w:right w:val="nil"/>
            </w:tcBorders>
            <w:shd w:val="clear" w:color="auto" w:fill="AB2328"/>
            <w:noWrap/>
            <w:vAlign w:val="center"/>
            <w:hideMark/>
          </w:tcPr>
          <w:p w14:paraId="1C0531A3"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2024</w:t>
            </w:r>
          </w:p>
        </w:tc>
        <w:tc>
          <w:tcPr>
            <w:tcW w:w="1168" w:type="dxa"/>
            <w:tcBorders>
              <w:top w:val="nil"/>
              <w:left w:val="nil"/>
              <w:bottom w:val="nil"/>
              <w:right w:val="nil"/>
            </w:tcBorders>
            <w:shd w:val="clear" w:color="auto" w:fill="AB2328"/>
            <w:noWrap/>
            <w:vAlign w:val="center"/>
            <w:hideMark/>
          </w:tcPr>
          <w:p w14:paraId="0E4E0020"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2024</w:t>
            </w:r>
          </w:p>
        </w:tc>
        <w:tc>
          <w:tcPr>
            <w:tcW w:w="1200" w:type="dxa"/>
            <w:tcBorders>
              <w:top w:val="nil"/>
              <w:left w:val="nil"/>
              <w:bottom w:val="nil"/>
              <w:right w:val="nil"/>
            </w:tcBorders>
            <w:shd w:val="clear" w:color="auto" w:fill="AB2328"/>
            <w:noWrap/>
            <w:vAlign w:val="center"/>
            <w:hideMark/>
          </w:tcPr>
          <w:p w14:paraId="61679128"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2024</w:t>
            </w:r>
          </w:p>
        </w:tc>
        <w:tc>
          <w:tcPr>
            <w:tcW w:w="1363" w:type="dxa"/>
            <w:tcBorders>
              <w:top w:val="nil"/>
              <w:left w:val="nil"/>
              <w:bottom w:val="nil"/>
              <w:right w:val="nil"/>
            </w:tcBorders>
            <w:shd w:val="clear" w:color="auto" w:fill="AB2328"/>
            <w:noWrap/>
            <w:vAlign w:val="center"/>
            <w:hideMark/>
          </w:tcPr>
          <w:p w14:paraId="5D389AF3"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2025</w:t>
            </w:r>
          </w:p>
        </w:tc>
        <w:tc>
          <w:tcPr>
            <w:tcW w:w="1168" w:type="dxa"/>
            <w:tcBorders>
              <w:top w:val="nil"/>
              <w:left w:val="nil"/>
              <w:bottom w:val="nil"/>
              <w:right w:val="nil"/>
            </w:tcBorders>
            <w:shd w:val="clear" w:color="auto" w:fill="AB2328"/>
            <w:noWrap/>
            <w:vAlign w:val="center"/>
            <w:hideMark/>
          </w:tcPr>
          <w:p w14:paraId="5F9D39F0"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2025</w:t>
            </w:r>
          </w:p>
        </w:tc>
        <w:tc>
          <w:tcPr>
            <w:tcW w:w="1170" w:type="dxa"/>
            <w:tcBorders>
              <w:top w:val="nil"/>
              <w:left w:val="nil"/>
              <w:bottom w:val="nil"/>
              <w:right w:val="nil"/>
            </w:tcBorders>
            <w:shd w:val="clear" w:color="auto" w:fill="AB2328"/>
            <w:noWrap/>
            <w:vAlign w:val="center"/>
            <w:hideMark/>
          </w:tcPr>
          <w:p w14:paraId="2DC487FA"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31 March 2025</w:t>
            </w:r>
          </w:p>
        </w:tc>
      </w:tr>
      <w:tr w:rsidR="009A6AF2" w:rsidRPr="007C4F11" w14:paraId="3187B275" w14:textId="77777777" w:rsidTr="5A995008">
        <w:trPr>
          <w:trHeight w:val="290"/>
        </w:trPr>
        <w:tc>
          <w:tcPr>
            <w:tcW w:w="2886" w:type="dxa"/>
            <w:tcBorders>
              <w:top w:val="nil"/>
              <w:left w:val="nil"/>
              <w:bottom w:val="nil"/>
              <w:right w:val="nil"/>
            </w:tcBorders>
            <w:shd w:val="clear" w:color="auto" w:fill="AB2328"/>
            <w:vAlign w:val="center"/>
            <w:hideMark/>
          </w:tcPr>
          <w:p w14:paraId="3174B487" w14:textId="77777777" w:rsidR="007C4F11" w:rsidRPr="007C4F11" w:rsidRDefault="007C4F11" w:rsidP="007C4F11">
            <w:pPr>
              <w:spacing w:line="240" w:lineRule="auto"/>
              <w:jc w:val="left"/>
              <w:rPr>
                <w:rFonts w:ascii="Calibri" w:eastAsia="Times New Roman" w:hAnsi="Calibri" w:cs="Calibri"/>
                <w:color w:val="FFFFFF"/>
                <w:lang w:eastAsia="en-GB"/>
              </w:rPr>
            </w:pPr>
            <w:r w:rsidRPr="007C4F11">
              <w:rPr>
                <w:rFonts w:ascii="Calibri" w:eastAsia="Times New Roman" w:hAnsi="Calibri" w:cs="Calibri"/>
                <w:color w:val="FFFFFF"/>
                <w:lang w:eastAsia="en-GB"/>
              </w:rPr>
              <w:t> </w:t>
            </w:r>
          </w:p>
        </w:tc>
        <w:tc>
          <w:tcPr>
            <w:tcW w:w="1440" w:type="dxa"/>
            <w:tcBorders>
              <w:top w:val="nil"/>
              <w:left w:val="nil"/>
              <w:bottom w:val="nil"/>
              <w:right w:val="nil"/>
            </w:tcBorders>
            <w:shd w:val="clear" w:color="auto" w:fill="AB2328"/>
            <w:vAlign w:val="center"/>
            <w:hideMark/>
          </w:tcPr>
          <w:p w14:paraId="653E7702"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c>
          <w:tcPr>
            <w:tcW w:w="1168" w:type="dxa"/>
            <w:tcBorders>
              <w:top w:val="nil"/>
              <w:left w:val="nil"/>
              <w:bottom w:val="nil"/>
              <w:right w:val="nil"/>
            </w:tcBorders>
            <w:shd w:val="clear" w:color="auto" w:fill="AB2328"/>
            <w:vAlign w:val="center"/>
            <w:hideMark/>
          </w:tcPr>
          <w:p w14:paraId="28686B02"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c>
          <w:tcPr>
            <w:tcW w:w="1200" w:type="dxa"/>
            <w:tcBorders>
              <w:top w:val="nil"/>
              <w:left w:val="nil"/>
              <w:bottom w:val="nil"/>
              <w:right w:val="nil"/>
            </w:tcBorders>
            <w:shd w:val="clear" w:color="auto" w:fill="AB2328"/>
            <w:vAlign w:val="center"/>
            <w:hideMark/>
          </w:tcPr>
          <w:p w14:paraId="48DDF90D"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c>
          <w:tcPr>
            <w:tcW w:w="1363" w:type="dxa"/>
            <w:tcBorders>
              <w:top w:val="nil"/>
              <w:left w:val="nil"/>
              <w:bottom w:val="nil"/>
              <w:right w:val="nil"/>
            </w:tcBorders>
            <w:shd w:val="clear" w:color="auto" w:fill="AB2328"/>
            <w:vAlign w:val="center"/>
            <w:hideMark/>
          </w:tcPr>
          <w:p w14:paraId="06A852F3"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c>
          <w:tcPr>
            <w:tcW w:w="1168" w:type="dxa"/>
            <w:tcBorders>
              <w:top w:val="nil"/>
              <w:left w:val="nil"/>
              <w:bottom w:val="nil"/>
              <w:right w:val="nil"/>
            </w:tcBorders>
            <w:shd w:val="clear" w:color="auto" w:fill="AB2328"/>
            <w:vAlign w:val="center"/>
            <w:hideMark/>
          </w:tcPr>
          <w:p w14:paraId="0282E4FC"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c>
          <w:tcPr>
            <w:tcW w:w="1170" w:type="dxa"/>
            <w:tcBorders>
              <w:top w:val="nil"/>
              <w:left w:val="nil"/>
              <w:bottom w:val="nil"/>
              <w:right w:val="nil"/>
            </w:tcBorders>
            <w:shd w:val="clear" w:color="auto" w:fill="AB2328"/>
            <w:vAlign w:val="center"/>
            <w:hideMark/>
          </w:tcPr>
          <w:p w14:paraId="72974D91" w14:textId="77777777" w:rsidR="007C4F11" w:rsidRPr="007C4F11" w:rsidRDefault="007C4F11" w:rsidP="007C4F11">
            <w:pPr>
              <w:spacing w:line="240" w:lineRule="auto"/>
              <w:jc w:val="right"/>
              <w:rPr>
                <w:rFonts w:ascii="Calibri" w:eastAsia="Times New Roman" w:hAnsi="Calibri" w:cs="Calibri"/>
                <w:b/>
                <w:bCs/>
                <w:color w:val="FFFFFF"/>
                <w:lang w:eastAsia="en-GB"/>
              </w:rPr>
            </w:pPr>
            <w:r w:rsidRPr="007C4F11">
              <w:rPr>
                <w:rFonts w:ascii="Calibri" w:eastAsia="Times New Roman" w:hAnsi="Calibri" w:cs="Calibri"/>
                <w:b/>
                <w:bCs/>
                <w:color w:val="FFFFFF"/>
                <w:lang w:eastAsia="en-GB"/>
              </w:rPr>
              <w:t>£000</w:t>
            </w:r>
          </w:p>
        </w:tc>
      </w:tr>
      <w:tr w:rsidR="009A6AF2" w:rsidRPr="007C4F11" w14:paraId="5C58BB29" w14:textId="77777777" w:rsidTr="5A995008">
        <w:trPr>
          <w:trHeight w:val="290"/>
        </w:trPr>
        <w:tc>
          <w:tcPr>
            <w:tcW w:w="2886" w:type="dxa"/>
            <w:tcBorders>
              <w:top w:val="nil"/>
              <w:left w:val="nil"/>
              <w:bottom w:val="nil"/>
              <w:right w:val="nil"/>
            </w:tcBorders>
            <w:shd w:val="clear" w:color="auto" w:fill="FFFFFF" w:themeFill="background1"/>
            <w:hideMark/>
          </w:tcPr>
          <w:p w14:paraId="3DD609F2" w14:textId="77777777" w:rsidR="007C4F11" w:rsidRPr="007C4F11" w:rsidRDefault="007C4F11" w:rsidP="007C4F11">
            <w:pPr>
              <w:spacing w:line="240" w:lineRule="auto"/>
              <w:jc w:val="left"/>
              <w:rPr>
                <w:rFonts w:ascii="Calibri" w:eastAsia="Times New Roman" w:hAnsi="Calibri" w:cs="Calibri"/>
                <w:color w:val="000000"/>
                <w:lang w:eastAsia="en-GB"/>
              </w:rPr>
            </w:pPr>
            <w:r w:rsidRPr="007C4F11">
              <w:rPr>
                <w:rFonts w:ascii="Calibri" w:eastAsia="Times New Roman" w:hAnsi="Calibri" w:cs="Calibri"/>
                <w:color w:val="000000"/>
                <w:lang w:eastAsia="en-GB"/>
              </w:rPr>
              <w:t>Present value of the defined benefit obligation</w:t>
            </w:r>
          </w:p>
        </w:tc>
        <w:tc>
          <w:tcPr>
            <w:tcW w:w="1440" w:type="dxa"/>
            <w:tcBorders>
              <w:top w:val="nil"/>
              <w:left w:val="nil"/>
              <w:bottom w:val="nil"/>
              <w:right w:val="nil"/>
            </w:tcBorders>
            <w:shd w:val="clear" w:color="auto" w:fill="FFFFFF" w:themeFill="background1"/>
            <w:hideMark/>
          </w:tcPr>
          <w:p w14:paraId="574861C7"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(9,782)</w:t>
            </w:r>
          </w:p>
        </w:tc>
        <w:tc>
          <w:tcPr>
            <w:tcW w:w="1168" w:type="dxa"/>
            <w:tcBorders>
              <w:top w:val="nil"/>
              <w:left w:val="nil"/>
              <w:bottom w:val="nil"/>
              <w:right w:val="nil"/>
            </w:tcBorders>
            <w:shd w:val="clear" w:color="auto" w:fill="FFFFFF" w:themeFill="background1"/>
            <w:hideMark/>
          </w:tcPr>
          <w:p w14:paraId="0EDBF978"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(245,880)</w:t>
            </w:r>
          </w:p>
        </w:tc>
        <w:tc>
          <w:tcPr>
            <w:tcW w:w="1200" w:type="dxa"/>
            <w:tcBorders>
              <w:top w:val="nil"/>
              <w:left w:val="nil"/>
              <w:bottom w:val="nil"/>
              <w:right w:val="nil"/>
            </w:tcBorders>
            <w:shd w:val="clear" w:color="auto" w:fill="FFE1E1"/>
            <w:noWrap/>
            <w:hideMark/>
          </w:tcPr>
          <w:p w14:paraId="27FE32D5"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(255,662)</w:t>
            </w:r>
          </w:p>
        </w:tc>
        <w:tc>
          <w:tcPr>
            <w:tcW w:w="1363" w:type="dxa"/>
            <w:tcBorders>
              <w:top w:val="nil"/>
              <w:left w:val="nil"/>
              <w:bottom w:val="nil"/>
              <w:right w:val="nil"/>
            </w:tcBorders>
            <w:shd w:val="clear" w:color="auto" w:fill="FFFFFF" w:themeFill="background1"/>
            <w:hideMark/>
          </w:tcPr>
          <w:p w14:paraId="5DF0DEBB"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(8,810)</w:t>
            </w:r>
          </w:p>
        </w:tc>
        <w:tc>
          <w:tcPr>
            <w:tcW w:w="1168" w:type="dxa"/>
            <w:tcBorders>
              <w:top w:val="nil"/>
              <w:left w:val="nil"/>
              <w:bottom w:val="nil"/>
              <w:right w:val="nil"/>
            </w:tcBorders>
            <w:shd w:val="clear" w:color="auto" w:fill="FFFFFF" w:themeFill="background1"/>
            <w:hideMark/>
          </w:tcPr>
          <w:p w14:paraId="7C9DA577"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(222,470)</w:t>
            </w:r>
          </w:p>
        </w:tc>
        <w:tc>
          <w:tcPr>
            <w:tcW w:w="1170" w:type="dxa"/>
            <w:tcBorders>
              <w:top w:val="nil"/>
              <w:left w:val="nil"/>
              <w:bottom w:val="nil"/>
              <w:right w:val="nil"/>
            </w:tcBorders>
            <w:shd w:val="clear" w:color="auto" w:fill="FFE1E1"/>
            <w:noWrap/>
            <w:hideMark/>
          </w:tcPr>
          <w:p w14:paraId="46E1B7E6"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(231,280)</w:t>
            </w:r>
          </w:p>
        </w:tc>
      </w:tr>
      <w:tr w:rsidR="009A6AF2" w:rsidRPr="007C4F11" w14:paraId="58718AD0" w14:textId="77777777" w:rsidTr="5A995008">
        <w:trPr>
          <w:trHeight w:val="290"/>
        </w:trPr>
        <w:tc>
          <w:tcPr>
            <w:tcW w:w="2886" w:type="dxa"/>
            <w:tcBorders>
              <w:top w:val="nil"/>
              <w:left w:val="nil"/>
              <w:bottom w:val="nil"/>
              <w:right w:val="nil"/>
            </w:tcBorders>
            <w:shd w:val="clear" w:color="auto" w:fill="FFFFFF" w:themeFill="background1"/>
            <w:hideMark/>
          </w:tcPr>
          <w:p w14:paraId="5310EE1B" w14:textId="77777777" w:rsidR="007C4F11" w:rsidRPr="007C4F11" w:rsidRDefault="007C4F11" w:rsidP="007C4F11">
            <w:pPr>
              <w:spacing w:line="240" w:lineRule="auto"/>
              <w:jc w:val="left"/>
              <w:rPr>
                <w:rFonts w:ascii="Calibri" w:eastAsia="Times New Roman" w:hAnsi="Calibri" w:cs="Calibri"/>
                <w:color w:val="000000"/>
                <w:lang w:eastAsia="en-GB"/>
              </w:rPr>
            </w:pPr>
            <w:r w:rsidRPr="007C4F11">
              <w:rPr>
                <w:rFonts w:ascii="Calibri" w:eastAsia="Times New Roman" w:hAnsi="Calibri" w:cs="Calibri"/>
                <w:color w:val="000000"/>
                <w:lang w:eastAsia="en-GB"/>
              </w:rPr>
              <w:t>Fair value of plan assets</w:t>
            </w:r>
          </w:p>
        </w:tc>
        <w:tc>
          <w:tcPr>
            <w:tcW w:w="1440" w:type="dxa"/>
            <w:tcBorders>
              <w:top w:val="nil"/>
              <w:left w:val="nil"/>
              <w:bottom w:val="nil"/>
              <w:right w:val="nil"/>
            </w:tcBorders>
            <w:shd w:val="clear" w:color="auto" w:fill="FFFFFF" w:themeFill="background1"/>
            <w:hideMark/>
          </w:tcPr>
          <w:p w14:paraId="4B8B7652"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10,295</w:t>
            </w:r>
          </w:p>
        </w:tc>
        <w:tc>
          <w:tcPr>
            <w:tcW w:w="1168" w:type="dxa"/>
            <w:tcBorders>
              <w:top w:val="nil"/>
              <w:left w:val="nil"/>
              <w:bottom w:val="nil"/>
              <w:right w:val="nil"/>
            </w:tcBorders>
            <w:shd w:val="clear" w:color="auto" w:fill="FFFFFF" w:themeFill="background1"/>
            <w:hideMark/>
          </w:tcPr>
          <w:p w14:paraId="404712F0"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w:t>
            </w:r>
          </w:p>
        </w:tc>
        <w:tc>
          <w:tcPr>
            <w:tcW w:w="1200" w:type="dxa"/>
            <w:tcBorders>
              <w:top w:val="nil"/>
              <w:left w:val="nil"/>
              <w:bottom w:val="nil"/>
              <w:right w:val="nil"/>
            </w:tcBorders>
            <w:shd w:val="clear" w:color="auto" w:fill="FFE1E1"/>
            <w:noWrap/>
            <w:hideMark/>
          </w:tcPr>
          <w:p w14:paraId="01AE514A"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10,295</w:t>
            </w:r>
          </w:p>
        </w:tc>
        <w:tc>
          <w:tcPr>
            <w:tcW w:w="1363" w:type="dxa"/>
            <w:tcBorders>
              <w:top w:val="nil"/>
              <w:left w:val="nil"/>
              <w:bottom w:val="nil"/>
              <w:right w:val="nil"/>
            </w:tcBorders>
            <w:shd w:val="clear" w:color="auto" w:fill="FFFFFF" w:themeFill="background1"/>
            <w:hideMark/>
          </w:tcPr>
          <w:p w14:paraId="17713E08"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10,935</w:t>
            </w:r>
          </w:p>
        </w:tc>
        <w:tc>
          <w:tcPr>
            <w:tcW w:w="1168" w:type="dxa"/>
            <w:tcBorders>
              <w:top w:val="nil"/>
              <w:left w:val="nil"/>
              <w:bottom w:val="nil"/>
              <w:right w:val="nil"/>
            </w:tcBorders>
            <w:shd w:val="clear" w:color="auto" w:fill="FFFFFF" w:themeFill="background1"/>
            <w:hideMark/>
          </w:tcPr>
          <w:p w14:paraId="6E656A95"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w:t>
            </w:r>
          </w:p>
        </w:tc>
        <w:tc>
          <w:tcPr>
            <w:tcW w:w="1170" w:type="dxa"/>
            <w:tcBorders>
              <w:top w:val="nil"/>
              <w:left w:val="nil"/>
              <w:bottom w:val="nil"/>
              <w:right w:val="nil"/>
            </w:tcBorders>
            <w:shd w:val="clear" w:color="auto" w:fill="FFE1E1"/>
            <w:noWrap/>
            <w:hideMark/>
          </w:tcPr>
          <w:p w14:paraId="43B6D761" w14:textId="77777777" w:rsidR="007C4F11" w:rsidRPr="007C4F11" w:rsidRDefault="007C4F11" w:rsidP="007C4F11">
            <w:pPr>
              <w:spacing w:line="240" w:lineRule="auto"/>
              <w:jc w:val="right"/>
              <w:rPr>
                <w:rFonts w:ascii="Calibri" w:eastAsia="Times New Roman" w:hAnsi="Calibri" w:cs="Calibri"/>
                <w:color w:val="000000"/>
                <w:lang w:eastAsia="en-GB"/>
              </w:rPr>
            </w:pPr>
            <w:r w:rsidRPr="007C4F11">
              <w:rPr>
                <w:rFonts w:ascii="Calibri" w:eastAsia="Times New Roman" w:hAnsi="Calibri" w:cs="Calibri"/>
                <w:color w:val="000000"/>
                <w:lang w:eastAsia="en-GB"/>
              </w:rPr>
              <w:t>10,935</w:t>
            </w:r>
          </w:p>
        </w:tc>
      </w:tr>
      <w:tr w:rsidR="009A6AF2" w:rsidRPr="007C4F11" w14:paraId="3E736881" w14:textId="77777777" w:rsidTr="5A995008">
        <w:trPr>
          <w:trHeight w:val="580"/>
        </w:trPr>
        <w:tc>
          <w:tcPr>
            <w:tcW w:w="2886" w:type="dxa"/>
            <w:tcBorders>
              <w:top w:val="single" w:sz="4" w:space="0" w:color="000000" w:themeColor="text1"/>
              <w:left w:val="nil"/>
              <w:bottom w:val="single" w:sz="4" w:space="0" w:color="000000" w:themeColor="text1"/>
              <w:right w:val="nil"/>
            </w:tcBorders>
            <w:shd w:val="clear" w:color="auto" w:fill="FFFFFF" w:themeFill="background1"/>
            <w:hideMark/>
          </w:tcPr>
          <w:p w14:paraId="16E740F4" w14:textId="77777777" w:rsidR="007C4F11" w:rsidRPr="007C4F11" w:rsidRDefault="007C4F11" w:rsidP="007C4F11">
            <w:pPr>
              <w:spacing w:line="240" w:lineRule="auto"/>
              <w:jc w:val="left"/>
              <w:rPr>
                <w:rFonts w:ascii="Calibri" w:eastAsia="Times New Roman" w:hAnsi="Calibri" w:cs="Calibri"/>
                <w:b/>
                <w:bCs/>
                <w:color w:val="000000"/>
                <w:lang w:eastAsia="en-GB"/>
              </w:rPr>
            </w:pPr>
            <w:r w:rsidRPr="007C4F11">
              <w:rPr>
                <w:rFonts w:ascii="Calibri" w:eastAsia="Times New Roman" w:hAnsi="Calibri" w:cs="Calibri"/>
                <w:b/>
                <w:bCs/>
                <w:color w:val="000000"/>
                <w:lang w:eastAsia="en-GB"/>
              </w:rPr>
              <w:t>Net Liability arising from defined benefit obligation</w:t>
            </w:r>
          </w:p>
        </w:tc>
        <w:tc>
          <w:tcPr>
            <w:tcW w:w="1440" w:type="dxa"/>
            <w:tcBorders>
              <w:top w:val="single" w:sz="4" w:space="0" w:color="000000" w:themeColor="text1"/>
              <w:left w:val="nil"/>
              <w:bottom w:val="single" w:sz="4" w:space="0" w:color="000000" w:themeColor="text1"/>
              <w:right w:val="nil"/>
            </w:tcBorders>
            <w:shd w:val="clear" w:color="auto" w:fill="FFFFFF" w:themeFill="background1"/>
            <w:vAlign w:val="bottom"/>
            <w:hideMark/>
          </w:tcPr>
          <w:p w14:paraId="40B39FFD" w14:textId="77777777" w:rsidR="007C4F11" w:rsidRPr="007C4F11" w:rsidRDefault="007C4F11" w:rsidP="007C4F11">
            <w:pPr>
              <w:spacing w:line="240" w:lineRule="auto"/>
              <w:jc w:val="right"/>
              <w:rPr>
                <w:rFonts w:ascii="Calibri" w:eastAsia="Times New Roman" w:hAnsi="Calibri" w:cs="Calibri"/>
                <w:b/>
                <w:bCs/>
                <w:color w:val="000000"/>
                <w:lang w:eastAsia="en-GB"/>
              </w:rPr>
            </w:pPr>
            <w:r w:rsidRPr="007C4F11">
              <w:rPr>
                <w:rFonts w:ascii="Calibri" w:eastAsia="Times New Roman" w:hAnsi="Calibri" w:cs="Calibri"/>
                <w:b/>
                <w:bCs/>
                <w:color w:val="000000"/>
                <w:lang w:eastAsia="en-GB"/>
              </w:rPr>
              <w:t>513</w:t>
            </w:r>
          </w:p>
        </w:tc>
        <w:tc>
          <w:tcPr>
            <w:tcW w:w="1168" w:type="dxa"/>
            <w:tcBorders>
              <w:top w:val="single" w:sz="4" w:space="0" w:color="000000" w:themeColor="text1"/>
              <w:left w:val="nil"/>
              <w:bottom w:val="single" w:sz="4" w:space="0" w:color="000000" w:themeColor="text1"/>
              <w:right w:val="nil"/>
            </w:tcBorders>
            <w:shd w:val="clear" w:color="auto" w:fill="FFFFFF" w:themeFill="background1"/>
            <w:vAlign w:val="bottom"/>
            <w:hideMark/>
          </w:tcPr>
          <w:p w14:paraId="460D9476" w14:textId="77777777" w:rsidR="007C4F11" w:rsidRPr="007C4F11" w:rsidRDefault="007C4F11" w:rsidP="007C4F11">
            <w:pPr>
              <w:spacing w:line="240" w:lineRule="auto"/>
              <w:jc w:val="right"/>
              <w:rPr>
                <w:rFonts w:ascii="Calibri" w:eastAsia="Times New Roman" w:hAnsi="Calibri" w:cs="Calibri"/>
                <w:b/>
                <w:bCs/>
                <w:color w:val="000000"/>
                <w:lang w:eastAsia="en-GB"/>
              </w:rPr>
            </w:pPr>
            <w:r w:rsidRPr="007C4F11">
              <w:rPr>
                <w:rFonts w:ascii="Calibri" w:eastAsia="Times New Roman" w:hAnsi="Calibri" w:cs="Calibri"/>
                <w:b/>
                <w:bCs/>
                <w:color w:val="000000"/>
                <w:lang w:eastAsia="en-GB"/>
              </w:rPr>
              <w:t>(245,880)</w:t>
            </w:r>
          </w:p>
        </w:tc>
        <w:tc>
          <w:tcPr>
            <w:tcW w:w="1200" w:type="dxa"/>
            <w:tcBorders>
              <w:top w:val="single" w:sz="4" w:space="0" w:color="000000" w:themeColor="text1"/>
              <w:left w:val="nil"/>
              <w:bottom w:val="single" w:sz="4" w:space="0" w:color="000000" w:themeColor="text1"/>
              <w:right w:val="nil"/>
            </w:tcBorders>
            <w:shd w:val="clear" w:color="auto" w:fill="FFE1E1"/>
            <w:noWrap/>
            <w:vAlign w:val="bottom"/>
            <w:hideMark/>
          </w:tcPr>
          <w:p w14:paraId="12054DC2" w14:textId="2F295B3B" w:rsidR="007C4F11" w:rsidRPr="007C4F11" w:rsidRDefault="530BA780" w:rsidP="007C4F11">
            <w:pPr>
              <w:spacing w:line="240" w:lineRule="auto"/>
              <w:jc w:val="right"/>
              <w:rPr>
                <w:rFonts w:ascii="Calibri" w:eastAsia="Times New Roman" w:hAnsi="Calibri" w:cs="Calibri"/>
                <w:b/>
                <w:bCs/>
                <w:color w:val="000000"/>
                <w:lang w:eastAsia="en-GB"/>
              </w:rPr>
            </w:pPr>
            <w:r w:rsidRPr="5A995008">
              <w:rPr>
                <w:rFonts w:ascii="Calibri" w:eastAsia="Times New Roman" w:hAnsi="Calibri" w:cs="Calibri"/>
                <w:b/>
                <w:bCs/>
                <w:color w:val="000000" w:themeColor="text1"/>
                <w:lang w:eastAsia="en-GB"/>
              </w:rPr>
              <w:t>(245,367)</w:t>
            </w:r>
          </w:p>
        </w:tc>
        <w:tc>
          <w:tcPr>
            <w:tcW w:w="1363" w:type="dxa"/>
            <w:tcBorders>
              <w:top w:val="single" w:sz="4" w:space="0" w:color="000000" w:themeColor="text1"/>
              <w:left w:val="nil"/>
              <w:bottom w:val="single" w:sz="4" w:space="0" w:color="000000" w:themeColor="text1"/>
              <w:right w:val="nil"/>
            </w:tcBorders>
            <w:shd w:val="clear" w:color="auto" w:fill="FFFFFF" w:themeFill="background1"/>
            <w:vAlign w:val="bottom"/>
            <w:hideMark/>
          </w:tcPr>
          <w:p w14:paraId="7084CB9D" w14:textId="77777777" w:rsidR="007C4F11" w:rsidRPr="007C4F11" w:rsidRDefault="007C4F11" w:rsidP="007C4F11">
            <w:pPr>
              <w:spacing w:line="240" w:lineRule="auto"/>
              <w:jc w:val="right"/>
              <w:rPr>
                <w:rFonts w:ascii="Calibri" w:eastAsia="Times New Roman" w:hAnsi="Calibri" w:cs="Calibri"/>
                <w:b/>
                <w:bCs/>
                <w:color w:val="000000"/>
                <w:lang w:eastAsia="en-GB"/>
              </w:rPr>
            </w:pPr>
            <w:r w:rsidRPr="007C4F11">
              <w:rPr>
                <w:rFonts w:ascii="Calibri" w:eastAsia="Times New Roman" w:hAnsi="Calibri" w:cs="Calibri"/>
                <w:b/>
                <w:bCs/>
                <w:color w:val="000000"/>
                <w:lang w:eastAsia="en-GB"/>
              </w:rPr>
              <w:t>2,125</w:t>
            </w:r>
          </w:p>
        </w:tc>
        <w:tc>
          <w:tcPr>
            <w:tcW w:w="1168" w:type="dxa"/>
            <w:tcBorders>
              <w:top w:val="single" w:sz="4" w:space="0" w:color="000000" w:themeColor="text1"/>
              <w:left w:val="nil"/>
              <w:bottom w:val="single" w:sz="4" w:space="0" w:color="000000" w:themeColor="text1"/>
              <w:right w:val="nil"/>
            </w:tcBorders>
            <w:shd w:val="clear" w:color="auto" w:fill="FFFFFF" w:themeFill="background1"/>
            <w:vAlign w:val="bottom"/>
            <w:hideMark/>
          </w:tcPr>
          <w:p w14:paraId="31843275" w14:textId="77777777" w:rsidR="007C4F11" w:rsidRPr="007C4F11" w:rsidRDefault="007C4F11" w:rsidP="007C4F11">
            <w:pPr>
              <w:spacing w:line="240" w:lineRule="auto"/>
              <w:jc w:val="right"/>
              <w:rPr>
                <w:rFonts w:ascii="Calibri" w:eastAsia="Times New Roman" w:hAnsi="Calibri" w:cs="Calibri"/>
                <w:b/>
                <w:bCs/>
                <w:color w:val="000000"/>
                <w:lang w:eastAsia="en-GB"/>
              </w:rPr>
            </w:pPr>
            <w:r w:rsidRPr="007C4F11">
              <w:rPr>
                <w:rFonts w:ascii="Calibri" w:eastAsia="Times New Roman" w:hAnsi="Calibri" w:cs="Calibri"/>
                <w:b/>
                <w:bCs/>
                <w:color w:val="000000"/>
                <w:lang w:eastAsia="en-GB"/>
              </w:rPr>
              <w:t>(222,470)</w:t>
            </w:r>
          </w:p>
        </w:tc>
        <w:tc>
          <w:tcPr>
            <w:tcW w:w="1170" w:type="dxa"/>
            <w:tcBorders>
              <w:top w:val="single" w:sz="4" w:space="0" w:color="000000" w:themeColor="text1"/>
              <w:left w:val="nil"/>
              <w:bottom w:val="single" w:sz="4" w:space="0" w:color="000000" w:themeColor="text1"/>
              <w:right w:val="nil"/>
            </w:tcBorders>
            <w:shd w:val="clear" w:color="auto" w:fill="FFE1E1"/>
            <w:noWrap/>
            <w:vAlign w:val="bottom"/>
            <w:hideMark/>
          </w:tcPr>
          <w:p w14:paraId="3790860D" w14:textId="1A855F86" w:rsidR="007C4F11" w:rsidRPr="007C4F11" w:rsidRDefault="18347F31" w:rsidP="007C4F11">
            <w:pPr>
              <w:spacing w:line="240" w:lineRule="auto"/>
              <w:jc w:val="right"/>
              <w:rPr>
                <w:rFonts w:ascii="Calibri" w:eastAsia="Times New Roman" w:hAnsi="Calibri" w:cs="Calibri"/>
                <w:b/>
                <w:bCs/>
                <w:color w:val="000000"/>
                <w:lang w:eastAsia="en-GB"/>
              </w:rPr>
            </w:pPr>
            <w:r w:rsidRPr="5A995008">
              <w:rPr>
                <w:rFonts w:ascii="Calibri" w:eastAsia="Times New Roman" w:hAnsi="Calibri" w:cs="Calibri"/>
                <w:b/>
                <w:bCs/>
                <w:color w:val="000000" w:themeColor="text1"/>
                <w:lang w:eastAsia="en-GB"/>
              </w:rPr>
              <w:t>(220,345)</w:t>
            </w:r>
          </w:p>
        </w:tc>
      </w:tr>
    </w:tbl>
    <w:p w14:paraId="300B3608" w14:textId="77777777" w:rsidR="000F7DCF" w:rsidRDefault="000F7DCF" w:rsidP="000F7DCF"/>
    <w:p w14:paraId="3924ACB2" w14:textId="791E1F23" w:rsidR="000F7DCF" w:rsidRPr="00D27E62" w:rsidRDefault="000F7DCF" w:rsidP="000F7DCF">
      <w:pPr>
        <w:rPr>
          <w:b/>
          <w:bCs/>
        </w:rPr>
      </w:pPr>
      <w:r w:rsidRPr="007F07C2">
        <w:t xml:space="preserve">The </w:t>
      </w:r>
      <w:r w:rsidRPr="00B94965">
        <w:t xml:space="preserve">liabilities show the underlying commitments that the Authority has in the </w:t>
      </w:r>
      <w:proofErr w:type="gramStart"/>
      <w:r w:rsidRPr="00B94965">
        <w:t>long</w:t>
      </w:r>
      <w:r>
        <w:t>-</w:t>
      </w:r>
      <w:r w:rsidRPr="00B94965">
        <w:t>run</w:t>
      </w:r>
      <w:proofErr w:type="gramEnd"/>
      <w:r w:rsidRPr="00B94965">
        <w:t xml:space="preserve"> to pay retirement benefits.</w:t>
      </w:r>
      <w:r>
        <w:t xml:space="preserve">  </w:t>
      </w:r>
      <w:r w:rsidRPr="00B94965">
        <w:t xml:space="preserve">The total liability </w:t>
      </w:r>
      <w:r w:rsidRPr="007B749F">
        <w:t xml:space="preserve">of </w:t>
      </w:r>
      <w:r w:rsidRPr="007B749F">
        <w:rPr>
          <w:bCs/>
        </w:rPr>
        <w:t>£2</w:t>
      </w:r>
      <w:r w:rsidR="00CD2AA2">
        <w:rPr>
          <w:bCs/>
        </w:rPr>
        <w:t>20</w:t>
      </w:r>
      <w:r w:rsidRPr="007B749F">
        <w:rPr>
          <w:bCs/>
        </w:rPr>
        <w:t>.</w:t>
      </w:r>
      <w:r w:rsidR="00CD2AA2">
        <w:rPr>
          <w:bCs/>
        </w:rPr>
        <w:t>3</w:t>
      </w:r>
      <w:r w:rsidRPr="007B749F">
        <w:rPr>
          <w:bCs/>
        </w:rPr>
        <w:t>m</w:t>
      </w:r>
      <w:r w:rsidRPr="007B749F">
        <w:t xml:space="preserve"> has a substantial</w:t>
      </w:r>
      <w:r w:rsidRPr="007F07C2">
        <w:t xml:space="preserve"> impact on the net worth of the Authority as recorded in the Balance Sheet</w:t>
      </w:r>
      <w:r>
        <w:t>.</w:t>
      </w:r>
      <w:r>
        <w:rPr>
          <w:b/>
          <w:bCs/>
        </w:rPr>
        <w:t xml:space="preserve">  </w:t>
      </w:r>
      <w:r w:rsidRPr="007F07C2">
        <w:t xml:space="preserve">However, statutory arrangements for funding the deficit mean that the financial position of the Authority remains healthy: </w:t>
      </w:r>
    </w:p>
    <w:p w14:paraId="4F01EFB2" w14:textId="29BED0E6" w:rsidR="000F7DCF" w:rsidRPr="001B221B" w:rsidRDefault="000F7DCF" w:rsidP="000F7DCF">
      <w:pPr>
        <w:pStyle w:val="Firebullet"/>
      </w:pPr>
      <w:r w:rsidRPr="00AF2E19">
        <w:t>the pension fund has recently undergone a triennial valuation, which recommended increased</w:t>
      </w:r>
      <w:r w:rsidRPr="001B221B">
        <w:t xml:space="preserve"> contributions over the remaining working life of employees, as assessed by the scheme actuary</w:t>
      </w:r>
      <w:r>
        <w:t>. Whilst the ongoing financial actuarial valuation is more positive that it previously has been, it is important to note, that this considers those increased contributions</w:t>
      </w:r>
      <w:r w:rsidRPr="001B221B">
        <w:t xml:space="preserve">; and </w:t>
      </w:r>
    </w:p>
    <w:p w14:paraId="18DF4C17" w14:textId="74FBD92C" w:rsidR="000F7DCF" w:rsidRPr="001B221B" w:rsidRDefault="000F7DCF" w:rsidP="000F7DCF">
      <w:pPr>
        <w:pStyle w:val="Firebullet"/>
      </w:pPr>
      <w:r w:rsidRPr="001B221B">
        <w:t>finance is only required to be raised to cover fire pensions when the pensions are actually paid</w:t>
      </w:r>
    </w:p>
    <w:p w14:paraId="35C9D8C9" w14:textId="77777777" w:rsidR="000F7DCF" w:rsidRPr="00C92788" w:rsidRDefault="000F7DCF" w:rsidP="00FC3BA8">
      <w:pPr>
        <w:pStyle w:val="Firebullet"/>
        <w:numPr>
          <w:ilvl w:val="0"/>
          <w:numId w:val="0"/>
        </w:numPr>
      </w:pPr>
    </w:p>
    <w:p w14:paraId="53AC6D39" w14:textId="77B7136C" w:rsidR="000F7DCF" w:rsidRPr="005F273C" w:rsidRDefault="000F7DCF" w:rsidP="002A1ADD">
      <w:pPr>
        <w:pStyle w:val="VAHeadingLevel2"/>
      </w:pPr>
      <w:r w:rsidRPr="005F273C">
        <w:t>Note 3</w:t>
      </w:r>
      <w:r w:rsidR="009B299E" w:rsidRPr="005F273C">
        <w:t>7.4</w:t>
      </w:r>
      <w:r w:rsidRPr="005F273C">
        <w:t xml:space="preserve">. Basis for </w:t>
      </w:r>
      <w:r w:rsidR="009B299E" w:rsidRPr="005F273C">
        <w:t>E</w:t>
      </w:r>
      <w:r w:rsidRPr="005F273C">
        <w:t xml:space="preserve">stimating </w:t>
      </w:r>
      <w:r w:rsidR="009B299E" w:rsidRPr="005F273C">
        <w:t>A</w:t>
      </w:r>
      <w:r w:rsidRPr="005F273C">
        <w:t xml:space="preserve">ssets and </w:t>
      </w:r>
      <w:r w:rsidR="009B299E" w:rsidRPr="005F273C">
        <w:t>L</w:t>
      </w:r>
      <w:r w:rsidRPr="005F273C">
        <w:t xml:space="preserve">iabilities </w:t>
      </w:r>
    </w:p>
    <w:p w14:paraId="550A1C42" w14:textId="6A086AE0" w:rsidR="00C92788" w:rsidRDefault="000F7DCF" w:rsidP="000F7DCF">
      <w:r w:rsidRPr="007F07C2">
        <w:t xml:space="preserve">Liabilities have been assessed on an actuarial basis using the projected unit method, an estimate of the pensions that will be payable in future years dependent on assumptions about mortality rates, salary levels, etc. </w:t>
      </w:r>
      <w:r>
        <w:t xml:space="preserve"> </w:t>
      </w:r>
      <w:r w:rsidRPr="007F07C2">
        <w:t>The annual Authority budget will make allowance for the firefighter’s pension scheme payments based on an estimate of when such payments fall due.</w:t>
      </w:r>
      <w:r>
        <w:t xml:space="preserve"> </w:t>
      </w:r>
      <w:r w:rsidRPr="007F07C2">
        <w:t xml:space="preserve"> The Authority’s budget is set taking the employer’s pension contribution into account and government grant is received to cover any shortfall in the account. </w:t>
      </w:r>
    </w:p>
    <w:p w14:paraId="72DF1FAC" w14:textId="77777777" w:rsidR="00C92788" w:rsidRDefault="00C92788" w:rsidP="000F7DCF"/>
    <w:p w14:paraId="70BAB012" w14:textId="7FEAEEFB" w:rsidR="000F7DCF" w:rsidRDefault="000F7DCF" w:rsidP="000F7DCF">
      <w:r w:rsidRPr="007F07C2">
        <w:t>The Government Actuaries Department (GAD) has assessed</w:t>
      </w:r>
      <w:r>
        <w:t xml:space="preserve"> the </w:t>
      </w:r>
      <w:r w:rsidRPr="007F07C2">
        <w:t xml:space="preserve">Firefighters’ </w:t>
      </w:r>
      <w:r>
        <w:t>Pension S</w:t>
      </w:r>
      <w:r w:rsidRPr="007F07C2">
        <w:t>cheme</w:t>
      </w:r>
      <w:r>
        <w:t>,</w:t>
      </w:r>
      <w:r w:rsidRPr="007F07C2">
        <w:t xml:space="preserve"> and</w:t>
      </w:r>
      <w:r>
        <w:t xml:space="preserve"> Hymans Robertson</w:t>
      </w:r>
      <w:r w:rsidRPr="007F07C2">
        <w:t xml:space="preserve"> the Local Government Pension Scheme</w:t>
      </w:r>
      <w:r>
        <w:t xml:space="preserve"> (LPGS)</w:t>
      </w:r>
      <w:r w:rsidRPr="007F07C2">
        <w:t xml:space="preserve"> liabilities. </w:t>
      </w:r>
      <w:r>
        <w:t xml:space="preserve"> </w:t>
      </w:r>
      <w:r w:rsidRPr="007F07C2">
        <w:t xml:space="preserve">The main assumptions used in their calculations are as follows: </w:t>
      </w:r>
    </w:p>
    <w:tbl>
      <w:tblPr>
        <w:tblW w:w="5000" w:type="pct"/>
        <w:tblLook w:val="04A0" w:firstRow="1" w:lastRow="0" w:firstColumn="1" w:lastColumn="0" w:noHBand="0" w:noVBand="1"/>
      </w:tblPr>
      <w:tblGrid>
        <w:gridCol w:w="1674"/>
        <w:gridCol w:w="1675"/>
        <w:gridCol w:w="3679"/>
        <w:gridCol w:w="1675"/>
        <w:gridCol w:w="1672"/>
      </w:tblGrid>
      <w:tr w:rsidR="00537080" w:rsidRPr="00537080" w14:paraId="6E6981F1" w14:textId="77777777" w:rsidTr="00537080">
        <w:trPr>
          <w:trHeight w:val="600"/>
        </w:trPr>
        <w:tc>
          <w:tcPr>
            <w:tcW w:w="807" w:type="pct"/>
            <w:tcBorders>
              <w:top w:val="nil"/>
              <w:left w:val="nil"/>
              <w:bottom w:val="nil"/>
              <w:right w:val="nil"/>
            </w:tcBorders>
            <w:shd w:val="clear" w:color="000000" w:fill="AB2328"/>
            <w:vAlign w:val="center"/>
            <w:hideMark/>
          </w:tcPr>
          <w:p w14:paraId="7239E959"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Local Government</w:t>
            </w:r>
          </w:p>
        </w:tc>
        <w:tc>
          <w:tcPr>
            <w:tcW w:w="807" w:type="pct"/>
            <w:tcBorders>
              <w:top w:val="nil"/>
              <w:left w:val="nil"/>
              <w:bottom w:val="nil"/>
              <w:right w:val="nil"/>
            </w:tcBorders>
            <w:shd w:val="clear" w:color="000000" w:fill="AB2328"/>
            <w:vAlign w:val="center"/>
            <w:hideMark/>
          </w:tcPr>
          <w:p w14:paraId="32B9F2D8"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Fire Fighters</w:t>
            </w:r>
          </w:p>
        </w:tc>
        <w:tc>
          <w:tcPr>
            <w:tcW w:w="1773" w:type="pct"/>
            <w:tcBorders>
              <w:top w:val="nil"/>
              <w:left w:val="nil"/>
              <w:bottom w:val="nil"/>
              <w:right w:val="nil"/>
            </w:tcBorders>
            <w:shd w:val="clear" w:color="000000" w:fill="AB2328"/>
            <w:vAlign w:val="center"/>
            <w:hideMark/>
          </w:tcPr>
          <w:p w14:paraId="22A61785"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58E114FE"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Local Government</w:t>
            </w:r>
          </w:p>
        </w:tc>
        <w:tc>
          <w:tcPr>
            <w:tcW w:w="807" w:type="pct"/>
            <w:tcBorders>
              <w:top w:val="nil"/>
              <w:left w:val="nil"/>
              <w:bottom w:val="nil"/>
              <w:right w:val="nil"/>
            </w:tcBorders>
            <w:shd w:val="clear" w:color="000000" w:fill="AB2328"/>
            <w:vAlign w:val="center"/>
            <w:hideMark/>
          </w:tcPr>
          <w:p w14:paraId="4DEF3FA5"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Fire Fighters</w:t>
            </w:r>
          </w:p>
        </w:tc>
      </w:tr>
      <w:tr w:rsidR="00537080" w:rsidRPr="00537080" w14:paraId="643ED028" w14:textId="77777777" w:rsidTr="00537080">
        <w:trPr>
          <w:trHeight w:val="600"/>
        </w:trPr>
        <w:tc>
          <w:tcPr>
            <w:tcW w:w="807" w:type="pct"/>
            <w:tcBorders>
              <w:top w:val="nil"/>
              <w:left w:val="nil"/>
              <w:bottom w:val="nil"/>
              <w:right w:val="nil"/>
            </w:tcBorders>
            <w:shd w:val="clear" w:color="000000" w:fill="AB2328"/>
            <w:vAlign w:val="center"/>
            <w:hideMark/>
          </w:tcPr>
          <w:p w14:paraId="60AAF50F"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Pension Scheme</w:t>
            </w:r>
          </w:p>
        </w:tc>
        <w:tc>
          <w:tcPr>
            <w:tcW w:w="807" w:type="pct"/>
            <w:tcBorders>
              <w:top w:val="nil"/>
              <w:left w:val="nil"/>
              <w:bottom w:val="nil"/>
              <w:right w:val="nil"/>
            </w:tcBorders>
            <w:shd w:val="clear" w:color="000000" w:fill="AB2328"/>
            <w:vAlign w:val="center"/>
            <w:hideMark/>
          </w:tcPr>
          <w:p w14:paraId="198819B1"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Pension Scheme</w:t>
            </w:r>
          </w:p>
        </w:tc>
        <w:tc>
          <w:tcPr>
            <w:tcW w:w="1773" w:type="pct"/>
            <w:tcBorders>
              <w:top w:val="nil"/>
              <w:left w:val="nil"/>
              <w:bottom w:val="nil"/>
              <w:right w:val="nil"/>
            </w:tcBorders>
            <w:shd w:val="clear" w:color="000000" w:fill="AB2328"/>
            <w:vAlign w:val="center"/>
            <w:hideMark/>
          </w:tcPr>
          <w:p w14:paraId="154E5B98"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7A1C83D9"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Pension Scheme</w:t>
            </w:r>
          </w:p>
        </w:tc>
        <w:tc>
          <w:tcPr>
            <w:tcW w:w="807" w:type="pct"/>
            <w:tcBorders>
              <w:top w:val="nil"/>
              <w:left w:val="nil"/>
              <w:bottom w:val="nil"/>
              <w:right w:val="nil"/>
            </w:tcBorders>
            <w:shd w:val="clear" w:color="000000" w:fill="AB2328"/>
            <w:vAlign w:val="center"/>
            <w:hideMark/>
          </w:tcPr>
          <w:p w14:paraId="32FB0D6D"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Pension Scheme</w:t>
            </w:r>
          </w:p>
        </w:tc>
      </w:tr>
      <w:tr w:rsidR="00537080" w:rsidRPr="00537080" w14:paraId="4EBF8923" w14:textId="77777777" w:rsidTr="00537080">
        <w:trPr>
          <w:trHeight w:val="300"/>
        </w:trPr>
        <w:tc>
          <w:tcPr>
            <w:tcW w:w="807" w:type="pct"/>
            <w:tcBorders>
              <w:top w:val="nil"/>
              <w:left w:val="nil"/>
              <w:bottom w:val="nil"/>
              <w:right w:val="nil"/>
            </w:tcBorders>
            <w:shd w:val="clear" w:color="000000" w:fill="AB2328"/>
            <w:vAlign w:val="center"/>
            <w:hideMark/>
          </w:tcPr>
          <w:p w14:paraId="58C48C42"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March 2024</w:t>
            </w:r>
          </w:p>
        </w:tc>
        <w:tc>
          <w:tcPr>
            <w:tcW w:w="807" w:type="pct"/>
            <w:tcBorders>
              <w:top w:val="nil"/>
              <w:left w:val="nil"/>
              <w:bottom w:val="nil"/>
              <w:right w:val="nil"/>
            </w:tcBorders>
            <w:shd w:val="clear" w:color="000000" w:fill="AB2328"/>
            <w:vAlign w:val="center"/>
            <w:hideMark/>
          </w:tcPr>
          <w:p w14:paraId="0745B83E"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March 2024</w:t>
            </w:r>
          </w:p>
        </w:tc>
        <w:tc>
          <w:tcPr>
            <w:tcW w:w="1773" w:type="pct"/>
            <w:tcBorders>
              <w:top w:val="nil"/>
              <w:left w:val="nil"/>
              <w:bottom w:val="nil"/>
              <w:right w:val="nil"/>
            </w:tcBorders>
            <w:shd w:val="clear" w:color="000000" w:fill="AB2328"/>
            <w:vAlign w:val="center"/>
            <w:hideMark/>
          </w:tcPr>
          <w:p w14:paraId="18B9C418"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29A48E95"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March 2025</w:t>
            </w:r>
          </w:p>
        </w:tc>
        <w:tc>
          <w:tcPr>
            <w:tcW w:w="807" w:type="pct"/>
            <w:tcBorders>
              <w:top w:val="nil"/>
              <w:left w:val="nil"/>
              <w:bottom w:val="nil"/>
              <w:right w:val="nil"/>
            </w:tcBorders>
            <w:shd w:val="clear" w:color="000000" w:fill="AB2328"/>
            <w:vAlign w:val="center"/>
            <w:hideMark/>
          </w:tcPr>
          <w:p w14:paraId="28FEB702"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xml:space="preserve"> March 2025</w:t>
            </w:r>
          </w:p>
        </w:tc>
      </w:tr>
      <w:tr w:rsidR="00537080" w:rsidRPr="00537080" w14:paraId="4FB7ED0D" w14:textId="77777777" w:rsidTr="00537080">
        <w:trPr>
          <w:trHeight w:val="300"/>
        </w:trPr>
        <w:tc>
          <w:tcPr>
            <w:tcW w:w="807" w:type="pct"/>
            <w:tcBorders>
              <w:top w:val="nil"/>
              <w:left w:val="nil"/>
              <w:bottom w:val="nil"/>
              <w:right w:val="nil"/>
            </w:tcBorders>
            <w:shd w:val="clear" w:color="000000" w:fill="AB2328"/>
            <w:vAlign w:val="center"/>
            <w:hideMark/>
          </w:tcPr>
          <w:p w14:paraId="24FCF383"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w:t>
            </w:r>
          </w:p>
        </w:tc>
        <w:tc>
          <w:tcPr>
            <w:tcW w:w="807" w:type="pct"/>
            <w:tcBorders>
              <w:top w:val="nil"/>
              <w:left w:val="nil"/>
              <w:bottom w:val="nil"/>
              <w:right w:val="nil"/>
            </w:tcBorders>
            <w:shd w:val="clear" w:color="000000" w:fill="AB2328"/>
            <w:vAlign w:val="center"/>
            <w:hideMark/>
          </w:tcPr>
          <w:p w14:paraId="17169C5E"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w:t>
            </w:r>
          </w:p>
        </w:tc>
        <w:tc>
          <w:tcPr>
            <w:tcW w:w="1773" w:type="pct"/>
            <w:tcBorders>
              <w:top w:val="nil"/>
              <w:left w:val="nil"/>
              <w:bottom w:val="nil"/>
              <w:right w:val="nil"/>
            </w:tcBorders>
            <w:shd w:val="clear" w:color="000000" w:fill="AB2328"/>
            <w:vAlign w:val="center"/>
            <w:hideMark/>
          </w:tcPr>
          <w:p w14:paraId="59798954"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26964AC9"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w:t>
            </w:r>
          </w:p>
        </w:tc>
        <w:tc>
          <w:tcPr>
            <w:tcW w:w="807" w:type="pct"/>
            <w:tcBorders>
              <w:top w:val="nil"/>
              <w:left w:val="nil"/>
              <w:bottom w:val="nil"/>
              <w:right w:val="nil"/>
            </w:tcBorders>
            <w:shd w:val="clear" w:color="000000" w:fill="AB2328"/>
            <w:vAlign w:val="center"/>
            <w:hideMark/>
          </w:tcPr>
          <w:p w14:paraId="6EBFD0BE" w14:textId="77777777" w:rsidR="00537080" w:rsidRPr="00537080" w:rsidRDefault="00537080" w:rsidP="00537080">
            <w:pPr>
              <w:spacing w:line="240" w:lineRule="auto"/>
              <w:jc w:val="right"/>
              <w:rPr>
                <w:rFonts w:ascii="Calibri" w:eastAsia="Times New Roman" w:hAnsi="Calibri" w:cs="Calibri"/>
                <w:b/>
                <w:bCs/>
                <w:color w:val="FFFFFF"/>
                <w:lang w:eastAsia="en-GB"/>
              </w:rPr>
            </w:pPr>
            <w:r w:rsidRPr="00537080">
              <w:rPr>
                <w:rFonts w:ascii="Calibri" w:eastAsia="Times New Roman" w:hAnsi="Calibri" w:cs="Calibri"/>
                <w:b/>
                <w:bCs/>
                <w:color w:val="FFFFFF"/>
                <w:lang w:eastAsia="en-GB"/>
              </w:rPr>
              <w:t>%</w:t>
            </w:r>
          </w:p>
        </w:tc>
      </w:tr>
      <w:tr w:rsidR="00537080" w:rsidRPr="00537080" w14:paraId="015917BF" w14:textId="77777777" w:rsidTr="00537080">
        <w:trPr>
          <w:trHeight w:val="300"/>
        </w:trPr>
        <w:tc>
          <w:tcPr>
            <w:tcW w:w="807" w:type="pct"/>
            <w:tcBorders>
              <w:top w:val="nil"/>
              <w:left w:val="nil"/>
              <w:bottom w:val="nil"/>
              <w:right w:val="nil"/>
            </w:tcBorders>
            <w:shd w:val="clear" w:color="000000" w:fill="FFFFFF"/>
            <w:noWrap/>
            <w:hideMark/>
          </w:tcPr>
          <w:p w14:paraId="5E0DF871"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2.75</w:t>
            </w:r>
          </w:p>
        </w:tc>
        <w:tc>
          <w:tcPr>
            <w:tcW w:w="807" w:type="pct"/>
            <w:tcBorders>
              <w:top w:val="nil"/>
              <w:left w:val="nil"/>
              <w:bottom w:val="nil"/>
              <w:right w:val="nil"/>
            </w:tcBorders>
            <w:shd w:val="clear" w:color="000000" w:fill="FFFFFF"/>
            <w:noWrap/>
            <w:hideMark/>
          </w:tcPr>
          <w:p w14:paraId="5900F665"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2.60</w:t>
            </w:r>
          </w:p>
        </w:tc>
        <w:tc>
          <w:tcPr>
            <w:tcW w:w="1773" w:type="pct"/>
            <w:tcBorders>
              <w:top w:val="nil"/>
              <w:left w:val="nil"/>
              <w:bottom w:val="nil"/>
              <w:right w:val="nil"/>
            </w:tcBorders>
            <w:shd w:val="clear" w:color="000000" w:fill="FFFFFF"/>
            <w:hideMark/>
          </w:tcPr>
          <w:p w14:paraId="14F95763" w14:textId="77777777" w:rsidR="00537080" w:rsidRPr="00537080" w:rsidRDefault="00537080" w:rsidP="00537080">
            <w:pPr>
              <w:spacing w:line="240" w:lineRule="auto"/>
              <w:jc w:val="left"/>
              <w:rPr>
                <w:rFonts w:ascii="Calibri" w:eastAsia="Times New Roman" w:hAnsi="Calibri" w:cs="Calibri"/>
                <w:color w:val="000000"/>
                <w:lang w:eastAsia="en-GB"/>
              </w:rPr>
            </w:pPr>
            <w:r w:rsidRPr="00537080">
              <w:rPr>
                <w:rFonts w:ascii="Calibri" w:eastAsia="Times New Roman" w:hAnsi="Calibri" w:cs="Calibri"/>
                <w:color w:val="000000"/>
                <w:lang w:eastAsia="en-GB"/>
              </w:rPr>
              <w:t>Rate of inflation</w:t>
            </w:r>
          </w:p>
        </w:tc>
        <w:tc>
          <w:tcPr>
            <w:tcW w:w="807" w:type="pct"/>
            <w:tcBorders>
              <w:top w:val="nil"/>
              <w:left w:val="nil"/>
              <w:bottom w:val="nil"/>
              <w:right w:val="nil"/>
            </w:tcBorders>
            <w:shd w:val="clear" w:color="000000" w:fill="FFE1E1"/>
            <w:noWrap/>
            <w:hideMark/>
          </w:tcPr>
          <w:p w14:paraId="3C9A2A83"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2.75</w:t>
            </w:r>
          </w:p>
        </w:tc>
        <w:tc>
          <w:tcPr>
            <w:tcW w:w="807" w:type="pct"/>
            <w:tcBorders>
              <w:top w:val="nil"/>
              <w:left w:val="nil"/>
              <w:bottom w:val="nil"/>
              <w:right w:val="nil"/>
            </w:tcBorders>
            <w:shd w:val="clear" w:color="000000" w:fill="FFE1E1"/>
            <w:noWrap/>
            <w:hideMark/>
          </w:tcPr>
          <w:p w14:paraId="015DAA40"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2.70</w:t>
            </w:r>
          </w:p>
        </w:tc>
      </w:tr>
      <w:tr w:rsidR="00537080" w:rsidRPr="00537080" w14:paraId="6FFBDA1B" w14:textId="77777777" w:rsidTr="00537080">
        <w:trPr>
          <w:trHeight w:val="300"/>
        </w:trPr>
        <w:tc>
          <w:tcPr>
            <w:tcW w:w="807" w:type="pct"/>
            <w:tcBorders>
              <w:top w:val="nil"/>
              <w:left w:val="nil"/>
              <w:bottom w:val="nil"/>
              <w:right w:val="nil"/>
            </w:tcBorders>
            <w:shd w:val="clear" w:color="000000" w:fill="FFFFFF"/>
            <w:noWrap/>
            <w:hideMark/>
          </w:tcPr>
          <w:p w14:paraId="51F09A3B"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3.25</w:t>
            </w:r>
          </w:p>
        </w:tc>
        <w:tc>
          <w:tcPr>
            <w:tcW w:w="807" w:type="pct"/>
            <w:tcBorders>
              <w:top w:val="nil"/>
              <w:left w:val="nil"/>
              <w:bottom w:val="nil"/>
              <w:right w:val="nil"/>
            </w:tcBorders>
            <w:shd w:val="clear" w:color="000000" w:fill="FFFFFF"/>
            <w:noWrap/>
            <w:hideMark/>
          </w:tcPr>
          <w:p w14:paraId="1659B658"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3.85</w:t>
            </w:r>
          </w:p>
        </w:tc>
        <w:tc>
          <w:tcPr>
            <w:tcW w:w="1773" w:type="pct"/>
            <w:tcBorders>
              <w:top w:val="nil"/>
              <w:left w:val="nil"/>
              <w:bottom w:val="nil"/>
              <w:right w:val="nil"/>
            </w:tcBorders>
            <w:shd w:val="clear" w:color="000000" w:fill="FFFFFF"/>
            <w:hideMark/>
          </w:tcPr>
          <w:p w14:paraId="0AB4FE3A" w14:textId="77777777" w:rsidR="00537080" w:rsidRPr="00537080" w:rsidRDefault="00537080" w:rsidP="00537080">
            <w:pPr>
              <w:spacing w:line="240" w:lineRule="auto"/>
              <w:jc w:val="left"/>
              <w:rPr>
                <w:rFonts w:ascii="Calibri" w:eastAsia="Times New Roman" w:hAnsi="Calibri" w:cs="Calibri"/>
                <w:color w:val="000000"/>
                <w:lang w:eastAsia="en-GB"/>
              </w:rPr>
            </w:pPr>
            <w:r w:rsidRPr="00537080">
              <w:rPr>
                <w:rFonts w:ascii="Calibri" w:eastAsia="Times New Roman" w:hAnsi="Calibri" w:cs="Calibri"/>
                <w:color w:val="000000"/>
                <w:lang w:eastAsia="en-GB"/>
              </w:rPr>
              <w:t>Rate of increase in salaries</w:t>
            </w:r>
          </w:p>
        </w:tc>
        <w:tc>
          <w:tcPr>
            <w:tcW w:w="807" w:type="pct"/>
            <w:tcBorders>
              <w:top w:val="nil"/>
              <w:left w:val="nil"/>
              <w:bottom w:val="nil"/>
              <w:right w:val="nil"/>
            </w:tcBorders>
            <w:shd w:val="clear" w:color="000000" w:fill="FFE1E1"/>
            <w:noWrap/>
            <w:hideMark/>
          </w:tcPr>
          <w:p w14:paraId="5C89A9A5"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3.25</w:t>
            </w:r>
          </w:p>
        </w:tc>
        <w:tc>
          <w:tcPr>
            <w:tcW w:w="807" w:type="pct"/>
            <w:tcBorders>
              <w:top w:val="nil"/>
              <w:left w:val="nil"/>
              <w:bottom w:val="nil"/>
              <w:right w:val="nil"/>
            </w:tcBorders>
            <w:shd w:val="clear" w:color="000000" w:fill="FFE1E1"/>
            <w:noWrap/>
            <w:hideMark/>
          </w:tcPr>
          <w:p w14:paraId="283E1016"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3.45</w:t>
            </w:r>
          </w:p>
        </w:tc>
      </w:tr>
      <w:tr w:rsidR="00537080" w:rsidRPr="00537080" w14:paraId="3F6334D4" w14:textId="77777777" w:rsidTr="00537080">
        <w:trPr>
          <w:trHeight w:val="300"/>
        </w:trPr>
        <w:tc>
          <w:tcPr>
            <w:tcW w:w="807" w:type="pct"/>
            <w:tcBorders>
              <w:top w:val="nil"/>
              <w:left w:val="nil"/>
              <w:bottom w:val="nil"/>
              <w:right w:val="nil"/>
            </w:tcBorders>
            <w:shd w:val="clear" w:color="000000" w:fill="FFFFFF"/>
            <w:noWrap/>
            <w:hideMark/>
          </w:tcPr>
          <w:p w14:paraId="2BEB2DE7"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2.75</w:t>
            </w:r>
          </w:p>
        </w:tc>
        <w:tc>
          <w:tcPr>
            <w:tcW w:w="807" w:type="pct"/>
            <w:tcBorders>
              <w:top w:val="nil"/>
              <w:left w:val="nil"/>
              <w:bottom w:val="nil"/>
              <w:right w:val="nil"/>
            </w:tcBorders>
            <w:shd w:val="clear" w:color="000000" w:fill="FFFFFF"/>
            <w:noWrap/>
            <w:hideMark/>
          </w:tcPr>
          <w:p w14:paraId="784CC690"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2.60</w:t>
            </w:r>
          </w:p>
        </w:tc>
        <w:tc>
          <w:tcPr>
            <w:tcW w:w="1773" w:type="pct"/>
            <w:tcBorders>
              <w:top w:val="nil"/>
              <w:left w:val="nil"/>
              <w:bottom w:val="nil"/>
              <w:right w:val="nil"/>
            </w:tcBorders>
            <w:shd w:val="clear" w:color="000000" w:fill="FFFFFF"/>
            <w:hideMark/>
          </w:tcPr>
          <w:p w14:paraId="346A85BD" w14:textId="77777777" w:rsidR="00537080" w:rsidRPr="00537080" w:rsidRDefault="00537080" w:rsidP="00537080">
            <w:pPr>
              <w:spacing w:line="240" w:lineRule="auto"/>
              <w:jc w:val="left"/>
              <w:rPr>
                <w:rFonts w:ascii="Calibri" w:eastAsia="Times New Roman" w:hAnsi="Calibri" w:cs="Calibri"/>
                <w:color w:val="000000"/>
                <w:lang w:eastAsia="en-GB"/>
              </w:rPr>
            </w:pPr>
            <w:r w:rsidRPr="00537080">
              <w:rPr>
                <w:rFonts w:ascii="Calibri" w:eastAsia="Times New Roman" w:hAnsi="Calibri" w:cs="Calibri"/>
                <w:color w:val="000000"/>
                <w:lang w:eastAsia="en-GB"/>
              </w:rPr>
              <w:t>Rate of increase in pensions</w:t>
            </w:r>
          </w:p>
        </w:tc>
        <w:tc>
          <w:tcPr>
            <w:tcW w:w="807" w:type="pct"/>
            <w:tcBorders>
              <w:top w:val="nil"/>
              <w:left w:val="nil"/>
              <w:bottom w:val="nil"/>
              <w:right w:val="nil"/>
            </w:tcBorders>
            <w:shd w:val="clear" w:color="000000" w:fill="FFE1E1"/>
            <w:noWrap/>
            <w:hideMark/>
          </w:tcPr>
          <w:p w14:paraId="75996E36"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2.75</w:t>
            </w:r>
          </w:p>
        </w:tc>
        <w:tc>
          <w:tcPr>
            <w:tcW w:w="807" w:type="pct"/>
            <w:tcBorders>
              <w:top w:val="nil"/>
              <w:left w:val="nil"/>
              <w:bottom w:val="nil"/>
              <w:right w:val="nil"/>
            </w:tcBorders>
            <w:shd w:val="clear" w:color="000000" w:fill="FFE1E1"/>
            <w:noWrap/>
            <w:hideMark/>
          </w:tcPr>
          <w:p w14:paraId="1A26038F"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2.70</w:t>
            </w:r>
          </w:p>
        </w:tc>
      </w:tr>
      <w:tr w:rsidR="00537080" w:rsidRPr="00537080" w14:paraId="1319137B" w14:textId="77777777" w:rsidTr="00537080">
        <w:trPr>
          <w:trHeight w:val="600"/>
        </w:trPr>
        <w:tc>
          <w:tcPr>
            <w:tcW w:w="807" w:type="pct"/>
            <w:tcBorders>
              <w:top w:val="nil"/>
              <w:left w:val="nil"/>
              <w:bottom w:val="nil"/>
              <w:right w:val="nil"/>
            </w:tcBorders>
            <w:shd w:val="clear" w:color="000000" w:fill="FFFFFF"/>
            <w:noWrap/>
            <w:hideMark/>
          </w:tcPr>
          <w:p w14:paraId="5BEE857A"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4.85</w:t>
            </w:r>
          </w:p>
        </w:tc>
        <w:tc>
          <w:tcPr>
            <w:tcW w:w="807" w:type="pct"/>
            <w:tcBorders>
              <w:top w:val="nil"/>
              <w:left w:val="nil"/>
              <w:bottom w:val="nil"/>
              <w:right w:val="nil"/>
            </w:tcBorders>
            <w:shd w:val="clear" w:color="000000" w:fill="FFFFFF"/>
            <w:noWrap/>
            <w:hideMark/>
          </w:tcPr>
          <w:p w14:paraId="688378B4"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4.75</w:t>
            </w:r>
          </w:p>
        </w:tc>
        <w:tc>
          <w:tcPr>
            <w:tcW w:w="1773" w:type="pct"/>
            <w:tcBorders>
              <w:top w:val="nil"/>
              <w:left w:val="nil"/>
              <w:bottom w:val="nil"/>
              <w:right w:val="nil"/>
            </w:tcBorders>
            <w:shd w:val="clear" w:color="000000" w:fill="FFFFFF"/>
            <w:hideMark/>
          </w:tcPr>
          <w:p w14:paraId="16BA7400" w14:textId="77777777" w:rsidR="00537080" w:rsidRPr="00537080" w:rsidRDefault="00537080" w:rsidP="00537080">
            <w:pPr>
              <w:spacing w:line="240" w:lineRule="auto"/>
              <w:jc w:val="left"/>
              <w:rPr>
                <w:rFonts w:ascii="Calibri" w:eastAsia="Times New Roman" w:hAnsi="Calibri" w:cs="Calibri"/>
                <w:color w:val="000000"/>
                <w:lang w:eastAsia="en-GB"/>
              </w:rPr>
            </w:pPr>
            <w:r w:rsidRPr="00537080">
              <w:rPr>
                <w:rFonts w:ascii="Calibri" w:eastAsia="Times New Roman" w:hAnsi="Calibri" w:cs="Calibri"/>
                <w:color w:val="000000"/>
                <w:lang w:eastAsia="en-GB"/>
              </w:rPr>
              <w:t>Rate for discounting scheme liabilities</w:t>
            </w:r>
          </w:p>
        </w:tc>
        <w:tc>
          <w:tcPr>
            <w:tcW w:w="807" w:type="pct"/>
            <w:tcBorders>
              <w:top w:val="nil"/>
              <w:left w:val="nil"/>
              <w:bottom w:val="nil"/>
              <w:right w:val="nil"/>
            </w:tcBorders>
            <w:shd w:val="clear" w:color="000000" w:fill="FFE1E1"/>
            <w:noWrap/>
            <w:hideMark/>
          </w:tcPr>
          <w:p w14:paraId="0A00D8FA"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5.8</w:t>
            </w:r>
          </w:p>
        </w:tc>
        <w:tc>
          <w:tcPr>
            <w:tcW w:w="807" w:type="pct"/>
            <w:tcBorders>
              <w:top w:val="nil"/>
              <w:left w:val="nil"/>
              <w:bottom w:val="nil"/>
              <w:right w:val="nil"/>
            </w:tcBorders>
            <w:shd w:val="clear" w:color="000000" w:fill="FFE1E1"/>
            <w:noWrap/>
            <w:hideMark/>
          </w:tcPr>
          <w:p w14:paraId="5D90B267"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5.65</w:t>
            </w:r>
          </w:p>
        </w:tc>
      </w:tr>
      <w:tr w:rsidR="00537080" w:rsidRPr="00537080" w14:paraId="050D2C1D" w14:textId="77777777" w:rsidTr="00537080">
        <w:trPr>
          <w:trHeight w:val="600"/>
        </w:trPr>
        <w:tc>
          <w:tcPr>
            <w:tcW w:w="807" w:type="pct"/>
            <w:tcBorders>
              <w:top w:val="nil"/>
              <w:left w:val="nil"/>
              <w:bottom w:val="nil"/>
              <w:right w:val="nil"/>
            </w:tcBorders>
            <w:shd w:val="clear" w:color="000000" w:fill="FFFFFF"/>
            <w:noWrap/>
            <w:hideMark/>
          </w:tcPr>
          <w:p w14:paraId="440D050A"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50</w:t>
            </w:r>
          </w:p>
        </w:tc>
        <w:tc>
          <w:tcPr>
            <w:tcW w:w="807" w:type="pct"/>
            <w:tcBorders>
              <w:top w:val="nil"/>
              <w:left w:val="nil"/>
              <w:bottom w:val="nil"/>
              <w:right w:val="nil"/>
            </w:tcBorders>
            <w:shd w:val="clear" w:color="000000" w:fill="FFFFFF"/>
            <w:noWrap/>
            <w:hideMark/>
          </w:tcPr>
          <w:p w14:paraId="428722AE"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N/A</w:t>
            </w:r>
          </w:p>
        </w:tc>
        <w:tc>
          <w:tcPr>
            <w:tcW w:w="1773" w:type="pct"/>
            <w:tcBorders>
              <w:top w:val="nil"/>
              <w:left w:val="nil"/>
              <w:bottom w:val="nil"/>
              <w:right w:val="nil"/>
            </w:tcBorders>
            <w:shd w:val="clear" w:color="000000" w:fill="FFFFFF"/>
            <w:hideMark/>
          </w:tcPr>
          <w:p w14:paraId="554A4314" w14:textId="77777777" w:rsidR="00537080" w:rsidRPr="00537080" w:rsidRDefault="00537080" w:rsidP="00537080">
            <w:pPr>
              <w:spacing w:line="240" w:lineRule="auto"/>
              <w:jc w:val="left"/>
              <w:rPr>
                <w:rFonts w:ascii="Calibri" w:eastAsia="Times New Roman" w:hAnsi="Calibri" w:cs="Calibri"/>
                <w:color w:val="000000"/>
                <w:lang w:eastAsia="en-GB"/>
              </w:rPr>
            </w:pPr>
            <w:r w:rsidRPr="00537080">
              <w:rPr>
                <w:rFonts w:ascii="Calibri" w:eastAsia="Times New Roman" w:hAnsi="Calibri" w:cs="Calibri"/>
                <w:color w:val="000000"/>
                <w:lang w:eastAsia="en-GB"/>
              </w:rPr>
              <w:t xml:space="preserve">Take up of option to convert annual Pension into retirement grant </w:t>
            </w:r>
          </w:p>
        </w:tc>
        <w:tc>
          <w:tcPr>
            <w:tcW w:w="807" w:type="pct"/>
            <w:tcBorders>
              <w:top w:val="nil"/>
              <w:left w:val="nil"/>
              <w:bottom w:val="nil"/>
              <w:right w:val="nil"/>
            </w:tcBorders>
            <w:shd w:val="clear" w:color="000000" w:fill="FFE1E1"/>
            <w:noWrap/>
            <w:hideMark/>
          </w:tcPr>
          <w:p w14:paraId="1CFC3640"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55</w:t>
            </w:r>
          </w:p>
        </w:tc>
        <w:tc>
          <w:tcPr>
            <w:tcW w:w="807" w:type="pct"/>
            <w:tcBorders>
              <w:top w:val="nil"/>
              <w:left w:val="nil"/>
              <w:bottom w:val="nil"/>
              <w:right w:val="nil"/>
            </w:tcBorders>
            <w:shd w:val="clear" w:color="000000" w:fill="FFE1E1"/>
            <w:noWrap/>
            <w:hideMark/>
          </w:tcPr>
          <w:p w14:paraId="12BA02E1" w14:textId="77777777" w:rsidR="00537080" w:rsidRPr="00537080" w:rsidRDefault="00537080" w:rsidP="00537080">
            <w:pPr>
              <w:spacing w:line="240" w:lineRule="auto"/>
              <w:jc w:val="right"/>
              <w:rPr>
                <w:rFonts w:ascii="Calibri" w:eastAsia="Times New Roman" w:hAnsi="Calibri" w:cs="Calibri"/>
                <w:color w:val="000000"/>
                <w:lang w:eastAsia="en-GB"/>
              </w:rPr>
            </w:pPr>
            <w:r w:rsidRPr="00537080">
              <w:rPr>
                <w:rFonts w:ascii="Calibri" w:eastAsia="Times New Roman" w:hAnsi="Calibri" w:cs="Calibri"/>
                <w:color w:val="000000"/>
                <w:lang w:eastAsia="en-GB"/>
              </w:rPr>
              <w:t>N/A</w:t>
            </w:r>
          </w:p>
        </w:tc>
      </w:tr>
    </w:tbl>
    <w:p w14:paraId="740714C3" w14:textId="77777777" w:rsidR="00A543A2" w:rsidRDefault="00A543A2" w:rsidP="00E7677C"/>
    <w:p w14:paraId="375B258E" w14:textId="5B14B2BE" w:rsidR="00E7677C" w:rsidRPr="007F07C2" w:rsidRDefault="00E7677C" w:rsidP="00E7677C">
      <w:pPr>
        <w:rPr>
          <w:sz w:val="18"/>
          <w:szCs w:val="18"/>
        </w:rPr>
      </w:pPr>
      <w:r w:rsidRPr="007F07C2">
        <w:t xml:space="preserve">The estimation of the defined benefit obligations is sensitive to the actuarial assumptions set out in the table above. The sensitivity analyses below have been determined based on reasonably possible changes of the assumptions occurring at the end of the reporting period and assumes for each change that the assumption analysed changes while all the other assumptions remain constant. The assumptions in longevity, for example, assume that life expectancy increases or decreases for men and women. In practice, this is unlikely to occur, and changes in some of the assumptions may be interrelated. </w:t>
      </w:r>
      <w:r w:rsidR="007E0C2C">
        <w:t xml:space="preserve"> </w:t>
      </w:r>
      <w:r w:rsidRPr="007F07C2">
        <w:t xml:space="preserve">The estimations in the sensitivity analysis have followed the accounting policies for the scheme, i.e. on an actuarial basis using the projected unit credit method. </w:t>
      </w:r>
      <w:r w:rsidR="005F5987">
        <w:t xml:space="preserve"> </w:t>
      </w:r>
      <w:r w:rsidRPr="007F07C2">
        <w:t>The methods and types of assumptions used in preparing the sensitivity analysis below did not change from those used in the previous period.</w:t>
      </w:r>
      <w:r w:rsidRPr="007F07C2">
        <w:rPr>
          <w:sz w:val="18"/>
          <w:szCs w:val="18"/>
        </w:rPr>
        <w:t xml:space="preserve"> </w:t>
      </w:r>
    </w:p>
    <w:p w14:paraId="3F8004A4" w14:textId="456A6605" w:rsidR="00C30DC3" w:rsidRDefault="00C30DC3" w:rsidP="00E7677C">
      <w:pPr>
        <w:rPr>
          <w:rFonts w:cstheme="minorBidi"/>
        </w:rPr>
      </w:pPr>
    </w:p>
    <w:tbl>
      <w:tblPr>
        <w:tblW w:w="5000" w:type="pct"/>
        <w:tblLook w:val="04A0" w:firstRow="1" w:lastRow="0" w:firstColumn="1" w:lastColumn="0" w:noHBand="0" w:noVBand="1"/>
      </w:tblPr>
      <w:tblGrid>
        <w:gridCol w:w="1674"/>
        <w:gridCol w:w="1675"/>
        <w:gridCol w:w="3679"/>
        <w:gridCol w:w="1675"/>
        <w:gridCol w:w="1672"/>
      </w:tblGrid>
      <w:tr w:rsidR="00653A07" w:rsidRPr="00653A07" w14:paraId="2461CA34" w14:textId="77777777" w:rsidTr="00653A07">
        <w:trPr>
          <w:trHeight w:val="600"/>
        </w:trPr>
        <w:tc>
          <w:tcPr>
            <w:tcW w:w="807" w:type="pct"/>
            <w:tcBorders>
              <w:top w:val="nil"/>
              <w:left w:val="nil"/>
              <w:bottom w:val="nil"/>
              <w:right w:val="nil"/>
            </w:tcBorders>
            <w:shd w:val="clear" w:color="000000" w:fill="AB2328"/>
            <w:vAlign w:val="center"/>
            <w:hideMark/>
          </w:tcPr>
          <w:p w14:paraId="531FCC70"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Local Government</w:t>
            </w:r>
          </w:p>
        </w:tc>
        <w:tc>
          <w:tcPr>
            <w:tcW w:w="807" w:type="pct"/>
            <w:tcBorders>
              <w:top w:val="nil"/>
              <w:left w:val="nil"/>
              <w:bottom w:val="nil"/>
              <w:right w:val="nil"/>
            </w:tcBorders>
            <w:shd w:val="clear" w:color="000000" w:fill="AB2328"/>
            <w:vAlign w:val="center"/>
            <w:hideMark/>
          </w:tcPr>
          <w:p w14:paraId="05F2BAEF"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Fire Fighters</w:t>
            </w:r>
          </w:p>
        </w:tc>
        <w:tc>
          <w:tcPr>
            <w:tcW w:w="1773" w:type="pct"/>
            <w:tcBorders>
              <w:top w:val="nil"/>
              <w:left w:val="nil"/>
              <w:bottom w:val="nil"/>
              <w:right w:val="nil"/>
            </w:tcBorders>
            <w:shd w:val="clear" w:color="000000" w:fill="AB2328"/>
            <w:vAlign w:val="center"/>
            <w:hideMark/>
          </w:tcPr>
          <w:p w14:paraId="4BFA18EC"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549AF51E"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Local Government</w:t>
            </w:r>
          </w:p>
        </w:tc>
        <w:tc>
          <w:tcPr>
            <w:tcW w:w="807" w:type="pct"/>
            <w:tcBorders>
              <w:top w:val="nil"/>
              <w:left w:val="nil"/>
              <w:bottom w:val="nil"/>
              <w:right w:val="nil"/>
            </w:tcBorders>
            <w:shd w:val="clear" w:color="000000" w:fill="AB2328"/>
            <w:vAlign w:val="center"/>
            <w:hideMark/>
          </w:tcPr>
          <w:p w14:paraId="57BA6281"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Fire Fighters</w:t>
            </w:r>
          </w:p>
        </w:tc>
      </w:tr>
      <w:tr w:rsidR="00653A07" w:rsidRPr="00653A07" w14:paraId="7F94E4E9" w14:textId="77777777" w:rsidTr="00653A07">
        <w:trPr>
          <w:trHeight w:val="600"/>
        </w:trPr>
        <w:tc>
          <w:tcPr>
            <w:tcW w:w="807" w:type="pct"/>
            <w:tcBorders>
              <w:top w:val="nil"/>
              <w:left w:val="nil"/>
              <w:bottom w:val="nil"/>
              <w:right w:val="nil"/>
            </w:tcBorders>
            <w:shd w:val="clear" w:color="000000" w:fill="AB2328"/>
            <w:vAlign w:val="center"/>
            <w:hideMark/>
          </w:tcPr>
          <w:p w14:paraId="5696F07A"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Pension Scheme</w:t>
            </w:r>
          </w:p>
        </w:tc>
        <w:tc>
          <w:tcPr>
            <w:tcW w:w="807" w:type="pct"/>
            <w:tcBorders>
              <w:top w:val="nil"/>
              <w:left w:val="nil"/>
              <w:bottom w:val="nil"/>
              <w:right w:val="nil"/>
            </w:tcBorders>
            <w:shd w:val="clear" w:color="000000" w:fill="AB2328"/>
            <w:vAlign w:val="center"/>
            <w:hideMark/>
          </w:tcPr>
          <w:p w14:paraId="77944C03"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Pension Scheme</w:t>
            </w:r>
          </w:p>
        </w:tc>
        <w:tc>
          <w:tcPr>
            <w:tcW w:w="1773" w:type="pct"/>
            <w:tcBorders>
              <w:top w:val="nil"/>
              <w:left w:val="nil"/>
              <w:bottom w:val="nil"/>
              <w:right w:val="nil"/>
            </w:tcBorders>
            <w:shd w:val="clear" w:color="000000" w:fill="AB2328"/>
            <w:vAlign w:val="center"/>
            <w:hideMark/>
          </w:tcPr>
          <w:p w14:paraId="0F350B2D"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00FA6909"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Pension Scheme</w:t>
            </w:r>
          </w:p>
        </w:tc>
        <w:tc>
          <w:tcPr>
            <w:tcW w:w="807" w:type="pct"/>
            <w:tcBorders>
              <w:top w:val="nil"/>
              <w:left w:val="nil"/>
              <w:bottom w:val="nil"/>
              <w:right w:val="nil"/>
            </w:tcBorders>
            <w:shd w:val="clear" w:color="000000" w:fill="AB2328"/>
            <w:vAlign w:val="center"/>
            <w:hideMark/>
          </w:tcPr>
          <w:p w14:paraId="219C2DC7"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Pension Scheme</w:t>
            </w:r>
          </w:p>
        </w:tc>
      </w:tr>
      <w:tr w:rsidR="00653A07" w:rsidRPr="00653A07" w14:paraId="27FCEFF9" w14:textId="77777777" w:rsidTr="00653A07">
        <w:trPr>
          <w:trHeight w:val="300"/>
        </w:trPr>
        <w:tc>
          <w:tcPr>
            <w:tcW w:w="807" w:type="pct"/>
            <w:tcBorders>
              <w:top w:val="nil"/>
              <w:left w:val="nil"/>
              <w:bottom w:val="nil"/>
              <w:right w:val="nil"/>
            </w:tcBorders>
            <w:shd w:val="clear" w:color="000000" w:fill="AB2328"/>
            <w:vAlign w:val="center"/>
            <w:hideMark/>
          </w:tcPr>
          <w:p w14:paraId="0E1EBE23"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xml:space="preserve"> March 2024</w:t>
            </w:r>
          </w:p>
        </w:tc>
        <w:tc>
          <w:tcPr>
            <w:tcW w:w="807" w:type="pct"/>
            <w:tcBorders>
              <w:top w:val="nil"/>
              <w:left w:val="nil"/>
              <w:bottom w:val="nil"/>
              <w:right w:val="nil"/>
            </w:tcBorders>
            <w:shd w:val="clear" w:color="000000" w:fill="AB2328"/>
            <w:vAlign w:val="center"/>
            <w:hideMark/>
          </w:tcPr>
          <w:p w14:paraId="4C710DC5"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xml:space="preserve"> March 2024</w:t>
            </w:r>
          </w:p>
        </w:tc>
        <w:tc>
          <w:tcPr>
            <w:tcW w:w="1773" w:type="pct"/>
            <w:tcBorders>
              <w:top w:val="nil"/>
              <w:left w:val="nil"/>
              <w:bottom w:val="nil"/>
              <w:right w:val="nil"/>
            </w:tcBorders>
            <w:shd w:val="clear" w:color="000000" w:fill="AB2328"/>
            <w:vAlign w:val="center"/>
            <w:hideMark/>
          </w:tcPr>
          <w:p w14:paraId="282A1C3B"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w:t>
            </w:r>
          </w:p>
        </w:tc>
        <w:tc>
          <w:tcPr>
            <w:tcW w:w="807" w:type="pct"/>
            <w:tcBorders>
              <w:top w:val="nil"/>
              <w:left w:val="nil"/>
              <w:bottom w:val="nil"/>
              <w:right w:val="nil"/>
            </w:tcBorders>
            <w:shd w:val="clear" w:color="000000" w:fill="AB2328"/>
            <w:vAlign w:val="center"/>
            <w:hideMark/>
          </w:tcPr>
          <w:p w14:paraId="7289B8DB"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xml:space="preserve"> March 2025</w:t>
            </w:r>
          </w:p>
        </w:tc>
        <w:tc>
          <w:tcPr>
            <w:tcW w:w="807" w:type="pct"/>
            <w:tcBorders>
              <w:top w:val="nil"/>
              <w:left w:val="nil"/>
              <w:bottom w:val="nil"/>
              <w:right w:val="nil"/>
            </w:tcBorders>
            <w:shd w:val="clear" w:color="000000" w:fill="AB2328"/>
            <w:vAlign w:val="center"/>
            <w:hideMark/>
          </w:tcPr>
          <w:p w14:paraId="288596F5" w14:textId="77777777" w:rsidR="00653A07" w:rsidRPr="00653A07" w:rsidRDefault="00653A07" w:rsidP="00653A07">
            <w:pPr>
              <w:spacing w:line="240" w:lineRule="auto"/>
              <w:jc w:val="right"/>
              <w:rPr>
                <w:rFonts w:ascii="Calibri" w:eastAsia="Times New Roman" w:hAnsi="Calibri" w:cs="Calibri"/>
                <w:b/>
                <w:bCs/>
                <w:color w:val="FFFFFF"/>
                <w:lang w:eastAsia="en-GB"/>
              </w:rPr>
            </w:pPr>
            <w:r w:rsidRPr="00653A07">
              <w:rPr>
                <w:rFonts w:ascii="Calibri" w:eastAsia="Times New Roman" w:hAnsi="Calibri" w:cs="Calibri"/>
                <w:b/>
                <w:bCs/>
                <w:color w:val="FFFFFF"/>
                <w:lang w:eastAsia="en-GB"/>
              </w:rPr>
              <w:t xml:space="preserve"> March 2025</w:t>
            </w:r>
          </w:p>
        </w:tc>
      </w:tr>
      <w:tr w:rsidR="00653A07" w:rsidRPr="00653A07" w14:paraId="706BBBDA" w14:textId="77777777" w:rsidTr="00653A07">
        <w:trPr>
          <w:trHeight w:val="300"/>
        </w:trPr>
        <w:tc>
          <w:tcPr>
            <w:tcW w:w="807" w:type="pct"/>
            <w:tcBorders>
              <w:top w:val="nil"/>
              <w:left w:val="nil"/>
              <w:bottom w:val="nil"/>
              <w:right w:val="nil"/>
            </w:tcBorders>
            <w:shd w:val="clear" w:color="000000" w:fill="FFFFFF"/>
            <w:vAlign w:val="center"/>
            <w:hideMark/>
          </w:tcPr>
          <w:p w14:paraId="2D8EFB6D"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FFFF"/>
            <w:vAlign w:val="center"/>
            <w:hideMark/>
          </w:tcPr>
          <w:p w14:paraId="61504183"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1773" w:type="pct"/>
            <w:tcBorders>
              <w:top w:val="nil"/>
              <w:left w:val="nil"/>
              <w:bottom w:val="nil"/>
              <w:right w:val="nil"/>
            </w:tcBorders>
            <w:shd w:val="clear" w:color="000000" w:fill="FFFFFF"/>
            <w:vAlign w:val="center"/>
            <w:hideMark/>
          </w:tcPr>
          <w:p w14:paraId="5EEE3247" w14:textId="77777777" w:rsidR="00653A07" w:rsidRPr="00653A07" w:rsidRDefault="00653A07" w:rsidP="00653A07">
            <w:pPr>
              <w:spacing w:line="240" w:lineRule="auto"/>
              <w:jc w:val="left"/>
              <w:rPr>
                <w:rFonts w:ascii="Calibri" w:eastAsia="Times New Roman" w:hAnsi="Calibri" w:cs="Calibri"/>
                <w:b/>
                <w:bCs/>
                <w:color w:val="000000"/>
                <w:lang w:eastAsia="en-GB"/>
              </w:rPr>
            </w:pPr>
            <w:r w:rsidRPr="00653A07">
              <w:rPr>
                <w:rFonts w:ascii="Calibri" w:eastAsia="Times New Roman" w:hAnsi="Calibri" w:cs="Calibri"/>
                <w:b/>
                <w:bCs/>
                <w:color w:val="000000"/>
                <w:lang w:eastAsia="en-GB"/>
              </w:rPr>
              <w:t>65 year old current pensioner</w:t>
            </w:r>
          </w:p>
        </w:tc>
        <w:tc>
          <w:tcPr>
            <w:tcW w:w="807" w:type="pct"/>
            <w:tcBorders>
              <w:top w:val="nil"/>
              <w:left w:val="nil"/>
              <w:bottom w:val="nil"/>
              <w:right w:val="nil"/>
            </w:tcBorders>
            <w:shd w:val="clear" w:color="000000" w:fill="FFE1E1"/>
            <w:vAlign w:val="center"/>
            <w:hideMark/>
          </w:tcPr>
          <w:p w14:paraId="730BB903"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E1E1"/>
            <w:vAlign w:val="center"/>
            <w:hideMark/>
          </w:tcPr>
          <w:p w14:paraId="23C5A586"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r>
      <w:tr w:rsidR="00653A07" w:rsidRPr="00653A07" w14:paraId="1E09A1A8" w14:textId="77777777" w:rsidTr="00653A07">
        <w:trPr>
          <w:trHeight w:val="300"/>
        </w:trPr>
        <w:tc>
          <w:tcPr>
            <w:tcW w:w="807" w:type="pct"/>
            <w:tcBorders>
              <w:top w:val="nil"/>
              <w:left w:val="nil"/>
              <w:bottom w:val="nil"/>
              <w:right w:val="nil"/>
            </w:tcBorders>
            <w:shd w:val="clear" w:color="000000" w:fill="FFFFFF"/>
            <w:vAlign w:val="center"/>
            <w:hideMark/>
          </w:tcPr>
          <w:p w14:paraId="7012808B"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20.4</w:t>
            </w:r>
          </w:p>
        </w:tc>
        <w:tc>
          <w:tcPr>
            <w:tcW w:w="807" w:type="pct"/>
            <w:tcBorders>
              <w:top w:val="nil"/>
              <w:left w:val="nil"/>
              <w:bottom w:val="nil"/>
              <w:right w:val="nil"/>
            </w:tcBorders>
            <w:shd w:val="clear" w:color="000000" w:fill="FFFFFF"/>
            <w:vAlign w:val="center"/>
            <w:hideMark/>
          </w:tcPr>
          <w:p w14:paraId="10DA597F"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21.3</w:t>
            </w:r>
          </w:p>
        </w:tc>
        <w:tc>
          <w:tcPr>
            <w:tcW w:w="1773" w:type="pct"/>
            <w:tcBorders>
              <w:top w:val="nil"/>
              <w:left w:val="nil"/>
              <w:bottom w:val="nil"/>
              <w:right w:val="nil"/>
            </w:tcBorders>
            <w:shd w:val="clear" w:color="000000" w:fill="FFFFFF"/>
            <w:vAlign w:val="center"/>
            <w:hideMark/>
          </w:tcPr>
          <w:p w14:paraId="23A82080"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Male</w:t>
            </w:r>
          </w:p>
        </w:tc>
        <w:tc>
          <w:tcPr>
            <w:tcW w:w="807" w:type="pct"/>
            <w:tcBorders>
              <w:top w:val="nil"/>
              <w:left w:val="nil"/>
              <w:bottom w:val="nil"/>
              <w:right w:val="nil"/>
            </w:tcBorders>
            <w:shd w:val="clear" w:color="000000" w:fill="FFE1E1"/>
            <w:vAlign w:val="center"/>
            <w:hideMark/>
          </w:tcPr>
          <w:p w14:paraId="03F38D4B"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20.4</w:t>
            </w:r>
          </w:p>
        </w:tc>
        <w:tc>
          <w:tcPr>
            <w:tcW w:w="807" w:type="pct"/>
            <w:tcBorders>
              <w:top w:val="nil"/>
              <w:left w:val="nil"/>
              <w:bottom w:val="nil"/>
              <w:right w:val="nil"/>
            </w:tcBorders>
            <w:shd w:val="clear" w:color="000000" w:fill="FFE1E1"/>
            <w:vAlign w:val="center"/>
            <w:hideMark/>
          </w:tcPr>
          <w:p w14:paraId="318031F7"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21.3</w:t>
            </w:r>
          </w:p>
        </w:tc>
      </w:tr>
      <w:tr w:rsidR="00653A07" w:rsidRPr="00653A07" w14:paraId="3B289E87" w14:textId="77777777" w:rsidTr="00653A07">
        <w:trPr>
          <w:trHeight w:val="300"/>
        </w:trPr>
        <w:tc>
          <w:tcPr>
            <w:tcW w:w="807" w:type="pct"/>
            <w:tcBorders>
              <w:top w:val="nil"/>
              <w:left w:val="nil"/>
              <w:bottom w:val="nil"/>
              <w:right w:val="nil"/>
            </w:tcBorders>
            <w:shd w:val="clear" w:color="000000" w:fill="FFFFFF"/>
            <w:vAlign w:val="center"/>
            <w:hideMark/>
          </w:tcPr>
          <w:p w14:paraId="728B6419"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24.7</w:t>
            </w:r>
          </w:p>
        </w:tc>
        <w:tc>
          <w:tcPr>
            <w:tcW w:w="807" w:type="pct"/>
            <w:tcBorders>
              <w:top w:val="nil"/>
              <w:left w:val="nil"/>
              <w:bottom w:val="nil"/>
              <w:right w:val="nil"/>
            </w:tcBorders>
            <w:shd w:val="clear" w:color="000000" w:fill="FFFFFF"/>
            <w:vAlign w:val="center"/>
            <w:hideMark/>
          </w:tcPr>
          <w:p w14:paraId="688C0A84"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21.3</w:t>
            </w:r>
          </w:p>
        </w:tc>
        <w:tc>
          <w:tcPr>
            <w:tcW w:w="1773" w:type="pct"/>
            <w:tcBorders>
              <w:top w:val="nil"/>
              <w:left w:val="nil"/>
              <w:bottom w:val="nil"/>
              <w:right w:val="nil"/>
            </w:tcBorders>
            <w:shd w:val="clear" w:color="000000" w:fill="FFFFFF"/>
            <w:vAlign w:val="center"/>
            <w:hideMark/>
          </w:tcPr>
          <w:p w14:paraId="5F7C5879"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Female</w:t>
            </w:r>
          </w:p>
        </w:tc>
        <w:tc>
          <w:tcPr>
            <w:tcW w:w="807" w:type="pct"/>
            <w:tcBorders>
              <w:top w:val="nil"/>
              <w:left w:val="nil"/>
              <w:bottom w:val="nil"/>
              <w:right w:val="nil"/>
            </w:tcBorders>
            <w:shd w:val="clear" w:color="000000" w:fill="FFE1E1"/>
            <w:vAlign w:val="center"/>
            <w:hideMark/>
          </w:tcPr>
          <w:p w14:paraId="405AF0B9"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24.6</w:t>
            </w:r>
          </w:p>
        </w:tc>
        <w:tc>
          <w:tcPr>
            <w:tcW w:w="807" w:type="pct"/>
            <w:tcBorders>
              <w:top w:val="nil"/>
              <w:left w:val="nil"/>
              <w:bottom w:val="nil"/>
              <w:right w:val="nil"/>
            </w:tcBorders>
            <w:shd w:val="clear" w:color="000000" w:fill="FFE1E1"/>
            <w:vAlign w:val="center"/>
            <w:hideMark/>
          </w:tcPr>
          <w:p w14:paraId="7BD1D015"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21.3</w:t>
            </w:r>
          </w:p>
        </w:tc>
      </w:tr>
      <w:tr w:rsidR="00653A07" w:rsidRPr="00653A07" w14:paraId="33FD6A03" w14:textId="77777777" w:rsidTr="00653A07">
        <w:trPr>
          <w:trHeight w:val="300"/>
        </w:trPr>
        <w:tc>
          <w:tcPr>
            <w:tcW w:w="807" w:type="pct"/>
            <w:tcBorders>
              <w:top w:val="nil"/>
              <w:left w:val="nil"/>
              <w:bottom w:val="nil"/>
              <w:right w:val="nil"/>
            </w:tcBorders>
            <w:shd w:val="clear" w:color="000000" w:fill="FFFFFF"/>
            <w:vAlign w:val="center"/>
            <w:hideMark/>
          </w:tcPr>
          <w:p w14:paraId="20568646"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FFFF"/>
            <w:vAlign w:val="center"/>
            <w:hideMark/>
          </w:tcPr>
          <w:p w14:paraId="3269EE1E"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1773" w:type="pct"/>
            <w:tcBorders>
              <w:top w:val="nil"/>
              <w:left w:val="nil"/>
              <w:bottom w:val="nil"/>
              <w:right w:val="nil"/>
            </w:tcBorders>
            <w:shd w:val="clear" w:color="000000" w:fill="FFFFFF"/>
            <w:vAlign w:val="center"/>
            <w:hideMark/>
          </w:tcPr>
          <w:p w14:paraId="24E0C1B4"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E1E1"/>
            <w:vAlign w:val="center"/>
            <w:hideMark/>
          </w:tcPr>
          <w:p w14:paraId="5D73D0D5"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E1E1"/>
            <w:vAlign w:val="center"/>
            <w:hideMark/>
          </w:tcPr>
          <w:p w14:paraId="3F1F6F4B"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r>
      <w:tr w:rsidR="00653A07" w:rsidRPr="00653A07" w14:paraId="501D843D" w14:textId="77777777" w:rsidTr="00653A07">
        <w:trPr>
          <w:trHeight w:val="300"/>
        </w:trPr>
        <w:tc>
          <w:tcPr>
            <w:tcW w:w="807" w:type="pct"/>
            <w:tcBorders>
              <w:top w:val="nil"/>
              <w:left w:val="nil"/>
              <w:bottom w:val="nil"/>
              <w:right w:val="nil"/>
            </w:tcBorders>
            <w:shd w:val="clear" w:color="000000" w:fill="FFFFFF"/>
            <w:vAlign w:val="center"/>
            <w:hideMark/>
          </w:tcPr>
          <w:p w14:paraId="1BD8BFCC"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FFFF"/>
            <w:vAlign w:val="center"/>
            <w:hideMark/>
          </w:tcPr>
          <w:p w14:paraId="6542AC41"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1773" w:type="pct"/>
            <w:tcBorders>
              <w:top w:val="nil"/>
              <w:left w:val="nil"/>
              <w:bottom w:val="nil"/>
              <w:right w:val="nil"/>
            </w:tcBorders>
            <w:shd w:val="clear" w:color="000000" w:fill="FFFFFF"/>
            <w:vAlign w:val="center"/>
            <w:hideMark/>
          </w:tcPr>
          <w:p w14:paraId="49D72DD4" w14:textId="77777777" w:rsidR="00653A07" w:rsidRPr="00653A07" w:rsidRDefault="00653A07" w:rsidP="00653A07">
            <w:pPr>
              <w:spacing w:line="240" w:lineRule="auto"/>
              <w:jc w:val="left"/>
              <w:rPr>
                <w:rFonts w:ascii="Calibri" w:eastAsia="Times New Roman" w:hAnsi="Calibri" w:cs="Calibri"/>
                <w:b/>
                <w:bCs/>
                <w:color w:val="000000"/>
                <w:lang w:eastAsia="en-GB"/>
              </w:rPr>
            </w:pPr>
            <w:r w:rsidRPr="00653A07">
              <w:rPr>
                <w:rFonts w:ascii="Calibri" w:eastAsia="Times New Roman" w:hAnsi="Calibri" w:cs="Calibri"/>
                <w:b/>
                <w:bCs/>
                <w:color w:val="000000"/>
                <w:lang w:eastAsia="en-GB"/>
              </w:rPr>
              <w:t>45 year old future pensioner at age 65</w:t>
            </w:r>
          </w:p>
        </w:tc>
        <w:tc>
          <w:tcPr>
            <w:tcW w:w="807" w:type="pct"/>
            <w:tcBorders>
              <w:top w:val="nil"/>
              <w:left w:val="nil"/>
              <w:bottom w:val="nil"/>
              <w:right w:val="nil"/>
            </w:tcBorders>
            <w:shd w:val="clear" w:color="000000" w:fill="FFE1E1"/>
            <w:vAlign w:val="center"/>
            <w:hideMark/>
          </w:tcPr>
          <w:p w14:paraId="5F05ED4A"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c>
          <w:tcPr>
            <w:tcW w:w="807" w:type="pct"/>
            <w:tcBorders>
              <w:top w:val="nil"/>
              <w:left w:val="nil"/>
              <w:bottom w:val="nil"/>
              <w:right w:val="nil"/>
            </w:tcBorders>
            <w:shd w:val="clear" w:color="000000" w:fill="FFE1E1"/>
            <w:vAlign w:val="center"/>
            <w:hideMark/>
          </w:tcPr>
          <w:p w14:paraId="016D1078"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 </w:t>
            </w:r>
          </w:p>
        </w:tc>
      </w:tr>
      <w:tr w:rsidR="00653A07" w:rsidRPr="00653A07" w14:paraId="750872FC" w14:textId="77777777" w:rsidTr="00653A07">
        <w:trPr>
          <w:trHeight w:val="300"/>
        </w:trPr>
        <w:tc>
          <w:tcPr>
            <w:tcW w:w="807" w:type="pct"/>
            <w:tcBorders>
              <w:top w:val="nil"/>
              <w:left w:val="nil"/>
              <w:bottom w:val="nil"/>
              <w:right w:val="nil"/>
            </w:tcBorders>
            <w:shd w:val="clear" w:color="000000" w:fill="FFFFFF"/>
            <w:vAlign w:val="center"/>
            <w:hideMark/>
          </w:tcPr>
          <w:p w14:paraId="1766FE4B"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21.6</w:t>
            </w:r>
          </w:p>
        </w:tc>
        <w:tc>
          <w:tcPr>
            <w:tcW w:w="807" w:type="pct"/>
            <w:tcBorders>
              <w:top w:val="nil"/>
              <w:left w:val="nil"/>
              <w:bottom w:val="nil"/>
              <w:right w:val="nil"/>
            </w:tcBorders>
            <w:shd w:val="clear" w:color="000000" w:fill="FFFFFF"/>
            <w:vAlign w:val="center"/>
            <w:hideMark/>
          </w:tcPr>
          <w:p w14:paraId="653631ED"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22.9</w:t>
            </w:r>
          </w:p>
        </w:tc>
        <w:tc>
          <w:tcPr>
            <w:tcW w:w="1773" w:type="pct"/>
            <w:tcBorders>
              <w:top w:val="nil"/>
              <w:left w:val="nil"/>
              <w:bottom w:val="nil"/>
              <w:right w:val="nil"/>
            </w:tcBorders>
            <w:shd w:val="clear" w:color="000000" w:fill="FFFFFF"/>
            <w:vAlign w:val="center"/>
            <w:hideMark/>
          </w:tcPr>
          <w:p w14:paraId="6B263127"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Male</w:t>
            </w:r>
          </w:p>
        </w:tc>
        <w:tc>
          <w:tcPr>
            <w:tcW w:w="807" w:type="pct"/>
            <w:tcBorders>
              <w:top w:val="nil"/>
              <w:left w:val="nil"/>
              <w:bottom w:val="nil"/>
              <w:right w:val="nil"/>
            </w:tcBorders>
            <w:shd w:val="clear" w:color="000000" w:fill="FFE1E1"/>
            <w:vAlign w:val="center"/>
            <w:hideMark/>
          </w:tcPr>
          <w:p w14:paraId="3338A020"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21.5</w:t>
            </w:r>
          </w:p>
        </w:tc>
        <w:tc>
          <w:tcPr>
            <w:tcW w:w="807" w:type="pct"/>
            <w:tcBorders>
              <w:top w:val="nil"/>
              <w:left w:val="nil"/>
              <w:bottom w:val="nil"/>
              <w:right w:val="nil"/>
            </w:tcBorders>
            <w:shd w:val="clear" w:color="000000" w:fill="FFE1E1"/>
            <w:vAlign w:val="center"/>
            <w:hideMark/>
          </w:tcPr>
          <w:p w14:paraId="1E63C850"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22.7</w:t>
            </w:r>
          </w:p>
        </w:tc>
      </w:tr>
      <w:tr w:rsidR="00653A07" w:rsidRPr="00653A07" w14:paraId="17839B9E" w14:textId="77777777" w:rsidTr="00653A07">
        <w:trPr>
          <w:trHeight w:val="300"/>
        </w:trPr>
        <w:tc>
          <w:tcPr>
            <w:tcW w:w="807" w:type="pct"/>
            <w:tcBorders>
              <w:top w:val="nil"/>
              <w:left w:val="nil"/>
              <w:bottom w:val="nil"/>
              <w:right w:val="nil"/>
            </w:tcBorders>
            <w:shd w:val="clear" w:color="000000" w:fill="FFFFFF"/>
            <w:vAlign w:val="center"/>
            <w:hideMark/>
          </w:tcPr>
          <w:p w14:paraId="60302A27"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25.5</w:t>
            </w:r>
          </w:p>
        </w:tc>
        <w:tc>
          <w:tcPr>
            <w:tcW w:w="807" w:type="pct"/>
            <w:tcBorders>
              <w:top w:val="nil"/>
              <w:left w:val="nil"/>
              <w:bottom w:val="nil"/>
              <w:right w:val="nil"/>
            </w:tcBorders>
            <w:shd w:val="clear" w:color="000000" w:fill="FFFFFF"/>
            <w:vAlign w:val="center"/>
            <w:hideMark/>
          </w:tcPr>
          <w:p w14:paraId="32CDF6B5"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22.9</w:t>
            </w:r>
          </w:p>
        </w:tc>
        <w:tc>
          <w:tcPr>
            <w:tcW w:w="1773" w:type="pct"/>
            <w:tcBorders>
              <w:top w:val="nil"/>
              <w:left w:val="nil"/>
              <w:bottom w:val="nil"/>
              <w:right w:val="nil"/>
            </w:tcBorders>
            <w:shd w:val="clear" w:color="000000" w:fill="FFFFFF"/>
            <w:vAlign w:val="center"/>
            <w:hideMark/>
          </w:tcPr>
          <w:p w14:paraId="227E3DBF" w14:textId="77777777" w:rsidR="00653A07" w:rsidRPr="00653A07" w:rsidRDefault="00653A07" w:rsidP="00653A07">
            <w:pPr>
              <w:spacing w:line="240" w:lineRule="auto"/>
              <w:jc w:val="left"/>
              <w:rPr>
                <w:rFonts w:ascii="Calibri" w:eastAsia="Times New Roman" w:hAnsi="Calibri" w:cs="Calibri"/>
                <w:color w:val="000000"/>
                <w:lang w:eastAsia="en-GB"/>
              </w:rPr>
            </w:pPr>
            <w:r w:rsidRPr="00653A07">
              <w:rPr>
                <w:rFonts w:ascii="Calibri" w:eastAsia="Times New Roman" w:hAnsi="Calibri" w:cs="Calibri"/>
                <w:color w:val="000000"/>
                <w:lang w:eastAsia="en-GB"/>
              </w:rPr>
              <w:t>Female</w:t>
            </w:r>
          </w:p>
        </w:tc>
        <w:tc>
          <w:tcPr>
            <w:tcW w:w="807" w:type="pct"/>
            <w:tcBorders>
              <w:top w:val="nil"/>
              <w:left w:val="nil"/>
              <w:bottom w:val="nil"/>
              <w:right w:val="nil"/>
            </w:tcBorders>
            <w:shd w:val="clear" w:color="000000" w:fill="FFE1E1"/>
            <w:vAlign w:val="center"/>
            <w:hideMark/>
          </w:tcPr>
          <w:p w14:paraId="60138082"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25.4</w:t>
            </w:r>
          </w:p>
        </w:tc>
        <w:tc>
          <w:tcPr>
            <w:tcW w:w="807" w:type="pct"/>
            <w:tcBorders>
              <w:top w:val="nil"/>
              <w:left w:val="nil"/>
              <w:bottom w:val="nil"/>
              <w:right w:val="nil"/>
            </w:tcBorders>
            <w:shd w:val="clear" w:color="000000" w:fill="FFE1E1"/>
            <w:vAlign w:val="center"/>
            <w:hideMark/>
          </w:tcPr>
          <w:p w14:paraId="6735D6F0" w14:textId="77777777" w:rsidR="00653A07" w:rsidRPr="00653A07" w:rsidRDefault="00653A07" w:rsidP="00653A07">
            <w:pPr>
              <w:spacing w:line="240" w:lineRule="auto"/>
              <w:jc w:val="right"/>
              <w:rPr>
                <w:rFonts w:ascii="Calibri" w:eastAsia="Times New Roman" w:hAnsi="Calibri" w:cs="Calibri"/>
                <w:color w:val="000000"/>
                <w:lang w:eastAsia="en-GB"/>
              </w:rPr>
            </w:pPr>
            <w:r w:rsidRPr="00653A07">
              <w:rPr>
                <w:rFonts w:ascii="Calibri" w:eastAsia="Times New Roman" w:hAnsi="Calibri" w:cs="Calibri"/>
                <w:color w:val="000000"/>
                <w:lang w:eastAsia="en-GB"/>
              </w:rPr>
              <w:t>22.7</w:t>
            </w:r>
          </w:p>
        </w:tc>
      </w:tr>
    </w:tbl>
    <w:p w14:paraId="265E9AE4" w14:textId="6362191D" w:rsidR="00E7677C" w:rsidRDefault="00E7677C" w:rsidP="00E7677C"/>
    <w:p w14:paraId="32C4D0F0" w14:textId="46987F8D" w:rsidR="00C30DC3" w:rsidRDefault="00C30DC3" w:rsidP="00E7677C">
      <w:pPr>
        <w:rPr>
          <w:rFonts w:cstheme="minorBidi"/>
        </w:rPr>
      </w:pPr>
    </w:p>
    <w:tbl>
      <w:tblPr>
        <w:tblW w:w="5000" w:type="pct"/>
        <w:tblLook w:val="04A0" w:firstRow="1" w:lastRow="0" w:firstColumn="1" w:lastColumn="0" w:noHBand="0" w:noVBand="1"/>
      </w:tblPr>
      <w:tblGrid>
        <w:gridCol w:w="1734"/>
        <w:gridCol w:w="1735"/>
        <w:gridCol w:w="3779"/>
        <w:gridCol w:w="1735"/>
        <w:gridCol w:w="1392"/>
      </w:tblGrid>
      <w:tr w:rsidR="00C30DC3" w:rsidRPr="00C30DC3" w14:paraId="6A4458F9" w14:textId="77777777" w:rsidTr="00653A07">
        <w:trPr>
          <w:divId w:val="1825199417"/>
          <w:trHeight w:val="290"/>
        </w:trPr>
        <w:tc>
          <w:tcPr>
            <w:tcW w:w="836" w:type="pct"/>
            <w:tcBorders>
              <w:top w:val="nil"/>
              <w:left w:val="nil"/>
              <w:bottom w:val="nil"/>
              <w:right w:val="nil"/>
            </w:tcBorders>
            <w:shd w:val="clear" w:color="auto" w:fill="AB2328"/>
            <w:noWrap/>
            <w:vAlign w:val="center"/>
            <w:hideMark/>
          </w:tcPr>
          <w:p w14:paraId="12F32B8A" w14:textId="0D9BF2F8"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36" w:type="pct"/>
            <w:tcBorders>
              <w:top w:val="nil"/>
              <w:left w:val="nil"/>
              <w:bottom w:val="nil"/>
              <w:right w:val="nil"/>
            </w:tcBorders>
            <w:shd w:val="clear" w:color="auto" w:fill="AB2328"/>
            <w:noWrap/>
            <w:vAlign w:val="center"/>
            <w:hideMark/>
          </w:tcPr>
          <w:p w14:paraId="15D9FCF1"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821" w:type="pct"/>
            <w:tcBorders>
              <w:top w:val="nil"/>
              <w:left w:val="nil"/>
              <w:bottom w:val="nil"/>
              <w:right w:val="nil"/>
            </w:tcBorders>
            <w:shd w:val="clear" w:color="auto" w:fill="AB2328"/>
            <w:noWrap/>
            <w:vAlign w:val="center"/>
            <w:hideMark/>
          </w:tcPr>
          <w:p w14:paraId="66C958AE"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Impact on Defined Benefit Obligation</w:t>
            </w:r>
          </w:p>
        </w:tc>
        <w:tc>
          <w:tcPr>
            <w:tcW w:w="836" w:type="pct"/>
            <w:tcBorders>
              <w:top w:val="nil"/>
              <w:left w:val="nil"/>
              <w:bottom w:val="nil"/>
              <w:right w:val="nil"/>
            </w:tcBorders>
            <w:shd w:val="clear" w:color="auto" w:fill="AB2328"/>
            <w:noWrap/>
            <w:vAlign w:val="center"/>
            <w:hideMark/>
          </w:tcPr>
          <w:p w14:paraId="555BEEB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671" w:type="pct"/>
            <w:tcBorders>
              <w:top w:val="nil"/>
              <w:left w:val="nil"/>
              <w:bottom w:val="nil"/>
              <w:right w:val="nil"/>
            </w:tcBorders>
            <w:shd w:val="clear" w:color="auto" w:fill="AB2328"/>
            <w:noWrap/>
            <w:vAlign w:val="center"/>
            <w:hideMark/>
          </w:tcPr>
          <w:p w14:paraId="42E1C4B6"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r>
      <w:tr w:rsidR="00C30DC3" w:rsidRPr="00C30DC3" w14:paraId="232561BC" w14:textId="77777777" w:rsidTr="00653A07">
        <w:trPr>
          <w:divId w:val="1825199417"/>
          <w:trHeight w:val="870"/>
        </w:trPr>
        <w:tc>
          <w:tcPr>
            <w:tcW w:w="836" w:type="pct"/>
            <w:tcBorders>
              <w:top w:val="nil"/>
              <w:left w:val="nil"/>
              <w:bottom w:val="nil"/>
              <w:right w:val="nil"/>
            </w:tcBorders>
            <w:shd w:val="clear" w:color="auto" w:fill="AB2328"/>
            <w:vAlign w:val="center"/>
            <w:hideMark/>
          </w:tcPr>
          <w:p w14:paraId="5B164702"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Local Government    Pension scheme</w:t>
            </w:r>
          </w:p>
        </w:tc>
        <w:tc>
          <w:tcPr>
            <w:tcW w:w="836" w:type="pct"/>
            <w:tcBorders>
              <w:top w:val="nil"/>
              <w:left w:val="nil"/>
              <w:bottom w:val="nil"/>
              <w:right w:val="nil"/>
            </w:tcBorders>
            <w:shd w:val="clear" w:color="auto" w:fill="AB2328"/>
            <w:vAlign w:val="center"/>
            <w:hideMark/>
          </w:tcPr>
          <w:p w14:paraId="00AF0FEA"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Fire Fighters Pension Scheme</w:t>
            </w:r>
          </w:p>
        </w:tc>
        <w:tc>
          <w:tcPr>
            <w:tcW w:w="1821" w:type="pct"/>
            <w:tcBorders>
              <w:top w:val="nil"/>
              <w:left w:val="nil"/>
              <w:bottom w:val="nil"/>
              <w:right w:val="nil"/>
            </w:tcBorders>
            <w:shd w:val="clear" w:color="auto" w:fill="AB2328"/>
            <w:vAlign w:val="center"/>
            <w:hideMark/>
          </w:tcPr>
          <w:p w14:paraId="570244F8"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Increase/Decrease in assumption</w:t>
            </w:r>
          </w:p>
        </w:tc>
        <w:tc>
          <w:tcPr>
            <w:tcW w:w="836" w:type="pct"/>
            <w:tcBorders>
              <w:top w:val="nil"/>
              <w:left w:val="nil"/>
              <w:bottom w:val="nil"/>
              <w:right w:val="nil"/>
            </w:tcBorders>
            <w:shd w:val="clear" w:color="auto" w:fill="AB2328"/>
            <w:vAlign w:val="center"/>
            <w:hideMark/>
          </w:tcPr>
          <w:p w14:paraId="0D1CCA72"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Local Government    Pension scheme</w:t>
            </w:r>
          </w:p>
        </w:tc>
        <w:tc>
          <w:tcPr>
            <w:tcW w:w="671" w:type="pct"/>
            <w:tcBorders>
              <w:top w:val="nil"/>
              <w:left w:val="nil"/>
              <w:bottom w:val="nil"/>
              <w:right w:val="nil"/>
            </w:tcBorders>
            <w:shd w:val="clear" w:color="auto" w:fill="AB2328"/>
            <w:vAlign w:val="center"/>
            <w:hideMark/>
          </w:tcPr>
          <w:p w14:paraId="248F2905"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Fire Fighters Pension Scheme</w:t>
            </w:r>
          </w:p>
        </w:tc>
      </w:tr>
      <w:tr w:rsidR="00C30DC3" w:rsidRPr="00C30DC3" w14:paraId="2CAF7B3C" w14:textId="77777777" w:rsidTr="00653A07">
        <w:trPr>
          <w:divId w:val="1825199417"/>
          <w:trHeight w:val="290"/>
        </w:trPr>
        <w:tc>
          <w:tcPr>
            <w:tcW w:w="836" w:type="pct"/>
            <w:tcBorders>
              <w:top w:val="nil"/>
              <w:left w:val="nil"/>
              <w:bottom w:val="nil"/>
              <w:right w:val="nil"/>
            </w:tcBorders>
            <w:shd w:val="clear" w:color="auto" w:fill="AB2328"/>
            <w:vAlign w:val="center"/>
            <w:hideMark/>
          </w:tcPr>
          <w:p w14:paraId="6C23369F"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xml:space="preserve"> March 2024</w:t>
            </w:r>
          </w:p>
        </w:tc>
        <w:tc>
          <w:tcPr>
            <w:tcW w:w="836" w:type="pct"/>
            <w:tcBorders>
              <w:top w:val="nil"/>
              <w:left w:val="nil"/>
              <w:bottom w:val="nil"/>
              <w:right w:val="nil"/>
            </w:tcBorders>
            <w:shd w:val="clear" w:color="auto" w:fill="AB2328"/>
            <w:vAlign w:val="center"/>
            <w:hideMark/>
          </w:tcPr>
          <w:p w14:paraId="1DF35CFD"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xml:space="preserve"> March 2024</w:t>
            </w:r>
          </w:p>
        </w:tc>
        <w:tc>
          <w:tcPr>
            <w:tcW w:w="1821" w:type="pct"/>
            <w:tcBorders>
              <w:top w:val="nil"/>
              <w:left w:val="nil"/>
              <w:bottom w:val="nil"/>
              <w:right w:val="nil"/>
            </w:tcBorders>
            <w:shd w:val="clear" w:color="auto" w:fill="AB2328"/>
            <w:vAlign w:val="center"/>
            <w:hideMark/>
          </w:tcPr>
          <w:p w14:paraId="1C4306B1"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836" w:type="pct"/>
            <w:tcBorders>
              <w:top w:val="nil"/>
              <w:left w:val="nil"/>
              <w:bottom w:val="nil"/>
              <w:right w:val="nil"/>
            </w:tcBorders>
            <w:shd w:val="clear" w:color="auto" w:fill="AB2328"/>
            <w:vAlign w:val="center"/>
            <w:hideMark/>
          </w:tcPr>
          <w:p w14:paraId="5264714B"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xml:space="preserve"> March 2025</w:t>
            </w:r>
          </w:p>
        </w:tc>
        <w:tc>
          <w:tcPr>
            <w:tcW w:w="671" w:type="pct"/>
            <w:tcBorders>
              <w:top w:val="nil"/>
              <w:left w:val="nil"/>
              <w:bottom w:val="nil"/>
              <w:right w:val="nil"/>
            </w:tcBorders>
            <w:shd w:val="clear" w:color="auto" w:fill="AB2328"/>
            <w:vAlign w:val="center"/>
            <w:hideMark/>
          </w:tcPr>
          <w:p w14:paraId="725B1E8A"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xml:space="preserve"> March 2025</w:t>
            </w:r>
          </w:p>
        </w:tc>
      </w:tr>
      <w:tr w:rsidR="00C30DC3" w:rsidRPr="00C30DC3" w14:paraId="3A04F0E7" w14:textId="77777777" w:rsidTr="00653A07">
        <w:trPr>
          <w:divId w:val="1825199417"/>
          <w:trHeight w:val="290"/>
        </w:trPr>
        <w:tc>
          <w:tcPr>
            <w:tcW w:w="836" w:type="pct"/>
            <w:tcBorders>
              <w:top w:val="nil"/>
              <w:left w:val="nil"/>
              <w:bottom w:val="nil"/>
              <w:right w:val="nil"/>
            </w:tcBorders>
            <w:shd w:val="clear" w:color="auto" w:fill="FFFFFF" w:themeFill="background1"/>
            <w:noWrap/>
            <w:hideMark/>
          </w:tcPr>
          <w:p w14:paraId="6317843D" w14:textId="67778CAB"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4</w:t>
            </w:r>
            <w:r w:rsidR="00EE31C3">
              <w:rPr>
                <w:rFonts w:ascii="Calibri" w:eastAsia="Times New Roman" w:hAnsi="Calibri" w:cs="Calibri"/>
                <w:color w:val="000000"/>
                <w:lang w:eastAsia="en-GB"/>
              </w:rPr>
              <w:t>.0</w:t>
            </w:r>
            <w:r w:rsidRPr="00C30DC3">
              <w:rPr>
                <w:rFonts w:ascii="Calibri" w:eastAsia="Times New Roman" w:hAnsi="Calibri" w:cs="Calibri"/>
                <w:color w:val="000000"/>
                <w:lang w:eastAsia="en-GB"/>
              </w:rPr>
              <w:t>%</w:t>
            </w:r>
          </w:p>
        </w:tc>
        <w:tc>
          <w:tcPr>
            <w:tcW w:w="836" w:type="pct"/>
            <w:tcBorders>
              <w:top w:val="nil"/>
              <w:left w:val="nil"/>
              <w:bottom w:val="nil"/>
              <w:right w:val="nil"/>
            </w:tcBorders>
            <w:shd w:val="clear" w:color="auto" w:fill="FFFFFF" w:themeFill="background1"/>
            <w:noWrap/>
            <w:hideMark/>
          </w:tcPr>
          <w:p w14:paraId="1838F10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2.0%</w:t>
            </w:r>
          </w:p>
        </w:tc>
        <w:tc>
          <w:tcPr>
            <w:tcW w:w="1821" w:type="pct"/>
            <w:tcBorders>
              <w:top w:val="nil"/>
              <w:left w:val="nil"/>
              <w:bottom w:val="nil"/>
              <w:right w:val="nil"/>
            </w:tcBorders>
            <w:shd w:val="clear" w:color="auto" w:fill="FFFFFF" w:themeFill="background1"/>
            <w:hideMark/>
          </w:tcPr>
          <w:p w14:paraId="5B835D5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Longevity (increase in 1 year)</w:t>
            </w:r>
          </w:p>
        </w:tc>
        <w:tc>
          <w:tcPr>
            <w:tcW w:w="836" w:type="pct"/>
            <w:tcBorders>
              <w:top w:val="nil"/>
              <w:left w:val="nil"/>
              <w:bottom w:val="nil"/>
              <w:right w:val="nil"/>
            </w:tcBorders>
            <w:shd w:val="clear" w:color="auto" w:fill="FFE1E1"/>
            <w:noWrap/>
            <w:hideMark/>
          </w:tcPr>
          <w:p w14:paraId="59A12E4B" w14:textId="03BDBB2F"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4</w:t>
            </w:r>
            <w:r w:rsidR="00EE31C3">
              <w:rPr>
                <w:rFonts w:ascii="Calibri" w:eastAsia="Times New Roman" w:hAnsi="Calibri" w:cs="Calibri"/>
                <w:color w:val="000000"/>
                <w:lang w:eastAsia="en-GB"/>
              </w:rPr>
              <w:t>.0</w:t>
            </w:r>
            <w:r w:rsidRPr="00C30DC3">
              <w:rPr>
                <w:rFonts w:ascii="Calibri" w:eastAsia="Times New Roman" w:hAnsi="Calibri" w:cs="Calibri"/>
                <w:color w:val="000000"/>
                <w:lang w:eastAsia="en-GB"/>
              </w:rPr>
              <w:t>%</w:t>
            </w:r>
          </w:p>
        </w:tc>
        <w:tc>
          <w:tcPr>
            <w:tcW w:w="671" w:type="pct"/>
            <w:tcBorders>
              <w:top w:val="nil"/>
              <w:left w:val="nil"/>
              <w:bottom w:val="nil"/>
              <w:right w:val="nil"/>
            </w:tcBorders>
            <w:shd w:val="clear" w:color="auto" w:fill="FFE1E1"/>
            <w:noWrap/>
            <w:hideMark/>
          </w:tcPr>
          <w:p w14:paraId="1779E2F8" w14:textId="729BB9FE"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w:t>
            </w:r>
            <w:r w:rsidR="007348D9">
              <w:rPr>
                <w:rFonts w:ascii="Calibri" w:eastAsia="Times New Roman" w:hAnsi="Calibri" w:cs="Calibri"/>
                <w:color w:val="000000"/>
                <w:lang w:eastAsia="en-GB"/>
              </w:rPr>
              <w:t>5</w:t>
            </w:r>
            <w:r w:rsidRPr="00C30DC3">
              <w:rPr>
                <w:rFonts w:ascii="Calibri" w:eastAsia="Times New Roman" w:hAnsi="Calibri" w:cs="Calibri"/>
                <w:color w:val="000000"/>
                <w:lang w:eastAsia="en-GB"/>
              </w:rPr>
              <w:t>%</w:t>
            </w:r>
          </w:p>
        </w:tc>
      </w:tr>
      <w:tr w:rsidR="00C30DC3" w:rsidRPr="00C30DC3" w14:paraId="0C1907C3" w14:textId="77777777" w:rsidTr="00653A07">
        <w:trPr>
          <w:divId w:val="1825199417"/>
          <w:trHeight w:val="580"/>
        </w:trPr>
        <w:tc>
          <w:tcPr>
            <w:tcW w:w="836" w:type="pct"/>
            <w:tcBorders>
              <w:top w:val="nil"/>
              <w:left w:val="nil"/>
              <w:bottom w:val="nil"/>
              <w:right w:val="nil"/>
            </w:tcBorders>
            <w:shd w:val="clear" w:color="auto" w:fill="FFFFFF" w:themeFill="background1"/>
            <w:noWrap/>
            <w:hideMark/>
          </w:tcPr>
          <w:p w14:paraId="6A9A993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0.0%</w:t>
            </w:r>
          </w:p>
        </w:tc>
        <w:tc>
          <w:tcPr>
            <w:tcW w:w="836" w:type="pct"/>
            <w:tcBorders>
              <w:top w:val="nil"/>
              <w:left w:val="nil"/>
              <w:bottom w:val="nil"/>
              <w:right w:val="nil"/>
            </w:tcBorders>
            <w:shd w:val="clear" w:color="auto" w:fill="FFFFFF" w:themeFill="background1"/>
            <w:noWrap/>
            <w:hideMark/>
          </w:tcPr>
          <w:p w14:paraId="47F4E83D"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0.2%</w:t>
            </w:r>
          </w:p>
        </w:tc>
        <w:tc>
          <w:tcPr>
            <w:tcW w:w="1821" w:type="pct"/>
            <w:tcBorders>
              <w:top w:val="nil"/>
              <w:left w:val="nil"/>
              <w:bottom w:val="nil"/>
              <w:right w:val="nil"/>
            </w:tcBorders>
            <w:shd w:val="clear" w:color="auto" w:fill="FFFFFF" w:themeFill="background1"/>
            <w:hideMark/>
          </w:tcPr>
          <w:p w14:paraId="197E3F68"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Rate of increase in salaries (increase by 0.1%)</w:t>
            </w:r>
          </w:p>
        </w:tc>
        <w:tc>
          <w:tcPr>
            <w:tcW w:w="836" w:type="pct"/>
            <w:tcBorders>
              <w:top w:val="nil"/>
              <w:left w:val="nil"/>
              <w:bottom w:val="nil"/>
              <w:right w:val="nil"/>
            </w:tcBorders>
            <w:shd w:val="clear" w:color="auto" w:fill="FFE1E1"/>
            <w:noWrap/>
            <w:hideMark/>
          </w:tcPr>
          <w:p w14:paraId="1B534B0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0.0%</w:t>
            </w:r>
          </w:p>
        </w:tc>
        <w:tc>
          <w:tcPr>
            <w:tcW w:w="671" w:type="pct"/>
            <w:tcBorders>
              <w:top w:val="nil"/>
              <w:left w:val="nil"/>
              <w:bottom w:val="nil"/>
              <w:right w:val="nil"/>
            </w:tcBorders>
            <w:shd w:val="clear" w:color="auto" w:fill="FFE1E1"/>
            <w:noWrap/>
            <w:hideMark/>
          </w:tcPr>
          <w:p w14:paraId="65731C7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0.2%</w:t>
            </w:r>
          </w:p>
        </w:tc>
      </w:tr>
      <w:tr w:rsidR="00C30DC3" w:rsidRPr="00C30DC3" w14:paraId="48C838D7" w14:textId="77777777" w:rsidTr="00653A07">
        <w:trPr>
          <w:divId w:val="1825199417"/>
          <w:trHeight w:val="580"/>
        </w:trPr>
        <w:tc>
          <w:tcPr>
            <w:tcW w:w="836" w:type="pct"/>
            <w:tcBorders>
              <w:top w:val="nil"/>
              <w:left w:val="nil"/>
              <w:bottom w:val="nil"/>
              <w:right w:val="nil"/>
            </w:tcBorders>
            <w:shd w:val="clear" w:color="auto" w:fill="FFFFFF" w:themeFill="background1"/>
            <w:noWrap/>
            <w:hideMark/>
          </w:tcPr>
          <w:p w14:paraId="374B6C3A"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2.0%</w:t>
            </w:r>
          </w:p>
        </w:tc>
        <w:tc>
          <w:tcPr>
            <w:tcW w:w="836" w:type="pct"/>
            <w:tcBorders>
              <w:top w:val="nil"/>
              <w:left w:val="nil"/>
              <w:bottom w:val="nil"/>
              <w:right w:val="nil"/>
            </w:tcBorders>
            <w:shd w:val="clear" w:color="auto" w:fill="FFFFFF" w:themeFill="background1"/>
            <w:noWrap/>
            <w:hideMark/>
          </w:tcPr>
          <w:p w14:paraId="6383C33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1.4%</w:t>
            </w:r>
          </w:p>
        </w:tc>
        <w:tc>
          <w:tcPr>
            <w:tcW w:w="1821" w:type="pct"/>
            <w:tcBorders>
              <w:top w:val="nil"/>
              <w:left w:val="nil"/>
              <w:bottom w:val="nil"/>
              <w:right w:val="nil"/>
            </w:tcBorders>
            <w:shd w:val="clear" w:color="auto" w:fill="FFFFFF" w:themeFill="background1"/>
            <w:hideMark/>
          </w:tcPr>
          <w:p w14:paraId="50E5D0A7" w14:textId="29374874"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xml:space="preserve">Rate of increase in pensions (increase </w:t>
            </w:r>
            <w:r w:rsidR="0096090A">
              <w:rPr>
                <w:rFonts w:ascii="Calibri" w:eastAsia="Times New Roman" w:hAnsi="Calibri" w:cs="Calibri"/>
                <w:color w:val="000000"/>
                <w:lang w:eastAsia="en-GB"/>
              </w:rPr>
              <w:t xml:space="preserve">by </w:t>
            </w:r>
            <w:r w:rsidRPr="00C30DC3">
              <w:rPr>
                <w:rFonts w:ascii="Calibri" w:eastAsia="Times New Roman" w:hAnsi="Calibri" w:cs="Calibri"/>
                <w:color w:val="000000"/>
                <w:lang w:eastAsia="en-GB"/>
              </w:rPr>
              <w:t>0.1%)</w:t>
            </w:r>
          </w:p>
        </w:tc>
        <w:tc>
          <w:tcPr>
            <w:tcW w:w="836" w:type="pct"/>
            <w:tcBorders>
              <w:top w:val="nil"/>
              <w:left w:val="nil"/>
              <w:bottom w:val="nil"/>
              <w:right w:val="nil"/>
            </w:tcBorders>
            <w:shd w:val="clear" w:color="auto" w:fill="FFE1E1"/>
            <w:noWrap/>
            <w:hideMark/>
          </w:tcPr>
          <w:p w14:paraId="1B827A2D"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2.0%</w:t>
            </w:r>
          </w:p>
        </w:tc>
        <w:tc>
          <w:tcPr>
            <w:tcW w:w="671" w:type="pct"/>
            <w:tcBorders>
              <w:top w:val="nil"/>
              <w:left w:val="nil"/>
              <w:bottom w:val="nil"/>
              <w:right w:val="nil"/>
            </w:tcBorders>
            <w:shd w:val="clear" w:color="auto" w:fill="FFE1E1"/>
            <w:noWrap/>
            <w:hideMark/>
          </w:tcPr>
          <w:p w14:paraId="7795CC36"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1.3%</w:t>
            </w:r>
          </w:p>
        </w:tc>
      </w:tr>
      <w:tr w:rsidR="00C30DC3" w:rsidRPr="00C30DC3" w14:paraId="7CCF87FD" w14:textId="77777777" w:rsidTr="00653A07">
        <w:trPr>
          <w:divId w:val="1825199417"/>
          <w:trHeight w:val="580"/>
        </w:trPr>
        <w:tc>
          <w:tcPr>
            <w:tcW w:w="836" w:type="pct"/>
            <w:tcBorders>
              <w:top w:val="nil"/>
              <w:left w:val="nil"/>
              <w:bottom w:val="nil"/>
              <w:right w:val="nil"/>
            </w:tcBorders>
            <w:shd w:val="clear" w:color="auto" w:fill="FFFFFF" w:themeFill="background1"/>
            <w:noWrap/>
            <w:hideMark/>
          </w:tcPr>
          <w:p w14:paraId="44396872"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2.0%</w:t>
            </w:r>
          </w:p>
        </w:tc>
        <w:tc>
          <w:tcPr>
            <w:tcW w:w="836" w:type="pct"/>
            <w:tcBorders>
              <w:top w:val="nil"/>
              <w:left w:val="nil"/>
              <w:bottom w:val="nil"/>
              <w:right w:val="nil"/>
            </w:tcBorders>
            <w:shd w:val="clear" w:color="auto" w:fill="FFFFFF" w:themeFill="background1"/>
            <w:noWrap/>
            <w:hideMark/>
          </w:tcPr>
          <w:p w14:paraId="6968BD2C"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-1.4%</w:t>
            </w:r>
          </w:p>
        </w:tc>
        <w:tc>
          <w:tcPr>
            <w:tcW w:w="1821" w:type="pct"/>
            <w:tcBorders>
              <w:top w:val="nil"/>
              <w:left w:val="nil"/>
              <w:bottom w:val="nil"/>
              <w:right w:val="nil"/>
            </w:tcBorders>
            <w:shd w:val="clear" w:color="auto" w:fill="FFFFFF" w:themeFill="background1"/>
            <w:hideMark/>
          </w:tcPr>
          <w:p w14:paraId="722E2011"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Rate for discounting Scheme liabilities (decrease by 0.1%)</w:t>
            </w:r>
          </w:p>
        </w:tc>
        <w:tc>
          <w:tcPr>
            <w:tcW w:w="836" w:type="pct"/>
            <w:tcBorders>
              <w:top w:val="nil"/>
              <w:left w:val="nil"/>
              <w:bottom w:val="nil"/>
              <w:right w:val="nil"/>
            </w:tcBorders>
            <w:shd w:val="clear" w:color="auto" w:fill="FFE1E1"/>
            <w:noWrap/>
            <w:hideMark/>
          </w:tcPr>
          <w:p w14:paraId="6E911945"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2.0%</w:t>
            </w:r>
          </w:p>
        </w:tc>
        <w:tc>
          <w:tcPr>
            <w:tcW w:w="671" w:type="pct"/>
            <w:tcBorders>
              <w:top w:val="nil"/>
              <w:left w:val="nil"/>
              <w:bottom w:val="nil"/>
              <w:right w:val="nil"/>
            </w:tcBorders>
            <w:shd w:val="clear" w:color="auto" w:fill="FFE1E1"/>
            <w:noWrap/>
            <w:hideMark/>
          </w:tcPr>
          <w:p w14:paraId="4F8357E3" w14:textId="0CBB25A2" w:rsidR="00C30DC3" w:rsidRPr="00C30DC3" w:rsidRDefault="2566E261" w:rsidP="00C30DC3">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w:t>
            </w:r>
            <w:r w:rsidR="00C30DC3" w:rsidRPr="148FF933">
              <w:rPr>
                <w:rFonts w:ascii="Calibri" w:eastAsia="Times New Roman" w:hAnsi="Calibri" w:cs="Calibri"/>
                <w:color w:val="000000" w:themeColor="text1"/>
                <w:lang w:eastAsia="en-GB"/>
              </w:rPr>
              <w:t>1.3%</w:t>
            </w:r>
          </w:p>
        </w:tc>
      </w:tr>
    </w:tbl>
    <w:p w14:paraId="15B9669F" w14:textId="77777777" w:rsidR="00A922DB" w:rsidRDefault="00A922DB" w:rsidP="00E7677C"/>
    <w:p w14:paraId="527A918D" w14:textId="3AF8121D" w:rsidR="00427223" w:rsidRDefault="00427223" w:rsidP="6C31340A">
      <w:pPr>
        <w:spacing w:after="160"/>
        <w:jc w:val="left"/>
      </w:pPr>
    </w:p>
    <w:p w14:paraId="0C4482A9" w14:textId="4DFAA72E" w:rsidR="00427223" w:rsidRDefault="00E7677C" w:rsidP="6C31340A">
      <w:pPr>
        <w:spacing w:after="160"/>
      </w:pPr>
      <w:r>
        <w:br w:type="page"/>
      </w:r>
    </w:p>
    <w:p w14:paraId="4F0EF957" w14:textId="661C610C" w:rsidR="00427223" w:rsidRDefault="36D7A856" w:rsidP="6C31340A">
      <w:pPr>
        <w:spacing w:after="160"/>
        <w:jc w:val="left"/>
        <w:rPr>
          <w:rFonts w:cstheme="minorBidi"/>
        </w:rPr>
      </w:pPr>
      <w:r>
        <w:lastRenderedPageBreak/>
        <w:t>The Fire Pension Scheme has no assets to cover its liabilities.  The Local Government Pension Scheme’s assets consist of the following categories, by proportion of the total assets held:</w:t>
      </w:r>
    </w:p>
    <w:tbl>
      <w:tblPr>
        <w:tblW w:w="5000" w:type="pct"/>
        <w:tblCellMar>
          <w:top w:w="15" w:type="dxa"/>
          <w:bottom w:w="15" w:type="dxa"/>
        </w:tblCellMar>
        <w:tblLook w:val="04A0" w:firstRow="1" w:lastRow="0" w:firstColumn="1" w:lastColumn="0" w:noHBand="0" w:noVBand="1"/>
      </w:tblPr>
      <w:tblGrid>
        <w:gridCol w:w="3735"/>
        <w:gridCol w:w="1633"/>
        <w:gridCol w:w="1633"/>
        <w:gridCol w:w="1745"/>
        <w:gridCol w:w="1629"/>
      </w:tblGrid>
      <w:tr w:rsidR="00C76A81" w:rsidRPr="00C76A81" w14:paraId="785F2C82" w14:textId="77777777" w:rsidTr="008E545D">
        <w:trPr>
          <w:trHeight w:val="285"/>
        </w:trPr>
        <w:tc>
          <w:tcPr>
            <w:tcW w:w="1800" w:type="pct"/>
            <w:tcBorders>
              <w:top w:val="nil"/>
              <w:left w:val="nil"/>
              <w:bottom w:val="nil"/>
              <w:right w:val="nil"/>
            </w:tcBorders>
            <w:shd w:val="clear" w:color="auto" w:fill="AB2328"/>
            <w:vAlign w:val="center"/>
            <w:hideMark/>
          </w:tcPr>
          <w:p w14:paraId="6EF7D30C" w14:textId="77777777" w:rsidR="00C76A81" w:rsidRPr="00C76A81" w:rsidRDefault="00C76A81" w:rsidP="00C76A81">
            <w:pPr>
              <w:spacing w:line="240" w:lineRule="auto"/>
              <w:jc w:val="left"/>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Fair value of plan assets</w:t>
            </w:r>
          </w:p>
        </w:tc>
        <w:tc>
          <w:tcPr>
            <w:tcW w:w="787" w:type="pct"/>
            <w:tcBorders>
              <w:top w:val="nil"/>
              <w:left w:val="nil"/>
              <w:bottom w:val="nil"/>
              <w:right w:val="nil"/>
            </w:tcBorders>
            <w:shd w:val="clear" w:color="auto" w:fill="AB2328"/>
            <w:vAlign w:val="center"/>
            <w:hideMark/>
          </w:tcPr>
          <w:p w14:paraId="346872F7" w14:textId="77777777" w:rsidR="00C76A81" w:rsidRPr="00C76A81" w:rsidRDefault="00C76A81" w:rsidP="00C76A81">
            <w:pPr>
              <w:spacing w:line="240" w:lineRule="auto"/>
              <w:jc w:val="left"/>
              <w:rPr>
                <w:rFonts w:ascii="Calibri" w:eastAsia="Times New Roman" w:hAnsi="Calibri" w:cs="Calibri"/>
                <w:b/>
                <w:bCs/>
                <w:color w:val="FFFFFF"/>
                <w:sz w:val="20"/>
                <w:szCs w:val="20"/>
                <w:lang w:eastAsia="en-GB"/>
              </w:rPr>
            </w:pPr>
          </w:p>
        </w:tc>
        <w:tc>
          <w:tcPr>
            <w:tcW w:w="787" w:type="pct"/>
            <w:tcBorders>
              <w:top w:val="nil"/>
              <w:left w:val="nil"/>
              <w:bottom w:val="nil"/>
              <w:right w:val="nil"/>
            </w:tcBorders>
            <w:shd w:val="clear" w:color="auto" w:fill="AB2328"/>
            <w:vAlign w:val="center"/>
            <w:hideMark/>
          </w:tcPr>
          <w:p w14:paraId="260F2E19" w14:textId="77777777" w:rsidR="00C76A81" w:rsidRPr="00C76A81" w:rsidRDefault="00C76A81" w:rsidP="00C76A81">
            <w:pPr>
              <w:spacing w:line="240" w:lineRule="auto"/>
              <w:jc w:val="left"/>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AB2328"/>
            <w:vAlign w:val="center"/>
            <w:hideMark/>
          </w:tcPr>
          <w:p w14:paraId="2F6829AF" w14:textId="77777777" w:rsidR="00C76A81" w:rsidRPr="00C76A81" w:rsidRDefault="00C76A81" w:rsidP="00C76A81">
            <w:pPr>
              <w:spacing w:line="240" w:lineRule="auto"/>
              <w:jc w:val="left"/>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AB2328"/>
            <w:vAlign w:val="center"/>
            <w:hideMark/>
          </w:tcPr>
          <w:p w14:paraId="4A13E5AE" w14:textId="77777777" w:rsidR="00C76A81" w:rsidRPr="00C76A81" w:rsidRDefault="00C76A81" w:rsidP="00C76A81">
            <w:pPr>
              <w:spacing w:line="240" w:lineRule="auto"/>
              <w:jc w:val="left"/>
              <w:rPr>
                <w:rFonts w:ascii="Times New Roman" w:eastAsia="Times New Roman" w:hAnsi="Times New Roman" w:cs="Times New Roman"/>
                <w:sz w:val="20"/>
                <w:szCs w:val="20"/>
                <w:lang w:eastAsia="en-GB"/>
              </w:rPr>
            </w:pPr>
          </w:p>
        </w:tc>
      </w:tr>
      <w:tr w:rsidR="00C76A81" w:rsidRPr="00C76A81" w14:paraId="18BEBA4B" w14:textId="77777777" w:rsidTr="008E545D">
        <w:trPr>
          <w:trHeight w:val="285"/>
        </w:trPr>
        <w:tc>
          <w:tcPr>
            <w:tcW w:w="1800" w:type="pct"/>
            <w:tcBorders>
              <w:top w:val="nil"/>
              <w:left w:val="nil"/>
              <w:bottom w:val="nil"/>
              <w:right w:val="nil"/>
            </w:tcBorders>
            <w:shd w:val="clear" w:color="auto" w:fill="AB2328"/>
            <w:vAlign w:val="center"/>
            <w:hideMark/>
          </w:tcPr>
          <w:p w14:paraId="763B716E" w14:textId="77777777" w:rsidR="00C76A81" w:rsidRPr="00C76A81" w:rsidRDefault="00C76A81" w:rsidP="00C76A81">
            <w:pPr>
              <w:spacing w:line="240" w:lineRule="auto"/>
              <w:jc w:val="left"/>
              <w:rPr>
                <w:rFonts w:ascii="Times New Roman" w:eastAsia="Times New Roman" w:hAnsi="Times New Roman" w:cs="Times New Roman"/>
                <w:sz w:val="20"/>
                <w:szCs w:val="20"/>
                <w:lang w:eastAsia="en-GB"/>
              </w:rPr>
            </w:pPr>
          </w:p>
        </w:tc>
        <w:tc>
          <w:tcPr>
            <w:tcW w:w="1573" w:type="pct"/>
            <w:gridSpan w:val="2"/>
            <w:tcBorders>
              <w:top w:val="nil"/>
              <w:left w:val="nil"/>
              <w:bottom w:val="nil"/>
              <w:right w:val="nil"/>
            </w:tcBorders>
            <w:shd w:val="clear" w:color="auto" w:fill="AB2328"/>
            <w:vAlign w:val="center"/>
            <w:hideMark/>
          </w:tcPr>
          <w:p w14:paraId="617B930D"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31 March 2024</w:t>
            </w:r>
          </w:p>
        </w:tc>
        <w:tc>
          <w:tcPr>
            <w:tcW w:w="1627" w:type="pct"/>
            <w:gridSpan w:val="2"/>
            <w:tcBorders>
              <w:top w:val="nil"/>
              <w:left w:val="nil"/>
              <w:bottom w:val="nil"/>
              <w:right w:val="nil"/>
            </w:tcBorders>
            <w:shd w:val="clear" w:color="auto" w:fill="AB2328"/>
            <w:vAlign w:val="center"/>
            <w:hideMark/>
          </w:tcPr>
          <w:p w14:paraId="5CC550EF"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31 March 2025</w:t>
            </w:r>
          </w:p>
        </w:tc>
      </w:tr>
      <w:tr w:rsidR="00C76A81" w:rsidRPr="00C76A81" w14:paraId="1C7A1A60" w14:textId="77777777" w:rsidTr="008E545D">
        <w:trPr>
          <w:trHeight w:val="510"/>
        </w:trPr>
        <w:tc>
          <w:tcPr>
            <w:tcW w:w="1800" w:type="pct"/>
            <w:tcBorders>
              <w:top w:val="nil"/>
              <w:left w:val="nil"/>
              <w:bottom w:val="nil"/>
              <w:right w:val="nil"/>
            </w:tcBorders>
            <w:shd w:val="clear" w:color="auto" w:fill="AB2328"/>
            <w:vAlign w:val="center"/>
            <w:hideMark/>
          </w:tcPr>
          <w:p w14:paraId="67FD7E13" w14:textId="77777777" w:rsidR="00C76A81" w:rsidRPr="00C76A81" w:rsidRDefault="00C76A81" w:rsidP="00C76A81">
            <w:pPr>
              <w:spacing w:line="240" w:lineRule="auto"/>
              <w:jc w:val="left"/>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Asset category</w:t>
            </w:r>
          </w:p>
        </w:tc>
        <w:tc>
          <w:tcPr>
            <w:tcW w:w="787" w:type="pct"/>
            <w:tcBorders>
              <w:top w:val="nil"/>
              <w:left w:val="nil"/>
              <w:bottom w:val="nil"/>
              <w:right w:val="nil"/>
            </w:tcBorders>
            <w:shd w:val="clear" w:color="auto" w:fill="AB2328"/>
            <w:vAlign w:val="center"/>
            <w:hideMark/>
          </w:tcPr>
          <w:p w14:paraId="02DA8CE7"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Total</w:t>
            </w:r>
          </w:p>
        </w:tc>
        <w:tc>
          <w:tcPr>
            <w:tcW w:w="787" w:type="pct"/>
            <w:tcBorders>
              <w:top w:val="nil"/>
              <w:left w:val="nil"/>
              <w:bottom w:val="nil"/>
              <w:right w:val="nil"/>
            </w:tcBorders>
            <w:shd w:val="clear" w:color="auto" w:fill="AB2328"/>
            <w:vAlign w:val="center"/>
            <w:hideMark/>
          </w:tcPr>
          <w:p w14:paraId="155C1FE9"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Percentage</w:t>
            </w:r>
          </w:p>
        </w:tc>
        <w:tc>
          <w:tcPr>
            <w:tcW w:w="841" w:type="pct"/>
            <w:tcBorders>
              <w:top w:val="nil"/>
              <w:left w:val="nil"/>
              <w:bottom w:val="nil"/>
              <w:right w:val="nil"/>
            </w:tcBorders>
            <w:shd w:val="clear" w:color="auto" w:fill="AB2328"/>
            <w:vAlign w:val="center"/>
            <w:hideMark/>
          </w:tcPr>
          <w:p w14:paraId="0A40E4A6"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Total</w:t>
            </w:r>
          </w:p>
        </w:tc>
        <w:tc>
          <w:tcPr>
            <w:tcW w:w="787" w:type="pct"/>
            <w:tcBorders>
              <w:top w:val="nil"/>
              <w:left w:val="nil"/>
              <w:bottom w:val="nil"/>
              <w:right w:val="nil"/>
            </w:tcBorders>
            <w:shd w:val="clear" w:color="auto" w:fill="AB2328"/>
            <w:vAlign w:val="center"/>
            <w:hideMark/>
          </w:tcPr>
          <w:p w14:paraId="769064DB"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Percentage</w:t>
            </w:r>
          </w:p>
        </w:tc>
      </w:tr>
      <w:tr w:rsidR="00C76A81" w:rsidRPr="00C76A81" w14:paraId="68D253CA" w14:textId="77777777" w:rsidTr="008E545D">
        <w:trPr>
          <w:trHeight w:val="285"/>
        </w:trPr>
        <w:tc>
          <w:tcPr>
            <w:tcW w:w="1800" w:type="pct"/>
            <w:tcBorders>
              <w:top w:val="nil"/>
              <w:left w:val="nil"/>
              <w:bottom w:val="nil"/>
              <w:right w:val="nil"/>
            </w:tcBorders>
            <w:shd w:val="clear" w:color="auto" w:fill="AB2328"/>
            <w:vAlign w:val="center"/>
            <w:hideMark/>
          </w:tcPr>
          <w:p w14:paraId="13528F3F"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p>
        </w:tc>
        <w:tc>
          <w:tcPr>
            <w:tcW w:w="787" w:type="pct"/>
            <w:tcBorders>
              <w:top w:val="nil"/>
              <w:left w:val="nil"/>
              <w:bottom w:val="nil"/>
              <w:right w:val="nil"/>
            </w:tcBorders>
            <w:shd w:val="clear" w:color="auto" w:fill="AB2328"/>
            <w:vAlign w:val="center"/>
            <w:hideMark/>
          </w:tcPr>
          <w:p w14:paraId="614E2A78"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£000</w:t>
            </w:r>
          </w:p>
        </w:tc>
        <w:tc>
          <w:tcPr>
            <w:tcW w:w="787" w:type="pct"/>
            <w:tcBorders>
              <w:top w:val="nil"/>
              <w:left w:val="nil"/>
              <w:bottom w:val="nil"/>
              <w:right w:val="nil"/>
            </w:tcBorders>
            <w:shd w:val="clear" w:color="auto" w:fill="AB2328"/>
            <w:vAlign w:val="center"/>
            <w:hideMark/>
          </w:tcPr>
          <w:p w14:paraId="0EC01B7B"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w:t>
            </w:r>
          </w:p>
        </w:tc>
        <w:tc>
          <w:tcPr>
            <w:tcW w:w="841" w:type="pct"/>
            <w:tcBorders>
              <w:top w:val="nil"/>
              <w:left w:val="nil"/>
              <w:bottom w:val="nil"/>
              <w:right w:val="nil"/>
            </w:tcBorders>
            <w:shd w:val="clear" w:color="auto" w:fill="AB2328"/>
            <w:vAlign w:val="center"/>
            <w:hideMark/>
          </w:tcPr>
          <w:p w14:paraId="7AEB0802"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£000</w:t>
            </w:r>
          </w:p>
        </w:tc>
        <w:tc>
          <w:tcPr>
            <w:tcW w:w="787" w:type="pct"/>
            <w:tcBorders>
              <w:top w:val="nil"/>
              <w:left w:val="nil"/>
              <w:bottom w:val="nil"/>
              <w:right w:val="nil"/>
            </w:tcBorders>
            <w:shd w:val="clear" w:color="auto" w:fill="AB2328"/>
            <w:vAlign w:val="center"/>
            <w:hideMark/>
          </w:tcPr>
          <w:p w14:paraId="259F3C20"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w:t>
            </w:r>
          </w:p>
        </w:tc>
      </w:tr>
      <w:tr w:rsidR="00C76A81" w:rsidRPr="00C76A81" w14:paraId="474A8FB4" w14:textId="77777777" w:rsidTr="008E545D">
        <w:trPr>
          <w:trHeight w:val="285"/>
        </w:trPr>
        <w:tc>
          <w:tcPr>
            <w:tcW w:w="1800" w:type="pct"/>
            <w:tcBorders>
              <w:top w:val="nil"/>
              <w:left w:val="nil"/>
              <w:bottom w:val="nil"/>
              <w:right w:val="nil"/>
            </w:tcBorders>
            <w:shd w:val="clear" w:color="000000" w:fill="FFFFFF"/>
            <w:noWrap/>
            <w:vAlign w:val="bottom"/>
            <w:hideMark/>
          </w:tcPr>
          <w:p w14:paraId="67E5671D"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Equity Securities</w:t>
            </w:r>
          </w:p>
        </w:tc>
        <w:tc>
          <w:tcPr>
            <w:tcW w:w="787" w:type="pct"/>
            <w:tcBorders>
              <w:top w:val="nil"/>
              <w:left w:val="nil"/>
              <w:bottom w:val="nil"/>
              <w:right w:val="nil"/>
            </w:tcBorders>
            <w:shd w:val="clear" w:color="000000" w:fill="FFFFFF"/>
            <w:noWrap/>
            <w:vAlign w:val="center"/>
            <w:hideMark/>
          </w:tcPr>
          <w:p w14:paraId="66B1B19A"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49F75AA1"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315CABBB"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4B34E539"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7D06D6DE" w14:textId="77777777" w:rsidTr="008E545D">
        <w:trPr>
          <w:trHeight w:val="285"/>
        </w:trPr>
        <w:tc>
          <w:tcPr>
            <w:tcW w:w="1800" w:type="pct"/>
            <w:tcBorders>
              <w:top w:val="nil"/>
              <w:left w:val="nil"/>
              <w:bottom w:val="nil"/>
              <w:right w:val="nil"/>
            </w:tcBorders>
            <w:shd w:val="clear" w:color="000000" w:fill="FFFFFF"/>
            <w:noWrap/>
            <w:vAlign w:val="bottom"/>
            <w:hideMark/>
          </w:tcPr>
          <w:p w14:paraId="1277B79F"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Consumer</w:t>
            </w:r>
          </w:p>
        </w:tc>
        <w:tc>
          <w:tcPr>
            <w:tcW w:w="787" w:type="pct"/>
            <w:tcBorders>
              <w:top w:val="nil"/>
              <w:left w:val="nil"/>
              <w:bottom w:val="nil"/>
              <w:right w:val="nil"/>
            </w:tcBorders>
            <w:shd w:val="clear" w:color="000000" w:fill="FFFFFF"/>
            <w:noWrap/>
            <w:vAlign w:val="center"/>
            <w:hideMark/>
          </w:tcPr>
          <w:p w14:paraId="15CC105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108.7</w:t>
            </w:r>
          </w:p>
        </w:tc>
        <w:tc>
          <w:tcPr>
            <w:tcW w:w="787" w:type="pct"/>
            <w:tcBorders>
              <w:top w:val="nil"/>
              <w:left w:val="nil"/>
              <w:bottom w:val="nil"/>
              <w:right w:val="nil"/>
            </w:tcBorders>
            <w:shd w:val="clear" w:color="000000" w:fill="FFFFFF"/>
            <w:noWrap/>
            <w:vAlign w:val="center"/>
            <w:hideMark/>
          </w:tcPr>
          <w:p w14:paraId="509B178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c>
          <w:tcPr>
            <w:tcW w:w="841" w:type="pct"/>
            <w:tcBorders>
              <w:top w:val="nil"/>
              <w:left w:val="nil"/>
              <w:bottom w:val="nil"/>
              <w:right w:val="nil"/>
            </w:tcBorders>
            <w:shd w:val="clear" w:color="auto" w:fill="FFE1E1"/>
            <w:noWrap/>
            <w:vAlign w:val="center"/>
            <w:hideMark/>
          </w:tcPr>
          <w:p w14:paraId="68E21B36"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113.4 </w:t>
            </w:r>
          </w:p>
        </w:tc>
        <w:tc>
          <w:tcPr>
            <w:tcW w:w="787" w:type="pct"/>
            <w:tcBorders>
              <w:top w:val="nil"/>
              <w:left w:val="nil"/>
              <w:bottom w:val="nil"/>
              <w:right w:val="nil"/>
            </w:tcBorders>
            <w:shd w:val="clear" w:color="auto" w:fill="FFE1E1"/>
            <w:noWrap/>
            <w:vAlign w:val="center"/>
            <w:hideMark/>
          </w:tcPr>
          <w:p w14:paraId="453AD4E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r>
      <w:tr w:rsidR="00C76A81" w:rsidRPr="00C76A81" w14:paraId="399F28C0" w14:textId="77777777" w:rsidTr="008E545D">
        <w:trPr>
          <w:trHeight w:val="285"/>
        </w:trPr>
        <w:tc>
          <w:tcPr>
            <w:tcW w:w="1800" w:type="pct"/>
            <w:tcBorders>
              <w:top w:val="nil"/>
              <w:left w:val="nil"/>
              <w:bottom w:val="nil"/>
              <w:right w:val="nil"/>
            </w:tcBorders>
            <w:shd w:val="clear" w:color="000000" w:fill="FFFFFF"/>
            <w:noWrap/>
            <w:vAlign w:val="bottom"/>
            <w:hideMark/>
          </w:tcPr>
          <w:p w14:paraId="0A6DF5E4"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Manufacturing</w:t>
            </w:r>
          </w:p>
        </w:tc>
        <w:tc>
          <w:tcPr>
            <w:tcW w:w="787" w:type="pct"/>
            <w:tcBorders>
              <w:top w:val="nil"/>
              <w:left w:val="nil"/>
              <w:bottom w:val="nil"/>
              <w:right w:val="nil"/>
            </w:tcBorders>
            <w:shd w:val="clear" w:color="000000" w:fill="FFFFFF"/>
            <w:noWrap/>
            <w:vAlign w:val="center"/>
            <w:hideMark/>
          </w:tcPr>
          <w:p w14:paraId="377EED6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95.9</w:t>
            </w:r>
          </w:p>
        </w:tc>
        <w:tc>
          <w:tcPr>
            <w:tcW w:w="787" w:type="pct"/>
            <w:tcBorders>
              <w:top w:val="nil"/>
              <w:left w:val="nil"/>
              <w:bottom w:val="nil"/>
              <w:right w:val="nil"/>
            </w:tcBorders>
            <w:shd w:val="clear" w:color="000000" w:fill="FFFFFF"/>
            <w:noWrap/>
            <w:vAlign w:val="center"/>
            <w:hideMark/>
          </w:tcPr>
          <w:p w14:paraId="1B65ECB2"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c>
          <w:tcPr>
            <w:tcW w:w="841" w:type="pct"/>
            <w:tcBorders>
              <w:top w:val="nil"/>
              <w:left w:val="nil"/>
              <w:bottom w:val="nil"/>
              <w:right w:val="nil"/>
            </w:tcBorders>
            <w:shd w:val="clear" w:color="auto" w:fill="FFE1E1"/>
            <w:noWrap/>
            <w:vAlign w:val="center"/>
            <w:hideMark/>
          </w:tcPr>
          <w:p w14:paraId="30363A90"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102.8 </w:t>
            </w:r>
          </w:p>
        </w:tc>
        <w:tc>
          <w:tcPr>
            <w:tcW w:w="787" w:type="pct"/>
            <w:tcBorders>
              <w:top w:val="nil"/>
              <w:left w:val="nil"/>
              <w:bottom w:val="nil"/>
              <w:right w:val="nil"/>
            </w:tcBorders>
            <w:shd w:val="clear" w:color="auto" w:fill="FFE1E1"/>
            <w:noWrap/>
            <w:vAlign w:val="center"/>
            <w:hideMark/>
          </w:tcPr>
          <w:p w14:paraId="2B716E3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r>
      <w:tr w:rsidR="00C76A81" w:rsidRPr="00C76A81" w14:paraId="2FA948FC" w14:textId="77777777" w:rsidTr="008E545D">
        <w:trPr>
          <w:trHeight w:val="300"/>
        </w:trPr>
        <w:tc>
          <w:tcPr>
            <w:tcW w:w="1800" w:type="pct"/>
            <w:tcBorders>
              <w:top w:val="nil"/>
              <w:left w:val="nil"/>
              <w:bottom w:val="nil"/>
              <w:right w:val="nil"/>
            </w:tcBorders>
            <w:shd w:val="clear" w:color="000000" w:fill="FFFFFF"/>
            <w:noWrap/>
            <w:vAlign w:val="bottom"/>
            <w:hideMark/>
          </w:tcPr>
          <w:p w14:paraId="29EB1AA1"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Energy and Utilities</w:t>
            </w:r>
          </w:p>
        </w:tc>
        <w:tc>
          <w:tcPr>
            <w:tcW w:w="787" w:type="pct"/>
            <w:tcBorders>
              <w:top w:val="nil"/>
              <w:left w:val="nil"/>
              <w:bottom w:val="nil"/>
              <w:right w:val="nil"/>
            </w:tcBorders>
            <w:shd w:val="clear" w:color="000000" w:fill="FFFFFF"/>
            <w:noWrap/>
            <w:vAlign w:val="center"/>
            <w:hideMark/>
          </w:tcPr>
          <w:p w14:paraId="3B6953E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44.5</w:t>
            </w:r>
          </w:p>
        </w:tc>
        <w:tc>
          <w:tcPr>
            <w:tcW w:w="787" w:type="pct"/>
            <w:tcBorders>
              <w:top w:val="nil"/>
              <w:left w:val="nil"/>
              <w:bottom w:val="nil"/>
              <w:right w:val="nil"/>
            </w:tcBorders>
            <w:shd w:val="clear" w:color="000000" w:fill="FFFFFF"/>
            <w:noWrap/>
            <w:vAlign w:val="center"/>
            <w:hideMark/>
          </w:tcPr>
          <w:p w14:paraId="52C48E5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5995C678"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45.8 </w:t>
            </w:r>
          </w:p>
        </w:tc>
        <w:tc>
          <w:tcPr>
            <w:tcW w:w="787" w:type="pct"/>
            <w:tcBorders>
              <w:top w:val="nil"/>
              <w:left w:val="nil"/>
              <w:bottom w:val="nil"/>
              <w:right w:val="nil"/>
            </w:tcBorders>
            <w:shd w:val="clear" w:color="auto" w:fill="FFE1E1"/>
            <w:noWrap/>
            <w:vAlign w:val="center"/>
            <w:hideMark/>
          </w:tcPr>
          <w:p w14:paraId="61EBD72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3F311D4A" w14:textId="77777777" w:rsidTr="008E545D">
        <w:trPr>
          <w:trHeight w:val="285"/>
        </w:trPr>
        <w:tc>
          <w:tcPr>
            <w:tcW w:w="1800" w:type="pct"/>
            <w:tcBorders>
              <w:top w:val="nil"/>
              <w:left w:val="nil"/>
              <w:bottom w:val="nil"/>
              <w:right w:val="nil"/>
            </w:tcBorders>
            <w:shd w:val="clear" w:color="000000" w:fill="FFFFFF"/>
            <w:noWrap/>
            <w:vAlign w:val="bottom"/>
            <w:hideMark/>
          </w:tcPr>
          <w:p w14:paraId="0C61BB46"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Financial Institutions</w:t>
            </w:r>
          </w:p>
        </w:tc>
        <w:tc>
          <w:tcPr>
            <w:tcW w:w="787" w:type="pct"/>
            <w:tcBorders>
              <w:top w:val="nil"/>
              <w:left w:val="nil"/>
              <w:bottom w:val="nil"/>
              <w:right w:val="nil"/>
            </w:tcBorders>
            <w:shd w:val="clear" w:color="000000" w:fill="FFFFFF"/>
            <w:noWrap/>
            <w:vAlign w:val="center"/>
            <w:hideMark/>
          </w:tcPr>
          <w:p w14:paraId="1C5A2A1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92.8</w:t>
            </w:r>
          </w:p>
        </w:tc>
        <w:tc>
          <w:tcPr>
            <w:tcW w:w="787" w:type="pct"/>
            <w:tcBorders>
              <w:top w:val="nil"/>
              <w:left w:val="nil"/>
              <w:bottom w:val="nil"/>
              <w:right w:val="nil"/>
            </w:tcBorders>
            <w:shd w:val="clear" w:color="000000" w:fill="FFFFFF"/>
            <w:noWrap/>
            <w:vAlign w:val="center"/>
            <w:hideMark/>
          </w:tcPr>
          <w:p w14:paraId="4A0DC75D"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c>
          <w:tcPr>
            <w:tcW w:w="841" w:type="pct"/>
            <w:tcBorders>
              <w:top w:val="nil"/>
              <w:left w:val="nil"/>
              <w:bottom w:val="nil"/>
              <w:right w:val="nil"/>
            </w:tcBorders>
            <w:shd w:val="clear" w:color="auto" w:fill="FFE1E1"/>
            <w:noWrap/>
            <w:vAlign w:val="center"/>
            <w:hideMark/>
          </w:tcPr>
          <w:p w14:paraId="0DA6232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112.0 </w:t>
            </w:r>
          </w:p>
        </w:tc>
        <w:tc>
          <w:tcPr>
            <w:tcW w:w="787" w:type="pct"/>
            <w:tcBorders>
              <w:top w:val="nil"/>
              <w:left w:val="nil"/>
              <w:bottom w:val="nil"/>
              <w:right w:val="nil"/>
            </w:tcBorders>
            <w:shd w:val="clear" w:color="auto" w:fill="FFE1E1"/>
            <w:noWrap/>
            <w:vAlign w:val="center"/>
            <w:hideMark/>
          </w:tcPr>
          <w:p w14:paraId="399FB6B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r>
      <w:tr w:rsidR="00C76A81" w:rsidRPr="00C76A81" w14:paraId="28A86DDC" w14:textId="77777777" w:rsidTr="008E545D">
        <w:trPr>
          <w:trHeight w:val="285"/>
        </w:trPr>
        <w:tc>
          <w:tcPr>
            <w:tcW w:w="1800" w:type="pct"/>
            <w:tcBorders>
              <w:top w:val="nil"/>
              <w:left w:val="nil"/>
              <w:bottom w:val="nil"/>
              <w:right w:val="nil"/>
            </w:tcBorders>
            <w:shd w:val="clear" w:color="000000" w:fill="FFFFFF"/>
            <w:noWrap/>
            <w:vAlign w:val="bottom"/>
            <w:hideMark/>
          </w:tcPr>
          <w:p w14:paraId="5A3D6A10"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Health and Care</w:t>
            </w:r>
          </w:p>
        </w:tc>
        <w:tc>
          <w:tcPr>
            <w:tcW w:w="787" w:type="pct"/>
            <w:tcBorders>
              <w:top w:val="nil"/>
              <w:left w:val="nil"/>
              <w:bottom w:val="nil"/>
              <w:right w:val="nil"/>
            </w:tcBorders>
            <w:shd w:val="clear" w:color="000000" w:fill="FFFFFF"/>
            <w:noWrap/>
            <w:vAlign w:val="center"/>
            <w:hideMark/>
          </w:tcPr>
          <w:p w14:paraId="011ABAE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72.4</w:t>
            </w:r>
          </w:p>
        </w:tc>
        <w:tc>
          <w:tcPr>
            <w:tcW w:w="787" w:type="pct"/>
            <w:tcBorders>
              <w:top w:val="nil"/>
              <w:left w:val="nil"/>
              <w:bottom w:val="nil"/>
              <w:right w:val="nil"/>
            </w:tcBorders>
            <w:shd w:val="clear" w:color="000000" w:fill="FFFFFF"/>
            <w:noWrap/>
            <w:vAlign w:val="center"/>
            <w:hideMark/>
          </w:tcPr>
          <w:p w14:paraId="798140F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c>
          <w:tcPr>
            <w:tcW w:w="841" w:type="pct"/>
            <w:tcBorders>
              <w:top w:val="nil"/>
              <w:left w:val="nil"/>
              <w:bottom w:val="nil"/>
              <w:right w:val="nil"/>
            </w:tcBorders>
            <w:shd w:val="clear" w:color="auto" w:fill="FFE1E1"/>
            <w:noWrap/>
            <w:vAlign w:val="center"/>
            <w:hideMark/>
          </w:tcPr>
          <w:p w14:paraId="6EA6A9D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68.1 </w:t>
            </w:r>
          </w:p>
        </w:tc>
        <w:tc>
          <w:tcPr>
            <w:tcW w:w="787" w:type="pct"/>
            <w:tcBorders>
              <w:top w:val="nil"/>
              <w:left w:val="nil"/>
              <w:bottom w:val="nil"/>
              <w:right w:val="nil"/>
            </w:tcBorders>
            <w:shd w:val="clear" w:color="auto" w:fill="FFE1E1"/>
            <w:noWrap/>
            <w:vAlign w:val="center"/>
            <w:hideMark/>
          </w:tcPr>
          <w:p w14:paraId="0ACE553B"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r>
      <w:tr w:rsidR="00C76A81" w:rsidRPr="00C76A81" w14:paraId="381B6604" w14:textId="77777777" w:rsidTr="008E545D">
        <w:trPr>
          <w:trHeight w:val="285"/>
        </w:trPr>
        <w:tc>
          <w:tcPr>
            <w:tcW w:w="1800" w:type="pct"/>
            <w:tcBorders>
              <w:top w:val="nil"/>
              <w:left w:val="nil"/>
              <w:bottom w:val="nil"/>
              <w:right w:val="nil"/>
            </w:tcBorders>
            <w:shd w:val="clear" w:color="000000" w:fill="FFFFFF"/>
            <w:noWrap/>
            <w:vAlign w:val="bottom"/>
            <w:hideMark/>
          </w:tcPr>
          <w:p w14:paraId="608B57F4"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Information Technology</w:t>
            </w:r>
          </w:p>
        </w:tc>
        <w:tc>
          <w:tcPr>
            <w:tcW w:w="787" w:type="pct"/>
            <w:tcBorders>
              <w:top w:val="nil"/>
              <w:left w:val="nil"/>
              <w:bottom w:val="nil"/>
              <w:right w:val="nil"/>
            </w:tcBorders>
            <w:shd w:val="clear" w:color="000000" w:fill="FFFFFF"/>
            <w:noWrap/>
            <w:vAlign w:val="center"/>
            <w:hideMark/>
          </w:tcPr>
          <w:p w14:paraId="5CBA0CF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185.3</w:t>
            </w:r>
          </w:p>
        </w:tc>
        <w:tc>
          <w:tcPr>
            <w:tcW w:w="787" w:type="pct"/>
            <w:tcBorders>
              <w:top w:val="nil"/>
              <w:left w:val="nil"/>
              <w:bottom w:val="nil"/>
              <w:right w:val="nil"/>
            </w:tcBorders>
            <w:shd w:val="clear" w:color="000000" w:fill="FFFFFF"/>
            <w:noWrap/>
            <w:vAlign w:val="center"/>
            <w:hideMark/>
          </w:tcPr>
          <w:p w14:paraId="6890846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2%</w:t>
            </w:r>
          </w:p>
        </w:tc>
        <w:tc>
          <w:tcPr>
            <w:tcW w:w="841" w:type="pct"/>
            <w:tcBorders>
              <w:top w:val="nil"/>
              <w:left w:val="nil"/>
              <w:bottom w:val="nil"/>
              <w:right w:val="nil"/>
            </w:tcBorders>
            <w:shd w:val="clear" w:color="auto" w:fill="FFE1E1"/>
            <w:noWrap/>
            <w:vAlign w:val="center"/>
            <w:hideMark/>
          </w:tcPr>
          <w:p w14:paraId="0B35068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242.4 </w:t>
            </w:r>
          </w:p>
        </w:tc>
        <w:tc>
          <w:tcPr>
            <w:tcW w:w="787" w:type="pct"/>
            <w:tcBorders>
              <w:top w:val="nil"/>
              <w:left w:val="nil"/>
              <w:bottom w:val="nil"/>
              <w:right w:val="nil"/>
            </w:tcBorders>
            <w:shd w:val="clear" w:color="auto" w:fill="FFE1E1"/>
            <w:noWrap/>
            <w:vAlign w:val="center"/>
            <w:hideMark/>
          </w:tcPr>
          <w:p w14:paraId="0C47C348"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2%</w:t>
            </w:r>
          </w:p>
        </w:tc>
      </w:tr>
      <w:tr w:rsidR="00C76A81" w:rsidRPr="00C76A81" w14:paraId="763A0FE6" w14:textId="77777777" w:rsidTr="008E545D">
        <w:trPr>
          <w:trHeight w:val="285"/>
        </w:trPr>
        <w:tc>
          <w:tcPr>
            <w:tcW w:w="1800" w:type="pct"/>
            <w:tcBorders>
              <w:top w:val="nil"/>
              <w:left w:val="nil"/>
              <w:bottom w:val="nil"/>
              <w:right w:val="nil"/>
            </w:tcBorders>
            <w:shd w:val="clear" w:color="000000" w:fill="FFFFFF"/>
            <w:noWrap/>
            <w:vAlign w:val="bottom"/>
            <w:hideMark/>
          </w:tcPr>
          <w:p w14:paraId="0E257E86"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Other</w:t>
            </w:r>
          </w:p>
        </w:tc>
        <w:tc>
          <w:tcPr>
            <w:tcW w:w="787" w:type="pct"/>
            <w:tcBorders>
              <w:top w:val="nil"/>
              <w:left w:val="nil"/>
              <w:bottom w:val="nil"/>
              <w:right w:val="nil"/>
            </w:tcBorders>
            <w:shd w:val="clear" w:color="000000" w:fill="FFFFFF"/>
            <w:noWrap/>
            <w:vAlign w:val="center"/>
            <w:hideMark/>
          </w:tcPr>
          <w:p w14:paraId="4F7390B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18.5</w:t>
            </w:r>
          </w:p>
        </w:tc>
        <w:tc>
          <w:tcPr>
            <w:tcW w:w="787" w:type="pct"/>
            <w:tcBorders>
              <w:top w:val="nil"/>
              <w:left w:val="nil"/>
              <w:bottom w:val="nil"/>
              <w:right w:val="nil"/>
            </w:tcBorders>
            <w:shd w:val="clear" w:color="000000" w:fill="FFFFFF"/>
            <w:noWrap/>
            <w:vAlign w:val="center"/>
            <w:hideMark/>
          </w:tcPr>
          <w:p w14:paraId="1F8321C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04B4C291"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25.7 </w:t>
            </w:r>
          </w:p>
        </w:tc>
        <w:tc>
          <w:tcPr>
            <w:tcW w:w="787" w:type="pct"/>
            <w:tcBorders>
              <w:top w:val="nil"/>
              <w:left w:val="nil"/>
              <w:bottom w:val="nil"/>
              <w:right w:val="nil"/>
            </w:tcBorders>
            <w:shd w:val="clear" w:color="auto" w:fill="FFE1E1"/>
            <w:noWrap/>
            <w:vAlign w:val="center"/>
            <w:hideMark/>
          </w:tcPr>
          <w:p w14:paraId="2598E94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578D4352" w14:textId="77777777" w:rsidTr="008E545D">
        <w:trPr>
          <w:trHeight w:val="300"/>
        </w:trPr>
        <w:tc>
          <w:tcPr>
            <w:tcW w:w="1800" w:type="pct"/>
            <w:tcBorders>
              <w:top w:val="nil"/>
              <w:left w:val="nil"/>
              <w:bottom w:val="nil"/>
              <w:right w:val="nil"/>
            </w:tcBorders>
            <w:shd w:val="clear" w:color="000000" w:fill="FFFFFF"/>
            <w:noWrap/>
            <w:vAlign w:val="bottom"/>
            <w:hideMark/>
          </w:tcPr>
          <w:p w14:paraId="2C80D2DB"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Debt Securities</w:t>
            </w:r>
          </w:p>
        </w:tc>
        <w:tc>
          <w:tcPr>
            <w:tcW w:w="787" w:type="pct"/>
            <w:tcBorders>
              <w:top w:val="nil"/>
              <w:left w:val="nil"/>
              <w:bottom w:val="nil"/>
              <w:right w:val="nil"/>
            </w:tcBorders>
            <w:shd w:val="clear" w:color="000000" w:fill="FFFFFF"/>
            <w:noWrap/>
            <w:vAlign w:val="center"/>
            <w:hideMark/>
          </w:tcPr>
          <w:p w14:paraId="6525EF67"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7B5E2612"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65E770B4"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7ADBA671"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0AB8A01C" w14:textId="77777777" w:rsidTr="008E545D">
        <w:trPr>
          <w:trHeight w:val="285"/>
        </w:trPr>
        <w:tc>
          <w:tcPr>
            <w:tcW w:w="1800" w:type="pct"/>
            <w:tcBorders>
              <w:top w:val="nil"/>
              <w:left w:val="nil"/>
              <w:bottom w:val="nil"/>
              <w:right w:val="nil"/>
            </w:tcBorders>
            <w:shd w:val="clear" w:color="000000" w:fill="FFFFFF"/>
            <w:vAlign w:val="bottom"/>
            <w:hideMark/>
          </w:tcPr>
          <w:p w14:paraId="615C8DCF"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Corporate Bonds (investment grade)</w:t>
            </w:r>
          </w:p>
        </w:tc>
        <w:tc>
          <w:tcPr>
            <w:tcW w:w="787" w:type="pct"/>
            <w:tcBorders>
              <w:top w:val="nil"/>
              <w:left w:val="nil"/>
              <w:bottom w:val="nil"/>
              <w:right w:val="nil"/>
            </w:tcBorders>
            <w:shd w:val="clear" w:color="000000" w:fill="FFFFFF"/>
            <w:noWrap/>
            <w:vAlign w:val="center"/>
            <w:hideMark/>
          </w:tcPr>
          <w:p w14:paraId="36B9230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7782964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67CC9CA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2FA2919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6ECBC0D7" w14:textId="77777777" w:rsidTr="008E545D">
        <w:trPr>
          <w:trHeight w:val="570"/>
        </w:trPr>
        <w:tc>
          <w:tcPr>
            <w:tcW w:w="1800" w:type="pct"/>
            <w:tcBorders>
              <w:top w:val="nil"/>
              <w:left w:val="nil"/>
              <w:bottom w:val="nil"/>
              <w:right w:val="nil"/>
            </w:tcBorders>
            <w:shd w:val="clear" w:color="000000" w:fill="FFFFFF"/>
            <w:vAlign w:val="bottom"/>
            <w:hideMark/>
          </w:tcPr>
          <w:p w14:paraId="67E2F982"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Corporate Bonds (non-investment grade)</w:t>
            </w:r>
          </w:p>
        </w:tc>
        <w:tc>
          <w:tcPr>
            <w:tcW w:w="787" w:type="pct"/>
            <w:tcBorders>
              <w:top w:val="nil"/>
              <w:left w:val="nil"/>
              <w:bottom w:val="nil"/>
              <w:right w:val="nil"/>
            </w:tcBorders>
            <w:shd w:val="clear" w:color="000000" w:fill="FFFFFF"/>
            <w:noWrap/>
            <w:vAlign w:val="center"/>
            <w:hideMark/>
          </w:tcPr>
          <w:p w14:paraId="098AD7E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2E8A87E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138D46F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2DE96B72"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00355830" w14:textId="77777777" w:rsidTr="008E545D">
        <w:trPr>
          <w:trHeight w:val="285"/>
        </w:trPr>
        <w:tc>
          <w:tcPr>
            <w:tcW w:w="1800" w:type="pct"/>
            <w:tcBorders>
              <w:top w:val="nil"/>
              <w:left w:val="nil"/>
              <w:bottom w:val="nil"/>
              <w:right w:val="nil"/>
            </w:tcBorders>
            <w:shd w:val="clear" w:color="000000" w:fill="FFFFFF"/>
            <w:noWrap/>
            <w:vAlign w:val="bottom"/>
            <w:hideMark/>
          </w:tcPr>
          <w:p w14:paraId="19B1DC70"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UK Government</w:t>
            </w:r>
          </w:p>
        </w:tc>
        <w:tc>
          <w:tcPr>
            <w:tcW w:w="787" w:type="pct"/>
            <w:tcBorders>
              <w:top w:val="nil"/>
              <w:left w:val="nil"/>
              <w:bottom w:val="nil"/>
              <w:right w:val="nil"/>
            </w:tcBorders>
            <w:shd w:val="clear" w:color="000000" w:fill="FFFFFF"/>
            <w:noWrap/>
            <w:vAlign w:val="center"/>
            <w:hideMark/>
          </w:tcPr>
          <w:p w14:paraId="5762708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1,508.7</w:t>
            </w:r>
          </w:p>
        </w:tc>
        <w:tc>
          <w:tcPr>
            <w:tcW w:w="787" w:type="pct"/>
            <w:tcBorders>
              <w:top w:val="nil"/>
              <w:left w:val="nil"/>
              <w:bottom w:val="nil"/>
              <w:right w:val="nil"/>
            </w:tcBorders>
            <w:shd w:val="clear" w:color="000000" w:fill="FFFFFF"/>
            <w:noWrap/>
            <w:vAlign w:val="center"/>
            <w:hideMark/>
          </w:tcPr>
          <w:p w14:paraId="7684D671"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15%</w:t>
            </w:r>
          </w:p>
        </w:tc>
        <w:tc>
          <w:tcPr>
            <w:tcW w:w="841" w:type="pct"/>
            <w:tcBorders>
              <w:top w:val="nil"/>
              <w:left w:val="nil"/>
              <w:bottom w:val="nil"/>
              <w:right w:val="nil"/>
            </w:tcBorders>
            <w:shd w:val="clear" w:color="auto" w:fill="FFE1E1"/>
            <w:noWrap/>
            <w:vAlign w:val="center"/>
            <w:hideMark/>
          </w:tcPr>
          <w:p w14:paraId="6123AB9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1,437.6 </w:t>
            </w:r>
          </w:p>
        </w:tc>
        <w:tc>
          <w:tcPr>
            <w:tcW w:w="787" w:type="pct"/>
            <w:tcBorders>
              <w:top w:val="nil"/>
              <w:left w:val="nil"/>
              <w:bottom w:val="nil"/>
              <w:right w:val="nil"/>
            </w:tcBorders>
            <w:shd w:val="clear" w:color="auto" w:fill="FFE1E1"/>
            <w:noWrap/>
            <w:vAlign w:val="center"/>
            <w:hideMark/>
          </w:tcPr>
          <w:p w14:paraId="307B2B3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13%</w:t>
            </w:r>
          </w:p>
        </w:tc>
      </w:tr>
      <w:tr w:rsidR="00C76A81" w:rsidRPr="00C76A81" w14:paraId="61512D07" w14:textId="77777777" w:rsidTr="008E545D">
        <w:trPr>
          <w:trHeight w:val="285"/>
        </w:trPr>
        <w:tc>
          <w:tcPr>
            <w:tcW w:w="1800" w:type="pct"/>
            <w:tcBorders>
              <w:top w:val="nil"/>
              <w:left w:val="nil"/>
              <w:bottom w:val="nil"/>
              <w:right w:val="nil"/>
            </w:tcBorders>
            <w:shd w:val="clear" w:color="000000" w:fill="FFFFFF"/>
            <w:noWrap/>
            <w:vAlign w:val="bottom"/>
            <w:hideMark/>
          </w:tcPr>
          <w:p w14:paraId="1984EB4D"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Other</w:t>
            </w:r>
          </w:p>
        </w:tc>
        <w:tc>
          <w:tcPr>
            <w:tcW w:w="787" w:type="pct"/>
            <w:tcBorders>
              <w:top w:val="nil"/>
              <w:left w:val="nil"/>
              <w:bottom w:val="nil"/>
              <w:right w:val="nil"/>
            </w:tcBorders>
            <w:shd w:val="clear" w:color="000000" w:fill="FFFFFF"/>
            <w:noWrap/>
            <w:vAlign w:val="center"/>
            <w:hideMark/>
          </w:tcPr>
          <w:p w14:paraId="1B43B5D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0FA43BF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2A9DB25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7ECEDF1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03FA3CE9" w14:textId="77777777" w:rsidTr="008E545D">
        <w:trPr>
          <w:trHeight w:val="285"/>
        </w:trPr>
        <w:tc>
          <w:tcPr>
            <w:tcW w:w="1800" w:type="pct"/>
            <w:tcBorders>
              <w:top w:val="nil"/>
              <w:left w:val="nil"/>
              <w:bottom w:val="nil"/>
              <w:right w:val="nil"/>
            </w:tcBorders>
            <w:shd w:val="clear" w:color="000000" w:fill="FFFFFF"/>
            <w:noWrap/>
            <w:vAlign w:val="bottom"/>
            <w:hideMark/>
          </w:tcPr>
          <w:p w14:paraId="02393DE3"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Private Equity</w:t>
            </w:r>
          </w:p>
        </w:tc>
        <w:tc>
          <w:tcPr>
            <w:tcW w:w="787" w:type="pct"/>
            <w:tcBorders>
              <w:top w:val="nil"/>
              <w:left w:val="nil"/>
              <w:bottom w:val="nil"/>
              <w:right w:val="nil"/>
            </w:tcBorders>
            <w:shd w:val="clear" w:color="000000" w:fill="FFFFFF"/>
            <w:noWrap/>
            <w:vAlign w:val="center"/>
            <w:hideMark/>
          </w:tcPr>
          <w:p w14:paraId="6907E6DC"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6F306501"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2E9FDB77"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45B320B3"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5CD0C8D7" w14:textId="77777777" w:rsidTr="008E545D">
        <w:trPr>
          <w:trHeight w:val="285"/>
        </w:trPr>
        <w:tc>
          <w:tcPr>
            <w:tcW w:w="1800" w:type="pct"/>
            <w:tcBorders>
              <w:top w:val="nil"/>
              <w:left w:val="nil"/>
              <w:bottom w:val="nil"/>
              <w:right w:val="nil"/>
            </w:tcBorders>
            <w:shd w:val="clear" w:color="000000" w:fill="FFFFFF"/>
            <w:noWrap/>
            <w:vAlign w:val="bottom"/>
            <w:hideMark/>
          </w:tcPr>
          <w:p w14:paraId="31FF6DDE"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All</w:t>
            </w:r>
          </w:p>
        </w:tc>
        <w:tc>
          <w:tcPr>
            <w:tcW w:w="787" w:type="pct"/>
            <w:tcBorders>
              <w:top w:val="nil"/>
              <w:left w:val="nil"/>
              <w:bottom w:val="nil"/>
              <w:right w:val="nil"/>
            </w:tcBorders>
            <w:shd w:val="clear" w:color="000000" w:fill="FFFFFF"/>
            <w:noWrap/>
            <w:vAlign w:val="center"/>
            <w:hideMark/>
          </w:tcPr>
          <w:p w14:paraId="2F26B278"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765.2</w:t>
            </w:r>
          </w:p>
        </w:tc>
        <w:tc>
          <w:tcPr>
            <w:tcW w:w="787" w:type="pct"/>
            <w:tcBorders>
              <w:top w:val="nil"/>
              <w:left w:val="nil"/>
              <w:bottom w:val="nil"/>
              <w:right w:val="nil"/>
            </w:tcBorders>
            <w:shd w:val="clear" w:color="000000" w:fill="FFFFFF"/>
            <w:noWrap/>
            <w:vAlign w:val="center"/>
            <w:hideMark/>
          </w:tcPr>
          <w:p w14:paraId="7A9970B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7%</w:t>
            </w:r>
          </w:p>
        </w:tc>
        <w:tc>
          <w:tcPr>
            <w:tcW w:w="841" w:type="pct"/>
            <w:tcBorders>
              <w:top w:val="nil"/>
              <w:left w:val="nil"/>
              <w:bottom w:val="nil"/>
              <w:right w:val="nil"/>
            </w:tcBorders>
            <w:shd w:val="clear" w:color="auto" w:fill="FFE1E1"/>
            <w:noWrap/>
            <w:vAlign w:val="center"/>
            <w:hideMark/>
          </w:tcPr>
          <w:p w14:paraId="6B87305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830.2 </w:t>
            </w:r>
          </w:p>
        </w:tc>
        <w:tc>
          <w:tcPr>
            <w:tcW w:w="787" w:type="pct"/>
            <w:tcBorders>
              <w:top w:val="nil"/>
              <w:left w:val="nil"/>
              <w:bottom w:val="nil"/>
              <w:right w:val="nil"/>
            </w:tcBorders>
            <w:shd w:val="clear" w:color="auto" w:fill="FFE1E1"/>
            <w:noWrap/>
            <w:vAlign w:val="center"/>
            <w:hideMark/>
          </w:tcPr>
          <w:p w14:paraId="3C567B9B"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8%</w:t>
            </w:r>
          </w:p>
        </w:tc>
      </w:tr>
      <w:tr w:rsidR="00C76A81" w:rsidRPr="00C76A81" w14:paraId="0FAC02B3" w14:textId="77777777" w:rsidTr="008E545D">
        <w:trPr>
          <w:trHeight w:val="285"/>
        </w:trPr>
        <w:tc>
          <w:tcPr>
            <w:tcW w:w="1800" w:type="pct"/>
            <w:tcBorders>
              <w:top w:val="nil"/>
              <w:left w:val="nil"/>
              <w:bottom w:val="nil"/>
              <w:right w:val="nil"/>
            </w:tcBorders>
            <w:shd w:val="clear" w:color="000000" w:fill="FFFFFF"/>
            <w:noWrap/>
            <w:vAlign w:val="bottom"/>
            <w:hideMark/>
          </w:tcPr>
          <w:p w14:paraId="50B5D0A6"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Real Estate</w:t>
            </w:r>
          </w:p>
        </w:tc>
        <w:tc>
          <w:tcPr>
            <w:tcW w:w="787" w:type="pct"/>
            <w:tcBorders>
              <w:top w:val="nil"/>
              <w:left w:val="nil"/>
              <w:bottom w:val="nil"/>
              <w:right w:val="nil"/>
            </w:tcBorders>
            <w:shd w:val="clear" w:color="000000" w:fill="FFFFFF"/>
            <w:noWrap/>
            <w:vAlign w:val="center"/>
            <w:hideMark/>
          </w:tcPr>
          <w:p w14:paraId="6A124366"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59B08AC0"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64C7DAC3"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62206412"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6B6F8875" w14:textId="77777777" w:rsidTr="008E545D">
        <w:trPr>
          <w:trHeight w:val="285"/>
        </w:trPr>
        <w:tc>
          <w:tcPr>
            <w:tcW w:w="1800" w:type="pct"/>
            <w:tcBorders>
              <w:top w:val="nil"/>
              <w:left w:val="nil"/>
              <w:bottom w:val="nil"/>
              <w:right w:val="nil"/>
            </w:tcBorders>
            <w:shd w:val="clear" w:color="000000" w:fill="FFFFFF"/>
            <w:noWrap/>
            <w:vAlign w:val="bottom"/>
            <w:hideMark/>
          </w:tcPr>
          <w:p w14:paraId="54F03FAE"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UK Property</w:t>
            </w:r>
          </w:p>
        </w:tc>
        <w:tc>
          <w:tcPr>
            <w:tcW w:w="787" w:type="pct"/>
            <w:tcBorders>
              <w:top w:val="nil"/>
              <w:left w:val="nil"/>
              <w:bottom w:val="nil"/>
              <w:right w:val="nil"/>
            </w:tcBorders>
            <w:shd w:val="clear" w:color="000000" w:fill="FFFFFF"/>
            <w:noWrap/>
            <w:vAlign w:val="center"/>
            <w:hideMark/>
          </w:tcPr>
          <w:p w14:paraId="1FC7C7F6"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546.2</w:t>
            </w:r>
          </w:p>
        </w:tc>
        <w:tc>
          <w:tcPr>
            <w:tcW w:w="787" w:type="pct"/>
            <w:tcBorders>
              <w:top w:val="nil"/>
              <w:left w:val="nil"/>
              <w:bottom w:val="nil"/>
              <w:right w:val="nil"/>
            </w:tcBorders>
            <w:shd w:val="clear" w:color="000000" w:fill="FFFFFF"/>
            <w:noWrap/>
            <w:vAlign w:val="center"/>
            <w:hideMark/>
          </w:tcPr>
          <w:p w14:paraId="4E4EE25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5%</w:t>
            </w:r>
          </w:p>
        </w:tc>
        <w:tc>
          <w:tcPr>
            <w:tcW w:w="841" w:type="pct"/>
            <w:tcBorders>
              <w:top w:val="nil"/>
              <w:left w:val="nil"/>
              <w:bottom w:val="nil"/>
              <w:right w:val="nil"/>
            </w:tcBorders>
            <w:shd w:val="clear" w:color="auto" w:fill="FFE1E1"/>
            <w:noWrap/>
            <w:vAlign w:val="center"/>
            <w:hideMark/>
          </w:tcPr>
          <w:p w14:paraId="434ED3E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966.1 </w:t>
            </w:r>
          </w:p>
        </w:tc>
        <w:tc>
          <w:tcPr>
            <w:tcW w:w="787" w:type="pct"/>
            <w:tcBorders>
              <w:top w:val="nil"/>
              <w:left w:val="nil"/>
              <w:bottom w:val="nil"/>
              <w:right w:val="nil"/>
            </w:tcBorders>
            <w:shd w:val="clear" w:color="auto" w:fill="FFE1E1"/>
            <w:noWrap/>
            <w:vAlign w:val="center"/>
            <w:hideMark/>
          </w:tcPr>
          <w:p w14:paraId="42239DF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9%</w:t>
            </w:r>
          </w:p>
        </w:tc>
      </w:tr>
      <w:tr w:rsidR="00C76A81" w:rsidRPr="00C76A81" w14:paraId="6664193E" w14:textId="77777777" w:rsidTr="008E545D">
        <w:trPr>
          <w:trHeight w:val="285"/>
        </w:trPr>
        <w:tc>
          <w:tcPr>
            <w:tcW w:w="1800" w:type="pct"/>
            <w:tcBorders>
              <w:top w:val="nil"/>
              <w:left w:val="nil"/>
              <w:bottom w:val="nil"/>
              <w:right w:val="nil"/>
            </w:tcBorders>
            <w:shd w:val="clear" w:color="000000" w:fill="FFFFFF"/>
            <w:noWrap/>
            <w:vAlign w:val="bottom"/>
            <w:hideMark/>
          </w:tcPr>
          <w:p w14:paraId="30D2E325"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Overseas Property</w:t>
            </w:r>
          </w:p>
        </w:tc>
        <w:tc>
          <w:tcPr>
            <w:tcW w:w="787" w:type="pct"/>
            <w:tcBorders>
              <w:top w:val="nil"/>
              <w:left w:val="nil"/>
              <w:bottom w:val="nil"/>
              <w:right w:val="nil"/>
            </w:tcBorders>
            <w:shd w:val="clear" w:color="000000" w:fill="FFFFFF"/>
            <w:noWrap/>
            <w:vAlign w:val="center"/>
            <w:hideMark/>
          </w:tcPr>
          <w:p w14:paraId="2560D8F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75.0</w:t>
            </w:r>
          </w:p>
        </w:tc>
        <w:tc>
          <w:tcPr>
            <w:tcW w:w="787" w:type="pct"/>
            <w:tcBorders>
              <w:top w:val="nil"/>
              <w:left w:val="nil"/>
              <w:bottom w:val="nil"/>
              <w:right w:val="nil"/>
            </w:tcBorders>
            <w:shd w:val="clear" w:color="000000" w:fill="FFFFFF"/>
            <w:noWrap/>
            <w:vAlign w:val="center"/>
            <w:hideMark/>
          </w:tcPr>
          <w:p w14:paraId="0F710D86"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c>
          <w:tcPr>
            <w:tcW w:w="841" w:type="pct"/>
            <w:tcBorders>
              <w:top w:val="nil"/>
              <w:left w:val="nil"/>
              <w:bottom w:val="nil"/>
              <w:right w:val="nil"/>
            </w:tcBorders>
            <w:shd w:val="clear" w:color="auto" w:fill="FFE1E1"/>
            <w:noWrap/>
            <w:vAlign w:val="center"/>
            <w:hideMark/>
          </w:tcPr>
          <w:p w14:paraId="7F207636"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76.9 </w:t>
            </w:r>
          </w:p>
        </w:tc>
        <w:tc>
          <w:tcPr>
            <w:tcW w:w="787" w:type="pct"/>
            <w:tcBorders>
              <w:top w:val="nil"/>
              <w:left w:val="nil"/>
              <w:bottom w:val="nil"/>
              <w:right w:val="nil"/>
            </w:tcBorders>
            <w:shd w:val="clear" w:color="auto" w:fill="FFE1E1"/>
            <w:noWrap/>
            <w:vAlign w:val="center"/>
            <w:hideMark/>
          </w:tcPr>
          <w:p w14:paraId="1B640016"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w:t>
            </w:r>
          </w:p>
        </w:tc>
      </w:tr>
      <w:tr w:rsidR="00C76A81" w:rsidRPr="00C76A81" w14:paraId="2862B019" w14:textId="77777777" w:rsidTr="008E545D">
        <w:trPr>
          <w:trHeight w:val="285"/>
        </w:trPr>
        <w:tc>
          <w:tcPr>
            <w:tcW w:w="1800" w:type="pct"/>
            <w:tcBorders>
              <w:top w:val="nil"/>
              <w:left w:val="nil"/>
              <w:bottom w:val="nil"/>
              <w:right w:val="nil"/>
            </w:tcBorders>
            <w:shd w:val="clear" w:color="000000" w:fill="FFFFFF"/>
            <w:vAlign w:val="bottom"/>
            <w:hideMark/>
          </w:tcPr>
          <w:p w14:paraId="292943C7"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Investment Funds and Unit Trusts</w:t>
            </w:r>
          </w:p>
        </w:tc>
        <w:tc>
          <w:tcPr>
            <w:tcW w:w="787" w:type="pct"/>
            <w:tcBorders>
              <w:top w:val="nil"/>
              <w:left w:val="nil"/>
              <w:bottom w:val="nil"/>
              <w:right w:val="nil"/>
            </w:tcBorders>
            <w:shd w:val="clear" w:color="000000" w:fill="FFFFFF"/>
            <w:noWrap/>
            <w:vAlign w:val="center"/>
            <w:hideMark/>
          </w:tcPr>
          <w:p w14:paraId="2F1A047B"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142ABEB3"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46E28E9A"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7C857EE9"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13801E9E" w14:textId="77777777" w:rsidTr="008E545D">
        <w:trPr>
          <w:trHeight w:val="285"/>
        </w:trPr>
        <w:tc>
          <w:tcPr>
            <w:tcW w:w="1800" w:type="pct"/>
            <w:tcBorders>
              <w:top w:val="nil"/>
              <w:left w:val="nil"/>
              <w:bottom w:val="nil"/>
              <w:right w:val="nil"/>
            </w:tcBorders>
            <w:shd w:val="clear" w:color="000000" w:fill="FFFFFF"/>
            <w:noWrap/>
            <w:vAlign w:val="bottom"/>
            <w:hideMark/>
          </w:tcPr>
          <w:p w14:paraId="6D0A87DF"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Equities</w:t>
            </w:r>
          </w:p>
        </w:tc>
        <w:tc>
          <w:tcPr>
            <w:tcW w:w="787" w:type="pct"/>
            <w:tcBorders>
              <w:top w:val="nil"/>
              <w:left w:val="nil"/>
              <w:bottom w:val="nil"/>
              <w:right w:val="nil"/>
            </w:tcBorders>
            <w:shd w:val="clear" w:color="000000" w:fill="FFFFFF"/>
            <w:noWrap/>
            <w:vAlign w:val="center"/>
            <w:hideMark/>
          </w:tcPr>
          <w:p w14:paraId="480B593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4,446.2</w:t>
            </w:r>
          </w:p>
        </w:tc>
        <w:tc>
          <w:tcPr>
            <w:tcW w:w="787" w:type="pct"/>
            <w:tcBorders>
              <w:top w:val="nil"/>
              <w:left w:val="nil"/>
              <w:bottom w:val="nil"/>
              <w:right w:val="nil"/>
            </w:tcBorders>
            <w:shd w:val="clear" w:color="000000" w:fill="FFFFFF"/>
            <w:noWrap/>
            <w:vAlign w:val="center"/>
            <w:hideMark/>
          </w:tcPr>
          <w:p w14:paraId="766A7FB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43%</w:t>
            </w:r>
          </w:p>
        </w:tc>
        <w:tc>
          <w:tcPr>
            <w:tcW w:w="841" w:type="pct"/>
            <w:tcBorders>
              <w:top w:val="nil"/>
              <w:left w:val="nil"/>
              <w:bottom w:val="nil"/>
              <w:right w:val="nil"/>
            </w:tcBorders>
            <w:shd w:val="clear" w:color="auto" w:fill="FFE1E1"/>
            <w:noWrap/>
            <w:vAlign w:val="center"/>
            <w:hideMark/>
          </w:tcPr>
          <w:p w14:paraId="6EB1E55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4,185.1 </w:t>
            </w:r>
          </w:p>
        </w:tc>
        <w:tc>
          <w:tcPr>
            <w:tcW w:w="787" w:type="pct"/>
            <w:tcBorders>
              <w:top w:val="nil"/>
              <w:left w:val="nil"/>
              <w:bottom w:val="nil"/>
              <w:right w:val="nil"/>
            </w:tcBorders>
            <w:shd w:val="clear" w:color="auto" w:fill="FFE1E1"/>
            <w:noWrap/>
            <w:vAlign w:val="center"/>
            <w:hideMark/>
          </w:tcPr>
          <w:p w14:paraId="39B9445B"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38%</w:t>
            </w:r>
          </w:p>
        </w:tc>
      </w:tr>
      <w:tr w:rsidR="00C76A81" w:rsidRPr="00C76A81" w14:paraId="1AC9892C" w14:textId="77777777" w:rsidTr="008E545D">
        <w:trPr>
          <w:trHeight w:val="285"/>
        </w:trPr>
        <w:tc>
          <w:tcPr>
            <w:tcW w:w="1800" w:type="pct"/>
            <w:tcBorders>
              <w:top w:val="nil"/>
              <w:left w:val="nil"/>
              <w:bottom w:val="nil"/>
              <w:right w:val="nil"/>
            </w:tcBorders>
            <w:shd w:val="clear" w:color="000000" w:fill="FFFFFF"/>
            <w:noWrap/>
            <w:vAlign w:val="bottom"/>
            <w:hideMark/>
          </w:tcPr>
          <w:p w14:paraId="352358C8"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Bonds</w:t>
            </w:r>
          </w:p>
        </w:tc>
        <w:tc>
          <w:tcPr>
            <w:tcW w:w="787" w:type="pct"/>
            <w:tcBorders>
              <w:top w:val="nil"/>
              <w:left w:val="nil"/>
              <w:bottom w:val="nil"/>
              <w:right w:val="nil"/>
            </w:tcBorders>
            <w:shd w:val="clear" w:color="000000" w:fill="FFFFFF"/>
            <w:noWrap/>
            <w:vAlign w:val="center"/>
            <w:hideMark/>
          </w:tcPr>
          <w:p w14:paraId="2811D22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1,499.3</w:t>
            </w:r>
          </w:p>
        </w:tc>
        <w:tc>
          <w:tcPr>
            <w:tcW w:w="787" w:type="pct"/>
            <w:tcBorders>
              <w:top w:val="nil"/>
              <w:left w:val="nil"/>
              <w:bottom w:val="nil"/>
              <w:right w:val="nil"/>
            </w:tcBorders>
            <w:shd w:val="clear" w:color="000000" w:fill="FFFFFF"/>
            <w:noWrap/>
            <w:vAlign w:val="center"/>
            <w:hideMark/>
          </w:tcPr>
          <w:p w14:paraId="4EB76E9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15%</w:t>
            </w:r>
          </w:p>
        </w:tc>
        <w:tc>
          <w:tcPr>
            <w:tcW w:w="841" w:type="pct"/>
            <w:tcBorders>
              <w:top w:val="nil"/>
              <w:left w:val="nil"/>
              <w:bottom w:val="nil"/>
              <w:right w:val="nil"/>
            </w:tcBorders>
            <w:shd w:val="clear" w:color="auto" w:fill="FFE1E1"/>
            <w:noWrap/>
            <w:vAlign w:val="center"/>
            <w:hideMark/>
          </w:tcPr>
          <w:p w14:paraId="6E1B7E6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1,618.4 </w:t>
            </w:r>
          </w:p>
        </w:tc>
        <w:tc>
          <w:tcPr>
            <w:tcW w:w="787" w:type="pct"/>
            <w:tcBorders>
              <w:top w:val="nil"/>
              <w:left w:val="nil"/>
              <w:bottom w:val="nil"/>
              <w:right w:val="nil"/>
            </w:tcBorders>
            <w:shd w:val="clear" w:color="auto" w:fill="FFE1E1"/>
            <w:noWrap/>
            <w:vAlign w:val="center"/>
            <w:hideMark/>
          </w:tcPr>
          <w:p w14:paraId="2FCE5CC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15%</w:t>
            </w:r>
          </w:p>
        </w:tc>
      </w:tr>
      <w:tr w:rsidR="00C76A81" w:rsidRPr="00C76A81" w14:paraId="482CDCDD" w14:textId="77777777" w:rsidTr="008E545D">
        <w:trPr>
          <w:trHeight w:val="285"/>
        </w:trPr>
        <w:tc>
          <w:tcPr>
            <w:tcW w:w="1800" w:type="pct"/>
            <w:tcBorders>
              <w:top w:val="nil"/>
              <w:left w:val="nil"/>
              <w:bottom w:val="nil"/>
              <w:right w:val="nil"/>
            </w:tcBorders>
            <w:shd w:val="clear" w:color="000000" w:fill="FFFFFF"/>
            <w:noWrap/>
            <w:vAlign w:val="bottom"/>
            <w:hideMark/>
          </w:tcPr>
          <w:p w14:paraId="40A018C7"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Hedge Funds</w:t>
            </w:r>
          </w:p>
        </w:tc>
        <w:tc>
          <w:tcPr>
            <w:tcW w:w="787" w:type="pct"/>
            <w:tcBorders>
              <w:top w:val="nil"/>
              <w:left w:val="nil"/>
              <w:bottom w:val="nil"/>
              <w:right w:val="nil"/>
            </w:tcBorders>
            <w:shd w:val="clear" w:color="000000" w:fill="FFFFFF"/>
            <w:noWrap/>
            <w:vAlign w:val="center"/>
            <w:hideMark/>
          </w:tcPr>
          <w:p w14:paraId="58E3622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263A816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2D82846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031E9AF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6A677F4F" w14:textId="77777777" w:rsidTr="008E545D">
        <w:trPr>
          <w:trHeight w:val="285"/>
        </w:trPr>
        <w:tc>
          <w:tcPr>
            <w:tcW w:w="1800" w:type="pct"/>
            <w:tcBorders>
              <w:top w:val="nil"/>
              <w:left w:val="nil"/>
              <w:bottom w:val="nil"/>
              <w:right w:val="nil"/>
            </w:tcBorders>
            <w:shd w:val="clear" w:color="000000" w:fill="FFFFFF"/>
            <w:noWrap/>
            <w:vAlign w:val="bottom"/>
            <w:hideMark/>
          </w:tcPr>
          <w:p w14:paraId="7C21D4EA"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Commodities</w:t>
            </w:r>
          </w:p>
        </w:tc>
        <w:tc>
          <w:tcPr>
            <w:tcW w:w="787" w:type="pct"/>
            <w:tcBorders>
              <w:top w:val="nil"/>
              <w:left w:val="nil"/>
              <w:bottom w:val="nil"/>
              <w:right w:val="nil"/>
            </w:tcBorders>
            <w:shd w:val="clear" w:color="000000" w:fill="FFFFFF"/>
            <w:noWrap/>
            <w:vAlign w:val="center"/>
            <w:hideMark/>
          </w:tcPr>
          <w:p w14:paraId="38F2028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3758CAA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6462D33D"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3E4EA6F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5AE64668" w14:textId="77777777" w:rsidTr="008E545D">
        <w:trPr>
          <w:trHeight w:val="285"/>
        </w:trPr>
        <w:tc>
          <w:tcPr>
            <w:tcW w:w="1800" w:type="pct"/>
            <w:tcBorders>
              <w:top w:val="nil"/>
              <w:left w:val="nil"/>
              <w:bottom w:val="nil"/>
              <w:right w:val="nil"/>
            </w:tcBorders>
            <w:shd w:val="clear" w:color="000000" w:fill="FFFFFF"/>
            <w:noWrap/>
            <w:vAlign w:val="bottom"/>
            <w:hideMark/>
          </w:tcPr>
          <w:p w14:paraId="1F8BDB09"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Infrastructure</w:t>
            </w:r>
          </w:p>
        </w:tc>
        <w:tc>
          <w:tcPr>
            <w:tcW w:w="787" w:type="pct"/>
            <w:tcBorders>
              <w:top w:val="nil"/>
              <w:left w:val="nil"/>
              <w:bottom w:val="nil"/>
              <w:right w:val="nil"/>
            </w:tcBorders>
            <w:shd w:val="clear" w:color="000000" w:fill="FFFFFF"/>
            <w:noWrap/>
            <w:vAlign w:val="center"/>
            <w:hideMark/>
          </w:tcPr>
          <w:p w14:paraId="535E99DF"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642.5</w:t>
            </w:r>
          </w:p>
        </w:tc>
        <w:tc>
          <w:tcPr>
            <w:tcW w:w="787" w:type="pct"/>
            <w:tcBorders>
              <w:top w:val="nil"/>
              <w:left w:val="nil"/>
              <w:bottom w:val="nil"/>
              <w:right w:val="nil"/>
            </w:tcBorders>
            <w:shd w:val="clear" w:color="000000" w:fill="FFFFFF"/>
            <w:noWrap/>
            <w:vAlign w:val="center"/>
            <w:hideMark/>
          </w:tcPr>
          <w:p w14:paraId="6F41E34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6%</w:t>
            </w:r>
          </w:p>
        </w:tc>
        <w:tc>
          <w:tcPr>
            <w:tcW w:w="841" w:type="pct"/>
            <w:tcBorders>
              <w:top w:val="nil"/>
              <w:left w:val="nil"/>
              <w:bottom w:val="nil"/>
              <w:right w:val="nil"/>
            </w:tcBorders>
            <w:shd w:val="clear" w:color="auto" w:fill="FFE1E1"/>
            <w:noWrap/>
            <w:vAlign w:val="center"/>
            <w:hideMark/>
          </w:tcPr>
          <w:p w14:paraId="4DB98192"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661.8 </w:t>
            </w:r>
          </w:p>
        </w:tc>
        <w:tc>
          <w:tcPr>
            <w:tcW w:w="787" w:type="pct"/>
            <w:tcBorders>
              <w:top w:val="nil"/>
              <w:left w:val="nil"/>
              <w:bottom w:val="nil"/>
              <w:right w:val="nil"/>
            </w:tcBorders>
            <w:shd w:val="clear" w:color="auto" w:fill="FFE1E1"/>
            <w:noWrap/>
            <w:vAlign w:val="center"/>
            <w:hideMark/>
          </w:tcPr>
          <w:p w14:paraId="60ACA943"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6%</w:t>
            </w:r>
          </w:p>
        </w:tc>
      </w:tr>
      <w:tr w:rsidR="00C76A81" w:rsidRPr="00C76A81" w14:paraId="0AABC807" w14:textId="77777777" w:rsidTr="008E545D">
        <w:trPr>
          <w:trHeight w:val="285"/>
        </w:trPr>
        <w:tc>
          <w:tcPr>
            <w:tcW w:w="1800" w:type="pct"/>
            <w:tcBorders>
              <w:top w:val="nil"/>
              <w:left w:val="nil"/>
              <w:bottom w:val="nil"/>
              <w:right w:val="nil"/>
            </w:tcBorders>
            <w:shd w:val="clear" w:color="000000" w:fill="FFFFFF"/>
            <w:noWrap/>
            <w:vAlign w:val="bottom"/>
            <w:hideMark/>
          </w:tcPr>
          <w:p w14:paraId="4F27E02B"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Other</w:t>
            </w:r>
          </w:p>
        </w:tc>
        <w:tc>
          <w:tcPr>
            <w:tcW w:w="787" w:type="pct"/>
            <w:tcBorders>
              <w:top w:val="nil"/>
              <w:left w:val="nil"/>
              <w:bottom w:val="nil"/>
              <w:right w:val="nil"/>
            </w:tcBorders>
            <w:shd w:val="clear" w:color="000000" w:fill="FFFFFF"/>
            <w:noWrap/>
            <w:vAlign w:val="center"/>
            <w:hideMark/>
          </w:tcPr>
          <w:p w14:paraId="47CFAA0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04BB0200"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15486E9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16C7D10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366AA586" w14:textId="77777777" w:rsidTr="008E545D">
        <w:trPr>
          <w:trHeight w:val="285"/>
        </w:trPr>
        <w:tc>
          <w:tcPr>
            <w:tcW w:w="1800" w:type="pct"/>
            <w:tcBorders>
              <w:top w:val="nil"/>
              <w:left w:val="nil"/>
              <w:bottom w:val="nil"/>
              <w:right w:val="nil"/>
            </w:tcBorders>
            <w:shd w:val="clear" w:color="000000" w:fill="FFFFFF"/>
            <w:noWrap/>
            <w:vAlign w:val="bottom"/>
            <w:hideMark/>
          </w:tcPr>
          <w:p w14:paraId="7B256205"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Derivatives</w:t>
            </w:r>
          </w:p>
        </w:tc>
        <w:tc>
          <w:tcPr>
            <w:tcW w:w="787" w:type="pct"/>
            <w:tcBorders>
              <w:top w:val="nil"/>
              <w:left w:val="nil"/>
              <w:bottom w:val="nil"/>
              <w:right w:val="nil"/>
            </w:tcBorders>
            <w:shd w:val="clear" w:color="000000" w:fill="FFFFFF"/>
            <w:noWrap/>
            <w:vAlign w:val="center"/>
            <w:hideMark/>
          </w:tcPr>
          <w:p w14:paraId="642E63D5"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62B8D2B2"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6777DB37"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7C21C40A"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500F1AB8" w14:textId="77777777" w:rsidTr="008E545D">
        <w:trPr>
          <w:trHeight w:val="285"/>
        </w:trPr>
        <w:tc>
          <w:tcPr>
            <w:tcW w:w="1800" w:type="pct"/>
            <w:tcBorders>
              <w:top w:val="nil"/>
              <w:left w:val="nil"/>
              <w:bottom w:val="nil"/>
              <w:right w:val="nil"/>
            </w:tcBorders>
            <w:shd w:val="clear" w:color="000000" w:fill="FFFFFF"/>
            <w:noWrap/>
            <w:vAlign w:val="bottom"/>
            <w:hideMark/>
          </w:tcPr>
          <w:p w14:paraId="345CE31E"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Inflation</w:t>
            </w:r>
          </w:p>
        </w:tc>
        <w:tc>
          <w:tcPr>
            <w:tcW w:w="787" w:type="pct"/>
            <w:tcBorders>
              <w:top w:val="nil"/>
              <w:left w:val="nil"/>
              <w:bottom w:val="nil"/>
              <w:right w:val="nil"/>
            </w:tcBorders>
            <w:shd w:val="clear" w:color="000000" w:fill="FFFFFF"/>
            <w:noWrap/>
            <w:vAlign w:val="center"/>
            <w:hideMark/>
          </w:tcPr>
          <w:p w14:paraId="6A81BCC7"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0E34180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7F8B8AED"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275DAEF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77EC003B" w14:textId="77777777" w:rsidTr="008E545D">
        <w:trPr>
          <w:trHeight w:val="285"/>
        </w:trPr>
        <w:tc>
          <w:tcPr>
            <w:tcW w:w="1800" w:type="pct"/>
            <w:tcBorders>
              <w:top w:val="nil"/>
              <w:left w:val="nil"/>
              <w:bottom w:val="nil"/>
              <w:right w:val="nil"/>
            </w:tcBorders>
            <w:shd w:val="clear" w:color="000000" w:fill="FFFFFF"/>
            <w:noWrap/>
            <w:vAlign w:val="bottom"/>
            <w:hideMark/>
          </w:tcPr>
          <w:p w14:paraId="6E80D384"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Interest Rate</w:t>
            </w:r>
          </w:p>
        </w:tc>
        <w:tc>
          <w:tcPr>
            <w:tcW w:w="787" w:type="pct"/>
            <w:tcBorders>
              <w:top w:val="nil"/>
              <w:left w:val="nil"/>
              <w:bottom w:val="nil"/>
              <w:right w:val="nil"/>
            </w:tcBorders>
            <w:shd w:val="clear" w:color="000000" w:fill="FFFFFF"/>
            <w:noWrap/>
            <w:vAlign w:val="center"/>
            <w:hideMark/>
          </w:tcPr>
          <w:p w14:paraId="5F3F648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1DFFF5A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7F7F7EA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592B947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29A1B6BE" w14:textId="77777777" w:rsidTr="008E545D">
        <w:trPr>
          <w:trHeight w:val="285"/>
        </w:trPr>
        <w:tc>
          <w:tcPr>
            <w:tcW w:w="1800" w:type="pct"/>
            <w:tcBorders>
              <w:top w:val="nil"/>
              <w:left w:val="nil"/>
              <w:bottom w:val="nil"/>
              <w:right w:val="nil"/>
            </w:tcBorders>
            <w:shd w:val="clear" w:color="000000" w:fill="FFFFFF"/>
            <w:noWrap/>
            <w:vAlign w:val="bottom"/>
            <w:hideMark/>
          </w:tcPr>
          <w:p w14:paraId="33D1D790"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Foreign Exchange</w:t>
            </w:r>
          </w:p>
        </w:tc>
        <w:tc>
          <w:tcPr>
            <w:tcW w:w="787" w:type="pct"/>
            <w:tcBorders>
              <w:top w:val="nil"/>
              <w:left w:val="nil"/>
              <w:bottom w:val="nil"/>
              <w:right w:val="nil"/>
            </w:tcBorders>
            <w:shd w:val="clear" w:color="000000" w:fill="FFFFFF"/>
            <w:noWrap/>
            <w:vAlign w:val="center"/>
            <w:hideMark/>
          </w:tcPr>
          <w:p w14:paraId="14477A2B"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152688B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02574D5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(0.1)</w:t>
            </w:r>
          </w:p>
        </w:tc>
        <w:tc>
          <w:tcPr>
            <w:tcW w:w="787" w:type="pct"/>
            <w:tcBorders>
              <w:top w:val="nil"/>
              <w:left w:val="nil"/>
              <w:bottom w:val="nil"/>
              <w:right w:val="nil"/>
            </w:tcBorders>
            <w:shd w:val="clear" w:color="auto" w:fill="FFE1E1"/>
            <w:noWrap/>
            <w:vAlign w:val="center"/>
            <w:hideMark/>
          </w:tcPr>
          <w:p w14:paraId="6A3FB8CE"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061DADC7" w14:textId="77777777" w:rsidTr="008E545D">
        <w:trPr>
          <w:trHeight w:val="285"/>
        </w:trPr>
        <w:tc>
          <w:tcPr>
            <w:tcW w:w="1800" w:type="pct"/>
            <w:tcBorders>
              <w:top w:val="nil"/>
              <w:left w:val="nil"/>
              <w:bottom w:val="nil"/>
              <w:right w:val="nil"/>
            </w:tcBorders>
            <w:shd w:val="clear" w:color="000000" w:fill="FFFFFF"/>
            <w:noWrap/>
            <w:vAlign w:val="bottom"/>
            <w:hideMark/>
          </w:tcPr>
          <w:p w14:paraId="3BEC63D3"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Other</w:t>
            </w:r>
          </w:p>
        </w:tc>
        <w:tc>
          <w:tcPr>
            <w:tcW w:w="787" w:type="pct"/>
            <w:tcBorders>
              <w:top w:val="nil"/>
              <w:left w:val="nil"/>
              <w:bottom w:val="nil"/>
              <w:right w:val="nil"/>
            </w:tcBorders>
            <w:shd w:val="clear" w:color="000000" w:fill="FFFFFF"/>
            <w:noWrap/>
            <w:vAlign w:val="center"/>
            <w:hideMark/>
          </w:tcPr>
          <w:p w14:paraId="76BE767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000000" w:fill="FFFFFF"/>
            <w:noWrap/>
            <w:vAlign w:val="center"/>
            <w:hideMark/>
          </w:tcPr>
          <w:p w14:paraId="03D35A6C"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c>
          <w:tcPr>
            <w:tcW w:w="841" w:type="pct"/>
            <w:tcBorders>
              <w:top w:val="nil"/>
              <w:left w:val="nil"/>
              <w:bottom w:val="nil"/>
              <w:right w:val="nil"/>
            </w:tcBorders>
            <w:shd w:val="clear" w:color="auto" w:fill="FFE1E1"/>
            <w:noWrap/>
            <w:vAlign w:val="center"/>
            <w:hideMark/>
          </w:tcPr>
          <w:p w14:paraId="5E4094B5"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w:t>
            </w:r>
          </w:p>
        </w:tc>
        <w:tc>
          <w:tcPr>
            <w:tcW w:w="787" w:type="pct"/>
            <w:tcBorders>
              <w:top w:val="nil"/>
              <w:left w:val="nil"/>
              <w:bottom w:val="nil"/>
              <w:right w:val="nil"/>
            </w:tcBorders>
            <w:shd w:val="clear" w:color="auto" w:fill="FFE1E1"/>
            <w:noWrap/>
            <w:vAlign w:val="center"/>
            <w:hideMark/>
          </w:tcPr>
          <w:p w14:paraId="6E95DBC9"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0%</w:t>
            </w:r>
          </w:p>
        </w:tc>
      </w:tr>
      <w:tr w:rsidR="00C76A81" w:rsidRPr="00C76A81" w14:paraId="37CE1DCB" w14:textId="77777777" w:rsidTr="008E545D">
        <w:trPr>
          <w:trHeight w:val="285"/>
        </w:trPr>
        <w:tc>
          <w:tcPr>
            <w:tcW w:w="1800" w:type="pct"/>
            <w:tcBorders>
              <w:top w:val="nil"/>
              <w:left w:val="nil"/>
              <w:bottom w:val="nil"/>
              <w:right w:val="nil"/>
            </w:tcBorders>
            <w:shd w:val="clear" w:color="000000" w:fill="FFFFFF"/>
            <w:noWrap/>
            <w:vAlign w:val="bottom"/>
            <w:hideMark/>
          </w:tcPr>
          <w:p w14:paraId="3BA0533B" w14:textId="77777777" w:rsidR="00C76A81" w:rsidRPr="00C76A81" w:rsidRDefault="00C76A81" w:rsidP="00C76A81">
            <w:pPr>
              <w:spacing w:line="240" w:lineRule="auto"/>
              <w:jc w:val="left"/>
              <w:rPr>
                <w:rFonts w:ascii="Calibri" w:eastAsia="Times New Roman" w:hAnsi="Calibri" w:cs="Calibri"/>
                <w:b/>
                <w:bCs/>
                <w:color w:val="000000"/>
                <w:lang w:eastAsia="en-GB"/>
              </w:rPr>
            </w:pPr>
            <w:r w:rsidRPr="00C76A81">
              <w:rPr>
                <w:rFonts w:ascii="Calibri" w:eastAsia="Times New Roman" w:hAnsi="Calibri" w:cs="Calibri"/>
                <w:b/>
                <w:bCs/>
                <w:color w:val="000000"/>
                <w:lang w:eastAsia="en-GB"/>
              </w:rPr>
              <w:t>Cash and Cash Equivalents</w:t>
            </w:r>
          </w:p>
        </w:tc>
        <w:tc>
          <w:tcPr>
            <w:tcW w:w="787" w:type="pct"/>
            <w:tcBorders>
              <w:top w:val="nil"/>
              <w:left w:val="nil"/>
              <w:bottom w:val="nil"/>
              <w:right w:val="nil"/>
            </w:tcBorders>
            <w:shd w:val="clear" w:color="000000" w:fill="FFFFFF"/>
            <w:noWrap/>
            <w:vAlign w:val="center"/>
            <w:hideMark/>
          </w:tcPr>
          <w:p w14:paraId="10A5D128" w14:textId="77777777" w:rsidR="00C76A81" w:rsidRPr="00C76A81" w:rsidRDefault="00C76A81" w:rsidP="00C76A81">
            <w:pPr>
              <w:spacing w:line="240" w:lineRule="auto"/>
              <w:jc w:val="left"/>
              <w:rPr>
                <w:rFonts w:ascii="Calibri" w:eastAsia="Times New Roman" w:hAnsi="Calibri" w:cs="Calibri"/>
                <w:b/>
                <w:bCs/>
                <w:color w:val="000000"/>
                <w:lang w:eastAsia="en-GB"/>
              </w:rPr>
            </w:pPr>
          </w:p>
        </w:tc>
        <w:tc>
          <w:tcPr>
            <w:tcW w:w="787" w:type="pct"/>
            <w:tcBorders>
              <w:top w:val="nil"/>
              <w:left w:val="nil"/>
              <w:bottom w:val="nil"/>
              <w:right w:val="nil"/>
            </w:tcBorders>
            <w:shd w:val="clear" w:color="000000" w:fill="FFFFFF"/>
            <w:noWrap/>
            <w:vAlign w:val="center"/>
            <w:hideMark/>
          </w:tcPr>
          <w:p w14:paraId="4455B363"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841" w:type="pct"/>
            <w:tcBorders>
              <w:top w:val="nil"/>
              <w:left w:val="nil"/>
              <w:bottom w:val="nil"/>
              <w:right w:val="nil"/>
            </w:tcBorders>
            <w:shd w:val="clear" w:color="auto" w:fill="FFE1E1"/>
            <w:noWrap/>
            <w:vAlign w:val="center"/>
            <w:hideMark/>
          </w:tcPr>
          <w:p w14:paraId="26CFBE39"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c>
          <w:tcPr>
            <w:tcW w:w="787" w:type="pct"/>
            <w:tcBorders>
              <w:top w:val="nil"/>
              <w:left w:val="nil"/>
              <w:bottom w:val="nil"/>
              <w:right w:val="nil"/>
            </w:tcBorders>
            <w:shd w:val="clear" w:color="auto" w:fill="FFE1E1"/>
            <w:noWrap/>
            <w:vAlign w:val="center"/>
            <w:hideMark/>
          </w:tcPr>
          <w:p w14:paraId="0AC161B5" w14:textId="77777777" w:rsidR="00C76A81" w:rsidRPr="00C76A81" w:rsidRDefault="00C76A81" w:rsidP="00C76A81">
            <w:pPr>
              <w:spacing w:line="240" w:lineRule="auto"/>
              <w:jc w:val="center"/>
              <w:rPr>
                <w:rFonts w:ascii="Times New Roman" w:eastAsia="Times New Roman" w:hAnsi="Times New Roman" w:cs="Times New Roman"/>
                <w:sz w:val="20"/>
                <w:szCs w:val="20"/>
                <w:lang w:eastAsia="en-GB"/>
              </w:rPr>
            </w:pPr>
          </w:p>
        </w:tc>
      </w:tr>
      <w:tr w:rsidR="00C76A81" w:rsidRPr="00C76A81" w14:paraId="0B0E0A73" w14:textId="77777777" w:rsidTr="008E545D">
        <w:trPr>
          <w:trHeight w:val="285"/>
        </w:trPr>
        <w:tc>
          <w:tcPr>
            <w:tcW w:w="1800" w:type="pct"/>
            <w:tcBorders>
              <w:top w:val="nil"/>
              <w:left w:val="nil"/>
              <w:bottom w:val="nil"/>
              <w:right w:val="nil"/>
            </w:tcBorders>
            <w:shd w:val="clear" w:color="000000" w:fill="FFFFFF"/>
            <w:noWrap/>
            <w:vAlign w:val="bottom"/>
            <w:hideMark/>
          </w:tcPr>
          <w:p w14:paraId="7959C1B2" w14:textId="77777777" w:rsidR="00C76A81" w:rsidRPr="00C76A81" w:rsidRDefault="00C76A81" w:rsidP="00C76A81">
            <w:pPr>
              <w:spacing w:line="240" w:lineRule="auto"/>
              <w:jc w:val="left"/>
              <w:rPr>
                <w:rFonts w:ascii="Calibri" w:eastAsia="Times New Roman" w:hAnsi="Calibri" w:cs="Calibri"/>
                <w:color w:val="000000"/>
                <w:lang w:eastAsia="en-GB"/>
              </w:rPr>
            </w:pPr>
            <w:r w:rsidRPr="00C76A81">
              <w:rPr>
                <w:rFonts w:ascii="Calibri" w:eastAsia="Times New Roman" w:hAnsi="Calibri" w:cs="Calibri"/>
                <w:color w:val="000000"/>
                <w:lang w:eastAsia="en-GB"/>
              </w:rPr>
              <w:t>All</w:t>
            </w:r>
          </w:p>
        </w:tc>
        <w:tc>
          <w:tcPr>
            <w:tcW w:w="787" w:type="pct"/>
            <w:tcBorders>
              <w:top w:val="nil"/>
              <w:left w:val="nil"/>
              <w:bottom w:val="nil"/>
              <w:right w:val="nil"/>
            </w:tcBorders>
            <w:shd w:val="clear" w:color="000000" w:fill="FFFFFF"/>
            <w:noWrap/>
            <w:vAlign w:val="center"/>
            <w:hideMark/>
          </w:tcPr>
          <w:p w14:paraId="0368B86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193.8</w:t>
            </w:r>
          </w:p>
        </w:tc>
        <w:tc>
          <w:tcPr>
            <w:tcW w:w="787" w:type="pct"/>
            <w:tcBorders>
              <w:top w:val="nil"/>
              <w:left w:val="nil"/>
              <w:bottom w:val="nil"/>
              <w:right w:val="nil"/>
            </w:tcBorders>
            <w:shd w:val="clear" w:color="000000" w:fill="FFFFFF"/>
            <w:noWrap/>
            <w:vAlign w:val="center"/>
            <w:hideMark/>
          </w:tcPr>
          <w:p w14:paraId="6377599A"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2%</w:t>
            </w:r>
          </w:p>
        </w:tc>
        <w:tc>
          <w:tcPr>
            <w:tcW w:w="841" w:type="pct"/>
            <w:tcBorders>
              <w:top w:val="nil"/>
              <w:left w:val="nil"/>
              <w:bottom w:val="nil"/>
              <w:right w:val="nil"/>
            </w:tcBorders>
            <w:shd w:val="clear" w:color="auto" w:fill="FFE1E1"/>
            <w:noWrap/>
            <w:vAlign w:val="center"/>
            <w:hideMark/>
          </w:tcPr>
          <w:p w14:paraId="74B55164"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 xml:space="preserve">448.8 </w:t>
            </w:r>
          </w:p>
        </w:tc>
        <w:tc>
          <w:tcPr>
            <w:tcW w:w="787" w:type="pct"/>
            <w:tcBorders>
              <w:top w:val="nil"/>
              <w:left w:val="nil"/>
              <w:bottom w:val="nil"/>
              <w:right w:val="nil"/>
            </w:tcBorders>
            <w:shd w:val="clear" w:color="auto" w:fill="FFE1E1"/>
            <w:noWrap/>
            <w:vAlign w:val="center"/>
            <w:hideMark/>
          </w:tcPr>
          <w:p w14:paraId="6B007178" w14:textId="77777777" w:rsidR="00C76A81" w:rsidRPr="00C76A81" w:rsidRDefault="00C76A81" w:rsidP="00C76A81">
            <w:pPr>
              <w:spacing w:line="240" w:lineRule="auto"/>
              <w:jc w:val="center"/>
              <w:rPr>
                <w:rFonts w:ascii="Calibri" w:eastAsia="Times New Roman" w:hAnsi="Calibri" w:cs="Calibri"/>
                <w:color w:val="000000"/>
                <w:sz w:val="20"/>
                <w:szCs w:val="20"/>
                <w:lang w:eastAsia="en-GB"/>
              </w:rPr>
            </w:pPr>
            <w:r w:rsidRPr="00C76A81">
              <w:rPr>
                <w:rFonts w:ascii="Calibri" w:eastAsia="Times New Roman" w:hAnsi="Calibri" w:cs="Calibri"/>
                <w:color w:val="000000"/>
                <w:sz w:val="20"/>
                <w:szCs w:val="20"/>
                <w:lang w:eastAsia="en-GB"/>
              </w:rPr>
              <w:t>4%</w:t>
            </w:r>
          </w:p>
        </w:tc>
      </w:tr>
      <w:tr w:rsidR="00C76A81" w:rsidRPr="00C76A81" w14:paraId="25826A7A" w14:textId="77777777" w:rsidTr="008E545D">
        <w:trPr>
          <w:trHeight w:val="285"/>
        </w:trPr>
        <w:tc>
          <w:tcPr>
            <w:tcW w:w="1800" w:type="pct"/>
            <w:tcBorders>
              <w:top w:val="nil"/>
              <w:left w:val="nil"/>
              <w:bottom w:val="nil"/>
              <w:right w:val="nil"/>
            </w:tcBorders>
            <w:shd w:val="clear" w:color="000000" w:fill="C00000"/>
            <w:vAlign w:val="center"/>
            <w:hideMark/>
          </w:tcPr>
          <w:p w14:paraId="34B38903" w14:textId="77777777" w:rsidR="00C76A81" w:rsidRPr="00C76A81" w:rsidRDefault="00C76A81" w:rsidP="00C76A81">
            <w:pPr>
              <w:spacing w:line="240" w:lineRule="auto"/>
              <w:jc w:val="left"/>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Totals</w:t>
            </w:r>
          </w:p>
        </w:tc>
        <w:tc>
          <w:tcPr>
            <w:tcW w:w="787" w:type="pct"/>
            <w:tcBorders>
              <w:top w:val="nil"/>
              <w:left w:val="nil"/>
              <w:bottom w:val="nil"/>
              <w:right w:val="nil"/>
            </w:tcBorders>
            <w:shd w:val="clear" w:color="000000" w:fill="C00000"/>
            <w:vAlign w:val="center"/>
            <w:hideMark/>
          </w:tcPr>
          <w:p w14:paraId="669C0A82"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10,295</w:t>
            </w:r>
          </w:p>
        </w:tc>
        <w:tc>
          <w:tcPr>
            <w:tcW w:w="787" w:type="pct"/>
            <w:tcBorders>
              <w:top w:val="nil"/>
              <w:left w:val="nil"/>
              <w:bottom w:val="nil"/>
              <w:right w:val="nil"/>
            </w:tcBorders>
            <w:shd w:val="clear" w:color="000000" w:fill="C00000"/>
            <w:vAlign w:val="center"/>
            <w:hideMark/>
          </w:tcPr>
          <w:p w14:paraId="0B4C15F1"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100%</w:t>
            </w:r>
          </w:p>
        </w:tc>
        <w:tc>
          <w:tcPr>
            <w:tcW w:w="841" w:type="pct"/>
            <w:tcBorders>
              <w:top w:val="nil"/>
              <w:left w:val="nil"/>
              <w:bottom w:val="nil"/>
              <w:right w:val="nil"/>
            </w:tcBorders>
            <w:shd w:val="clear" w:color="000000" w:fill="C00000"/>
            <w:vAlign w:val="center"/>
            <w:hideMark/>
          </w:tcPr>
          <w:p w14:paraId="00F26392"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10,935</w:t>
            </w:r>
          </w:p>
        </w:tc>
        <w:tc>
          <w:tcPr>
            <w:tcW w:w="787" w:type="pct"/>
            <w:tcBorders>
              <w:top w:val="nil"/>
              <w:left w:val="nil"/>
              <w:bottom w:val="nil"/>
              <w:right w:val="nil"/>
            </w:tcBorders>
            <w:shd w:val="clear" w:color="000000" w:fill="C00000"/>
            <w:vAlign w:val="center"/>
            <w:hideMark/>
          </w:tcPr>
          <w:p w14:paraId="6DE2812C" w14:textId="77777777" w:rsidR="00C76A81" w:rsidRPr="00C76A81" w:rsidRDefault="00C76A81" w:rsidP="00C76A81">
            <w:pPr>
              <w:spacing w:line="240" w:lineRule="auto"/>
              <w:jc w:val="center"/>
              <w:rPr>
                <w:rFonts w:ascii="Calibri" w:eastAsia="Times New Roman" w:hAnsi="Calibri" w:cs="Calibri"/>
                <w:b/>
                <w:bCs/>
                <w:color w:val="FFFFFF"/>
                <w:sz w:val="20"/>
                <w:szCs w:val="20"/>
                <w:lang w:eastAsia="en-GB"/>
              </w:rPr>
            </w:pPr>
            <w:r w:rsidRPr="00C76A81">
              <w:rPr>
                <w:rFonts w:ascii="Calibri" w:eastAsia="Times New Roman" w:hAnsi="Calibri" w:cs="Calibri"/>
                <w:b/>
                <w:bCs/>
                <w:color w:val="FFFFFF"/>
                <w:sz w:val="20"/>
                <w:szCs w:val="20"/>
                <w:lang w:eastAsia="en-GB"/>
              </w:rPr>
              <w:t>100%</w:t>
            </w:r>
          </w:p>
        </w:tc>
      </w:tr>
    </w:tbl>
    <w:p w14:paraId="375AEAB4" w14:textId="771F8727" w:rsidR="0029646A" w:rsidRDefault="0029646A" w:rsidP="6C31340A"/>
    <w:p w14:paraId="129B9E95" w14:textId="517B71F5" w:rsidR="6C31340A" w:rsidRDefault="0029646A" w:rsidP="0029646A">
      <w:pPr>
        <w:spacing w:after="160"/>
        <w:jc w:val="left"/>
      </w:pPr>
      <w:r>
        <w:br w:type="page"/>
      </w:r>
    </w:p>
    <w:p w14:paraId="17385154" w14:textId="4B1B7442" w:rsidR="00E7677C" w:rsidRPr="005F273C" w:rsidRDefault="36D7A856" w:rsidP="002A1ADD">
      <w:pPr>
        <w:pStyle w:val="VAHeadingLevel2"/>
      </w:pPr>
      <w:r>
        <w:lastRenderedPageBreak/>
        <w:t>Note 3</w:t>
      </w:r>
      <w:r w:rsidR="166229A2">
        <w:t>7.5</w:t>
      </w:r>
      <w:r>
        <w:t xml:space="preserve">. Pensions Reserve </w:t>
      </w:r>
    </w:p>
    <w:tbl>
      <w:tblPr>
        <w:tblW w:w="5000" w:type="pct"/>
        <w:tblLook w:val="04A0" w:firstRow="1" w:lastRow="0" w:firstColumn="1" w:lastColumn="0" w:noHBand="0" w:noVBand="1"/>
      </w:tblPr>
      <w:tblGrid>
        <w:gridCol w:w="1837"/>
        <w:gridCol w:w="1423"/>
        <w:gridCol w:w="1423"/>
        <w:gridCol w:w="1423"/>
        <w:gridCol w:w="1423"/>
        <w:gridCol w:w="1423"/>
        <w:gridCol w:w="1423"/>
      </w:tblGrid>
      <w:tr w:rsidR="0021391D" w:rsidRPr="0021391D" w14:paraId="169B33CF" w14:textId="77777777" w:rsidTr="0021391D">
        <w:trPr>
          <w:trHeight w:val="1062"/>
        </w:trPr>
        <w:tc>
          <w:tcPr>
            <w:tcW w:w="885" w:type="pct"/>
            <w:tcBorders>
              <w:top w:val="nil"/>
              <w:left w:val="nil"/>
              <w:bottom w:val="nil"/>
              <w:right w:val="nil"/>
            </w:tcBorders>
            <w:shd w:val="clear" w:color="000000" w:fill="AB2328"/>
            <w:vAlign w:val="center"/>
            <w:hideMark/>
          </w:tcPr>
          <w:p w14:paraId="29FF01D9" w14:textId="77777777" w:rsidR="0021391D" w:rsidRPr="0021391D" w:rsidRDefault="0021391D" w:rsidP="0021391D">
            <w:pPr>
              <w:spacing w:line="240" w:lineRule="auto"/>
              <w:jc w:val="left"/>
              <w:rPr>
                <w:rFonts w:ascii="Calibri" w:eastAsia="Times New Roman" w:hAnsi="Calibri" w:cs="Calibri"/>
                <w:color w:val="FFFFFF"/>
                <w:lang w:eastAsia="en-GB"/>
              </w:rPr>
            </w:pPr>
            <w:r w:rsidRPr="0021391D">
              <w:rPr>
                <w:rFonts w:ascii="Calibri" w:eastAsia="Times New Roman" w:hAnsi="Calibri" w:cs="Calibri"/>
                <w:color w:val="FFFFFF"/>
                <w:lang w:eastAsia="en-GB"/>
              </w:rPr>
              <w:t> </w:t>
            </w:r>
          </w:p>
        </w:tc>
        <w:tc>
          <w:tcPr>
            <w:tcW w:w="686" w:type="pct"/>
            <w:tcBorders>
              <w:top w:val="nil"/>
              <w:left w:val="nil"/>
              <w:bottom w:val="nil"/>
              <w:right w:val="nil"/>
            </w:tcBorders>
            <w:shd w:val="clear" w:color="000000" w:fill="AB2328"/>
            <w:vAlign w:val="center"/>
            <w:hideMark/>
          </w:tcPr>
          <w:p w14:paraId="36F6A81E"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Local Government Pension Scheme</w:t>
            </w:r>
          </w:p>
        </w:tc>
        <w:tc>
          <w:tcPr>
            <w:tcW w:w="686" w:type="pct"/>
            <w:tcBorders>
              <w:top w:val="nil"/>
              <w:left w:val="nil"/>
              <w:bottom w:val="nil"/>
              <w:right w:val="nil"/>
            </w:tcBorders>
            <w:shd w:val="clear" w:color="000000" w:fill="AB2328"/>
            <w:vAlign w:val="center"/>
            <w:hideMark/>
          </w:tcPr>
          <w:p w14:paraId="2F9C48E9"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Fire Fighters Pension Scheme</w:t>
            </w:r>
          </w:p>
        </w:tc>
        <w:tc>
          <w:tcPr>
            <w:tcW w:w="686" w:type="pct"/>
            <w:tcBorders>
              <w:top w:val="nil"/>
              <w:left w:val="nil"/>
              <w:bottom w:val="nil"/>
              <w:right w:val="nil"/>
            </w:tcBorders>
            <w:shd w:val="clear" w:color="000000" w:fill="AB2328"/>
            <w:vAlign w:val="center"/>
            <w:hideMark/>
          </w:tcPr>
          <w:p w14:paraId="19A5ED76"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Total</w:t>
            </w:r>
          </w:p>
        </w:tc>
        <w:tc>
          <w:tcPr>
            <w:tcW w:w="686" w:type="pct"/>
            <w:tcBorders>
              <w:top w:val="nil"/>
              <w:left w:val="nil"/>
              <w:bottom w:val="nil"/>
              <w:right w:val="nil"/>
            </w:tcBorders>
            <w:shd w:val="clear" w:color="000000" w:fill="AB2328"/>
            <w:vAlign w:val="center"/>
            <w:hideMark/>
          </w:tcPr>
          <w:p w14:paraId="0D93810A"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Local Government Pension Scheme</w:t>
            </w:r>
          </w:p>
        </w:tc>
        <w:tc>
          <w:tcPr>
            <w:tcW w:w="686" w:type="pct"/>
            <w:tcBorders>
              <w:top w:val="nil"/>
              <w:left w:val="nil"/>
              <w:bottom w:val="nil"/>
              <w:right w:val="nil"/>
            </w:tcBorders>
            <w:shd w:val="clear" w:color="000000" w:fill="AB2328"/>
            <w:vAlign w:val="center"/>
            <w:hideMark/>
          </w:tcPr>
          <w:p w14:paraId="6ECA26CF"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Fire Fighters Pension Scheme</w:t>
            </w:r>
          </w:p>
        </w:tc>
        <w:tc>
          <w:tcPr>
            <w:tcW w:w="686" w:type="pct"/>
            <w:tcBorders>
              <w:top w:val="nil"/>
              <w:left w:val="nil"/>
              <w:bottom w:val="nil"/>
              <w:right w:val="nil"/>
            </w:tcBorders>
            <w:shd w:val="clear" w:color="000000" w:fill="AB2328"/>
            <w:vAlign w:val="center"/>
            <w:hideMark/>
          </w:tcPr>
          <w:p w14:paraId="5C3FCCA8"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Total</w:t>
            </w:r>
          </w:p>
        </w:tc>
      </w:tr>
      <w:tr w:rsidR="0021391D" w:rsidRPr="0021391D" w14:paraId="2D9498DA" w14:textId="77777777" w:rsidTr="0021391D">
        <w:trPr>
          <w:trHeight w:val="300"/>
        </w:trPr>
        <w:tc>
          <w:tcPr>
            <w:tcW w:w="885" w:type="pct"/>
            <w:tcBorders>
              <w:top w:val="nil"/>
              <w:left w:val="nil"/>
              <w:bottom w:val="nil"/>
              <w:right w:val="nil"/>
            </w:tcBorders>
            <w:shd w:val="clear" w:color="000000" w:fill="AB2328"/>
            <w:vAlign w:val="center"/>
            <w:hideMark/>
          </w:tcPr>
          <w:p w14:paraId="5B1F3974" w14:textId="77777777" w:rsidR="0021391D" w:rsidRPr="0021391D" w:rsidRDefault="0021391D" w:rsidP="0021391D">
            <w:pPr>
              <w:spacing w:line="240" w:lineRule="auto"/>
              <w:jc w:val="left"/>
              <w:rPr>
                <w:rFonts w:ascii="Calibri" w:eastAsia="Times New Roman" w:hAnsi="Calibri" w:cs="Calibri"/>
                <w:color w:val="FFFFFF"/>
                <w:lang w:eastAsia="en-GB"/>
              </w:rPr>
            </w:pPr>
            <w:r w:rsidRPr="0021391D">
              <w:rPr>
                <w:rFonts w:ascii="Calibri" w:eastAsia="Times New Roman" w:hAnsi="Calibri" w:cs="Calibri"/>
                <w:color w:val="FFFFFF"/>
                <w:lang w:eastAsia="en-GB"/>
              </w:rPr>
              <w:t> </w:t>
            </w:r>
          </w:p>
        </w:tc>
        <w:tc>
          <w:tcPr>
            <w:tcW w:w="686" w:type="pct"/>
            <w:tcBorders>
              <w:top w:val="nil"/>
              <w:left w:val="nil"/>
              <w:bottom w:val="nil"/>
              <w:right w:val="nil"/>
            </w:tcBorders>
            <w:shd w:val="clear" w:color="000000" w:fill="AB2328"/>
            <w:noWrap/>
            <w:vAlign w:val="center"/>
            <w:hideMark/>
          </w:tcPr>
          <w:p w14:paraId="57EC0C41"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2024</w:t>
            </w:r>
          </w:p>
        </w:tc>
        <w:tc>
          <w:tcPr>
            <w:tcW w:w="686" w:type="pct"/>
            <w:tcBorders>
              <w:top w:val="nil"/>
              <w:left w:val="nil"/>
              <w:bottom w:val="nil"/>
              <w:right w:val="nil"/>
            </w:tcBorders>
            <w:shd w:val="clear" w:color="000000" w:fill="AB2328"/>
            <w:noWrap/>
            <w:vAlign w:val="center"/>
            <w:hideMark/>
          </w:tcPr>
          <w:p w14:paraId="159EEFC9"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2024</w:t>
            </w:r>
          </w:p>
        </w:tc>
        <w:tc>
          <w:tcPr>
            <w:tcW w:w="686" w:type="pct"/>
            <w:tcBorders>
              <w:top w:val="nil"/>
              <w:left w:val="nil"/>
              <w:bottom w:val="nil"/>
              <w:right w:val="nil"/>
            </w:tcBorders>
            <w:shd w:val="clear" w:color="000000" w:fill="AB2328"/>
            <w:noWrap/>
            <w:vAlign w:val="center"/>
            <w:hideMark/>
          </w:tcPr>
          <w:p w14:paraId="0D61A127"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2024</w:t>
            </w:r>
          </w:p>
        </w:tc>
        <w:tc>
          <w:tcPr>
            <w:tcW w:w="686" w:type="pct"/>
            <w:tcBorders>
              <w:top w:val="nil"/>
              <w:left w:val="nil"/>
              <w:bottom w:val="nil"/>
              <w:right w:val="nil"/>
            </w:tcBorders>
            <w:shd w:val="clear" w:color="000000" w:fill="AB2328"/>
            <w:noWrap/>
            <w:vAlign w:val="center"/>
            <w:hideMark/>
          </w:tcPr>
          <w:p w14:paraId="7570124E"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2025</w:t>
            </w:r>
          </w:p>
        </w:tc>
        <w:tc>
          <w:tcPr>
            <w:tcW w:w="686" w:type="pct"/>
            <w:tcBorders>
              <w:top w:val="nil"/>
              <w:left w:val="nil"/>
              <w:bottom w:val="nil"/>
              <w:right w:val="nil"/>
            </w:tcBorders>
            <w:shd w:val="clear" w:color="000000" w:fill="AB2328"/>
            <w:noWrap/>
            <w:vAlign w:val="center"/>
            <w:hideMark/>
          </w:tcPr>
          <w:p w14:paraId="677B42EE"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2025</w:t>
            </w:r>
          </w:p>
        </w:tc>
        <w:tc>
          <w:tcPr>
            <w:tcW w:w="686" w:type="pct"/>
            <w:tcBorders>
              <w:top w:val="nil"/>
              <w:left w:val="nil"/>
              <w:bottom w:val="nil"/>
              <w:right w:val="nil"/>
            </w:tcBorders>
            <w:shd w:val="clear" w:color="000000" w:fill="AB2328"/>
            <w:noWrap/>
            <w:vAlign w:val="center"/>
            <w:hideMark/>
          </w:tcPr>
          <w:p w14:paraId="7EC38364"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31 March 2025</w:t>
            </w:r>
          </w:p>
        </w:tc>
      </w:tr>
      <w:tr w:rsidR="0021391D" w:rsidRPr="0021391D" w14:paraId="7D67CC56" w14:textId="77777777" w:rsidTr="0021391D">
        <w:trPr>
          <w:trHeight w:val="300"/>
        </w:trPr>
        <w:tc>
          <w:tcPr>
            <w:tcW w:w="885" w:type="pct"/>
            <w:tcBorders>
              <w:top w:val="nil"/>
              <w:left w:val="nil"/>
              <w:bottom w:val="nil"/>
              <w:right w:val="nil"/>
            </w:tcBorders>
            <w:shd w:val="clear" w:color="000000" w:fill="AB2328"/>
            <w:vAlign w:val="center"/>
            <w:hideMark/>
          </w:tcPr>
          <w:p w14:paraId="38B8B10C" w14:textId="77777777" w:rsidR="0021391D" w:rsidRPr="0021391D" w:rsidRDefault="0021391D" w:rsidP="0021391D">
            <w:pPr>
              <w:spacing w:line="240" w:lineRule="auto"/>
              <w:jc w:val="left"/>
              <w:rPr>
                <w:rFonts w:ascii="Calibri" w:eastAsia="Times New Roman" w:hAnsi="Calibri" w:cs="Calibri"/>
                <w:color w:val="FFFFFF"/>
                <w:lang w:eastAsia="en-GB"/>
              </w:rPr>
            </w:pPr>
            <w:r w:rsidRPr="0021391D">
              <w:rPr>
                <w:rFonts w:ascii="Calibri" w:eastAsia="Times New Roman" w:hAnsi="Calibri" w:cs="Calibri"/>
                <w:color w:val="FFFFFF"/>
                <w:lang w:eastAsia="en-GB"/>
              </w:rPr>
              <w:t> </w:t>
            </w:r>
          </w:p>
        </w:tc>
        <w:tc>
          <w:tcPr>
            <w:tcW w:w="686" w:type="pct"/>
            <w:tcBorders>
              <w:top w:val="nil"/>
              <w:left w:val="nil"/>
              <w:bottom w:val="nil"/>
              <w:right w:val="nil"/>
            </w:tcBorders>
            <w:shd w:val="clear" w:color="000000" w:fill="AB2328"/>
            <w:vAlign w:val="center"/>
            <w:hideMark/>
          </w:tcPr>
          <w:p w14:paraId="206CE8A3"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c>
          <w:tcPr>
            <w:tcW w:w="686" w:type="pct"/>
            <w:tcBorders>
              <w:top w:val="nil"/>
              <w:left w:val="nil"/>
              <w:bottom w:val="nil"/>
              <w:right w:val="nil"/>
            </w:tcBorders>
            <w:shd w:val="clear" w:color="000000" w:fill="AB2328"/>
            <w:vAlign w:val="center"/>
            <w:hideMark/>
          </w:tcPr>
          <w:p w14:paraId="0D256F70"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c>
          <w:tcPr>
            <w:tcW w:w="686" w:type="pct"/>
            <w:tcBorders>
              <w:top w:val="nil"/>
              <w:left w:val="nil"/>
              <w:bottom w:val="nil"/>
              <w:right w:val="nil"/>
            </w:tcBorders>
            <w:shd w:val="clear" w:color="000000" w:fill="AB2328"/>
            <w:vAlign w:val="center"/>
            <w:hideMark/>
          </w:tcPr>
          <w:p w14:paraId="7030D455"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c>
          <w:tcPr>
            <w:tcW w:w="686" w:type="pct"/>
            <w:tcBorders>
              <w:top w:val="nil"/>
              <w:left w:val="nil"/>
              <w:bottom w:val="nil"/>
              <w:right w:val="nil"/>
            </w:tcBorders>
            <w:shd w:val="clear" w:color="000000" w:fill="AB2328"/>
            <w:vAlign w:val="center"/>
            <w:hideMark/>
          </w:tcPr>
          <w:p w14:paraId="1C4EA702"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c>
          <w:tcPr>
            <w:tcW w:w="686" w:type="pct"/>
            <w:tcBorders>
              <w:top w:val="nil"/>
              <w:left w:val="nil"/>
              <w:bottom w:val="nil"/>
              <w:right w:val="nil"/>
            </w:tcBorders>
            <w:shd w:val="clear" w:color="000000" w:fill="AB2328"/>
            <w:vAlign w:val="center"/>
            <w:hideMark/>
          </w:tcPr>
          <w:p w14:paraId="1069C162"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c>
          <w:tcPr>
            <w:tcW w:w="686" w:type="pct"/>
            <w:tcBorders>
              <w:top w:val="nil"/>
              <w:left w:val="nil"/>
              <w:bottom w:val="nil"/>
              <w:right w:val="nil"/>
            </w:tcBorders>
            <w:shd w:val="clear" w:color="000000" w:fill="AB2328"/>
            <w:vAlign w:val="center"/>
            <w:hideMark/>
          </w:tcPr>
          <w:p w14:paraId="442C9548" w14:textId="77777777" w:rsidR="0021391D" w:rsidRPr="0021391D" w:rsidRDefault="0021391D" w:rsidP="0021391D">
            <w:pPr>
              <w:spacing w:line="240" w:lineRule="auto"/>
              <w:jc w:val="right"/>
              <w:rPr>
                <w:rFonts w:ascii="Calibri" w:eastAsia="Times New Roman" w:hAnsi="Calibri" w:cs="Calibri"/>
                <w:b/>
                <w:bCs/>
                <w:color w:val="FFFFFF"/>
                <w:lang w:eastAsia="en-GB"/>
              </w:rPr>
            </w:pPr>
            <w:r w:rsidRPr="0021391D">
              <w:rPr>
                <w:rFonts w:ascii="Calibri" w:eastAsia="Times New Roman" w:hAnsi="Calibri" w:cs="Calibri"/>
                <w:b/>
                <w:bCs/>
                <w:color w:val="FFFFFF"/>
                <w:lang w:eastAsia="en-GB"/>
              </w:rPr>
              <w:t>£000</w:t>
            </w:r>
          </w:p>
        </w:tc>
      </w:tr>
      <w:tr w:rsidR="0021391D" w:rsidRPr="0021391D" w14:paraId="0F081930" w14:textId="77777777" w:rsidTr="0021391D">
        <w:trPr>
          <w:trHeight w:val="300"/>
        </w:trPr>
        <w:tc>
          <w:tcPr>
            <w:tcW w:w="885" w:type="pct"/>
            <w:tcBorders>
              <w:top w:val="nil"/>
              <w:left w:val="nil"/>
              <w:bottom w:val="nil"/>
              <w:right w:val="nil"/>
            </w:tcBorders>
            <w:shd w:val="clear" w:color="000000" w:fill="FFFFFF"/>
            <w:hideMark/>
          </w:tcPr>
          <w:p w14:paraId="1216EFA3" w14:textId="77777777" w:rsidR="0021391D" w:rsidRPr="0021391D" w:rsidRDefault="0021391D" w:rsidP="0021391D">
            <w:pPr>
              <w:spacing w:line="240" w:lineRule="auto"/>
              <w:jc w:val="lef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Opening Balance</w:t>
            </w:r>
          </w:p>
        </w:tc>
        <w:tc>
          <w:tcPr>
            <w:tcW w:w="686" w:type="pct"/>
            <w:tcBorders>
              <w:top w:val="nil"/>
              <w:left w:val="nil"/>
              <w:bottom w:val="nil"/>
              <w:right w:val="nil"/>
            </w:tcBorders>
            <w:shd w:val="clear" w:color="000000" w:fill="FFFFFF"/>
            <w:hideMark/>
          </w:tcPr>
          <w:p w14:paraId="14F40560"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363</w:t>
            </w:r>
          </w:p>
        </w:tc>
        <w:tc>
          <w:tcPr>
            <w:tcW w:w="686" w:type="pct"/>
            <w:tcBorders>
              <w:top w:val="nil"/>
              <w:left w:val="nil"/>
              <w:bottom w:val="nil"/>
              <w:right w:val="nil"/>
            </w:tcBorders>
            <w:shd w:val="clear" w:color="000000" w:fill="FFFFFF"/>
            <w:hideMark/>
          </w:tcPr>
          <w:p w14:paraId="707F0073"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243,371</w:t>
            </w:r>
          </w:p>
        </w:tc>
        <w:tc>
          <w:tcPr>
            <w:tcW w:w="686" w:type="pct"/>
            <w:tcBorders>
              <w:top w:val="nil"/>
              <w:left w:val="nil"/>
              <w:bottom w:val="nil"/>
              <w:right w:val="nil"/>
            </w:tcBorders>
            <w:shd w:val="clear" w:color="000000" w:fill="FFE1E1"/>
            <w:noWrap/>
            <w:hideMark/>
          </w:tcPr>
          <w:p w14:paraId="53412E0B"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243,734</w:t>
            </w:r>
          </w:p>
        </w:tc>
        <w:tc>
          <w:tcPr>
            <w:tcW w:w="686" w:type="pct"/>
            <w:tcBorders>
              <w:top w:val="nil"/>
              <w:left w:val="nil"/>
              <w:bottom w:val="nil"/>
              <w:right w:val="nil"/>
            </w:tcBorders>
            <w:shd w:val="clear" w:color="000000" w:fill="FFFFFF"/>
            <w:hideMark/>
          </w:tcPr>
          <w:p w14:paraId="069035FD"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(513)</w:t>
            </w:r>
          </w:p>
        </w:tc>
        <w:tc>
          <w:tcPr>
            <w:tcW w:w="686" w:type="pct"/>
            <w:tcBorders>
              <w:top w:val="nil"/>
              <w:left w:val="nil"/>
              <w:bottom w:val="nil"/>
              <w:right w:val="nil"/>
            </w:tcBorders>
            <w:shd w:val="clear" w:color="000000" w:fill="FFFFFF"/>
            <w:hideMark/>
          </w:tcPr>
          <w:p w14:paraId="6573E427"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245,880</w:t>
            </w:r>
          </w:p>
        </w:tc>
        <w:tc>
          <w:tcPr>
            <w:tcW w:w="686" w:type="pct"/>
            <w:tcBorders>
              <w:top w:val="nil"/>
              <w:left w:val="nil"/>
              <w:bottom w:val="nil"/>
              <w:right w:val="nil"/>
            </w:tcBorders>
            <w:shd w:val="clear" w:color="000000" w:fill="FFE1E1"/>
            <w:noWrap/>
            <w:hideMark/>
          </w:tcPr>
          <w:p w14:paraId="2A04A3AE"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245,367</w:t>
            </w:r>
          </w:p>
        </w:tc>
      </w:tr>
      <w:tr w:rsidR="0021391D" w:rsidRPr="0021391D" w14:paraId="1613E053" w14:textId="77777777" w:rsidTr="0021391D">
        <w:trPr>
          <w:trHeight w:val="300"/>
        </w:trPr>
        <w:tc>
          <w:tcPr>
            <w:tcW w:w="885" w:type="pct"/>
            <w:tcBorders>
              <w:top w:val="nil"/>
              <w:left w:val="nil"/>
              <w:bottom w:val="nil"/>
              <w:right w:val="nil"/>
            </w:tcBorders>
            <w:shd w:val="clear" w:color="000000" w:fill="FFFFFF"/>
            <w:hideMark/>
          </w:tcPr>
          <w:p w14:paraId="44BB0B26"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Current service cost</w:t>
            </w:r>
          </w:p>
        </w:tc>
        <w:tc>
          <w:tcPr>
            <w:tcW w:w="686" w:type="pct"/>
            <w:tcBorders>
              <w:top w:val="nil"/>
              <w:left w:val="nil"/>
              <w:bottom w:val="nil"/>
              <w:right w:val="nil"/>
            </w:tcBorders>
            <w:shd w:val="clear" w:color="000000" w:fill="FFFFFF"/>
            <w:hideMark/>
          </w:tcPr>
          <w:p w14:paraId="56A779EF"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455</w:t>
            </w:r>
          </w:p>
        </w:tc>
        <w:tc>
          <w:tcPr>
            <w:tcW w:w="686" w:type="pct"/>
            <w:tcBorders>
              <w:top w:val="nil"/>
              <w:left w:val="nil"/>
              <w:bottom w:val="nil"/>
              <w:right w:val="nil"/>
            </w:tcBorders>
            <w:shd w:val="clear" w:color="000000" w:fill="FFFFFF"/>
            <w:hideMark/>
          </w:tcPr>
          <w:p w14:paraId="71FDAA73"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1,530</w:t>
            </w:r>
          </w:p>
        </w:tc>
        <w:tc>
          <w:tcPr>
            <w:tcW w:w="686" w:type="pct"/>
            <w:tcBorders>
              <w:top w:val="nil"/>
              <w:left w:val="nil"/>
              <w:bottom w:val="nil"/>
              <w:right w:val="nil"/>
            </w:tcBorders>
            <w:shd w:val="clear" w:color="000000" w:fill="FFE1E1"/>
            <w:noWrap/>
            <w:hideMark/>
          </w:tcPr>
          <w:p w14:paraId="2B80FBCF"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1,985</w:t>
            </w:r>
          </w:p>
        </w:tc>
        <w:tc>
          <w:tcPr>
            <w:tcW w:w="686" w:type="pct"/>
            <w:tcBorders>
              <w:top w:val="nil"/>
              <w:left w:val="nil"/>
              <w:bottom w:val="nil"/>
              <w:right w:val="nil"/>
            </w:tcBorders>
            <w:shd w:val="clear" w:color="000000" w:fill="FFFFFF"/>
            <w:hideMark/>
          </w:tcPr>
          <w:p w14:paraId="0E48FBC2"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479</w:t>
            </w:r>
          </w:p>
        </w:tc>
        <w:tc>
          <w:tcPr>
            <w:tcW w:w="686" w:type="pct"/>
            <w:tcBorders>
              <w:top w:val="nil"/>
              <w:left w:val="nil"/>
              <w:bottom w:val="nil"/>
              <w:right w:val="nil"/>
            </w:tcBorders>
            <w:shd w:val="clear" w:color="000000" w:fill="FFFFFF"/>
            <w:hideMark/>
          </w:tcPr>
          <w:p w14:paraId="20EF06DD"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1,570</w:t>
            </w:r>
          </w:p>
        </w:tc>
        <w:tc>
          <w:tcPr>
            <w:tcW w:w="686" w:type="pct"/>
            <w:tcBorders>
              <w:top w:val="nil"/>
              <w:left w:val="nil"/>
              <w:bottom w:val="nil"/>
              <w:right w:val="nil"/>
            </w:tcBorders>
            <w:shd w:val="clear" w:color="000000" w:fill="FFE1E1"/>
            <w:noWrap/>
            <w:hideMark/>
          </w:tcPr>
          <w:p w14:paraId="0CE70768"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2,049</w:t>
            </w:r>
          </w:p>
        </w:tc>
      </w:tr>
      <w:tr w:rsidR="0021391D" w:rsidRPr="0021391D" w14:paraId="26FF3720" w14:textId="77777777" w:rsidTr="0021391D">
        <w:trPr>
          <w:trHeight w:val="300"/>
        </w:trPr>
        <w:tc>
          <w:tcPr>
            <w:tcW w:w="885" w:type="pct"/>
            <w:tcBorders>
              <w:top w:val="nil"/>
              <w:left w:val="nil"/>
              <w:bottom w:val="nil"/>
              <w:right w:val="nil"/>
            </w:tcBorders>
            <w:shd w:val="clear" w:color="000000" w:fill="FFFFFF"/>
            <w:hideMark/>
          </w:tcPr>
          <w:p w14:paraId="139184D4"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Interest cost</w:t>
            </w:r>
          </w:p>
        </w:tc>
        <w:tc>
          <w:tcPr>
            <w:tcW w:w="686" w:type="pct"/>
            <w:tcBorders>
              <w:top w:val="nil"/>
              <w:left w:val="nil"/>
              <w:bottom w:val="nil"/>
              <w:right w:val="nil"/>
            </w:tcBorders>
            <w:shd w:val="clear" w:color="000000" w:fill="FFFFFF"/>
            <w:hideMark/>
          </w:tcPr>
          <w:p w14:paraId="50A18717"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19</w:t>
            </w:r>
          </w:p>
        </w:tc>
        <w:tc>
          <w:tcPr>
            <w:tcW w:w="686" w:type="pct"/>
            <w:tcBorders>
              <w:top w:val="nil"/>
              <w:left w:val="nil"/>
              <w:bottom w:val="nil"/>
              <w:right w:val="nil"/>
            </w:tcBorders>
            <w:shd w:val="clear" w:color="000000" w:fill="FFFFFF"/>
            <w:hideMark/>
          </w:tcPr>
          <w:p w14:paraId="5FC86188"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10,950</w:t>
            </w:r>
          </w:p>
        </w:tc>
        <w:tc>
          <w:tcPr>
            <w:tcW w:w="686" w:type="pct"/>
            <w:tcBorders>
              <w:top w:val="nil"/>
              <w:left w:val="nil"/>
              <w:bottom w:val="nil"/>
              <w:right w:val="nil"/>
            </w:tcBorders>
            <w:shd w:val="clear" w:color="000000" w:fill="FFE1E1"/>
            <w:noWrap/>
            <w:hideMark/>
          </w:tcPr>
          <w:p w14:paraId="255298FE"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10,969</w:t>
            </w:r>
          </w:p>
        </w:tc>
        <w:tc>
          <w:tcPr>
            <w:tcW w:w="686" w:type="pct"/>
            <w:tcBorders>
              <w:top w:val="nil"/>
              <w:left w:val="nil"/>
              <w:bottom w:val="nil"/>
              <w:right w:val="nil"/>
            </w:tcBorders>
            <w:shd w:val="clear" w:color="000000" w:fill="FFFFFF"/>
            <w:hideMark/>
          </w:tcPr>
          <w:p w14:paraId="6CC4020A"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(22)</w:t>
            </w:r>
          </w:p>
        </w:tc>
        <w:tc>
          <w:tcPr>
            <w:tcW w:w="686" w:type="pct"/>
            <w:tcBorders>
              <w:top w:val="nil"/>
              <w:left w:val="nil"/>
              <w:bottom w:val="nil"/>
              <w:right w:val="nil"/>
            </w:tcBorders>
            <w:shd w:val="clear" w:color="000000" w:fill="FFFFFF"/>
            <w:hideMark/>
          </w:tcPr>
          <w:p w14:paraId="368F3B8F"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11,470</w:t>
            </w:r>
          </w:p>
        </w:tc>
        <w:tc>
          <w:tcPr>
            <w:tcW w:w="686" w:type="pct"/>
            <w:tcBorders>
              <w:top w:val="nil"/>
              <w:left w:val="nil"/>
              <w:bottom w:val="nil"/>
              <w:right w:val="nil"/>
            </w:tcBorders>
            <w:shd w:val="clear" w:color="000000" w:fill="FFE1E1"/>
            <w:noWrap/>
            <w:hideMark/>
          </w:tcPr>
          <w:p w14:paraId="2FECB597"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11,448</w:t>
            </w:r>
          </w:p>
        </w:tc>
      </w:tr>
      <w:tr w:rsidR="0021391D" w:rsidRPr="0021391D" w14:paraId="4FACBDB4" w14:textId="77777777" w:rsidTr="0021391D">
        <w:trPr>
          <w:trHeight w:val="600"/>
        </w:trPr>
        <w:tc>
          <w:tcPr>
            <w:tcW w:w="885" w:type="pct"/>
            <w:tcBorders>
              <w:top w:val="nil"/>
              <w:left w:val="nil"/>
              <w:bottom w:val="nil"/>
              <w:right w:val="nil"/>
            </w:tcBorders>
            <w:shd w:val="clear" w:color="000000" w:fill="FFFFFF"/>
            <w:hideMark/>
          </w:tcPr>
          <w:p w14:paraId="27F2953A"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Changes in assumptions</w:t>
            </w:r>
          </w:p>
        </w:tc>
        <w:tc>
          <w:tcPr>
            <w:tcW w:w="686" w:type="pct"/>
            <w:tcBorders>
              <w:top w:val="nil"/>
              <w:left w:val="nil"/>
              <w:bottom w:val="nil"/>
              <w:right w:val="nil"/>
            </w:tcBorders>
            <w:shd w:val="clear" w:color="000000" w:fill="FFFFFF"/>
            <w:hideMark/>
          </w:tcPr>
          <w:p w14:paraId="20539A4E"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(961)</w:t>
            </w:r>
          </w:p>
        </w:tc>
        <w:tc>
          <w:tcPr>
            <w:tcW w:w="686" w:type="pct"/>
            <w:tcBorders>
              <w:top w:val="nil"/>
              <w:left w:val="nil"/>
              <w:bottom w:val="nil"/>
              <w:right w:val="nil"/>
            </w:tcBorders>
            <w:shd w:val="clear" w:color="000000" w:fill="FFFFFF"/>
            <w:hideMark/>
          </w:tcPr>
          <w:p w14:paraId="425359B5"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(1,091)</w:t>
            </w:r>
          </w:p>
        </w:tc>
        <w:tc>
          <w:tcPr>
            <w:tcW w:w="686" w:type="pct"/>
            <w:tcBorders>
              <w:top w:val="nil"/>
              <w:left w:val="nil"/>
              <w:bottom w:val="nil"/>
              <w:right w:val="nil"/>
            </w:tcBorders>
            <w:shd w:val="clear" w:color="000000" w:fill="FFE1E1"/>
            <w:noWrap/>
            <w:hideMark/>
          </w:tcPr>
          <w:p w14:paraId="12A55783"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(2,052)</w:t>
            </w:r>
          </w:p>
        </w:tc>
        <w:tc>
          <w:tcPr>
            <w:tcW w:w="686" w:type="pct"/>
            <w:tcBorders>
              <w:top w:val="nil"/>
              <w:left w:val="nil"/>
              <w:bottom w:val="nil"/>
              <w:right w:val="nil"/>
            </w:tcBorders>
            <w:shd w:val="clear" w:color="000000" w:fill="FFFFFF"/>
            <w:hideMark/>
          </w:tcPr>
          <w:p w14:paraId="6C1AFF80"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(1,695)</w:t>
            </w:r>
          </w:p>
        </w:tc>
        <w:tc>
          <w:tcPr>
            <w:tcW w:w="686" w:type="pct"/>
            <w:tcBorders>
              <w:top w:val="nil"/>
              <w:left w:val="nil"/>
              <w:bottom w:val="nil"/>
              <w:right w:val="nil"/>
            </w:tcBorders>
            <w:shd w:val="clear" w:color="000000" w:fill="FFFFFF"/>
            <w:hideMark/>
          </w:tcPr>
          <w:p w14:paraId="62C8B334"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(25,910)</w:t>
            </w:r>
          </w:p>
        </w:tc>
        <w:tc>
          <w:tcPr>
            <w:tcW w:w="686" w:type="pct"/>
            <w:tcBorders>
              <w:top w:val="nil"/>
              <w:left w:val="nil"/>
              <w:bottom w:val="nil"/>
              <w:right w:val="nil"/>
            </w:tcBorders>
            <w:shd w:val="clear" w:color="000000" w:fill="FFE1E1"/>
            <w:noWrap/>
            <w:hideMark/>
          </w:tcPr>
          <w:p w14:paraId="488FCCB3"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(27,605)</w:t>
            </w:r>
          </w:p>
        </w:tc>
      </w:tr>
      <w:tr w:rsidR="0021391D" w:rsidRPr="0021391D" w14:paraId="6639CFBC" w14:textId="77777777" w:rsidTr="0021391D">
        <w:trPr>
          <w:trHeight w:val="807"/>
        </w:trPr>
        <w:tc>
          <w:tcPr>
            <w:tcW w:w="885" w:type="pct"/>
            <w:tcBorders>
              <w:top w:val="nil"/>
              <w:left w:val="nil"/>
              <w:bottom w:val="nil"/>
              <w:right w:val="nil"/>
            </w:tcBorders>
            <w:shd w:val="clear" w:color="000000" w:fill="FFFFFF"/>
            <w:hideMark/>
          </w:tcPr>
          <w:p w14:paraId="30F67197"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Past service cost, including curtailments</w:t>
            </w:r>
          </w:p>
        </w:tc>
        <w:tc>
          <w:tcPr>
            <w:tcW w:w="686" w:type="pct"/>
            <w:tcBorders>
              <w:top w:val="nil"/>
              <w:left w:val="nil"/>
              <w:bottom w:val="nil"/>
              <w:right w:val="nil"/>
            </w:tcBorders>
            <w:shd w:val="clear" w:color="000000" w:fill="FFFFFF"/>
            <w:hideMark/>
          </w:tcPr>
          <w:p w14:paraId="79708777"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6D09E9B9"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(40)</w:t>
            </w:r>
          </w:p>
        </w:tc>
        <w:tc>
          <w:tcPr>
            <w:tcW w:w="686" w:type="pct"/>
            <w:tcBorders>
              <w:top w:val="nil"/>
              <w:left w:val="nil"/>
              <w:bottom w:val="nil"/>
              <w:right w:val="nil"/>
            </w:tcBorders>
            <w:shd w:val="clear" w:color="000000" w:fill="FFE1E1"/>
            <w:noWrap/>
            <w:hideMark/>
          </w:tcPr>
          <w:p w14:paraId="30584409"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(40)</w:t>
            </w:r>
          </w:p>
        </w:tc>
        <w:tc>
          <w:tcPr>
            <w:tcW w:w="686" w:type="pct"/>
            <w:tcBorders>
              <w:top w:val="nil"/>
              <w:left w:val="nil"/>
              <w:bottom w:val="nil"/>
              <w:right w:val="nil"/>
            </w:tcBorders>
            <w:shd w:val="clear" w:color="000000" w:fill="FFFFFF"/>
            <w:hideMark/>
          </w:tcPr>
          <w:p w14:paraId="4536E16A"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87</w:t>
            </w:r>
          </w:p>
        </w:tc>
        <w:tc>
          <w:tcPr>
            <w:tcW w:w="686" w:type="pct"/>
            <w:tcBorders>
              <w:top w:val="nil"/>
              <w:left w:val="nil"/>
              <w:bottom w:val="nil"/>
              <w:right w:val="nil"/>
            </w:tcBorders>
            <w:shd w:val="clear" w:color="000000" w:fill="FFFFFF"/>
            <w:hideMark/>
          </w:tcPr>
          <w:p w14:paraId="657278AC"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E1E1"/>
            <w:noWrap/>
            <w:hideMark/>
          </w:tcPr>
          <w:p w14:paraId="738C3E2A"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87</w:t>
            </w:r>
          </w:p>
        </w:tc>
      </w:tr>
      <w:tr w:rsidR="0021391D" w:rsidRPr="0021391D" w14:paraId="737141A7" w14:textId="77777777" w:rsidTr="0021391D">
        <w:trPr>
          <w:trHeight w:val="900"/>
        </w:trPr>
        <w:tc>
          <w:tcPr>
            <w:tcW w:w="885" w:type="pct"/>
            <w:tcBorders>
              <w:top w:val="nil"/>
              <w:left w:val="nil"/>
              <w:bottom w:val="nil"/>
              <w:right w:val="nil"/>
            </w:tcBorders>
            <w:shd w:val="clear" w:color="000000" w:fill="FFFFFF"/>
            <w:hideMark/>
          </w:tcPr>
          <w:p w14:paraId="52E35083"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Contributions by employer/employee</w:t>
            </w:r>
          </w:p>
        </w:tc>
        <w:tc>
          <w:tcPr>
            <w:tcW w:w="686" w:type="pct"/>
            <w:tcBorders>
              <w:top w:val="nil"/>
              <w:left w:val="nil"/>
              <w:bottom w:val="nil"/>
              <w:right w:val="nil"/>
            </w:tcBorders>
            <w:shd w:val="clear" w:color="000000" w:fill="FFFFFF"/>
            <w:hideMark/>
          </w:tcPr>
          <w:p w14:paraId="75949D09"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(389)</w:t>
            </w:r>
          </w:p>
        </w:tc>
        <w:tc>
          <w:tcPr>
            <w:tcW w:w="686" w:type="pct"/>
            <w:tcBorders>
              <w:top w:val="nil"/>
              <w:left w:val="nil"/>
              <w:bottom w:val="nil"/>
              <w:right w:val="nil"/>
            </w:tcBorders>
            <w:shd w:val="clear" w:color="000000" w:fill="FFFFFF"/>
            <w:hideMark/>
          </w:tcPr>
          <w:p w14:paraId="61594E3D"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1,430</w:t>
            </w:r>
          </w:p>
        </w:tc>
        <w:tc>
          <w:tcPr>
            <w:tcW w:w="686" w:type="pct"/>
            <w:tcBorders>
              <w:top w:val="nil"/>
              <w:left w:val="nil"/>
              <w:bottom w:val="nil"/>
              <w:right w:val="nil"/>
            </w:tcBorders>
            <w:shd w:val="clear" w:color="000000" w:fill="FFE1E1"/>
            <w:noWrap/>
            <w:hideMark/>
          </w:tcPr>
          <w:p w14:paraId="3A1B709F"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1,041</w:t>
            </w:r>
          </w:p>
        </w:tc>
        <w:tc>
          <w:tcPr>
            <w:tcW w:w="686" w:type="pct"/>
            <w:tcBorders>
              <w:top w:val="nil"/>
              <w:left w:val="nil"/>
              <w:bottom w:val="nil"/>
              <w:right w:val="nil"/>
            </w:tcBorders>
            <w:shd w:val="clear" w:color="000000" w:fill="FFFFFF"/>
            <w:hideMark/>
          </w:tcPr>
          <w:p w14:paraId="49BC6445"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(461)</w:t>
            </w:r>
          </w:p>
        </w:tc>
        <w:tc>
          <w:tcPr>
            <w:tcW w:w="686" w:type="pct"/>
            <w:tcBorders>
              <w:top w:val="nil"/>
              <w:left w:val="nil"/>
              <w:bottom w:val="nil"/>
              <w:right w:val="nil"/>
            </w:tcBorders>
            <w:shd w:val="clear" w:color="000000" w:fill="FFFFFF"/>
            <w:hideMark/>
          </w:tcPr>
          <w:p w14:paraId="5B5F831B"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1,900</w:t>
            </w:r>
          </w:p>
        </w:tc>
        <w:tc>
          <w:tcPr>
            <w:tcW w:w="686" w:type="pct"/>
            <w:tcBorders>
              <w:top w:val="nil"/>
              <w:left w:val="nil"/>
              <w:bottom w:val="nil"/>
              <w:right w:val="nil"/>
            </w:tcBorders>
            <w:shd w:val="clear" w:color="000000" w:fill="FFE1E1"/>
            <w:noWrap/>
            <w:hideMark/>
          </w:tcPr>
          <w:p w14:paraId="7A358D0E"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1,439</w:t>
            </w:r>
          </w:p>
        </w:tc>
      </w:tr>
      <w:tr w:rsidR="0021391D" w:rsidRPr="0021391D" w14:paraId="605F2ADE" w14:textId="77777777" w:rsidTr="0021391D">
        <w:trPr>
          <w:trHeight w:val="300"/>
        </w:trPr>
        <w:tc>
          <w:tcPr>
            <w:tcW w:w="885" w:type="pct"/>
            <w:tcBorders>
              <w:top w:val="nil"/>
              <w:left w:val="nil"/>
              <w:bottom w:val="nil"/>
              <w:right w:val="nil"/>
            </w:tcBorders>
            <w:shd w:val="clear" w:color="000000" w:fill="FFFFFF"/>
            <w:hideMark/>
          </w:tcPr>
          <w:p w14:paraId="5AF08F57"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Benefits Paid</w:t>
            </w:r>
          </w:p>
        </w:tc>
        <w:tc>
          <w:tcPr>
            <w:tcW w:w="686" w:type="pct"/>
            <w:tcBorders>
              <w:top w:val="nil"/>
              <w:left w:val="nil"/>
              <w:bottom w:val="nil"/>
              <w:right w:val="nil"/>
            </w:tcBorders>
            <w:shd w:val="clear" w:color="000000" w:fill="FFFFFF"/>
            <w:hideMark/>
          </w:tcPr>
          <w:p w14:paraId="59B7D731"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7CC763CA"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(10,270)</w:t>
            </w:r>
          </w:p>
        </w:tc>
        <w:tc>
          <w:tcPr>
            <w:tcW w:w="686" w:type="pct"/>
            <w:tcBorders>
              <w:top w:val="nil"/>
              <w:left w:val="nil"/>
              <w:bottom w:val="nil"/>
              <w:right w:val="nil"/>
            </w:tcBorders>
            <w:shd w:val="clear" w:color="000000" w:fill="FFE1E1"/>
            <w:noWrap/>
            <w:hideMark/>
          </w:tcPr>
          <w:p w14:paraId="084C394B"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(10,270)</w:t>
            </w:r>
          </w:p>
        </w:tc>
        <w:tc>
          <w:tcPr>
            <w:tcW w:w="686" w:type="pct"/>
            <w:tcBorders>
              <w:top w:val="nil"/>
              <w:left w:val="nil"/>
              <w:bottom w:val="nil"/>
              <w:right w:val="nil"/>
            </w:tcBorders>
            <w:shd w:val="clear" w:color="000000" w:fill="FFFFFF"/>
            <w:hideMark/>
          </w:tcPr>
          <w:p w14:paraId="6F3E9DED"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503D8954"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(12,440)</w:t>
            </w:r>
          </w:p>
        </w:tc>
        <w:tc>
          <w:tcPr>
            <w:tcW w:w="686" w:type="pct"/>
            <w:tcBorders>
              <w:top w:val="nil"/>
              <w:left w:val="nil"/>
              <w:bottom w:val="nil"/>
              <w:right w:val="nil"/>
            </w:tcBorders>
            <w:shd w:val="clear" w:color="000000" w:fill="FFE1E1"/>
            <w:noWrap/>
            <w:hideMark/>
          </w:tcPr>
          <w:p w14:paraId="63CA3BA6"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(12,440)</w:t>
            </w:r>
          </w:p>
        </w:tc>
      </w:tr>
      <w:tr w:rsidR="0021391D" w:rsidRPr="0021391D" w14:paraId="35E5CB51" w14:textId="77777777" w:rsidTr="0021391D">
        <w:trPr>
          <w:trHeight w:val="600"/>
        </w:trPr>
        <w:tc>
          <w:tcPr>
            <w:tcW w:w="885" w:type="pct"/>
            <w:tcBorders>
              <w:top w:val="nil"/>
              <w:left w:val="nil"/>
              <w:bottom w:val="nil"/>
              <w:right w:val="nil"/>
            </w:tcBorders>
            <w:shd w:val="clear" w:color="000000" w:fill="FFFFFF"/>
            <w:hideMark/>
          </w:tcPr>
          <w:p w14:paraId="3DFC5F24" w14:textId="77777777" w:rsidR="0021391D" w:rsidRPr="0021391D" w:rsidRDefault="0021391D" w:rsidP="0021391D">
            <w:pPr>
              <w:spacing w:line="240" w:lineRule="auto"/>
              <w:jc w:val="left"/>
              <w:rPr>
                <w:rFonts w:ascii="Calibri" w:eastAsia="Times New Roman" w:hAnsi="Calibri" w:cs="Calibri"/>
                <w:color w:val="000000"/>
                <w:lang w:eastAsia="en-GB"/>
              </w:rPr>
            </w:pPr>
            <w:r w:rsidRPr="0021391D">
              <w:rPr>
                <w:rFonts w:ascii="Calibri" w:eastAsia="Times New Roman" w:hAnsi="Calibri" w:cs="Calibri"/>
                <w:color w:val="000000"/>
                <w:lang w:eastAsia="en-GB"/>
              </w:rPr>
              <w:t>Return on assets less interest</w:t>
            </w:r>
          </w:p>
        </w:tc>
        <w:tc>
          <w:tcPr>
            <w:tcW w:w="686" w:type="pct"/>
            <w:tcBorders>
              <w:top w:val="nil"/>
              <w:left w:val="nil"/>
              <w:bottom w:val="nil"/>
              <w:right w:val="nil"/>
            </w:tcBorders>
            <w:shd w:val="clear" w:color="000000" w:fill="FFFFFF"/>
            <w:hideMark/>
          </w:tcPr>
          <w:p w14:paraId="15DAAF6A"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018825FE"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E1E1"/>
            <w:noWrap/>
            <w:hideMark/>
          </w:tcPr>
          <w:p w14:paraId="5F262264"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55023B1B"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FFFF"/>
            <w:hideMark/>
          </w:tcPr>
          <w:p w14:paraId="51A26BE0"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c>
          <w:tcPr>
            <w:tcW w:w="686" w:type="pct"/>
            <w:tcBorders>
              <w:top w:val="nil"/>
              <w:left w:val="nil"/>
              <w:bottom w:val="nil"/>
              <w:right w:val="nil"/>
            </w:tcBorders>
            <w:shd w:val="clear" w:color="000000" w:fill="FFE1E1"/>
            <w:noWrap/>
            <w:hideMark/>
          </w:tcPr>
          <w:p w14:paraId="5F114DE2" w14:textId="77777777" w:rsidR="0021391D" w:rsidRPr="0021391D" w:rsidRDefault="0021391D" w:rsidP="0021391D">
            <w:pPr>
              <w:spacing w:line="240" w:lineRule="auto"/>
              <w:jc w:val="right"/>
              <w:rPr>
                <w:rFonts w:ascii="Calibri" w:eastAsia="Times New Roman" w:hAnsi="Calibri" w:cs="Calibri"/>
                <w:color w:val="000000"/>
                <w:lang w:eastAsia="en-GB"/>
              </w:rPr>
            </w:pPr>
            <w:r w:rsidRPr="0021391D">
              <w:rPr>
                <w:rFonts w:ascii="Calibri" w:eastAsia="Times New Roman" w:hAnsi="Calibri" w:cs="Calibri"/>
                <w:color w:val="000000"/>
                <w:lang w:eastAsia="en-GB"/>
              </w:rPr>
              <w:t>-</w:t>
            </w:r>
          </w:p>
        </w:tc>
      </w:tr>
      <w:tr w:rsidR="0021391D" w:rsidRPr="0021391D" w14:paraId="3B6A65D7" w14:textId="77777777" w:rsidTr="0021391D">
        <w:trPr>
          <w:trHeight w:val="300"/>
        </w:trPr>
        <w:tc>
          <w:tcPr>
            <w:tcW w:w="885" w:type="pct"/>
            <w:tcBorders>
              <w:top w:val="single" w:sz="4" w:space="0" w:color="000000"/>
              <w:left w:val="nil"/>
              <w:bottom w:val="single" w:sz="4" w:space="0" w:color="000000"/>
              <w:right w:val="nil"/>
            </w:tcBorders>
            <w:shd w:val="clear" w:color="000000" w:fill="FFFFFF"/>
            <w:hideMark/>
          </w:tcPr>
          <w:p w14:paraId="4BB5B1B3" w14:textId="77777777" w:rsidR="0021391D" w:rsidRPr="0021391D" w:rsidRDefault="0021391D" w:rsidP="0021391D">
            <w:pPr>
              <w:spacing w:line="240" w:lineRule="auto"/>
              <w:jc w:val="lef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Closing Balance</w:t>
            </w:r>
          </w:p>
        </w:tc>
        <w:tc>
          <w:tcPr>
            <w:tcW w:w="686" w:type="pct"/>
            <w:tcBorders>
              <w:top w:val="single" w:sz="4" w:space="0" w:color="000000"/>
              <w:left w:val="nil"/>
              <w:bottom w:val="single" w:sz="4" w:space="0" w:color="000000"/>
              <w:right w:val="nil"/>
            </w:tcBorders>
            <w:shd w:val="clear" w:color="000000" w:fill="FFFFFF"/>
            <w:hideMark/>
          </w:tcPr>
          <w:p w14:paraId="146F009D"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(513)</w:t>
            </w:r>
          </w:p>
        </w:tc>
        <w:tc>
          <w:tcPr>
            <w:tcW w:w="686" w:type="pct"/>
            <w:tcBorders>
              <w:top w:val="single" w:sz="4" w:space="0" w:color="000000"/>
              <w:left w:val="nil"/>
              <w:bottom w:val="single" w:sz="4" w:space="0" w:color="000000"/>
              <w:right w:val="nil"/>
            </w:tcBorders>
            <w:shd w:val="clear" w:color="000000" w:fill="FFFFFF"/>
            <w:hideMark/>
          </w:tcPr>
          <w:p w14:paraId="01773FAF"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245,880</w:t>
            </w:r>
          </w:p>
        </w:tc>
        <w:tc>
          <w:tcPr>
            <w:tcW w:w="686" w:type="pct"/>
            <w:tcBorders>
              <w:top w:val="single" w:sz="4" w:space="0" w:color="000000"/>
              <w:left w:val="nil"/>
              <w:bottom w:val="single" w:sz="4" w:space="0" w:color="000000"/>
              <w:right w:val="nil"/>
            </w:tcBorders>
            <w:shd w:val="clear" w:color="000000" w:fill="FFE1E1"/>
            <w:noWrap/>
            <w:hideMark/>
          </w:tcPr>
          <w:p w14:paraId="56D2DC56"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245,367</w:t>
            </w:r>
          </w:p>
        </w:tc>
        <w:tc>
          <w:tcPr>
            <w:tcW w:w="686" w:type="pct"/>
            <w:tcBorders>
              <w:top w:val="single" w:sz="4" w:space="0" w:color="000000"/>
              <w:left w:val="nil"/>
              <w:bottom w:val="single" w:sz="4" w:space="0" w:color="000000"/>
              <w:right w:val="nil"/>
            </w:tcBorders>
            <w:shd w:val="clear" w:color="000000" w:fill="FFFFFF"/>
            <w:hideMark/>
          </w:tcPr>
          <w:p w14:paraId="725BBF2F"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(2,125)</w:t>
            </w:r>
          </w:p>
        </w:tc>
        <w:tc>
          <w:tcPr>
            <w:tcW w:w="686" w:type="pct"/>
            <w:tcBorders>
              <w:top w:val="single" w:sz="4" w:space="0" w:color="000000"/>
              <w:left w:val="nil"/>
              <w:bottom w:val="single" w:sz="4" w:space="0" w:color="000000"/>
              <w:right w:val="nil"/>
            </w:tcBorders>
            <w:shd w:val="clear" w:color="000000" w:fill="FFFFFF"/>
            <w:hideMark/>
          </w:tcPr>
          <w:p w14:paraId="44C2619D"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222,470</w:t>
            </w:r>
          </w:p>
        </w:tc>
        <w:tc>
          <w:tcPr>
            <w:tcW w:w="686" w:type="pct"/>
            <w:tcBorders>
              <w:top w:val="single" w:sz="4" w:space="0" w:color="000000"/>
              <w:left w:val="nil"/>
              <w:bottom w:val="single" w:sz="4" w:space="0" w:color="000000"/>
              <w:right w:val="nil"/>
            </w:tcBorders>
            <w:shd w:val="clear" w:color="000000" w:fill="FFE1E1"/>
            <w:noWrap/>
            <w:hideMark/>
          </w:tcPr>
          <w:p w14:paraId="7027A178" w14:textId="77777777" w:rsidR="0021391D" w:rsidRPr="0021391D" w:rsidRDefault="0021391D" w:rsidP="0021391D">
            <w:pPr>
              <w:spacing w:line="240" w:lineRule="auto"/>
              <w:jc w:val="right"/>
              <w:rPr>
                <w:rFonts w:ascii="Calibri" w:eastAsia="Times New Roman" w:hAnsi="Calibri" w:cs="Calibri"/>
                <w:b/>
                <w:bCs/>
                <w:color w:val="000000"/>
                <w:lang w:eastAsia="en-GB"/>
              </w:rPr>
            </w:pPr>
            <w:r w:rsidRPr="0021391D">
              <w:rPr>
                <w:rFonts w:ascii="Calibri" w:eastAsia="Times New Roman" w:hAnsi="Calibri" w:cs="Calibri"/>
                <w:b/>
                <w:bCs/>
                <w:color w:val="000000"/>
                <w:lang w:eastAsia="en-GB"/>
              </w:rPr>
              <w:t>220,345</w:t>
            </w:r>
          </w:p>
        </w:tc>
      </w:tr>
    </w:tbl>
    <w:p w14:paraId="520362A9" w14:textId="77777777" w:rsidR="00F95775" w:rsidRDefault="00F95775" w:rsidP="00E7677C"/>
    <w:p w14:paraId="40C2DEA0" w14:textId="77777777" w:rsidR="007626DF" w:rsidRDefault="007626DF" w:rsidP="007626DF">
      <w:pPr>
        <w:pStyle w:val="VAHeadingLevel3"/>
        <w:rPr>
          <w:color w:val="AB2328"/>
        </w:rPr>
      </w:pPr>
      <w:r w:rsidRPr="007626DF">
        <w:rPr>
          <w:color w:val="AB2328"/>
        </w:rPr>
        <w:t>Virgin Media Section 37 Case – Summary Disclosure</w:t>
      </w:r>
    </w:p>
    <w:p w14:paraId="4A1E224C" w14:textId="05595521" w:rsidR="007626DF" w:rsidRPr="007626DF" w:rsidRDefault="007626DF" w:rsidP="007D369B">
      <w:r>
        <w:t>On 25 July 2024, the Court of Appeal upheld the High Court’s ruling in Virgin Media Ltd v NTL Pension Trustees II Ltd, confirming that amendments to contracted</w:t>
      </w:r>
      <w:r w:rsidR="7852BE67">
        <w:t xml:space="preserve"> </w:t>
      </w:r>
      <w:r>
        <w:t>out defined benefit schemes made between 1997 and 2016 are void if the required actuarial confirmation under Section 37 was not obtained.</w:t>
      </w:r>
      <w:r w:rsidRPr="007626DF">
        <w:noBreakHyphen/>
        <w:t>out defined benefit schemes made between 1997 and 2016 are void if the required actuarial confirmation under Section 37 was not obtained.</w:t>
      </w:r>
    </w:p>
    <w:p w14:paraId="082B241A" w14:textId="419CBFB6" w:rsidR="007626DF" w:rsidRPr="007626DF" w:rsidRDefault="007D369B" w:rsidP="5A995008">
      <w:pPr>
        <w:rPr>
          <w:color w:val="AB2328"/>
        </w:rPr>
      </w:pPr>
      <w:r>
        <w:t>HM Treasury is assessing the implications for all public service schemes, including the Firefighters’ Pension Schemes. No scheme</w:t>
      </w:r>
      <w:r w:rsidR="757E2843">
        <w:t xml:space="preserve"> </w:t>
      </w:r>
      <w:r>
        <w:t xml:space="preserve">specific guidance is available yet. The Authority is monitoring developments, but no reliable estimate of impact can currently be made and no adjustments have been included in the 2024/25 </w:t>
      </w:r>
      <w:proofErr w:type="gramStart"/>
      <w:r>
        <w:t>accounts.</w:t>
      </w:r>
      <w:r w:rsidRPr="007D369B">
        <w:noBreakHyphen/>
      </w:r>
      <w:proofErr w:type="gramEnd"/>
      <w:r w:rsidRPr="007D369B">
        <w:t xml:space="preserve">specific guidance is available yet. The Authority is monitoring developments, but no reliable estimate of impact can currently be </w:t>
      </w:r>
    </w:p>
    <w:p w14:paraId="4C8A7458" w14:textId="77777777" w:rsidR="001C24E9" w:rsidRPr="001C24E9" w:rsidRDefault="001C24E9" w:rsidP="00E7677C">
      <w:pPr>
        <w:rPr>
          <w:b/>
          <w:bCs/>
        </w:rPr>
      </w:pPr>
    </w:p>
    <w:p w14:paraId="1781AE3B" w14:textId="4B4BDA0C" w:rsidR="00E7677C" w:rsidRPr="005F273C" w:rsidRDefault="00E7677C" w:rsidP="002A1ADD">
      <w:pPr>
        <w:pStyle w:val="VAHeadingLevel2"/>
      </w:pPr>
      <w:r w:rsidRPr="005F273C">
        <w:t xml:space="preserve">Note </w:t>
      </w:r>
      <w:r w:rsidR="00937AE4" w:rsidRPr="005F273C">
        <w:t>38</w:t>
      </w:r>
      <w:r w:rsidRPr="005F273C">
        <w:t>. Financial Instruments</w:t>
      </w:r>
    </w:p>
    <w:p w14:paraId="6505C8ED" w14:textId="77777777" w:rsidR="00E7677C" w:rsidRDefault="00E7677C" w:rsidP="00E7677C">
      <w:r w:rsidRPr="00A602D5">
        <w:t>Financial instruments are recognised on the Balance Sheet when the Fire Authority becomes party to the contractual provisions of a financial instrument.</w:t>
      </w:r>
      <w:r>
        <w:t xml:space="preserve">  </w:t>
      </w:r>
      <w:r w:rsidRPr="00A602D5">
        <w:t>They are initially measured at fair value.</w:t>
      </w:r>
    </w:p>
    <w:p w14:paraId="29FA0E7B" w14:textId="77777777" w:rsidR="00E7677C" w:rsidRPr="00A602D5" w:rsidRDefault="00E7677C" w:rsidP="00E7677C"/>
    <w:p w14:paraId="790A4B1D" w14:textId="77777777" w:rsidR="00E7677C" w:rsidRPr="005F273C" w:rsidRDefault="00E7677C" w:rsidP="00E7677C">
      <w:pPr>
        <w:pStyle w:val="VAHeadingLevel3"/>
        <w:rPr>
          <w:color w:val="AB2328"/>
        </w:rPr>
      </w:pPr>
      <w:r w:rsidRPr="005F273C">
        <w:rPr>
          <w:color w:val="AB2328"/>
        </w:rPr>
        <w:t>Financial Liabilities</w:t>
      </w:r>
    </w:p>
    <w:p w14:paraId="1AF08DD9" w14:textId="77777777" w:rsidR="00E7677C" w:rsidRPr="00A602D5" w:rsidRDefault="00E7677C" w:rsidP="00E7677C">
      <w:r w:rsidRPr="00A602D5">
        <w:t xml:space="preserve">Financial liabilities are subsequently measured at amortised cost. </w:t>
      </w:r>
      <w:r>
        <w:t xml:space="preserve"> </w:t>
      </w:r>
      <w:r w:rsidRPr="00A602D5">
        <w:t>For the Fire Authority’s borrowing this means that the amount presented in the Balance Sheet is the outstanding principal repayable (plus accrued interest).</w:t>
      </w:r>
    </w:p>
    <w:p w14:paraId="197E907B" w14:textId="77777777" w:rsidR="00E7677C" w:rsidRDefault="00E7677C" w:rsidP="00E7677C"/>
    <w:p w14:paraId="27797F93" w14:textId="77777777" w:rsidR="00E7677C" w:rsidRDefault="00E7677C" w:rsidP="00E7677C">
      <w:r w:rsidRPr="00A602D5">
        <w:t>Annual charges to the Financing and Investment Income and Expenditure line in the Comprehensive Income and Expenditure Statement are based on the carrying amount of the liability, multiplied by the effective rate of interest for the instrument.</w:t>
      </w:r>
    </w:p>
    <w:p w14:paraId="7B1FE96A" w14:textId="77777777" w:rsidR="00E7677C" w:rsidRPr="00A602D5" w:rsidRDefault="00E7677C" w:rsidP="00E7677C"/>
    <w:p w14:paraId="124A7E7F" w14:textId="77777777" w:rsidR="00E7677C" w:rsidRPr="005F273C" w:rsidRDefault="00E7677C" w:rsidP="00E7677C">
      <w:pPr>
        <w:pStyle w:val="VAHeadingLevel3"/>
        <w:rPr>
          <w:color w:val="AB2328"/>
        </w:rPr>
      </w:pPr>
      <w:r w:rsidRPr="005F273C">
        <w:rPr>
          <w:color w:val="AB2328"/>
        </w:rPr>
        <w:t>Financial Assets</w:t>
      </w:r>
    </w:p>
    <w:p w14:paraId="4EE392B2" w14:textId="77777777" w:rsidR="00E7677C" w:rsidRPr="00A602D5" w:rsidRDefault="00E7677C" w:rsidP="00E7677C">
      <w:r w:rsidRPr="00A602D5">
        <w:t>Financial assets are classified as below:</w:t>
      </w:r>
    </w:p>
    <w:p w14:paraId="0B7F9839" w14:textId="77777777" w:rsidR="00E7677C" w:rsidRPr="00A602D5" w:rsidRDefault="00E7677C" w:rsidP="00E7677C">
      <w:pPr>
        <w:pStyle w:val="Firebullet"/>
        <w:numPr>
          <w:ilvl w:val="0"/>
          <w:numId w:val="5"/>
        </w:numPr>
      </w:pPr>
      <w:r w:rsidRPr="00A602D5">
        <w:t>Financial assets held at amortised cost.</w:t>
      </w:r>
      <w:r>
        <w:t xml:space="preserve"> </w:t>
      </w:r>
      <w:r w:rsidRPr="00A602D5">
        <w:t xml:space="preserve"> These represent loans and loan-type arrangements where repayments of interest and principal take place on set dates and at specified amounts. </w:t>
      </w:r>
      <w:r>
        <w:t xml:space="preserve"> </w:t>
      </w:r>
      <w:r w:rsidRPr="00A602D5">
        <w:t xml:space="preserve">The amount presented </w:t>
      </w:r>
      <w:r w:rsidRPr="00A602D5">
        <w:lastRenderedPageBreak/>
        <w:t>in the Balance Sheet represents the outstanding principal received plus accrued interest.</w:t>
      </w:r>
      <w:r>
        <w:t xml:space="preserve"> </w:t>
      </w:r>
      <w:r w:rsidRPr="00A602D5">
        <w:t xml:space="preserve"> Interest credited to the CIES is the amount receivable as per the loan agreement.</w:t>
      </w:r>
    </w:p>
    <w:p w14:paraId="38FF8937" w14:textId="77777777" w:rsidR="00E7677C" w:rsidRPr="00A602D5" w:rsidRDefault="00E7677C" w:rsidP="00E7677C">
      <w:pPr>
        <w:pStyle w:val="Firebullet"/>
        <w:numPr>
          <w:ilvl w:val="0"/>
          <w:numId w:val="5"/>
        </w:numPr>
      </w:pPr>
      <w:r w:rsidRPr="00A602D5">
        <w:t>Fair Value Through Profit and Loss (FVTPL).</w:t>
      </w:r>
      <w:r>
        <w:t xml:space="preserve"> </w:t>
      </w:r>
      <w:r w:rsidRPr="00A602D5">
        <w:t xml:space="preserve"> These assets are measured and carried at fair value.  All gains and losses due to changes in fair value (both realised and unrealised) are recognised in the CIES as they occur.</w:t>
      </w:r>
    </w:p>
    <w:p w14:paraId="436725D4" w14:textId="77777777" w:rsidR="00F81DF1" w:rsidRDefault="00E7677C" w:rsidP="00F81DF1">
      <w:r w:rsidRPr="00A602D5">
        <w:t xml:space="preserve">Allowances for impairment losses have been calculated for amortised cost assets, applying the expected credit losses model. </w:t>
      </w:r>
      <w:r>
        <w:t xml:space="preserve"> </w:t>
      </w:r>
      <w:r w:rsidRPr="00A602D5">
        <w:t>Changes in loss allowances (including balances outstanding at the date of derecognition of an asset) are debited/credited to the Financing and Investment Income and Expenditure line in the CIES.</w:t>
      </w:r>
    </w:p>
    <w:p w14:paraId="09FFB377" w14:textId="77777777" w:rsidR="008B15A4" w:rsidRDefault="008B15A4" w:rsidP="00F81DF1"/>
    <w:p w14:paraId="550F44C0" w14:textId="77777777" w:rsidR="00E7677C" w:rsidRDefault="00E7677C" w:rsidP="00E7677C">
      <w:pPr>
        <w:rPr>
          <w:b/>
          <w:bCs/>
        </w:rPr>
      </w:pPr>
      <w:r w:rsidRPr="00A602D5">
        <w:t xml:space="preserve">Changes in the value of assets carried at fair value are debited/credited to the Financing and Investment Income and Expenditure line in the CIES as they arise. </w:t>
      </w:r>
      <w:r w:rsidRPr="00A602D5">
        <w:rPr>
          <w:b/>
          <w:bCs/>
        </w:rPr>
        <w:tab/>
      </w:r>
    </w:p>
    <w:p w14:paraId="45CD6A11" w14:textId="77777777" w:rsidR="00E7677C" w:rsidRDefault="00E7677C" w:rsidP="00E7677C">
      <w:pPr>
        <w:rPr>
          <w:b/>
          <w:bCs/>
          <w:sz w:val="28"/>
          <w:szCs w:val="28"/>
        </w:rPr>
      </w:pPr>
      <w:r w:rsidRPr="00A602D5">
        <w:rPr>
          <w:b/>
          <w:bCs/>
          <w:sz w:val="28"/>
          <w:szCs w:val="28"/>
        </w:rPr>
        <w:tab/>
      </w:r>
    </w:p>
    <w:p w14:paraId="746AF2BA" w14:textId="3CF61867" w:rsidR="00E7677C" w:rsidRPr="00A602D5" w:rsidRDefault="00E7677C" w:rsidP="00B05542">
      <w:pPr>
        <w:pStyle w:val="VAHeadingLevel2"/>
      </w:pPr>
      <w:r w:rsidRPr="005F273C">
        <w:t>Note 3</w:t>
      </w:r>
      <w:r w:rsidR="00561192" w:rsidRPr="005F273C">
        <w:t>8.1</w:t>
      </w:r>
      <w:r w:rsidRPr="005F273C">
        <w:t>. Financial Instruments</w:t>
      </w:r>
      <w:r w:rsidRPr="00A602D5">
        <w:tab/>
      </w:r>
      <w:r w:rsidRPr="00A602D5">
        <w:tab/>
      </w:r>
      <w:r w:rsidRPr="00A602D5">
        <w:tab/>
      </w:r>
      <w:r w:rsidRPr="00A602D5">
        <w:tab/>
      </w:r>
      <w:r w:rsidRPr="00A602D5">
        <w:tab/>
      </w:r>
      <w:r w:rsidRPr="00A602D5">
        <w:tab/>
      </w:r>
      <w:r w:rsidRPr="00A602D5">
        <w:tab/>
      </w:r>
      <w:r w:rsidRPr="00A602D5">
        <w:tab/>
      </w:r>
      <w:r w:rsidRPr="00A602D5">
        <w:tab/>
      </w:r>
    </w:p>
    <w:p w14:paraId="6240FBC8" w14:textId="6229A5F8" w:rsidR="008566B2" w:rsidRPr="008566B2" w:rsidRDefault="008566B2" w:rsidP="008566B2">
      <w:pPr>
        <w:spacing w:line="240" w:lineRule="auto"/>
        <w:rPr>
          <w:rFonts w:ascii="Calibri" w:eastAsia="Times New Roman" w:hAnsi="Calibri" w:cs="Calibri"/>
          <w:lang w:eastAsia="en-GB"/>
        </w:rPr>
      </w:pPr>
      <w:r w:rsidRPr="008566B2">
        <w:rPr>
          <w:rFonts w:ascii="Calibri" w:eastAsia="Times New Roman" w:hAnsi="Calibri" w:cs="Calibri"/>
          <w:lang w:eastAsia="en-GB"/>
        </w:rPr>
        <w:t>The balances of debtors and creditors reported in the balance sheet and Notes 26 and 29 also include balances which do not meet the definition of a financial instrument, such as statutory obligations including tax-based debtors and creditors.</w:t>
      </w:r>
    </w:p>
    <w:p w14:paraId="27F77812" w14:textId="2D053EDD" w:rsidR="00C30DC3" w:rsidRDefault="00C30DC3" w:rsidP="00D54CAD">
      <w:pPr>
        <w:tabs>
          <w:tab w:val="left" w:pos="10206"/>
        </w:tabs>
        <w:rPr>
          <w:rFonts w:cstheme="minorBidi"/>
        </w:rPr>
      </w:pPr>
    </w:p>
    <w:tbl>
      <w:tblPr>
        <w:tblW w:w="5000" w:type="pct"/>
        <w:tblLook w:val="04A0" w:firstRow="1" w:lastRow="0" w:firstColumn="1" w:lastColumn="0" w:noHBand="0" w:noVBand="1"/>
      </w:tblPr>
      <w:tblGrid>
        <w:gridCol w:w="1258"/>
        <w:gridCol w:w="1258"/>
        <w:gridCol w:w="5347"/>
        <w:gridCol w:w="1257"/>
        <w:gridCol w:w="1255"/>
      </w:tblGrid>
      <w:tr w:rsidR="00953A8D" w:rsidRPr="00953A8D" w14:paraId="193BBA5E" w14:textId="77777777" w:rsidTr="00953A8D">
        <w:trPr>
          <w:trHeight w:val="300"/>
        </w:trPr>
        <w:tc>
          <w:tcPr>
            <w:tcW w:w="1212" w:type="pct"/>
            <w:gridSpan w:val="2"/>
            <w:tcBorders>
              <w:top w:val="nil"/>
              <w:left w:val="nil"/>
              <w:bottom w:val="nil"/>
              <w:right w:val="nil"/>
            </w:tcBorders>
            <w:shd w:val="clear" w:color="000000" w:fill="AB2328"/>
            <w:noWrap/>
            <w:vAlign w:val="bottom"/>
            <w:hideMark/>
          </w:tcPr>
          <w:p w14:paraId="71550729"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31 March 2024 Restated</w:t>
            </w:r>
          </w:p>
        </w:tc>
        <w:tc>
          <w:tcPr>
            <w:tcW w:w="2577" w:type="pct"/>
            <w:vMerge w:val="restart"/>
            <w:tcBorders>
              <w:top w:val="nil"/>
              <w:left w:val="nil"/>
              <w:bottom w:val="nil"/>
              <w:right w:val="nil"/>
            </w:tcBorders>
            <w:shd w:val="clear" w:color="000000" w:fill="AB2328"/>
            <w:vAlign w:val="bottom"/>
            <w:hideMark/>
          </w:tcPr>
          <w:p w14:paraId="6600A1B5" w14:textId="77777777" w:rsidR="00953A8D" w:rsidRPr="00953A8D" w:rsidRDefault="00953A8D" w:rsidP="00953A8D">
            <w:pPr>
              <w:spacing w:line="240" w:lineRule="auto"/>
              <w:jc w:val="right"/>
              <w:rPr>
                <w:rFonts w:ascii="Calibri" w:eastAsia="Times New Roman" w:hAnsi="Calibri" w:cs="Calibri"/>
                <w:color w:val="FFFFFF"/>
                <w:lang w:eastAsia="en-GB"/>
              </w:rPr>
            </w:pPr>
            <w:r w:rsidRPr="00953A8D">
              <w:rPr>
                <w:rFonts w:ascii="Calibri" w:eastAsia="Times New Roman" w:hAnsi="Calibri" w:cs="Calibri"/>
                <w:color w:val="FFFFFF"/>
                <w:lang w:eastAsia="en-GB"/>
              </w:rPr>
              <w:t> </w:t>
            </w:r>
          </w:p>
        </w:tc>
        <w:tc>
          <w:tcPr>
            <w:tcW w:w="1212" w:type="pct"/>
            <w:gridSpan w:val="2"/>
            <w:tcBorders>
              <w:top w:val="nil"/>
              <w:left w:val="nil"/>
              <w:bottom w:val="nil"/>
              <w:right w:val="nil"/>
            </w:tcBorders>
            <w:shd w:val="clear" w:color="000000" w:fill="AB2328"/>
            <w:noWrap/>
            <w:vAlign w:val="bottom"/>
            <w:hideMark/>
          </w:tcPr>
          <w:p w14:paraId="414899A9"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31 March 2025</w:t>
            </w:r>
          </w:p>
        </w:tc>
      </w:tr>
      <w:tr w:rsidR="00953A8D" w:rsidRPr="00953A8D" w14:paraId="6E22EFE2" w14:textId="77777777" w:rsidTr="00953A8D">
        <w:trPr>
          <w:trHeight w:val="300"/>
        </w:trPr>
        <w:tc>
          <w:tcPr>
            <w:tcW w:w="606" w:type="pct"/>
            <w:tcBorders>
              <w:top w:val="nil"/>
              <w:left w:val="nil"/>
              <w:bottom w:val="nil"/>
              <w:right w:val="nil"/>
            </w:tcBorders>
            <w:shd w:val="clear" w:color="000000" w:fill="AB2328"/>
            <w:vAlign w:val="bottom"/>
            <w:hideMark/>
          </w:tcPr>
          <w:p w14:paraId="2369770D"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Long term</w:t>
            </w:r>
          </w:p>
        </w:tc>
        <w:tc>
          <w:tcPr>
            <w:tcW w:w="606" w:type="pct"/>
            <w:tcBorders>
              <w:top w:val="nil"/>
              <w:left w:val="nil"/>
              <w:bottom w:val="nil"/>
              <w:right w:val="nil"/>
            </w:tcBorders>
            <w:shd w:val="clear" w:color="000000" w:fill="AB2328"/>
            <w:vAlign w:val="bottom"/>
            <w:hideMark/>
          </w:tcPr>
          <w:p w14:paraId="2008EB77"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Short term</w:t>
            </w:r>
          </w:p>
        </w:tc>
        <w:tc>
          <w:tcPr>
            <w:tcW w:w="2577" w:type="pct"/>
            <w:vMerge/>
            <w:tcBorders>
              <w:top w:val="nil"/>
              <w:left w:val="nil"/>
              <w:bottom w:val="nil"/>
              <w:right w:val="nil"/>
            </w:tcBorders>
            <w:vAlign w:val="center"/>
            <w:hideMark/>
          </w:tcPr>
          <w:p w14:paraId="113E017C" w14:textId="77777777" w:rsidR="00953A8D" w:rsidRPr="00953A8D" w:rsidRDefault="00953A8D" w:rsidP="00953A8D">
            <w:pPr>
              <w:spacing w:line="240" w:lineRule="auto"/>
              <w:jc w:val="left"/>
              <w:rPr>
                <w:rFonts w:ascii="Calibri" w:eastAsia="Times New Roman" w:hAnsi="Calibri" w:cs="Calibri"/>
                <w:color w:val="FFFFFF"/>
                <w:lang w:eastAsia="en-GB"/>
              </w:rPr>
            </w:pPr>
          </w:p>
        </w:tc>
        <w:tc>
          <w:tcPr>
            <w:tcW w:w="606" w:type="pct"/>
            <w:tcBorders>
              <w:top w:val="nil"/>
              <w:left w:val="nil"/>
              <w:bottom w:val="nil"/>
              <w:right w:val="nil"/>
            </w:tcBorders>
            <w:shd w:val="clear" w:color="000000" w:fill="AB2328"/>
            <w:vAlign w:val="bottom"/>
            <w:hideMark/>
          </w:tcPr>
          <w:p w14:paraId="12CBAFF1"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Long term</w:t>
            </w:r>
          </w:p>
        </w:tc>
        <w:tc>
          <w:tcPr>
            <w:tcW w:w="606" w:type="pct"/>
            <w:tcBorders>
              <w:top w:val="nil"/>
              <w:left w:val="nil"/>
              <w:bottom w:val="nil"/>
              <w:right w:val="nil"/>
            </w:tcBorders>
            <w:shd w:val="clear" w:color="000000" w:fill="AB2328"/>
            <w:vAlign w:val="bottom"/>
            <w:hideMark/>
          </w:tcPr>
          <w:p w14:paraId="2B296560"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Short term</w:t>
            </w:r>
          </w:p>
        </w:tc>
      </w:tr>
      <w:tr w:rsidR="00953A8D" w:rsidRPr="00953A8D" w14:paraId="1A6E8AF8" w14:textId="77777777" w:rsidTr="00953A8D">
        <w:trPr>
          <w:trHeight w:val="300"/>
        </w:trPr>
        <w:tc>
          <w:tcPr>
            <w:tcW w:w="606" w:type="pct"/>
            <w:tcBorders>
              <w:top w:val="nil"/>
              <w:left w:val="nil"/>
              <w:bottom w:val="nil"/>
              <w:right w:val="nil"/>
            </w:tcBorders>
            <w:shd w:val="clear" w:color="000000" w:fill="AB2328"/>
            <w:noWrap/>
            <w:vAlign w:val="bottom"/>
            <w:hideMark/>
          </w:tcPr>
          <w:p w14:paraId="4D59B367"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£000</w:t>
            </w:r>
          </w:p>
        </w:tc>
        <w:tc>
          <w:tcPr>
            <w:tcW w:w="606" w:type="pct"/>
            <w:tcBorders>
              <w:top w:val="nil"/>
              <w:left w:val="nil"/>
              <w:bottom w:val="nil"/>
              <w:right w:val="nil"/>
            </w:tcBorders>
            <w:shd w:val="clear" w:color="000000" w:fill="AB2328"/>
            <w:noWrap/>
            <w:vAlign w:val="bottom"/>
            <w:hideMark/>
          </w:tcPr>
          <w:p w14:paraId="05444B77"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£000</w:t>
            </w:r>
          </w:p>
        </w:tc>
        <w:tc>
          <w:tcPr>
            <w:tcW w:w="2577" w:type="pct"/>
            <w:vMerge/>
            <w:tcBorders>
              <w:top w:val="nil"/>
              <w:left w:val="nil"/>
              <w:bottom w:val="nil"/>
              <w:right w:val="nil"/>
            </w:tcBorders>
            <w:vAlign w:val="center"/>
            <w:hideMark/>
          </w:tcPr>
          <w:p w14:paraId="280FCDED" w14:textId="77777777" w:rsidR="00953A8D" w:rsidRPr="00953A8D" w:rsidRDefault="00953A8D" w:rsidP="00953A8D">
            <w:pPr>
              <w:spacing w:line="240" w:lineRule="auto"/>
              <w:jc w:val="left"/>
              <w:rPr>
                <w:rFonts w:ascii="Calibri" w:eastAsia="Times New Roman" w:hAnsi="Calibri" w:cs="Calibri"/>
                <w:color w:val="FFFFFF"/>
                <w:lang w:eastAsia="en-GB"/>
              </w:rPr>
            </w:pPr>
          </w:p>
        </w:tc>
        <w:tc>
          <w:tcPr>
            <w:tcW w:w="606" w:type="pct"/>
            <w:tcBorders>
              <w:top w:val="nil"/>
              <w:left w:val="nil"/>
              <w:bottom w:val="nil"/>
              <w:right w:val="nil"/>
            </w:tcBorders>
            <w:shd w:val="clear" w:color="000000" w:fill="AB2328"/>
            <w:noWrap/>
            <w:vAlign w:val="bottom"/>
            <w:hideMark/>
          </w:tcPr>
          <w:p w14:paraId="015BD1B2"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£000</w:t>
            </w:r>
          </w:p>
        </w:tc>
        <w:tc>
          <w:tcPr>
            <w:tcW w:w="606" w:type="pct"/>
            <w:tcBorders>
              <w:top w:val="nil"/>
              <w:left w:val="nil"/>
              <w:bottom w:val="nil"/>
              <w:right w:val="nil"/>
            </w:tcBorders>
            <w:shd w:val="clear" w:color="000000" w:fill="AB2328"/>
            <w:noWrap/>
            <w:vAlign w:val="bottom"/>
            <w:hideMark/>
          </w:tcPr>
          <w:p w14:paraId="3A884FEA" w14:textId="77777777" w:rsidR="00953A8D" w:rsidRPr="00953A8D" w:rsidRDefault="00953A8D" w:rsidP="00953A8D">
            <w:pPr>
              <w:spacing w:line="240" w:lineRule="auto"/>
              <w:jc w:val="right"/>
              <w:rPr>
                <w:rFonts w:ascii="Calibri" w:eastAsia="Times New Roman" w:hAnsi="Calibri" w:cs="Calibri"/>
                <w:b/>
                <w:bCs/>
                <w:color w:val="FFFFFF"/>
                <w:lang w:eastAsia="en-GB"/>
              </w:rPr>
            </w:pPr>
            <w:r w:rsidRPr="00953A8D">
              <w:rPr>
                <w:rFonts w:ascii="Calibri" w:eastAsia="Times New Roman" w:hAnsi="Calibri" w:cs="Calibri"/>
                <w:b/>
                <w:bCs/>
                <w:color w:val="FFFFFF"/>
                <w:lang w:eastAsia="en-GB"/>
              </w:rPr>
              <w:t>£000</w:t>
            </w:r>
          </w:p>
        </w:tc>
      </w:tr>
      <w:tr w:rsidR="00953A8D" w:rsidRPr="00953A8D" w14:paraId="2B4E9833" w14:textId="77777777" w:rsidTr="00953A8D">
        <w:trPr>
          <w:trHeight w:val="300"/>
        </w:trPr>
        <w:tc>
          <w:tcPr>
            <w:tcW w:w="606" w:type="pct"/>
            <w:tcBorders>
              <w:top w:val="nil"/>
              <w:left w:val="nil"/>
              <w:bottom w:val="nil"/>
              <w:right w:val="nil"/>
            </w:tcBorders>
            <w:shd w:val="clear" w:color="000000" w:fill="FFFFFF"/>
            <w:vAlign w:val="bottom"/>
            <w:hideMark/>
          </w:tcPr>
          <w:p w14:paraId="1DD60B8F"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606" w:type="pct"/>
            <w:tcBorders>
              <w:top w:val="nil"/>
              <w:left w:val="nil"/>
              <w:bottom w:val="nil"/>
              <w:right w:val="nil"/>
            </w:tcBorders>
            <w:shd w:val="clear" w:color="000000" w:fill="FFFFFF"/>
            <w:vAlign w:val="bottom"/>
            <w:hideMark/>
          </w:tcPr>
          <w:p w14:paraId="37864105"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2577" w:type="pct"/>
            <w:tcBorders>
              <w:top w:val="nil"/>
              <w:left w:val="nil"/>
              <w:bottom w:val="nil"/>
              <w:right w:val="nil"/>
            </w:tcBorders>
            <w:shd w:val="clear" w:color="000000" w:fill="FFFFFF"/>
            <w:vAlign w:val="bottom"/>
            <w:hideMark/>
          </w:tcPr>
          <w:p w14:paraId="34792F04" w14:textId="77777777" w:rsidR="00953A8D" w:rsidRPr="00953A8D" w:rsidRDefault="00953A8D" w:rsidP="00953A8D">
            <w:pPr>
              <w:spacing w:line="240" w:lineRule="auto"/>
              <w:jc w:val="left"/>
              <w:rPr>
                <w:rFonts w:ascii="Calibri" w:eastAsia="Times New Roman" w:hAnsi="Calibri" w:cs="Calibri"/>
                <w:b/>
                <w:bCs/>
                <w:lang w:eastAsia="en-GB"/>
              </w:rPr>
            </w:pPr>
            <w:r w:rsidRPr="00953A8D">
              <w:rPr>
                <w:rFonts w:ascii="Calibri" w:eastAsia="Times New Roman" w:hAnsi="Calibri" w:cs="Calibri"/>
                <w:b/>
                <w:bCs/>
                <w:lang w:eastAsia="en-GB"/>
              </w:rPr>
              <w:t>Financial Assets Held at amortised cost</w:t>
            </w:r>
          </w:p>
        </w:tc>
        <w:tc>
          <w:tcPr>
            <w:tcW w:w="606" w:type="pct"/>
            <w:tcBorders>
              <w:top w:val="nil"/>
              <w:left w:val="nil"/>
              <w:bottom w:val="nil"/>
              <w:right w:val="nil"/>
            </w:tcBorders>
            <w:shd w:val="clear" w:color="000000" w:fill="FFE1E1"/>
            <w:vAlign w:val="bottom"/>
            <w:hideMark/>
          </w:tcPr>
          <w:p w14:paraId="280D69E5"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606" w:type="pct"/>
            <w:tcBorders>
              <w:top w:val="nil"/>
              <w:left w:val="nil"/>
              <w:bottom w:val="nil"/>
              <w:right w:val="nil"/>
            </w:tcBorders>
            <w:shd w:val="clear" w:color="000000" w:fill="FFE1E1"/>
            <w:noWrap/>
            <w:vAlign w:val="bottom"/>
            <w:hideMark/>
          </w:tcPr>
          <w:p w14:paraId="25A44DEF"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r>
      <w:tr w:rsidR="00953A8D" w:rsidRPr="00953A8D" w14:paraId="00088046" w14:textId="77777777" w:rsidTr="00953A8D">
        <w:trPr>
          <w:trHeight w:val="300"/>
        </w:trPr>
        <w:tc>
          <w:tcPr>
            <w:tcW w:w="606" w:type="pct"/>
            <w:tcBorders>
              <w:top w:val="nil"/>
              <w:left w:val="nil"/>
              <w:bottom w:val="nil"/>
              <w:right w:val="nil"/>
            </w:tcBorders>
            <w:shd w:val="clear" w:color="000000" w:fill="FFFFFF"/>
            <w:noWrap/>
            <w:vAlign w:val="bottom"/>
            <w:hideMark/>
          </w:tcPr>
          <w:p w14:paraId="0131B638"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FFFF"/>
            <w:noWrap/>
            <w:vAlign w:val="bottom"/>
            <w:hideMark/>
          </w:tcPr>
          <w:p w14:paraId="6B284614"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10</w:t>
            </w:r>
          </w:p>
        </w:tc>
        <w:tc>
          <w:tcPr>
            <w:tcW w:w="2577" w:type="pct"/>
            <w:tcBorders>
              <w:top w:val="nil"/>
              <w:left w:val="nil"/>
              <w:bottom w:val="nil"/>
              <w:right w:val="nil"/>
            </w:tcBorders>
            <w:shd w:val="clear" w:color="000000" w:fill="FFFFFF"/>
            <w:vAlign w:val="bottom"/>
            <w:hideMark/>
          </w:tcPr>
          <w:p w14:paraId="03154EE7" w14:textId="77777777" w:rsidR="00953A8D" w:rsidRPr="00953A8D" w:rsidRDefault="00953A8D" w:rsidP="00953A8D">
            <w:pPr>
              <w:spacing w:line="240" w:lineRule="auto"/>
              <w:jc w:val="left"/>
              <w:rPr>
                <w:rFonts w:ascii="Calibri" w:eastAsia="Times New Roman" w:hAnsi="Calibri" w:cs="Calibri"/>
                <w:lang w:eastAsia="en-GB"/>
              </w:rPr>
            </w:pPr>
            <w:r w:rsidRPr="00953A8D">
              <w:rPr>
                <w:rFonts w:ascii="Calibri" w:eastAsia="Times New Roman" w:hAnsi="Calibri" w:cs="Calibri"/>
                <w:lang w:eastAsia="en-GB"/>
              </w:rPr>
              <w:t>Investments</w:t>
            </w:r>
          </w:p>
        </w:tc>
        <w:tc>
          <w:tcPr>
            <w:tcW w:w="606" w:type="pct"/>
            <w:tcBorders>
              <w:top w:val="nil"/>
              <w:left w:val="nil"/>
              <w:bottom w:val="nil"/>
              <w:right w:val="nil"/>
            </w:tcBorders>
            <w:shd w:val="clear" w:color="000000" w:fill="FFE1E1"/>
            <w:vAlign w:val="bottom"/>
            <w:hideMark/>
          </w:tcPr>
          <w:p w14:paraId="6380A6A5"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E1E1"/>
            <w:noWrap/>
            <w:vAlign w:val="bottom"/>
            <w:hideMark/>
          </w:tcPr>
          <w:p w14:paraId="5985E0A8"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2,001</w:t>
            </w:r>
          </w:p>
        </w:tc>
      </w:tr>
      <w:tr w:rsidR="00953A8D" w:rsidRPr="00953A8D" w14:paraId="7AD0D447" w14:textId="77777777" w:rsidTr="00953A8D">
        <w:trPr>
          <w:trHeight w:val="300"/>
        </w:trPr>
        <w:tc>
          <w:tcPr>
            <w:tcW w:w="606" w:type="pct"/>
            <w:tcBorders>
              <w:top w:val="nil"/>
              <w:left w:val="nil"/>
              <w:bottom w:val="nil"/>
              <w:right w:val="nil"/>
            </w:tcBorders>
            <w:shd w:val="clear" w:color="000000" w:fill="FFFFFF"/>
            <w:noWrap/>
            <w:vAlign w:val="bottom"/>
            <w:hideMark/>
          </w:tcPr>
          <w:p w14:paraId="612DBED7"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FFFF"/>
            <w:noWrap/>
            <w:vAlign w:val="bottom"/>
            <w:hideMark/>
          </w:tcPr>
          <w:p w14:paraId="32FF2DE7"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2,344</w:t>
            </w:r>
          </w:p>
        </w:tc>
        <w:tc>
          <w:tcPr>
            <w:tcW w:w="2577" w:type="pct"/>
            <w:tcBorders>
              <w:top w:val="nil"/>
              <w:left w:val="nil"/>
              <w:bottom w:val="nil"/>
              <w:right w:val="nil"/>
            </w:tcBorders>
            <w:shd w:val="clear" w:color="000000" w:fill="FFFFFF"/>
            <w:vAlign w:val="bottom"/>
            <w:hideMark/>
          </w:tcPr>
          <w:p w14:paraId="0290B856" w14:textId="77777777" w:rsidR="00953A8D" w:rsidRPr="00953A8D" w:rsidRDefault="00953A8D" w:rsidP="00953A8D">
            <w:pPr>
              <w:spacing w:line="240" w:lineRule="auto"/>
              <w:jc w:val="left"/>
              <w:rPr>
                <w:rFonts w:ascii="Calibri" w:eastAsia="Times New Roman" w:hAnsi="Calibri" w:cs="Calibri"/>
                <w:lang w:eastAsia="en-GB"/>
              </w:rPr>
            </w:pPr>
            <w:r w:rsidRPr="00953A8D">
              <w:rPr>
                <w:rFonts w:ascii="Calibri" w:eastAsia="Times New Roman" w:hAnsi="Calibri" w:cs="Calibri"/>
                <w:lang w:eastAsia="en-GB"/>
              </w:rPr>
              <w:t>Cash and cash equivalents</w:t>
            </w:r>
          </w:p>
        </w:tc>
        <w:tc>
          <w:tcPr>
            <w:tcW w:w="606" w:type="pct"/>
            <w:tcBorders>
              <w:top w:val="nil"/>
              <w:left w:val="nil"/>
              <w:bottom w:val="nil"/>
              <w:right w:val="nil"/>
            </w:tcBorders>
            <w:shd w:val="clear" w:color="000000" w:fill="FFE1E1"/>
            <w:vAlign w:val="bottom"/>
            <w:hideMark/>
          </w:tcPr>
          <w:p w14:paraId="04FC5E50"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E1E1"/>
            <w:noWrap/>
            <w:vAlign w:val="bottom"/>
            <w:hideMark/>
          </w:tcPr>
          <w:p w14:paraId="60BAD6D7"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3,605</w:t>
            </w:r>
          </w:p>
        </w:tc>
      </w:tr>
      <w:tr w:rsidR="00953A8D" w:rsidRPr="00953A8D" w14:paraId="4C108EBA" w14:textId="77777777" w:rsidTr="00953A8D">
        <w:trPr>
          <w:trHeight w:val="300"/>
        </w:trPr>
        <w:tc>
          <w:tcPr>
            <w:tcW w:w="606" w:type="pct"/>
            <w:tcBorders>
              <w:top w:val="nil"/>
              <w:left w:val="nil"/>
              <w:bottom w:val="nil"/>
              <w:right w:val="nil"/>
            </w:tcBorders>
            <w:shd w:val="clear" w:color="000000" w:fill="FFFFFF"/>
            <w:noWrap/>
            <w:vAlign w:val="bottom"/>
            <w:hideMark/>
          </w:tcPr>
          <w:p w14:paraId="386CA513"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FFFF"/>
            <w:noWrap/>
            <w:vAlign w:val="bottom"/>
            <w:hideMark/>
          </w:tcPr>
          <w:p w14:paraId="3B05985A"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318</w:t>
            </w:r>
          </w:p>
        </w:tc>
        <w:tc>
          <w:tcPr>
            <w:tcW w:w="2577" w:type="pct"/>
            <w:tcBorders>
              <w:top w:val="nil"/>
              <w:left w:val="nil"/>
              <w:bottom w:val="nil"/>
              <w:right w:val="nil"/>
            </w:tcBorders>
            <w:shd w:val="clear" w:color="000000" w:fill="FFFFFF"/>
            <w:vAlign w:val="bottom"/>
            <w:hideMark/>
          </w:tcPr>
          <w:p w14:paraId="60B2955A" w14:textId="77777777" w:rsidR="00953A8D" w:rsidRPr="00953A8D" w:rsidRDefault="00953A8D" w:rsidP="00953A8D">
            <w:pPr>
              <w:spacing w:line="240" w:lineRule="auto"/>
              <w:jc w:val="left"/>
              <w:rPr>
                <w:rFonts w:ascii="Calibri" w:eastAsia="Times New Roman" w:hAnsi="Calibri" w:cs="Calibri"/>
                <w:lang w:eastAsia="en-GB"/>
              </w:rPr>
            </w:pPr>
            <w:r w:rsidRPr="00953A8D">
              <w:rPr>
                <w:rFonts w:ascii="Calibri" w:eastAsia="Times New Roman" w:hAnsi="Calibri" w:cs="Calibri"/>
                <w:lang w:eastAsia="en-GB"/>
              </w:rPr>
              <w:t>Debtors</w:t>
            </w:r>
          </w:p>
        </w:tc>
        <w:tc>
          <w:tcPr>
            <w:tcW w:w="606" w:type="pct"/>
            <w:tcBorders>
              <w:top w:val="nil"/>
              <w:left w:val="nil"/>
              <w:bottom w:val="nil"/>
              <w:right w:val="nil"/>
            </w:tcBorders>
            <w:shd w:val="clear" w:color="000000" w:fill="FFE1E1"/>
            <w:vAlign w:val="bottom"/>
            <w:hideMark/>
          </w:tcPr>
          <w:p w14:paraId="3E1883AC"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E1E1"/>
            <w:noWrap/>
            <w:vAlign w:val="bottom"/>
            <w:hideMark/>
          </w:tcPr>
          <w:p w14:paraId="4D803F7D"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2,592</w:t>
            </w:r>
          </w:p>
        </w:tc>
      </w:tr>
      <w:tr w:rsidR="00953A8D" w:rsidRPr="00953A8D" w14:paraId="30B3F4D5" w14:textId="77777777" w:rsidTr="00953A8D">
        <w:trPr>
          <w:trHeight w:val="300"/>
        </w:trPr>
        <w:tc>
          <w:tcPr>
            <w:tcW w:w="606" w:type="pct"/>
            <w:tcBorders>
              <w:top w:val="single" w:sz="4" w:space="0" w:color="auto"/>
              <w:left w:val="nil"/>
              <w:bottom w:val="single" w:sz="4" w:space="0" w:color="auto"/>
              <w:right w:val="nil"/>
            </w:tcBorders>
            <w:shd w:val="clear" w:color="000000" w:fill="FFFFFF"/>
            <w:noWrap/>
            <w:vAlign w:val="bottom"/>
            <w:hideMark/>
          </w:tcPr>
          <w:p w14:paraId="32405A20" w14:textId="77777777" w:rsidR="00953A8D" w:rsidRPr="00953A8D" w:rsidRDefault="00953A8D" w:rsidP="00953A8D">
            <w:pPr>
              <w:spacing w:line="240" w:lineRule="auto"/>
              <w:jc w:val="right"/>
              <w:rPr>
                <w:rFonts w:ascii="Calibri" w:eastAsia="Times New Roman" w:hAnsi="Calibri" w:cs="Calibri"/>
                <w:b/>
                <w:bCs/>
                <w:lang w:eastAsia="en-GB"/>
              </w:rPr>
            </w:pPr>
            <w:r w:rsidRPr="00953A8D">
              <w:rPr>
                <w:rFonts w:ascii="Calibri" w:eastAsia="Times New Roman" w:hAnsi="Calibri" w:cs="Calibri"/>
                <w:b/>
                <w:bCs/>
                <w:lang w:eastAsia="en-GB"/>
              </w:rPr>
              <w:t>-</w:t>
            </w:r>
          </w:p>
        </w:tc>
        <w:tc>
          <w:tcPr>
            <w:tcW w:w="606" w:type="pct"/>
            <w:tcBorders>
              <w:top w:val="single" w:sz="4" w:space="0" w:color="auto"/>
              <w:left w:val="nil"/>
              <w:bottom w:val="single" w:sz="4" w:space="0" w:color="auto"/>
              <w:right w:val="nil"/>
            </w:tcBorders>
            <w:shd w:val="clear" w:color="000000" w:fill="FFFFFF"/>
            <w:noWrap/>
            <w:vAlign w:val="bottom"/>
            <w:hideMark/>
          </w:tcPr>
          <w:p w14:paraId="69CE4E52" w14:textId="77777777" w:rsidR="00953A8D" w:rsidRPr="00953A8D" w:rsidRDefault="00953A8D" w:rsidP="00953A8D">
            <w:pPr>
              <w:spacing w:line="240" w:lineRule="auto"/>
              <w:jc w:val="right"/>
              <w:rPr>
                <w:rFonts w:ascii="Calibri" w:eastAsia="Times New Roman" w:hAnsi="Calibri" w:cs="Calibri"/>
                <w:b/>
                <w:bCs/>
                <w:lang w:eastAsia="en-GB"/>
              </w:rPr>
            </w:pPr>
            <w:r w:rsidRPr="00953A8D">
              <w:rPr>
                <w:rFonts w:ascii="Calibri" w:eastAsia="Times New Roman" w:hAnsi="Calibri" w:cs="Calibri"/>
                <w:b/>
                <w:bCs/>
                <w:lang w:eastAsia="en-GB"/>
              </w:rPr>
              <w:t>2,672</w:t>
            </w:r>
          </w:p>
        </w:tc>
        <w:tc>
          <w:tcPr>
            <w:tcW w:w="2577" w:type="pct"/>
            <w:tcBorders>
              <w:top w:val="single" w:sz="4" w:space="0" w:color="auto"/>
              <w:left w:val="nil"/>
              <w:bottom w:val="single" w:sz="4" w:space="0" w:color="auto"/>
              <w:right w:val="nil"/>
            </w:tcBorders>
            <w:shd w:val="clear" w:color="000000" w:fill="FFFFFF"/>
            <w:vAlign w:val="bottom"/>
            <w:hideMark/>
          </w:tcPr>
          <w:p w14:paraId="2A9F91AF" w14:textId="77777777" w:rsidR="00953A8D" w:rsidRPr="00953A8D" w:rsidRDefault="00953A8D" w:rsidP="00953A8D">
            <w:pPr>
              <w:spacing w:line="240" w:lineRule="auto"/>
              <w:jc w:val="left"/>
              <w:rPr>
                <w:rFonts w:ascii="Calibri" w:eastAsia="Times New Roman" w:hAnsi="Calibri" w:cs="Calibri"/>
                <w:b/>
                <w:bCs/>
                <w:lang w:eastAsia="en-GB"/>
              </w:rPr>
            </w:pPr>
            <w:r w:rsidRPr="00953A8D">
              <w:rPr>
                <w:rFonts w:ascii="Calibri" w:eastAsia="Times New Roman" w:hAnsi="Calibri" w:cs="Calibri"/>
                <w:b/>
                <w:bCs/>
                <w:lang w:eastAsia="en-GB"/>
              </w:rPr>
              <w:t>Total Financial Assets</w:t>
            </w:r>
          </w:p>
        </w:tc>
        <w:tc>
          <w:tcPr>
            <w:tcW w:w="606" w:type="pct"/>
            <w:tcBorders>
              <w:top w:val="single" w:sz="4" w:space="0" w:color="auto"/>
              <w:left w:val="nil"/>
              <w:bottom w:val="single" w:sz="4" w:space="0" w:color="auto"/>
              <w:right w:val="nil"/>
            </w:tcBorders>
            <w:shd w:val="clear" w:color="000000" w:fill="FFE1E1"/>
            <w:noWrap/>
            <w:vAlign w:val="bottom"/>
            <w:hideMark/>
          </w:tcPr>
          <w:p w14:paraId="46A49DA5" w14:textId="77777777" w:rsidR="00953A8D" w:rsidRPr="00953A8D" w:rsidRDefault="00953A8D" w:rsidP="00953A8D">
            <w:pPr>
              <w:spacing w:line="240" w:lineRule="auto"/>
              <w:jc w:val="right"/>
              <w:rPr>
                <w:rFonts w:ascii="Calibri" w:eastAsia="Times New Roman" w:hAnsi="Calibri" w:cs="Calibri"/>
                <w:b/>
                <w:bCs/>
                <w:lang w:eastAsia="en-GB"/>
              </w:rPr>
            </w:pPr>
            <w:r w:rsidRPr="00953A8D">
              <w:rPr>
                <w:rFonts w:ascii="Calibri" w:eastAsia="Times New Roman" w:hAnsi="Calibri" w:cs="Calibri"/>
                <w:b/>
                <w:bCs/>
                <w:lang w:eastAsia="en-GB"/>
              </w:rPr>
              <w:t>-</w:t>
            </w:r>
          </w:p>
        </w:tc>
        <w:tc>
          <w:tcPr>
            <w:tcW w:w="606" w:type="pct"/>
            <w:tcBorders>
              <w:top w:val="single" w:sz="4" w:space="0" w:color="auto"/>
              <w:left w:val="nil"/>
              <w:bottom w:val="single" w:sz="4" w:space="0" w:color="auto"/>
              <w:right w:val="nil"/>
            </w:tcBorders>
            <w:shd w:val="clear" w:color="000000" w:fill="FFE1E1"/>
            <w:noWrap/>
            <w:vAlign w:val="bottom"/>
            <w:hideMark/>
          </w:tcPr>
          <w:p w14:paraId="3440B030" w14:textId="77777777" w:rsidR="00953A8D" w:rsidRPr="00953A8D" w:rsidRDefault="00953A8D" w:rsidP="00953A8D">
            <w:pPr>
              <w:spacing w:line="240" w:lineRule="auto"/>
              <w:jc w:val="right"/>
              <w:rPr>
                <w:rFonts w:ascii="Calibri" w:eastAsia="Times New Roman" w:hAnsi="Calibri" w:cs="Calibri"/>
                <w:b/>
                <w:bCs/>
                <w:lang w:eastAsia="en-GB"/>
              </w:rPr>
            </w:pPr>
            <w:r w:rsidRPr="00953A8D">
              <w:rPr>
                <w:rFonts w:ascii="Calibri" w:eastAsia="Times New Roman" w:hAnsi="Calibri" w:cs="Calibri"/>
                <w:b/>
                <w:bCs/>
                <w:lang w:eastAsia="en-GB"/>
              </w:rPr>
              <w:t>8,198</w:t>
            </w:r>
          </w:p>
        </w:tc>
      </w:tr>
      <w:tr w:rsidR="00953A8D" w:rsidRPr="00953A8D" w14:paraId="2EEBB155" w14:textId="77777777" w:rsidTr="00953A8D">
        <w:trPr>
          <w:trHeight w:val="300"/>
        </w:trPr>
        <w:tc>
          <w:tcPr>
            <w:tcW w:w="606" w:type="pct"/>
            <w:tcBorders>
              <w:top w:val="nil"/>
              <w:left w:val="nil"/>
              <w:bottom w:val="nil"/>
              <w:right w:val="nil"/>
            </w:tcBorders>
            <w:shd w:val="clear" w:color="000000" w:fill="FFFFFF"/>
            <w:vAlign w:val="bottom"/>
            <w:hideMark/>
          </w:tcPr>
          <w:p w14:paraId="02C46F97"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606" w:type="pct"/>
            <w:tcBorders>
              <w:top w:val="nil"/>
              <w:left w:val="nil"/>
              <w:bottom w:val="nil"/>
              <w:right w:val="nil"/>
            </w:tcBorders>
            <w:shd w:val="clear" w:color="000000" w:fill="FFFFFF"/>
            <w:vAlign w:val="bottom"/>
            <w:hideMark/>
          </w:tcPr>
          <w:p w14:paraId="44F9B006"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2577" w:type="pct"/>
            <w:tcBorders>
              <w:top w:val="nil"/>
              <w:left w:val="nil"/>
              <w:bottom w:val="nil"/>
              <w:right w:val="nil"/>
            </w:tcBorders>
            <w:shd w:val="clear" w:color="000000" w:fill="FFFFFF"/>
            <w:vAlign w:val="bottom"/>
            <w:hideMark/>
          </w:tcPr>
          <w:p w14:paraId="39E2AA8D" w14:textId="77777777" w:rsidR="00953A8D" w:rsidRPr="00953A8D" w:rsidRDefault="00953A8D" w:rsidP="00953A8D">
            <w:pPr>
              <w:spacing w:line="240" w:lineRule="auto"/>
              <w:jc w:val="left"/>
              <w:rPr>
                <w:rFonts w:ascii="Calibri" w:eastAsia="Times New Roman" w:hAnsi="Calibri" w:cs="Calibri"/>
                <w:b/>
                <w:bCs/>
                <w:lang w:eastAsia="en-GB"/>
              </w:rPr>
            </w:pPr>
            <w:r w:rsidRPr="00953A8D">
              <w:rPr>
                <w:rFonts w:ascii="Calibri" w:eastAsia="Times New Roman" w:hAnsi="Calibri" w:cs="Calibri"/>
                <w:b/>
                <w:bCs/>
                <w:lang w:eastAsia="en-GB"/>
              </w:rPr>
              <w:t>Financial liabilities at amortised cost</w:t>
            </w:r>
          </w:p>
        </w:tc>
        <w:tc>
          <w:tcPr>
            <w:tcW w:w="606" w:type="pct"/>
            <w:tcBorders>
              <w:top w:val="nil"/>
              <w:left w:val="nil"/>
              <w:bottom w:val="nil"/>
              <w:right w:val="nil"/>
            </w:tcBorders>
            <w:shd w:val="clear" w:color="000000" w:fill="FFE1E1"/>
            <w:noWrap/>
            <w:vAlign w:val="bottom"/>
            <w:hideMark/>
          </w:tcPr>
          <w:p w14:paraId="47B5C1EF"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c>
          <w:tcPr>
            <w:tcW w:w="606" w:type="pct"/>
            <w:tcBorders>
              <w:top w:val="nil"/>
              <w:left w:val="nil"/>
              <w:bottom w:val="nil"/>
              <w:right w:val="nil"/>
            </w:tcBorders>
            <w:shd w:val="clear" w:color="000000" w:fill="FFE1E1"/>
            <w:noWrap/>
            <w:vAlign w:val="bottom"/>
            <w:hideMark/>
          </w:tcPr>
          <w:p w14:paraId="22DDB815"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 </w:t>
            </w:r>
          </w:p>
        </w:tc>
      </w:tr>
      <w:tr w:rsidR="00953A8D" w:rsidRPr="00953A8D" w14:paraId="39028459" w14:textId="77777777" w:rsidTr="00953A8D">
        <w:trPr>
          <w:trHeight w:val="300"/>
        </w:trPr>
        <w:tc>
          <w:tcPr>
            <w:tcW w:w="606" w:type="pct"/>
            <w:tcBorders>
              <w:top w:val="nil"/>
              <w:left w:val="nil"/>
              <w:bottom w:val="nil"/>
              <w:right w:val="nil"/>
            </w:tcBorders>
            <w:shd w:val="clear" w:color="000000" w:fill="FFFFFF"/>
            <w:noWrap/>
            <w:vAlign w:val="bottom"/>
            <w:hideMark/>
          </w:tcPr>
          <w:p w14:paraId="22FECA18"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(3,060)</w:t>
            </w:r>
          </w:p>
        </w:tc>
        <w:tc>
          <w:tcPr>
            <w:tcW w:w="606" w:type="pct"/>
            <w:tcBorders>
              <w:top w:val="nil"/>
              <w:left w:val="nil"/>
              <w:bottom w:val="nil"/>
              <w:right w:val="nil"/>
            </w:tcBorders>
            <w:shd w:val="clear" w:color="000000" w:fill="FFFFFF"/>
            <w:noWrap/>
            <w:vAlign w:val="bottom"/>
            <w:hideMark/>
          </w:tcPr>
          <w:p w14:paraId="239BC7BF"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2577" w:type="pct"/>
            <w:tcBorders>
              <w:top w:val="nil"/>
              <w:left w:val="nil"/>
              <w:bottom w:val="nil"/>
              <w:right w:val="nil"/>
            </w:tcBorders>
            <w:shd w:val="clear" w:color="000000" w:fill="FFFFFF"/>
            <w:vAlign w:val="bottom"/>
            <w:hideMark/>
          </w:tcPr>
          <w:p w14:paraId="2A4AB9BD" w14:textId="77777777" w:rsidR="00953A8D" w:rsidRPr="00953A8D" w:rsidRDefault="00953A8D" w:rsidP="00953A8D">
            <w:pPr>
              <w:spacing w:line="240" w:lineRule="auto"/>
              <w:jc w:val="left"/>
              <w:rPr>
                <w:rFonts w:ascii="Calibri" w:eastAsia="Times New Roman" w:hAnsi="Calibri" w:cs="Calibri"/>
                <w:lang w:eastAsia="en-GB"/>
              </w:rPr>
            </w:pPr>
            <w:r w:rsidRPr="00953A8D">
              <w:rPr>
                <w:rFonts w:ascii="Calibri" w:eastAsia="Times New Roman" w:hAnsi="Calibri" w:cs="Calibri"/>
                <w:lang w:eastAsia="en-GB"/>
              </w:rPr>
              <w:t>Public Works Loan Board Borrowing</w:t>
            </w:r>
          </w:p>
        </w:tc>
        <w:tc>
          <w:tcPr>
            <w:tcW w:w="606" w:type="pct"/>
            <w:tcBorders>
              <w:top w:val="nil"/>
              <w:left w:val="nil"/>
              <w:bottom w:val="nil"/>
              <w:right w:val="nil"/>
            </w:tcBorders>
            <w:shd w:val="clear" w:color="000000" w:fill="FFE1E1"/>
            <w:noWrap/>
            <w:vAlign w:val="bottom"/>
            <w:hideMark/>
          </w:tcPr>
          <w:p w14:paraId="0FC448DA"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(2,030)</w:t>
            </w:r>
          </w:p>
        </w:tc>
        <w:tc>
          <w:tcPr>
            <w:tcW w:w="606" w:type="pct"/>
            <w:tcBorders>
              <w:top w:val="nil"/>
              <w:left w:val="nil"/>
              <w:bottom w:val="nil"/>
              <w:right w:val="nil"/>
            </w:tcBorders>
            <w:shd w:val="clear" w:color="000000" w:fill="FFE1E1"/>
            <w:noWrap/>
            <w:vAlign w:val="bottom"/>
            <w:hideMark/>
          </w:tcPr>
          <w:p w14:paraId="782B87B8"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r>
      <w:tr w:rsidR="00953A8D" w:rsidRPr="00953A8D" w14:paraId="0F332C55" w14:textId="77777777" w:rsidTr="00953A8D">
        <w:trPr>
          <w:trHeight w:val="300"/>
        </w:trPr>
        <w:tc>
          <w:tcPr>
            <w:tcW w:w="606" w:type="pct"/>
            <w:tcBorders>
              <w:top w:val="nil"/>
              <w:left w:val="nil"/>
              <w:bottom w:val="nil"/>
              <w:right w:val="nil"/>
            </w:tcBorders>
            <w:shd w:val="clear" w:color="000000" w:fill="FFFFFF"/>
            <w:noWrap/>
            <w:vAlign w:val="bottom"/>
            <w:hideMark/>
          </w:tcPr>
          <w:p w14:paraId="309C1064"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FFFF"/>
            <w:noWrap/>
            <w:vAlign w:val="bottom"/>
            <w:hideMark/>
          </w:tcPr>
          <w:p w14:paraId="6E2D9FCC"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(6,205)</w:t>
            </w:r>
          </w:p>
        </w:tc>
        <w:tc>
          <w:tcPr>
            <w:tcW w:w="2577" w:type="pct"/>
            <w:tcBorders>
              <w:top w:val="nil"/>
              <w:left w:val="nil"/>
              <w:bottom w:val="nil"/>
              <w:right w:val="nil"/>
            </w:tcBorders>
            <w:shd w:val="clear" w:color="000000" w:fill="FFFFFF"/>
            <w:vAlign w:val="bottom"/>
            <w:hideMark/>
          </w:tcPr>
          <w:p w14:paraId="67583C49" w14:textId="77777777" w:rsidR="00953A8D" w:rsidRPr="00953A8D" w:rsidRDefault="00953A8D" w:rsidP="00953A8D">
            <w:pPr>
              <w:spacing w:line="240" w:lineRule="auto"/>
              <w:jc w:val="left"/>
              <w:rPr>
                <w:rFonts w:ascii="Calibri" w:eastAsia="Times New Roman" w:hAnsi="Calibri" w:cs="Calibri"/>
                <w:lang w:eastAsia="en-GB"/>
              </w:rPr>
            </w:pPr>
            <w:r w:rsidRPr="00953A8D">
              <w:rPr>
                <w:rFonts w:ascii="Calibri" w:eastAsia="Times New Roman" w:hAnsi="Calibri" w:cs="Calibri"/>
                <w:lang w:eastAsia="en-GB"/>
              </w:rPr>
              <w:t>Creditors</w:t>
            </w:r>
          </w:p>
        </w:tc>
        <w:tc>
          <w:tcPr>
            <w:tcW w:w="606" w:type="pct"/>
            <w:tcBorders>
              <w:top w:val="nil"/>
              <w:left w:val="nil"/>
              <w:bottom w:val="nil"/>
              <w:right w:val="nil"/>
            </w:tcBorders>
            <w:shd w:val="clear" w:color="000000" w:fill="FFE1E1"/>
            <w:vAlign w:val="bottom"/>
            <w:hideMark/>
          </w:tcPr>
          <w:p w14:paraId="3F0D9B01"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w:t>
            </w:r>
          </w:p>
        </w:tc>
        <w:tc>
          <w:tcPr>
            <w:tcW w:w="606" w:type="pct"/>
            <w:tcBorders>
              <w:top w:val="nil"/>
              <w:left w:val="nil"/>
              <w:bottom w:val="nil"/>
              <w:right w:val="nil"/>
            </w:tcBorders>
            <w:shd w:val="clear" w:color="000000" w:fill="FFE1E1"/>
            <w:noWrap/>
            <w:vAlign w:val="bottom"/>
            <w:hideMark/>
          </w:tcPr>
          <w:p w14:paraId="08005114" w14:textId="77777777" w:rsidR="00953A8D" w:rsidRPr="00953A8D" w:rsidRDefault="00953A8D" w:rsidP="00953A8D">
            <w:pPr>
              <w:spacing w:line="240" w:lineRule="auto"/>
              <w:jc w:val="right"/>
              <w:rPr>
                <w:rFonts w:ascii="Calibri" w:eastAsia="Times New Roman" w:hAnsi="Calibri" w:cs="Calibri"/>
                <w:color w:val="000000"/>
                <w:lang w:eastAsia="en-GB"/>
              </w:rPr>
            </w:pPr>
            <w:r w:rsidRPr="00953A8D">
              <w:rPr>
                <w:rFonts w:ascii="Calibri" w:eastAsia="Times New Roman" w:hAnsi="Calibri" w:cs="Calibri"/>
                <w:color w:val="000000"/>
                <w:lang w:eastAsia="en-GB"/>
              </w:rPr>
              <w:t>(3,593)</w:t>
            </w:r>
          </w:p>
        </w:tc>
      </w:tr>
      <w:tr w:rsidR="00953A8D" w:rsidRPr="00953A8D" w14:paraId="5CEF9BBF" w14:textId="77777777" w:rsidTr="00953A8D">
        <w:trPr>
          <w:trHeight w:val="300"/>
        </w:trPr>
        <w:tc>
          <w:tcPr>
            <w:tcW w:w="606" w:type="pct"/>
            <w:tcBorders>
              <w:top w:val="single" w:sz="4" w:space="0" w:color="auto"/>
              <w:left w:val="nil"/>
              <w:bottom w:val="single" w:sz="4" w:space="0" w:color="auto"/>
              <w:right w:val="nil"/>
            </w:tcBorders>
            <w:shd w:val="clear" w:color="000000" w:fill="FFFFFF"/>
            <w:noWrap/>
            <w:vAlign w:val="bottom"/>
            <w:hideMark/>
          </w:tcPr>
          <w:p w14:paraId="393877F8" w14:textId="77777777" w:rsidR="00953A8D" w:rsidRPr="00953A8D" w:rsidRDefault="00953A8D" w:rsidP="00953A8D">
            <w:pPr>
              <w:spacing w:line="240" w:lineRule="auto"/>
              <w:jc w:val="right"/>
              <w:rPr>
                <w:rFonts w:ascii="Calibri" w:eastAsia="Times New Roman" w:hAnsi="Calibri" w:cs="Calibri"/>
                <w:b/>
                <w:bCs/>
                <w:color w:val="000000"/>
                <w:lang w:eastAsia="en-GB"/>
              </w:rPr>
            </w:pPr>
            <w:r w:rsidRPr="00953A8D">
              <w:rPr>
                <w:rFonts w:ascii="Calibri" w:eastAsia="Times New Roman" w:hAnsi="Calibri" w:cs="Calibri"/>
                <w:b/>
                <w:bCs/>
                <w:color w:val="000000"/>
                <w:lang w:eastAsia="en-GB"/>
              </w:rPr>
              <w:t>(3,060)</w:t>
            </w:r>
          </w:p>
        </w:tc>
        <w:tc>
          <w:tcPr>
            <w:tcW w:w="606" w:type="pct"/>
            <w:tcBorders>
              <w:top w:val="single" w:sz="4" w:space="0" w:color="auto"/>
              <w:left w:val="nil"/>
              <w:bottom w:val="single" w:sz="4" w:space="0" w:color="auto"/>
              <w:right w:val="nil"/>
            </w:tcBorders>
            <w:shd w:val="clear" w:color="000000" w:fill="FFFFFF"/>
            <w:noWrap/>
            <w:vAlign w:val="bottom"/>
            <w:hideMark/>
          </w:tcPr>
          <w:p w14:paraId="465F3CAF" w14:textId="77777777" w:rsidR="00953A8D" w:rsidRPr="00953A8D" w:rsidRDefault="00953A8D" w:rsidP="00953A8D">
            <w:pPr>
              <w:spacing w:line="240" w:lineRule="auto"/>
              <w:jc w:val="right"/>
              <w:rPr>
                <w:rFonts w:ascii="Calibri" w:eastAsia="Times New Roman" w:hAnsi="Calibri" w:cs="Calibri"/>
                <w:b/>
                <w:bCs/>
                <w:color w:val="000000"/>
                <w:lang w:eastAsia="en-GB"/>
              </w:rPr>
            </w:pPr>
            <w:r w:rsidRPr="00953A8D">
              <w:rPr>
                <w:rFonts w:ascii="Calibri" w:eastAsia="Times New Roman" w:hAnsi="Calibri" w:cs="Calibri"/>
                <w:b/>
                <w:bCs/>
                <w:color w:val="000000"/>
                <w:lang w:eastAsia="en-GB"/>
              </w:rPr>
              <w:t>(6,205)</w:t>
            </w:r>
          </w:p>
        </w:tc>
        <w:tc>
          <w:tcPr>
            <w:tcW w:w="2577" w:type="pct"/>
            <w:tcBorders>
              <w:top w:val="single" w:sz="4" w:space="0" w:color="auto"/>
              <w:left w:val="nil"/>
              <w:bottom w:val="single" w:sz="4" w:space="0" w:color="auto"/>
              <w:right w:val="nil"/>
            </w:tcBorders>
            <w:shd w:val="clear" w:color="000000" w:fill="FFFFFF"/>
            <w:vAlign w:val="bottom"/>
            <w:hideMark/>
          </w:tcPr>
          <w:p w14:paraId="4EA7EC60" w14:textId="77777777" w:rsidR="00953A8D" w:rsidRPr="00953A8D" w:rsidRDefault="00953A8D" w:rsidP="00953A8D">
            <w:pPr>
              <w:spacing w:line="240" w:lineRule="auto"/>
              <w:jc w:val="left"/>
              <w:rPr>
                <w:rFonts w:ascii="Calibri" w:eastAsia="Times New Roman" w:hAnsi="Calibri" w:cs="Calibri"/>
                <w:b/>
                <w:bCs/>
                <w:lang w:eastAsia="en-GB"/>
              </w:rPr>
            </w:pPr>
            <w:r w:rsidRPr="00953A8D">
              <w:rPr>
                <w:rFonts w:ascii="Calibri" w:eastAsia="Times New Roman" w:hAnsi="Calibri" w:cs="Calibri"/>
                <w:b/>
                <w:bCs/>
                <w:lang w:eastAsia="en-GB"/>
              </w:rPr>
              <w:t>Total Financial Liabilities</w:t>
            </w:r>
          </w:p>
        </w:tc>
        <w:tc>
          <w:tcPr>
            <w:tcW w:w="606" w:type="pct"/>
            <w:tcBorders>
              <w:top w:val="single" w:sz="4" w:space="0" w:color="auto"/>
              <w:left w:val="nil"/>
              <w:bottom w:val="single" w:sz="4" w:space="0" w:color="auto"/>
              <w:right w:val="nil"/>
            </w:tcBorders>
            <w:shd w:val="clear" w:color="000000" w:fill="FFE1E1"/>
            <w:noWrap/>
            <w:vAlign w:val="bottom"/>
            <w:hideMark/>
          </w:tcPr>
          <w:p w14:paraId="1B2400CF" w14:textId="77777777" w:rsidR="00953A8D" w:rsidRPr="00953A8D" w:rsidRDefault="00953A8D" w:rsidP="00953A8D">
            <w:pPr>
              <w:spacing w:line="240" w:lineRule="auto"/>
              <w:jc w:val="right"/>
              <w:rPr>
                <w:rFonts w:ascii="Calibri" w:eastAsia="Times New Roman" w:hAnsi="Calibri" w:cs="Calibri"/>
                <w:b/>
                <w:bCs/>
                <w:color w:val="000000"/>
                <w:lang w:eastAsia="en-GB"/>
              </w:rPr>
            </w:pPr>
            <w:r w:rsidRPr="00953A8D">
              <w:rPr>
                <w:rFonts w:ascii="Calibri" w:eastAsia="Times New Roman" w:hAnsi="Calibri" w:cs="Calibri"/>
                <w:b/>
                <w:bCs/>
                <w:color w:val="000000"/>
                <w:lang w:eastAsia="en-GB"/>
              </w:rPr>
              <w:t>(2,030)</w:t>
            </w:r>
          </w:p>
        </w:tc>
        <w:tc>
          <w:tcPr>
            <w:tcW w:w="606" w:type="pct"/>
            <w:tcBorders>
              <w:top w:val="single" w:sz="4" w:space="0" w:color="auto"/>
              <w:left w:val="nil"/>
              <w:bottom w:val="single" w:sz="4" w:space="0" w:color="auto"/>
              <w:right w:val="nil"/>
            </w:tcBorders>
            <w:shd w:val="clear" w:color="000000" w:fill="FFE1E1"/>
            <w:noWrap/>
            <w:vAlign w:val="bottom"/>
            <w:hideMark/>
          </w:tcPr>
          <w:p w14:paraId="4F3FC82F" w14:textId="77777777" w:rsidR="00953A8D" w:rsidRPr="00953A8D" w:rsidRDefault="00953A8D" w:rsidP="00953A8D">
            <w:pPr>
              <w:spacing w:line="240" w:lineRule="auto"/>
              <w:jc w:val="right"/>
              <w:rPr>
                <w:rFonts w:ascii="Calibri" w:eastAsia="Times New Roman" w:hAnsi="Calibri" w:cs="Calibri"/>
                <w:b/>
                <w:bCs/>
                <w:color w:val="000000"/>
                <w:lang w:eastAsia="en-GB"/>
              </w:rPr>
            </w:pPr>
            <w:r w:rsidRPr="00953A8D">
              <w:rPr>
                <w:rFonts w:ascii="Calibri" w:eastAsia="Times New Roman" w:hAnsi="Calibri" w:cs="Calibri"/>
                <w:b/>
                <w:bCs/>
                <w:color w:val="000000"/>
                <w:lang w:eastAsia="en-GB"/>
              </w:rPr>
              <w:t>(3,593)</w:t>
            </w:r>
          </w:p>
        </w:tc>
      </w:tr>
    </w:tbl>
    <w:p w14:paraId="04835442" w14:textId="77777777" w:rsidR="00307CD4" w:rsidRDefault="00307CD4" w:rsidP="002A1ADD">
      <w:pPr>
        <w:pStyle w:val="VAHeadingLevel2"/>
      </w:pPr>
    </w:p>
    <w:p w14:paraId="1488527F" w14:textId="489B2FBD" w:rsidR="007B7E2B" w:rsidRDefault="00E7677C" w:rsidP="002A1ADD">
      <w:pPr>
        <w:pStyle w:val="VAHeadingLevel2"/>
      </w:pPr>
      <w:r w:rsidRPr="005F273C">
        <w:t>Note 3</w:t>
      </w:r>
      <w:r w:rsidR="00D54CAD" w:rsidRPr="005F273C">
        <w:t>8</w:t>
      </w:r>
      <w:r w:rsidRPr="005F273C">
        <w:t>.2. Financial Instruments - Income, Expense, Gains and Losses</w:t>
      </w:r>
    </w:p>
    <w:p w14:paraId="7D77F6DB" w14:textId="43506B22" w:rsidR="00E37474" w:rsidRPr="00255390" w:rsidRDefault="00255390" w:rsidP="00255390">
      <w:pPr>
        <w:spacing w:line="240" w:lineRule="auto"/>
        <w:rPr>
          <w:rFonts w:ascii="Calibri" w:eastAsia="Times New Roman" w:hAnsi="Calibri" w:cs="Calibri"/>
          <w:lang w:eastAsia="en-GB"/>
        </w:rPr>
      </w:pPr>
      <w:r w:rsidRPr="00255390">
        <w:rPr>
          <w:rFonts w:ascii="Calibri" w:eastAsia="Times New Roman" w:hAnsi="Calibri" w:cs="Calibri"/>
          <w:lang w:eastAsia="en-GB"/>
        </w:rPr>
        <w:t>The value of debtors and creditors reported in the tables below are solely those amounts meeting the definition of a financial instrument.</w:t>
      </w:r>
    </w:p>
    <w:p w14:paraId="2D9405A1" w14:textId="77777777" w:rsidR="007A2440" w:rsidRPr="00255390" w:rsidRDefault="007A2440" w:rsidP="00255390">
      <w:pPr>
        <w:spacing w:line="240" w:lineRule="auto"/>
        <w:rPr>
          <w:rFonts w:ascii="Calibri" w:eastAsia="Times New Roman" w:hAnsi="Calibri" w:cs="Calibri"/>
          <w:lang w:eastAsia="en-GB"/>
        </w:rPr>
      </w:pPr>
    </w:p>
    <w:tbl>
      <w:tblPr>
        <w:tblW w:w="5000" w:type="pct"/>
        <w:tblLook w:val="04A0" w:firstRow="1" w:lastRow="0" w:firstColumn="1" w:lastColumn="0" w:noHBand="0" w:noVBand="1"/>
      </w:tblPr>
      <w:tblGrid>
        <w:gridCol w:w="1250"/>
        <w:gridCol w:w="1249"/>
        <w:gridCol w:w="5378"/>
        <w:gridCol w:w="1249"/>
        <w:gridCol w:w="1249"/>
      </w:tblGrid>
      <w:tr w:rsidR="00AE69C0" w:rsidRPr="00AE69C0" w14:paraId="4D37B39F" w14:textId="77777777" w:rsidTr="5A995008">
        <w:trPr>
          <w:trHeight w:val="300"/>
        </w:trPr>
        <w:tc>
          <w:tcPr>
            <w:tcW w:w="1204" w:type="pct"/>
            <w:gridSpan w:val="2"/>
            <w:tcBorders>
              <w:top w:val="nil"/>
              <w:left w:val="nil"/>
              <w:bottom w:val="nil"/>
              <w:right w:val="nil"/>
            </w:tcBorders>
            <w:shd w:val="clear" w:color="auto" w:fill="AB2328"/>
            <w:vAlign w:val="bottom"/>
            <w:hideMark/>
          </w:tcPr>
          <w:p w14:paraId="1D275761"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2023/24</w:t>
            </w:r>
          </w:p>
        </w:tc>
        <w:tc>
          <w:tcPr>
            <w:tcW w:w="2591" w:type="pct"/>
            <w:tcBorders>
              <w:top w:val="nil"/>
              <w:left w:val="nil"/>
              <w:bottom w:val="nil"/>
              <w:right w:val="nil"/>
            </w:tcBorders>
            <w:shd w:val="clear" w:color="auto" w:fill="AB2328"/>
            <w:vAlign w:val="bottom"/>
            <w:hideMark/>
          </w:tcPr>
          <w:p w14:paraId="094FE7C1"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 </w:t>
            </w:r>
          </w:p>
        </w:tc>
        <w:tc>
          <w:tcPr>
            <w:tcW w:w="1204" w:type="pct"/>
            <w:gridSpan w:val="2"/>
            <w:tcBorders>
              <w:top w:val="nil"/>
              <w:left w:val="nil"/>
              <w:bottom w:val="nil"/>
              <w:right w:val="nil"/>
            </w:tcBorders>
            <w:shd w:val="clear" w:color="auto" w:fill="AB2328"/>
            <w:vAlign w:val="bottom"/>
            <w:hideMark/>
          </w:tcPr>
          <w:p w14:paraId="597A8B1D"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2024/25</w:t>
            </w:r>
          </w:p>
        </w:tc>
      </w:tr>
      <w:tr w:rsidR="00AE69C0" w:rsidRPr="00AE69C0" w14:paraId="0D01EF34" w14:textId="77777777" w:rsidTr="5A995008">
        <w:trPr>
          <w:trHeight w:val="600"/>
        </w:trPr>
        <w:tc>
          <w:tcPr>
            <w:tcW w:w="602" w:type="pct"/>
            <w:tcBorders>
              <w:top w:val="nil"/>
              <w:left w:val="nil"/>
              <w:bottom w:val="nil"/>
              <w:right w:val="nil"/>
            </w:tcBorders>
            <w:shd w:val="clear" w:color="auto" w:fill="AB2328"/>
            <w:vAlign w:val="bottom"/>
            <w:hideMark/>
          </w:tcPr>
          <w:p w14:paraId="6CF2BDAA"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Financial Liabilities</w:t>
            </w:r>
          </w:p>
        </w:tc>
        <w:tc>
          <w:tcPr>
            <w:tcW w:w="602" w:type="pct"/>
            <w:tcBorders>
              <w:top w:val="nil"/>
              <w:left w:val="nil"/>
              <w:bottom w:val="nil"/>
              <w:right w:val="nil"/>
            </w:tcBorders>
            <w:shd w:val="clear" w:color="auto" w:fill="AB2328"/>
            <w:vAlign w:val="bottom"/>
            <w:hideMark/>
          </w:tcPr>
          <w:p w14:paraId="376319F8"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Financial Assets</w:t>
            </w:r>
          </w:p>
        </w:tc>
        <w:tc>
          <w:tcPr>
            <w:tcW w:w="2591" w:type="pct"/>
            <w:tcBorders>
              <w:top w:val="nil"/>
              <w:left w:val="nil"/>
              <w:bottom w:val="nil"/>
              <w:right w:val="nil"/>
            </w:tcBorders>
            <w:shd w:val="clear" w:color="auto" w:fill="AB2328"/>
            <w:vAlign w:val="bottom"/>
            <w:hideMark/>
          </w:tcPr>
          <w:p w14:paraId="6FE818A1" w14:textId="77777777" w:rsidR="00AE69C0" w:rsidRPr="00AE69C0" w:rsidRDefault="00AE69C0" w:rsidP="00AE69C0">
            <w:pPr>
              <w:spacing w:line="240" w:lineRule="auto"/>
              <w:jc w:val="lef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 </w:t>
            </w:r>
          </w:p>
        </w:tc>
        <w:tc>
          <w:tcPr>
            <w:tcW w:w="602" w:type="pct"/>
            <w:tcBorders>
              <w:top w:val="nil"/>
              <w:left w:val="nil"/>
              <w:bottom w:val="nil"/>
              <w:right w:val="nil"/>
            </w:tcBorders>
            <w:shd w:val="clear" w:color="auto" w:fill="AB2328"/>
            <w:vAlign w:val="bottom"/>
            <w:hideMark/>
          </w:tcPr>
          <w:p w14:paraId="3605DB04"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Financial Liabilities</w:t>
            </w:r>
          </w:p>
        </w:tc>
        <w:tc>
          <w:tcPr>
            <w:tcW w:w="602" w:type="pct"/>
            <w:tcBorders>
              <w:top w:val="nil"/>
              <w:left w:val="nil"/>
              <w:bottom w:val="nil"/>
              <w:right w:val="nil"/>
            </w:tcBorders>
            <w:shd w:val="clear" w:color="auto" w:fill="AB2328"/>
            <w:vAlign w:val="bottom"/>
            <w:hideMark/>
          </w:tcPr>
          <w:p w14:paraId="19AFEC1E"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Financial Assets</w:t>
            </w:r>
          </w:p>
        </w:tc>
      </w:tr>
      <w:tr w:rsidR="00AE69C0" w:rsidRPr="00AE69C0" w14:paraId="12BBFB37" w14:textId="77777777" w:rsidTr="5A995008">
        <w:trPr>
          <w:trHeight w:val="300"/>
        </w:trPr>
        <w:tc>
          <w:tcPr>
            <w:tcW w:w="602" w:type="pct"/>
            <w:tcBorders>
              <w:top w:val="nil"/>
              <w:left w:val="nil"/>
              <w:bottom w:val="nil"/>
              <w:right w:val="nil"/>
            </w:tcBorders>
            <w:shd w:val="clear" w:color="auto" w:fill="AB2328"/>
            <w:vAlign w:val="bottom"/>
            <w:hideMark/>
          </w:tcPr>
          <w:p w14:paraId="1E424920"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Measured at</w:t>
            </w:r>
          </w:p>
        </w:tc>
        <w:tc>
          <w:tcPr>
            <w:tcW w:w="602" w:type="pct"/>
            <w:tcBorders>
              <w:top w:val="nil"/>
              <w:left w:val="nil"/>
              <w:bottom w:val="nil"/>
              <w:right w:val="nil"/>
            </w:tcBorders>
            <w:shd w:val="clear" w:color="auto" w:fill="AB2328"/>
            <w:vAlign w:val="bottom"/>
            <w:hideMark/>
          </w:tcPr>
          <w:p w14:paraId="6FFC230B"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Measured at</w:t>
            </w:r>
          </w:p>
        </w:tc>
        <w:tc>
          <w:tcPr>
            <w:tcW w:w="2591" w:type="pct"/>
            <w:tcBorders>
              <w:top w:val="nil"/>
              <w:left w:val="nil"/>
              <w:bottom w:val="nil"/>
              <w:right w:val="nil"/>
            </w:tcBorders>
            <w:shd w:val="clear" w:color="auto" w:fill="AB2328"/>
            <w:vAlign w:val="bottom"/>
            <w:hideMark/>
          </w:tcPr>
          <w:p w14:paraId="36D955B5" w14:textId="77777777" w:rsidR="00AE69C0" w:rsidRPr="00AE69C0" w:rsidRDefault="00AE69C0" w:rsidP="00AE69C0">
            <w:pPr>
              <w:spacing w:line="240" w:lineRule="auto"/>
              <w:jc w:val="lef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 </w:t>
            </w:r>
          </w:p>
        </w:tc>
        <w:tc>
          <w:tcPr>
            <w:tcW w:w="602" w:type="pct"/>
            <w:tcBorders>
              <w:top w:val="nil"/>
              <w:left w:val="nil"/>
              <w:bottom w:val="nil"/>
              <w:right w:val="nil"/>
            </w:tcBorders>
            <w:shd w:val="clear" w:color="auto" w:fill="AB2328"/>
            <w:vAlign w:val="bottom"/>
            <w:hideMark/>
          </w:tcPr>
          <w:p w14:paraId="4AB9CC35"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Measured at</w:t>
            </w:r>
          </w:p>
        </w:tc>
        <w:tc>
          <w:tcPr>
            <w:tcW w:w="602" w:type="pct"/>
            <w:tcBorders>
              <w:top w:val="nil"/>
              <w:left w:val="nil"/>
              <w:bottom w:val="nil"/>
              <w:right w:val="nil"/>
            </w:tcBorders>
            <w:shd w:val="clear" w:color="auto" w:fill="AB2328"/>
            <w:vAlign w:val="bottom"/>
            <w:hideMark/>
          </w:tcPr>
          <w:p w14:paraId="54DBE3B8"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Measured at</w:t>
            </w:r>
          </w:p>
        </w:tc>
      </w:tr>
      <w:tr w:rsidR="00AE69C0" w:rsidRPr="00AE69C0" w14:paraId="5E8924D5" w14:textId="77777777" w:rsidTr="5A995008">
        <w:trPr>
          <w:trHeight w:val="600"/>
        </w:trPr>
        <w:tc>
          <w:tcPr>
            <w:tcW w:w="602" w:type="pct"/>
            <w:tcBorders>
              <w:top w:val="nil"/>
              <w:left w:val="nil"/>
              <w:bottom w:val="nil"/>
              <w:right w:val="nil"/>
            </w:tcBorders>
            <w:shd w:val="clear" w:color="auto" w:fill="AB2328"/>
            <w:vAlign w:val="bottom"/>
            <w:hideMark/>
          </w:tcPr>
          <w:p w14:paraId="50A119A3"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Amortised Cost</w:t>
            </w:r>
          </w:p>
        </w:tc>
        <w:tc>
          <w:tcPr>
            <w:tcW w:w="602" w:type="pct"/>
            <w:tcBorders>
              <w:top w:val="nil"/>
              <w:left w:val="nil"/>
              <w:bottom w:val="nil"/>
              <w:right w:val="nil"/>
            </w:tcBorders>
            <w:shd w:val="clear" w:color="auto" w:fill="AB2328"/>
            <w:vAlign w:val="bottom"/>
            <w:hideMark/>
          </w:tcPr>
          <w:p w14:paraId="4F6165F2"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Amortised Cost</w:t>
            </w:r>
          </w:p>
        </w:tc>
        <w:tc>
          <w:tcPr>
            <w:tcW w:w="2591" w:type="pct"/>
            <w:tcBorders>
              <w:top w:val="nil"/>
              <w:left w:val="nil"/>
              <w:bottom w:val="nil"/>
              <w:right w:val="nil"/>
            </w:tcBorders>
            <w:shd w:val="clear" w:color="auto" w:fill="AB2328"/>
            <w:vAlign w:val="bottom"/>
            <w:hideMark/>
          </w:tcPr>
          <w:p w14:paraId="6690C5AF" w14:textId="77777777" w:rsidR="00AE69C0" w:rsidRPr="00AE69C0" w:rsidRDefault="00AE69C0" w:rsidP="00AE69C0">
            <w:pPr>
              <w:spacing w:line="240" w:lineRule="auto"/>
              <w:jc w:val="lef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 </w:t>
            </w:r>
          </w:p>
        </w:tc>
        <w:tc>
          <w:tcPr>
            <w:tcW w:w="602" w:type="pct"/>
            <w:tcBorders>
              <w:top w:val="nil"/>
              <w:left w:val="nil"/>
              <w:bottom w:val="nil"/>
              <w:right w:val="nil"/>
            </w:tcBorders>
            <w:shd w:val="clear" w:color="auto" w:fill="AB2328"/>
            <w:vAlign w:val="bottom"/>
            <w:hideMark/>
          </w:tcPr>
          <w:p w14:paraId="5AFCC36F"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Amortised Cost</w:t>
            </w:r>
          </w:p>
        </w:tc>
        <w:tc>
          <w:tcPr>
            <w:tcW w:w="602" w:type="pct"/>
            <w:tcBorders>
              <w:top w:val="nil"/>
              <w:left w:val="nil"/>
              <w:bottom w:val="nil"/>
              <w:right w:val="nil"/>
            </w:tcBorders>
            <w:shd w:val="clear" w:color="auto" w:fill="AB2328"/>
            <w:vAlign w:val="bottom"/>
            <w:hideMark/>
          </w:tcPr>
          <w:p w14:paraId="2DE252A4" w14:textId="77777777" w:rsidR="00AE69C0" w:rsidRPr="00AE69C0" w:rsidRDefault="00AE69C0" w:rsidP="00927341">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Amortised Cost</w:t>
            </w:r>
          </w:p>
        </w:tc>
      </w:tr>
      <w:tr w:rsidR="00AE69C0" w:rsidRPr="00AE69C0" w14:paraId="36BD3B64" w14:textId="77777777" w:rsidTr="5A995008">
        <w:trPr>
          <w:trHeight w:val="300"/>
        </w:trPr>
        <w:tc>
          <w:tcPr>
            <w:tcW w:w="602" w:type="pct"/>
            <w:tcBorders>
              <w:top w:val="nil"/>
              <w:left w:val="nil"/>
              <w:bottom w:val="nil"/>
              <w:right w:val="nil"/>
            </w:tcBorders>
            <w:shd w:val="clear" w:color="auto" w:fill="AB2328"/>
            <w:noWrap/>
            <w:vAlign w:val="bottom"/>
            <w:hideMark/>
          </w:tcPr>
          <w:p w14:paraId="4E56F59D" w14:textId="77777777" w:rsidR="00AE69C0" w:rsidRPr="00AE69C0" w:rsidRDefault="00AE69C0" w:rsidP="00472CF8">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£000</w:t>
            </w:r>
          </w:p>
        </w:tc>
        <w:tc>
          <w:tcPr>
            <w:tcW w:w="602" w:type="pct"/>
            <w:tcBorders>
              <w:top w:val="nil"/>
              <w:left w:val="nil"/>
              <w:bottom w:val="nil"/>
              <w:right w:val="nil"/>
            </w:tcBorders>
            <w:shd w:val="clear" w:color="auto" w:fill="AB2328"/>
            <w:noWrap/>
            <w:vAlign w:val="bottom"/>
            <w:hideMark/>
          </w:tcPr>
          <w:p w14:paraId="791979FF" w14:textId="77777777" w:rsidR="00AE69C0" w:rsidRPr="00AE69C0" w:rsidRDefault="00AE69C0" w:rsidP="00472CF8">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£000</w:t>
            </w:r>
          </w:p>
        </w:tc>
        <w:tc>
          <w:tcPr>
            <w:tcW w:w="2591" w:type="pct"/>
            <w:tcBorders>
              <w:top w:val="nil"/>
              <w:left w:val="nil"/>
              <w:bottom w:val="nil"/>
              <w:right w:val="nil"/>
            </w:tcBorders>
            <w:shd w:val="clear" w:color="auto" w:fill="AB2328"/>
            <w:vAlign w:val="bottom"/>
            <w:hideMark/>
          </w:tcPr>
          <w:p w14:paraId="616A3667" w14:textId="77777777" w:rsidR="00AE69C0" w:rsidRPr="00AE69C0" w:rsidRDefault="00AE69C0" w:rsidP="00AE69C0">
            <w:pPr>
              <w:spacing w:line="240" w:lineRule="auto"/>
              <w:jc w:val="lef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 </w:t>
            </w:r>
          </w:p>
        </w:tc>
        <w:tc>
          <w:tcPr>
            <w:tcW w:w="602" w:type="pct"/>
            <w:tcBorders>
              <w:top w:val="nil"/>
              <w:left w:val="nil"/>
              <w:bottom w:val="nil"/>
              <w:right w:val="nil"/>
            </w:tcBorders>
            <w:shd w:val="clear" w:color="auto" w:fill="AB2328"/>
            <w:noWrap/>
            <w:vAlign w:val="bottom"/>
            <w:hideMark/>
          </w:tcPr>
          <w:p w14:paraId="42B5F68B" w14:textId="77777777" w:rsidR="00AE69C0" w:rsidRPr="00AE69C0" w:rsidRDefault="00AE69C0" w:rsidP="00472CF8">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£000</w:t>
            </w:r>
          </w:p>
        </w:tc>
        <w:tc>
          <w:tcPr>
            <w:tcW w:w="602" w:type="pct"/>
            <w:tcBorders>
              <w:top w:val="nil"/>
              <w:left w:val="nil"/>
              <w:bottom w:val="nil"/>
              <w:right w:val="nil"/>
            </w:tcBorders>
            <w:shd w:val="clear" w:color="auto" w:fill="AB2328"/>
            <w:noWrap/>
            <w:vAlign w:val="bottom"/>
            <w:hideMark/>
          </w:tcPr>
          <w:p w14:paraId="59C00644" w14:textId="77777777" w:rsidR="00AE69C0" w:rsidRPr="00AE69C0" w:rsidRDefault="00AE69C0" w:rsidP="00472CF8">
            <w:pPr>
              <w:spacing w:line="240" w:lineRule="auto"/>
              <w:jc w:val="right"/>
              <w:rPr>
                <w:rFonts w:ascii="Calibri" w:eastAsia="Times New Roman" w:hAnsi="Calibri" w:cs="Calibri"/>
                <w:b/>
                <w:bCs/>
                <w:color w:val="FFFFFF"/>
                <w:lang w:eastAsia="en-GB"/>
              </w:rPr>
            </w:pPr>
            <w:r w:rsidRPr="00AE69C0">
              <w:rPr>
                <w:rFonts w:ascii="Calibri" w:eastAsia="Times New Roman" w:hAnsi="Calibri" w:cs="Calibri"/>
                <w:b/>
                <w:bCs/>
                <w:color w:val="FFFFFF"/>
                <w:lang w:eastAsia="en-GB"/>
              </w:rPr>
              <w:t>£000</w:t>
            </w:r>
          </w:p>
        </w:tc>
      </w:tr>
      <w:tr w:rsidR="00AE69C0" w:rsidRPr="00AE69C0" w14:paraId="2B8A03B1" w14:textId="77777777" w:rsidTr="5A995008">
        <w:trPr>
          <w:trHeight w:val="300"/>
        </w:trPr>
        <w:tc>
          <w:tcPr>
            <w:tcW w:w="602" w:type="pct"/>
            <w:tcBorders>
              <w:top w:val="nil"/>
              <w:left w:val="nil"/>
              <w:bottom w:val="nil"/>
              <w:right w:val="nil"/>
            </w:tcBorders>
            <w:shd w:val="clear" w:color="auto" w:fill="FFFFFF" w:themeFill="background1"/>
            <w:noWrap/>
            <w:hideMark/>
          </w:tcPr>
          <w:p w14:paraId="149C3942"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62</w:t>
            </w:r>
          </w:p>
        </w:tc>
        <w:tc>
          <w:tcPr>
            <w:tcW w:w="602" w:type="pct"/>
            <w:tcBorders>
              <w:top w:val="nil"/>
              <w:left w:val="nil"/>
              <w:bottom w:val="nil"/>
              <w:right w:val="nil"/>
            </w:tcBorders>
            <w:shd w:val="clear" w:color="auto" w:fill="FFFFFF" w:themeFill="background1"/>
            <w:noWrap/>
            <w:hideMark/>
          </w:tcPr>
          <w:p w14:paraId="484D48DB"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w:t>
            </w:r>
          </w:p>
        </w:tc>
        <w:tc>
          <w:tcPr>
            <w:tcW w:w="2591" w:type="pct"/>
            <w:tcBorders>
              <w:top w:val="nil"/>
              <w:left w:val="nil"/>
              <w:bottom w:val="nil"/>
              <w:right w:val="nil"/>
            </w:tcBorders>
            <w:shd w:val="clear" w:color="auto" w:fill="FFFFFF" w:themeFill="background1"/>
            <w:hideMark/>
          </w:tcPr>
          <w:p w14:paraId="57F0D605" w14:textId="77777777" w:rsidR="00AE69C0" w:rsidRPr="00AE69C0" w:rsidRDefault="00AE69C0" w:rsidP="00AE69C0">
            <w:pPr>
              <w:spacing w:line="240" w:lineRule="auto"/>
              <w:jc w:val="left"/>
              <w:rPr>
                <w:rFonts w:ascii="Calibri" w:eastAsia="Times New Roman" w:hAnsi="Calibri" w:cs="Calibri"/>
                <w:lang w:eastAsia="en-GB"/>
              </w:rPr>
            </w:pPr>
            <w:r w:rsidRPr="00AE69C0">
              <w:rPr>
                <w:rFonts w:ascii="Calibri" w:eastAsia="Times New Roman" w:hAnsi="Calibri" w:cs="Calibri"/>
                <w:lang w:eastAsia="en-GB"/>
              </w:rPr>
              <w:t>Interest Expense</w:t>
            </w:r>
          </w:p>
        </w:tc>
        <w:tc>
          <w:tcPr>
            <w:tcW w:w="602" w:type="pct"/>
            <w:tcBorders>
              <w:top w:val="nil"/>
              <w:left w:val="nil"/>
              <w:bottom w:val="nil"/>
              <w:right w:val="nil"/>
            </w:tcBorders>
            <w:shd w:val="clear" w:color="auto" w:fill="FFE1E1"/>
            <w:noWrap/>
            <w:hideMark/>
          </w:tcPr>
          <w:p w14:paraId="4D4F5D33"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60</w:t>
            </w:r>
          </w:p>
        </w:tc>
        <w:tc>
          <w:tcPr>
            <w:tcW w:w="602" w:type="pct"/>
            <w:tcBorders>
              <w:top w:val="nil"/>
              <w:left w:val="nil"/>
              <w:bottom w:val="nil"/>
              <w:right w:val="nil"/>
            </w:tcBorders>
            <w:shd w:val="clear" w:color="auto" w:fill="FFE1E1"/>
            <w:noWrap/>
            <w:hideMark/>
          </w:tcPr>
          <w:p w14:paraId="78B75021"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w:t>
            </w:r>
          </w:p>
        </w:tc>
      </w:tr>
      <w:tr w:rsidR="00AE69C0" w:rsidRPr="00AE69C0" w14:paraId="238F5507" w14:textId="77777777" w:rsidTr="5A995008">
        <w:trPr>
          <w:trHeight w:val="600"/>
        </w:trPr>
        <w:tc>
          <w:tcPr>
            <w:tcW w:w="602" w:type="pct"/>
            <w:tcBorders>
              <w:top w:val="nil"/>
              <w:left w:val="nil"/>
              <w:bottom w:val="nil"/>
              <w:right w:val="nil"/>
            </w:tcBorders>
            <w:shd w:val="clear" w:color="auto" w:fill="FFFFFF" w:themeFill="background1"/>
            <w:noWrap/>
            <w:hideMark/>
          </w:tcPr>
          <w:p w14:paraId="68BC60F5"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62</w:t>
            </w:r>
          </w:p>
        </w:tc>
        <w:tc>
          <w:tcPr>
            <w:tcW w:w="602" w:type="pct"/>
            <w:tcBorders>
              <w:top w:val="nil"/>
              <w:left w:val="nil"/>
              <w:bottom w:val="nil"/>
              <w:right w:val="nil"/>
            </w:tcBorders>
            <w:shd w:val="clear" w:color="auto" w:fill="FFFFFF" w:themeFill="background1"/>
            <w:noWrap/>
            <w:hideMark/>
          </w:tcPr>
          <w:p w14:paraId="1DE09808"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w:t>
            </w:r>
          </w:p>
        </w:tc>
        <w:tc>
          <w:tcPr>
            <w:tcW w:w="2591" w:type="pct"/>
            <w:tcBorders>
              <w:top w:val="nil"/>
              <w:left w:val="nil"/>
              <w:bottom w:val="nil"/>
              <w:right w:val="nil"/>
            </w:tcBorders>
            <w:shd w:val="clear" w:color="auto" w:fill="FFFFFF" w:themeFill="background1"/>
            <w:hideMark/>
          </w:tcPr>
          <w:p w14:paraId="4C353C81" w14:textId="77777777" w:rsidR="00AE69C0" w:rsidRPr="00AE69C0" w:rsidRDefault="00AE69C0" w:rsidP="00AE69C0">
            <w:pPr>
              <w:spacing w:line="240" w:lineRule="auto"/>
              <w:jc w:val="left"/>
              <w:rPr>
                <w:rFonts w:ascii="Calibri" w:eastAsia="Times New Roman" w:hAnsi="Calibri" w:cs="Calibri"/>
                <w:b/>
                <w:bCs/>
                <w:lang w:eastAsia="en-GB"/>
              </w:rPr>
            </w:pPr>
            <w:r w:rsidRPr="00AE69C0">
              <w:rPr>
                <w:rFonts w:ascii="Calibri" w:eastAsia="Times New Roman" w:hAnsi="Calibri" w:cs="Calibri"/>
                <w:b/>
                <w:bCs/>
                <w:lang w:eastAsia="en-GB"/>
              </w:rPr>
              <w:t xml:space="preserve"> Total Expense in Surplus/Deficit on the Provision of Service </w:t>
            </w:r>
          </w:p>
        </w:tc>
        <w:tc>
          <w:tcPr>
            <w:tcW w:w="602" w:type="pct"/>
            <w:tcBorders>
              <w:top w:val="nil"/>
              <w:left w:val="nil"/>
              <w:bottom w:val="nil"/>
              <w:right w:val="nil"/>
            </w:tcBorders>
            <w:shd w:val="clear" w:color="auto" w:fill="FFE1E1"/>
            <w:noWrap/>
            <w:hideMark/>
          </w:tcPr>
          <w:p w14:paraId="315EF349"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60</w:t>
            </w:r>
          </w:p>
        </w:tc>
        <w:tc>
          <w:tcPr>
            <w:tcW w:w="602" w:type="pct"/>
            <w:tcBorders>
              <w:top w:val="nil"/>
              <w:left w:val="nil"/>
              <w:bottom w:val="nil"/>
              <w:right w:val="nil"/>
            </w:tcBorders>
            <w:shd w:val="clear" w:color="auto" w:fill="FFE1E1"/>
            <w:noWrap/>
            <w:hideMark/>
          </w:tcPr>
          <w:p w14:paraId="22A809DE"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w:t>
            </w:r>
          </w:p>
        </w:tc>
      </w:tr>
      <w:tr w:rsidR="00AE69C0" w:rsidRPr="00AE69C0" w14:paraId="26FB3163" w14:textId="77777777" w:rsidTr="5A995008">
        <w:trPr>
          <w:trHeight w:val="300"/>
        </w:trPr>
        <w:tc>
          <w:tcPr>
            <w:tcW w:w="602" w:type="pct"/>
            <w:tcBorders>
              <w:top w:val="nil"/>
              <w:left w:val="nil"/>
              <w:bottom w:val="nil"/>
              <w:right w:val="nil"/>
            </w:tcBorders>
            <w:shd w:val="clear" w:color="auto" w:fill="FFFFFF" w:themeFill="background1"/>
            <w:noWrap/>
            <w:hideMark/>
          </w:tcPr>
          <w:p w14:paraId="4CBDBD0B"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w:t>
            </w:r>
          </w:p>
        </w:tc>
        <w:tc>
          <w:tcPr>
            <w:tcW w:w="602" w:type="pct"/>
            <w:tcBorders>
              <w:top w:val="nil"/>
              <w:left w:val="nil"/>
              <w:bottom w:val="nil"/>
              <w:right w:val="nil"/>
            </w:tcBorders>
            <w:shd w:val="clear" w:color="auto" w:fill="FFFFFF" w:themeFill="background1"/>
            <w:noWrap/>
            <w:hideMark/>
          </w:tcPr>
          <w:p w14:paraId="260A1E1F"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(238)</w:t>
            </w:r>
          </w:p>
        </w:tc>
        <w:tc>
          <w:tcPr>
            <w:tcW w:w="2591" w:type="pct"/>
            <w:tcBorders>
              <w:top w:val="nil"/>
              <w:left w:val="nil"/>
              <w:bottom w:val="nil"/>
              <w:right w:val="nil"/>
            </w:tcBorders>
            <w:shd w:val="clear" w:color="auto" w:fill="FFFFFF" w:themeFill="background1"/>
            <w:hideMark/>
          </w:tcPr>
          <w:p w14:paraId="6D325DE8" w14:textId="77777777" w:rsidR="00AE69C0" w:rsidRPr="00AE69C0" w:rsidRDefault="00AE69C0" w:rsidP="00AE69C0">
            <w:pPr>
              <w:spacing w:line="240" w:lineRule="auto"/>
              <w:jc w:val="left"/>
              <w:rPr>
                <w:rFonts w:ascii="Calibri" w:eastAsia="Times New Roman" w:hAnsi="Calibri" w:cs="Calibri"/>
                <w:lang w:eastAsia="en-GB"/>
              </w:rPr>
            </w:pPr>
            <w:r w:rsidRPr="00AE69C0">
              <w:rPr>
                <w:rFonts w:ascii="Calibri" w:eastAsia="Times New Roman" w:hAnsi="Calibri" w:cs="Calibri"/>
                <w:lang w:eastAsia="en-GB"/>
              </w:rPr>
              <w:t>Interest Income</w:t>
            </w:r>
          </w:p>
        </w:tc>
        <w:tc>
          <w:tcPr>
            <w:tcW w:w="602" w:type="pct"/>
            <w:tcBorders>
              <w:top w:val="nil"/>
              <w:left w:val="nil"/>
              <w:bottom w:val="nil"/>
              <w:right w:val="nil"/>
            </w:tcBorders>
            <w:shd w:val="clear" w:color="auto" w:fill="FFE1E1"/>
            <w:noWrap/>
            <w:hideMark/>
          </w:tcPr>
          <w:p w14:paraId="40497488"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w:t>
            </w:r>
          </w:p>
        </w:tc>
        <w:tc>
          <w:tcPr>
            <w:tcW w:w="602" w:type="pct"/>
            <w:tcBorders>
              <w:top w:val="nil"/>
              <w:left w:val="nil"/>
              <w:bottom w:val="nil"/>
              <w:right w:val="nil"/>
            </w:tcBorders>
            <w:shd w:val="clear" w:color="auto" w:fill="FFE1E1"/>
            <w:noWrap/>
            <w:hideMark/>
          </w:tcPr>
          <w:p w14:paraId="5D086AEF" w14:textId="77777777" w:rsidR="00AE69C0" w:rsidRPr="00AE69C0" w:rsidRDefault="00AE69C0" w:rsidP="00AE69C0">
            <w:pPr>
              <w:spacing w:line="240" w:lineRule="auto"/>
              <w:jc w:val="right"/>
              <w:rPr>
                <w:rFonts w:ascii="Calibri" w:eastAsia="Times New Roman" w:hAnsi="Calibri" w:cs="Calibri"/>
                <w:color w:val="000000"/>
                <w:lang w:eastAsia="en-GB"/>
              </w:rPr>
            </w:pPr>
            <w:r w:rsidRPr="00AE69C0">
              <w:rPr>
                <w:rFonts w:ascii="Calibri" w:eastAsia="Times New Roman" w:hAnsi="Calibri" w:cs="Calibri"/>
                <w:color w:val="000000"/>
                <w:lang w:eastAsia="en-GB"/>
              </w:rPr>
              <w:t>(389)</w:t>
            </w:r>
          </w:p>
        </w:tc>
      </w:tr>
      <w:tr w:rsidR="00AE69C0" w:rsidRPr="00AE69C0" w14:paraId="05178E66" w14:textId="77777777" w:rsidTr="5A995008">
        <w:trPr>
          <w:trHeight w:val="600"/>
        </w:trPr>
        <w:tc>
          <w:tcPr>
            <w:tcW w:w="602" w:type="pct"/>
            <w:tcBorders>
              <w:top w:val="nil"/>
              <w:left w:val="nil"/>
              <w:bottom w:val="nil"/>
              <w:right w:val="nil"/>
            </w:tcBorders>
            <w:shd w:val="clear" w:color="auto" w:fill="FFFFFF" w:themeFill="background1"/>
            <w:noWrap/>
            <w:hideMark/>
          </w:tcPr>
          <w:p w14:paraId="0DA25F49"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w:t>
            </w:r>
          </w:p>
        </w:tc>
        <w:tc>
          <w:tcPr>
            <w:tcW w:w="602" w:type="pct"/>
            <w:tcBorders>
              <w:top w:val="nil"/>
              <w:left w:val="nil"/>
              <w:bottom w:val="nil"/>
              <w:right w:val="nil"/>
            </w:tcBorders>
            <w:shd w:val="clear" w:color="auto" w:fill="FFFFFF" w:themeFill="background1"/>
            <w:noWrap/>
            <w:hideMark/>
          </w:tcPr>
          <w:p w14:paraId="292E2F77"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(238)</w:t>
            </w:r>
          </w:p>
        </w:tc>
        <w:tc>
          <w:tcPr>
            <w:tcW w:w="2591" w:type="pct"/>
            <w:tcBorders>
              <w:top w:val="nil"/>
              <w:left w:val="nil"/>
              <w:bottom w:val="nil"/>
              <w:right w:val="nil"/>
            </w:tcBorders>
            <w:shd w:val="clear" w:color="auto" w:fill="FFFFFF" w:themeFill="background1"/>
            <w:hideMark/>
          </w:tcPr>
          <w:p w14:paraId="6BDFA7B1" w14:textId="77777777" w:rsidR="00AE69C0" w:rsidRPr="00AE69C0" w:rsidRDefault="00AE69C0" w:rsidP="00AE69C0">
            <w:pPr>
              <w:spacing w:line="240" w:lineRule="auto"/>
              <w:jc w:val="left"/>
              <w:rPr>
                <w:rFonts w:ascii="Calibri" w:eastAsia="Times New Roman" w:hAnsi="Calibri" w:cs="Calibri"/>
                <w:b/>
                <w:bCs/>
                <w:lang w:eastAsia="en-GB"/>
              </w:rPr>
            </w:pPr>
            <w:r w:rsidRPr="00AE69C0">
              <w:rPr>
                <w:rFonts w:ascii="Calibri" w:eastAsia="Times New Roman" w:hAnsi="Calibri" w:cs="Calibri"/>
                <w:b/>
                <w:bCs/>
                <w:lang w:eastAsia="en-GB"/>
              </w:rPr>
              <w:t xml:space="preserve"> Total income in Surplus/Deficit on the Provision of Services </w:t>
            </w:r>
          </w:p>
        </w:tc>
        <w:tc>
          <w:tcPr>
            <w:tcW w:w="602" w:type="pct"/>
            <w:tcBorders>
              <w:top w:val="nil"/>
              <w:left w:val="nil"/>
              <w:bottom w:val="nil"/>
              <w:right w:val="nil"/>
            </w:tcBorders>
            <w:shd w:val="clear" w:color="auto" w:fill="FFE1E1"/>
            <w:noWrap/>
            <w:hideMark/>
          </w:tcPr>
          <w:p w14:paraId="7E312BBB"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w:t>
            </w:r>
          </w:p>
        </w:tc>
        <w:tc>
          <w:tcPr>
            <w:tcW w:w="602" w:type="pct"/>
            <w:tcBorders>
              <w:top w:val="nil"/>
              <w:left w:val="nil"/>
              <w:bottom w:val="nil"/>
              <w:right w:val="nil"/>
            </w:tcBorders>
            <w:shd w:val="clear" w:color="auto" w:fill="FFE1E1"/>
            <w:noWrap/>
            <w:hideMark/>
          </w:tcPr>
          <w:p w14:paraId="3F679DA5"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(389)</w:t>
            </w:r>
          </w:p>
        </w:tc>
      </w:tr>
      <w:tr w:rsidR="00AE69C0" w:rsidRPr="00AE69C0" w14:paraId="506E8B35" w14:textId="77777777" w:rsidTr="5A995008">
        <w:trPr>
          <w:trHeight w:val="300"/>
        </w:trPr>
        <w:tc>
          <w:tcPr>
            <w:tcW w:w="602" w:type="pct"/>
            <w:tcBorders>
              <w:top w:val="single" w:sz="4" w:space="0" w:color="auto"/>
              <w:left w:val="nil"/>
              <w:bottom w:val="single" w:sz="4" w:space="0" w:color="auto"/>
              <w:right w:val="nil"/>
            </w:tcBorders>
            <w:shd w:val="clear" w:color="auto" w:fill="FFFFFF" w:themeFill="background1"/>
            <w:noWrap/>
            <w:hideMark/>
          </w:tcPr>
          <w:p w14:paraId="73BE8F28" w14:textId="7CAF3A95" w:rsidR="00AE69C0" w:rsidRPr="00AE69C0" w:rsidRDefault="57AC9A48" w:rsidP="5A995008">
            <w:pPr>
              <w:spacing w:line="240" w:lineRule="auto"/>
              <w:jc w:val="right"/>
              <w:rPr>
                <w:rFonts w:ascii="Calibri" w:eastAsia="Times New Roman" w:hAnsi="Calibri" w:cs="Calibri"/>
                <w:b/>
                <w:bCs/>
                <w:color w:val="000000"/>
                <w:highlight w:val="yellow"/>
                <w:lang w:eastAsia="en-GB"/>
              </w:rPr>
            </w:pPr>
            <w:r w:rsidRPr="5A995008">
              <w:rPr>
                <w:rFonts w:ascii="Calibri" w:eastAsia="Times New Roman" w:hAnsi="Calibri" w:cs="Calibri"/>
                <w:b/>
                <w:bCs/>
                <w:color w:val="000000" w:themeColor="text1"/>
                <w:lang w:eastAsia="en-GB"/>
              </w:rPr>
              <w:t>62</w:t>
            </w:r>
          </w:p>
        </w:tc>
        <w:tc>
          <w:tcPr>
            <w:tcW w:w="602" w:type="pct"/>
            <w:tcBorders>
              <w:top w:val="single" w:sz="4" w:space="0" w:color="auto"/>
              <w:left w:val="nil"/>
              <w:bottom w:val="single" w:sz="4" w:space="0" w:color="auto"/>
              <w:right w:val="nil"/>
            </w:tcBorders>
            <w:shd w:val="clear" w:color="auto" w:fill="FFFFFF" w:themeFill="background1"/>
            <w:noWrap/>
            <w:hideMark/>
          </w:tcPr>
          <w:p w14:paraId="7086E2E5"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(238)</w:t>
            </w:r>
          </w:p>
        </w:tc>
        <w:tc>
          <w:tcPr>
            <w:tcW w:w="2591" w:type="pct"/>
            <w:tcBorders>
              <w:top w:val="single" w:sz="4" w:space="0" w:color="auto"/>
              <w:left w:val="nil"/>
              <w:bottom w:val="single" w:sz="4" w:space="0" w:color="auto"/>
              <w:right w:val="nil"/>
            </w:tcBorders>
            <w:shd w:val="clear" w:color="auto" w:fill="FFFFFF" w:themeFill="background1"/>
            <w:hideMark/>
          </w:tcPr>
          <w:p w14:paraId="01BB64A8" w14:textId="77777777" w:rsidR="00AE69C0" w:rsidRPr="00AE69C0" w:rsidRDefault="00AE69C0" w:rsidP="00AE69C0">
            <w:pPr>
              <w:spacing w:line="240" w:lineRule="auto"/>
              <w:jc w:val="left"/>
              <w:rPr>
                <w:rFonts w:ascii="Calibri" w:eastAsia="Times New Roman" w:hAnsi="Calibri" w:cs="Calibri"/>
                <w:b/>
                <w:bCs/>
                <w:lang w:eastAsia="en-GB"/>
              </w:rPr>
            </w:pPr>
            <w:r w:rsidRPr="00AE69C0">
              <w:rPr>
                <w:rFonts w:ascii="Calibri" w:eastAsia="Times New Roman" w:hAnsi="Calibri" w:cs="Calibri"/>
                <w:b/>
                <w:bCs/>
                <w:lang w:eastAsia="en-GB"/>
              </w:rPr>
              <w:t>Net Gain/(Loss) for the Year</w:t>
            </w:r>
          </w:p>
        </w:tc>
        <w:tc>
          <w:tcPr>
            <w:tcW w:w="602" w:type="pct"/>
            <w:tcBorders>
              <w:top w:val="single" w:sz="4" w:space="0" w:color="auto"/>
              <w:left w:val="nil"/>
              <w:bottom w:val="single" w:sz="4" w:space="0" w:color="auto"/>
              <w:right w:val="nil"/>
            </w:tcBorders>
            <w:shd w:val="clear" w:color="auto" w:fill="FFE1E1"/>
            <w:hideMark/>
          </w:tcPr>
          <w:p w14:paraId="0D111F15"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60</w:t>
            </w:r>
          </w:p>
        </w:tc>
        <w:tc>
          <w:tcPr>
            <w:tcW w:w="602" w:type="pct"/>
            <w:tcBorders>
              <w:top w:val="single" w:sz="4" w:space="0" w:color="auto"/>
              <w:left w:val="nil"/>
              <w:bottom w:val="single" w:sz="4" w:space="0" w:color="auto"/>
              <w:right w:val="nil"/>
            </w:tcBorders>
            <w:shd w:val="clear" w:color="auto" w:fill="FFE1E1"/>
            <w:noWrap/>
            <w:hideMark/>
          </w:tcPr>
          <w:p w14:paraId="64E215E3" w14:textId="77777777" w:rsidR="00AE69C0" w:rsidRPr="00AE69C0" w:rsidRDefault="00AE69C0" w:rsidP="00AE69C0">
            <w:pPr>
              <w:spacing w:line="240" w:lineRule="auto"/>
              <w:jc w:val="right"/>
              <w:rPr>
                <w:rFonts w:ascii="Calibri" w:eastAsia="Times New Roman" w:hAnsi="Calibri" w:cs="Calibri"/>
                <w:b/>
                <w:bCs/>
                <w:color w:val="000000"/>
                <w:lang w:eastAsia="en-GB"/>
              </w:rPr>
            </w:pPr>
            <w:r w:rsidRPr="00AE69C0">
              <w:rPr>
                <w:rFonts w:ascii="Calibri" w:eastAsia="Times New Roman" w:hAnsi="Calibri" w:cs="Calibri"/>
                <w:b/>
                <w:bCs/>
                <w:color w:val="000000"/>
                <w:lang w:eastAsia="en-GB"/>
              </w:rPr>
              <w:t>(389)</w:t>
            </w:r>
          </w:p>
        </w:tc>
      </w:tr>
    </w:tbl>
    <w:p w14:paraId="5115B898" w14:textId="1D692278" w:rsidR="006549D9" w:rsidRDefault="006549D9" w:rsidP="002A1ADD">
      <w:pPr>
        <w:pStyle w:val="VAHeadingLevel2"/>
      </w:pPr>
    </w:p>
    <w:p w14:paraId="655C05C5" w14:textId="77777777" w:rsidR="006549D9" w:rsidRDefault="006549D9">
      <w:pPr>
        <w:spacing w:after="160"/>
        <w:jc w:val="left"/>
        <w:rPr>
          <w:rFonts w:eastAsia="Times New Roman" w:cs="Arial"/>
          <w:bCs/>
          <w:color w:val="C00000"/>
          <w:sz w:val="24"/>
          <w:szCs w:val="24"/>
        </w:rPr>
      </w:pPr>
      <w:r>
        <w:br w:type="page"/>
      </w:r>
    </w:p>
    <w:p w14:paraId="222D3697" w14:textId="0BF8BA89" w:rsidR="00E7677C" w:rsidRPr="005F273C" w:rsidRDefault="00E7677C" w:rsidP="002A1ADD">
      <w:pPr>
        <w:pStyle w:val="VAHeadingLevel2"/>
      </w:pPr>
      <w:r w:rsidRPr="005F273C">
        <w:lastRenderedPageBreak/>
        <w:t>Note 3</w:t>
      </w:r>
      <w:r w:rsidR="004B273B" w:rsidRPr="005F273C">
        <w:t>8</w:t>
      </w:r>
      <w:r w:rsidRPr="005F273C">
        <w:t xml:space="preserve">.3. </w:t>
      </w:r>
      <w:r w:rsidR="005919F9">
        <w:t>Non-financial Instruments</w:t>
      </w:r>
    </w:p>
    <w:p w14:paraId="50ABED7D" w14:textId="21A189C7" w:rsidR="00C30DC3" w:rsidRDefault="00EC722C" w:rsidP="00E7677C">
      <w:r w:rsidRPr="00EC722C">
        <w:t>The definition of a financial instrument is 'any contract that gives rise to a financial asset of one entity and a financial liability or equity instrument of another entity'.</w:t>
      </w:r>
      <w:r>
        <w:t xml:space="preserve"> </w:t>
      </w:r>
      <w:proofErr w:type="gramStart"/>
      <w:r w:rsidRPr="00EC722C">
        <w:t>Therefore</w:t>
      </w:r>
      <w:proofErr w:type="gramEnd"/>
      <w:r w:rsidRPr="00EC722C">
        <w:t xml:space="preserve"> the following items are the difference between Table 38.1 and Table 38.3 as they don't meet the definition of financial instruments.</w:t>
      </w:r>
    </w:p>
    <w:p w14:paraId="7A5C15FC" w14:textId="77777777" w:rsidR="00EC722C" w:rsidRDefault="00EC722C" w:rsidP="00E7677C">
      <w:pPr>
        <w:rPr>
          <w:rFonts w:cstheme="minorBidi"/>
        </w:rPr>
      </w:pPr>
    </w:p>
    <w:tbl>
      <w:tblPr>
        <w:tblW w:w="5000" w:type="pct"/>
        <w:tblLook w:val="04A0" w:firstRow="1" w:lastRow="0" w:firstColumn="1" w:lastColumn="0" w:noHBand="0" w:noVBand="1"/>
      </w:tblPr>
      <w:tblGrid>
        <w:gridCol w:w="1242"/>
        <w:gridCol w:w="1320"/>
        <w:gridCol w:w="5248"/>
        <w:gridCol w:w="1243"/>
        <w:gridCol w:w="1322"/>
      </w:tblGrid>
      <w:tr w:rsidR="0008685D" w:rsidRPr="0008685D" w14:paraId="26FA0D74" w14:textId="77777777" w:rsidTr="148FF933">
        <w:trPr>
          <w:trHeight w:val="290"/>
        </w:trPr>
        <w:tc>
          <w:tcPr>
            <w:tcW w:w="1235" w:type="pct"/>
            <w:gridSpan w:val="2"/>
            <w:tcBorders>
              <w:top w:val="nil"/>
              <w:left w:val="nil"/>
              <w:bottom w:val="nil"/>
              <w:right w:val="nil"/>
            </w:tcBorders>
            <w:shd w:val="clear" w:color="auto" w:fill="AB2328"/>
            <w:noWrap/>
            <w:vAlign w:val="bottom"/>
            <w:hideMark/>
          </w:tcPr>
          <w:p w14:paraId="0D82A2DC" w14:textId="79A6BE8C" w:rsidR="0008685D" w:rsidRPr="0008685D" w:rsidRDefault="155A0E88" w:rsidP="0008685D">
            <w:pPr>
              <w:spacing w:line="240" w:lineRule="auto"/>
              <w:jc w:val="center"/>
              <w:rPr>
                <w:rFonts w:ascii="Calibri" w:eastAsia="Times New Roman" w:hAnsi="Calibri" w:cs="Calibri"/>
                <w:b/>
                <w:bCs/>
                <w:color w:val="FFFFFF"/>
                <w:lang w:eastAsia="en-GB"/>
              </w:rPr>
            </w:pPr>
            <w:r w:rsidRPr="148FF933">
              <w:rPr>
                <w:rFonts w:ascii="Calibri" w:eastAsia="Times New Roman" w:hAnsi="Calibri" w:cs="Calibri"/>
                <w:b/>
                <w:bCs/>
                <w:color w:val="FFFFFF" w:themeColor="background1"/>
                <w:lang w:eastAsia="en-GB"/>
              </w:rPr>
              <w:t>31 March 2024</w:t>
            </w:r>
            <w:r w:rsidR="0C025318" w:rsidRPr="148FF933">
              <w:rPr>
                <w:rFonts w:ascii="Calibri" w:eastAsia="Times New Roman" w:hAnsi="Calibri" w:cs="Calibri"/>
                <w:b/>
                <w:bCs/>
                <w:color w:val="FFFFFF" w:themeColor="background1"/>
                <w:lang w:eastAsia="en-GB"/>
              </w:rPr>
              <w:t xml:space="preserve"> Restated</w:t>
            </w:r>
          </w:p>
        </w:tc>
        <w:tc>
          <w:tcPr>
            <w:tcW w:w="2529" w:type="pct"/>
            <w:tcBorders>
              <w:top w:val="nil"/>
              <w:left w:val="nil"/>
              <w:bottom w:val="nil"/>
              <w:right w:val="nil"/>
            </w:tcBorders>
            <w:shd w:val="clear" w:color="auto" w:fill="AB2328"/>
            <w:vAlign w:val="bottom"/>
            <w:hideMark/>
          </w:tcPr>
          <w:p w14:paraId="67AE90B6" w14:textId="77777777" w:rsidR="0008685D" w:rsidRPr="0008685D" w:rsidRDefault="0008685D" w:rsidP="0008685D">
            <w:pPr>
              <w:spacing w:line="240" w:lineRule="auto"/>
              <w:jc w:val="left"/>
              <w:rPr>
                <w:rFonts w:ascii="Calibri" w:eastAsia="Times New Roman" w:hAnsi="Calibri" w:cs="Calibri"/>
                <w:color w:val="FFFFFF"/>
                <w:lang w:eastAsia="en-GB"/>
              </w:rPr>
            </w:pPr>
            <w:r w:rsidRPr="0008685D">
              <w:rPr>
                <w:rFonts w:ascii="Calibri" w:eastAsia="Times New Roman" w:hAnsi="Calibri" w:cs="Calibri"/>
                <w:color w:val="FFFFFF"/>
                <w:lang w:eastAsia="en-GB"/>
              </w:rPr>
              <w:t> </w:t>
            </w:r>
          </w:p>
        </w:tc>
        <w:tc>
          <w:tcPr>
            <w:tcW w:w="1236" w:type="pct"/>
            <w:gridSpan w:val="2"/>
            <w:tcBorders>
              <w:top w:val="nil"/>
              <w:left w:val="nil"/>
              <w:bottom w:val="nil"/>
              <w:right w:val="nil"/>
            </w:tcBorders>
            <w:shd w:val="clear" w:color="auto" w:fill="AB2328"/>
            <w:noWrap/>
            <w:vAlign w:val="bottom"/>
            <w:hideMark/>
          </w:tcPr>
          <w:p w14:paraId="2EF27833" w14:textId="77777777" w:rsidR="0008685D" w:rsidRPr="0008685D" w:rsidRDefault="0008685D" w:rsidP="000A2092">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31 March 2025</w:t>
            </w:r>
          </w:p>
        </w:tc>
      </w:tr>
      <w:tr w:rsidR="0008685D" w:rsidRPr="0008685D" w14:paraId="7C9C450B" w14:textId="77777777" w:rsidTr="148FF933">
        <w:trPr>
          <w:trHeight w:val="290"/>
        </w:trPr>
        <w:tc>
          <w:tcPr>
            <w:tcW w:w="599" w:type="pct"/>
            <w:tcBorders>
              <w:top w:val="nil"/>
              <w:left w:val="nil"/>
              <w:bottom w:val="nil"/>
              <w:right w:val="nil"/>
            </w:tcBorders>
            <w:shd w:val="clear" w:color="auto" w:fill="AB2328"/>
            <w:vAlign w:val="bottom"/>
            <w:hideMark/>
          </w:tcPr>
          <w:p w14:paraId="61E2D535"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Long term</w:t>
            </w:r>
          </w:p>
        </w:tc>
        <w:tc>
          <w:tcPr>
            <w:tcW w:w="636" w:type="pct"/>
            <w:tcBorders>
              <w:top w:val="nil"/>
              <w:left w:val="nil"/>
              <w:bottom w:val="nil"/>
              <w:right w:val="nil"/>
            </w:tcBorders>
            <w:shd w:val="clear" w:color="auto" w:fill="AB2328"/>
            <w:vAlign w:val="bottom"/>
            <w:hideMark/>
          </w:tcPr>
          <w:p w14:paraId="561A49B0"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Short term</w:t>
            </w:r>
          </w:p>
        </w:tc>
        <w:tc>
          <w:tcPr>
            <w:tcW w:w="2529" w:type="pct"/>
            <w:tcBorders>
              <w:top w:val="nil"/>
              <w:left w:val="nil"/>
              <w:bottom w:val="nil"/>
              <w:right w:val="nil"/>
            </w:tcBorders>
            <w:shd w:val="clear" w:color="auto" w:fill="AB2328"/>
            <w:vAlign w:val="bottom"/>
            <w:hideMark/>
          </w:tcPr>
          <w:p w14:paraId="4989D34E" w14:textId="77777777" w:rsidR="0008685D" w:rsidRPr="0008685D" w:rsidRDefault="0008685D" w:rsidP="0008685D">
            <w:pPr>
              <w:spacing w:line="240" w:lineRule="auto"/>
              <w:jc w:val="left"/>
              <w:rPr>
                <w:rFonts w:ascii="Calibri" w:eastAsia="Times New Roman" w:hAnsi="Calibri" w:cs="Calibri"/>
                <w:color w:val="FFFFFF"/>
                <w:lang w:eastAsia="en-GB"/>
              </w:rPr>
            </w:pPr>
            <w:r w:rsidRPr="0008685D">
              <w:rPr>
                <w:rFonts w:ascii="Calibri" w:eastAsia="Times New Roman" w:hAnsi="Calibri" w:cs="Calibri"/>
                <w:color w:val="FFFFFF"/>
                <w:lang w:eastAsia="en-GB"/>
              </w:rPr>
              <w:t> </w:t>
            </w:r>
          </w:p>
        </w:tc>
        <w:tc>
          <w:tcPr>
            <w:tcW w:w="599" w:type="pct"/>
            <w:tcBorders>
              <w:top w:val="nil"/>
              <w:left w:val="nil"/>
              <w:bottom w:val="nil"/>
              <w:right w:val="nil"/>
            </w:tcBorders>
            <w:shd w:val="clear" w:color="auto" w:fill="AB2328"/>
            <w:vAlign w:val="bottom"/>
            <w:hideMark/>
          </w:tcPr>
          <w:p w14:paraId="477C4688"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Long term</w:t>
            </w:r>
          </w:p>
        </w:tc>
        <w:tc>
          <w:tcPr>
            <w:tcW w:w="636" w:type="pct"/>
            <w:tcBorders>
              <w:top w:val="nil"/>
              <w:left w:val="nil"/>
              <w:bottom w:val="nil"/>
              <w:right w:val="nil"/>
            </w:tcBorders>
            <w:shd w:val="clear" w:color="auto" w:fill="AB2328"/>
            <w:vAlign w:val="bottom"/>
            <w:hideMark/>
          </w:tcPr>
          <w:p w14:paraId="05AA982A"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Short term</w:t>
            </w:r>
          </w:p>
        </w:tc>
      </w:tr>
      <w:tr w:rsidR="0008685D" w:rsidRPr="0008685D" w14:paraId="5E5555A0" w14:textId="77777777" w:rsidTr="148FF933">
        <w:trPr>
          <w:trHeight w:val="290"/>
        </w:trPr>
        <w:tc>
          <w:tcPr>
            <w:tcW w:w="599" w:type="pct"/>
            <w:tcBorders>
              <w:top w:val="nil"/>
              <w:left w:val="nil"/>
              <w:bottom w:val="nil"/>
              <w:right w:val="nil"/>
            </w:tcBorders>
            <w:shd w:val="clear" w:color="auto" w:fill="AB2328"/>
            <w:noWrap/>
            <w:vAlign w:val="bottom"/>
            <w:hideMark/>
          </w:tcPr>
          <w:p w14:paraId="1211A345"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£000</w:t>
            </w:r>
          </w:p>
        </w:tc>
        <w:tc>
          <w:tcPr>
            <w:tcW w:w="636" w:type="pct"/>
            <w:tcBorders>
              <w:top w:val="nil"/>
              <w:left w:val="nil"/>
              <w:bottom w:val="nil"/>
              <w:right w:val="nil"/>
            </w:tcBorders>
            <w:shd w:val="clear" w:color="auto" w:fill="AB2328"/>
            <w:noWrap/>
            <w:vAlign w:val="bottom"/>
            <w:hideMark/>
          </w:tcPr>
          <w:p w14:paraId="49B153AD"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£000</w:t>
            </w:r>
          </w:p>
        </w:tc>
        <w:tc>
          <w:tcPr>
            <w:tcW w:w="2529" w:type="pct"/>
            <w:tcBorders>
              <w:top w:val="nil"/>
              <w:left w:val="nil"/>
              <w:bottom w:val="nil"/>
              <w:right w:val="nil"/>
            </w:tcBorders>
            <w:shd w:val="clear" w:color="auto" w:fill="AB2328"/>
            <w:vAlign w:val="bottom"/>
            <w:hideMark/>
          </w:tcPr>
          <w:p w14:paraId="32E3E3DF" w14:textId="77777777" w:rsidR="0008685D" w:rsidRPr="0008685D" w:rsidRDefault="0008685D" w:rsidP="0008685D">
            <w:pPr>
              <w:spacing w:line="240" w:lineRule="auto"/>
              <w:jc w:val="lef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 </w:t>
            </w:r>
          </w:p>
        </w:tc>
        <w:tc>
          <w:tcPr>
            <w:tcW w:w="599" w:type="pct"/>
            <w:tcBorders>
              <w:top w:val="nil"/>
              <w:left w:val="nil"/>
              <w:bottom w:val="nil"/>
              <w:right w:val="nil"/>
            </w:tcBorders>
            <w:shd w:val="clear" w:color="auto" w:fill="AB2328"/>
            <w:noWrap/>
            <w:vAlign w:val="bottom"/>
            <w:hideMark/>
          </w:tcPr>
          <w:p w14:paraId="6BA9BB8C"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£000</w:t>
            </w:r>
          </w:p>
        </w:tc>
        <w:tc>
          <w:tcPr>
            <w:tcW w:w="636" w:type="pct"/>
            <w:tcBorders>
              <w:top w:val="nil"/>
              <w:left w:val="nil"/>
              <w:bottom w:val="nil"/>
              <w:right w:val="nil"/>
            </w:tcBorders>
            <w:shd w:val="clear" w:color="auto" w:fill="AB2328"/>
            <w:noWrap/>
            <w:vAlign w:val="bottom"/>
            <w:hideMark/>
          </w:tcPr>
          <w:p w14:paraId="698CEC62" w14:textId="77777777" w:rsidR="0008685D" w:rsidRPr="0008685D" w:rsidRDefault="0008685D" w:rsidP="0008685D">
            <w:pPr>
              <w:spacing w:line="240" w:lineRule="auto"/>
              <w:jc w:val="right"/>
              <w:rPr>
                <w:rFonts w:ascii="Calibri" w:eastAsia="Times New Roman" w:hAnsi="Calibri" w:cs="Calibri"/>
                <w:b/>
                <w:bCs/>
                <w:color w:val="FFFFFF"/>
                <w:lang w:eastAsia="en-GB"/>
              </w:rPr>
            </w:pPr>
            <w:r w:rsidRPr="0008685D">
              <w:rPr>
                <w:rFonts w:ascii="Calibri" w:eastAsia="Times New Roman" w:hAnsi="Calibri" w:cs="Calibri"/>
                <w:b/>
                <w:bCs/>
                <w:color w:val="FFFFFF"/>
                <w:lang w:eastAsia="en-GB"/>
              </w:rPr>
              <w:t>£000</w:t>
            </w:r>
          </w:p>
        </w:tc>
      </w:tr>
      <w:tr w:rsidR="0008685D" w:rsidRPr="0008685D" w14:paraId="23C9C1A5" w14:textId="77777777" w:rsidTr="148FF933">
        <w:trPr>
          <w:trHeight w:val="290"/>
        </w:trPr>
        <w:tc>
          <w:tcPr>
            <w:tcW w:w="599" w:type="pct"/>
            <w:tcBorders>
              <w:top w:val="nil"/>
              <w:left w:val="nil"/>
              <w:bottom w:val="nil"/>
              <w:right w:val="nil"/>
            </w:tcBorders>
            <w:shd w:val="clear" w:color="auto" w:fill="FFFFFF" w:themeFill="background1"/>
            <w:vAlign w:val="bottom"/>
            <w:hideMark/>
          </w:tcPr>
          <w:p w14:paraId="0AC2B5CB" w14:textId="77777777" w:rsidR="0008685D" w:rsidRPr="0008685D" w:rsidRDefault="0008685D" w:rsidP="0008685D">
            <w:pPr>
              <w:spacing w:line="240" w:lineRule="auto"/>
              <w:jc w:val="right"/>
              <w:rPr>
                <w:rFonts w:ascii="Calibri" w:eastAsia="Times New Roman" w:hAnsi="Calibri" w:cs="Calibri"/>
                <w:b/>
                <w:bCs/>
                <w:color w:val="000000"/>
                <w:lang w:eastAsia="en-GB"/>
              </w:rPr>
            </w:pPr>
            <w:r w:rsidRPr="0008685D">
              <w:rPr>
                <w:rFonts w:ascii="Calibri" w:eastAsia="Times New Roman" w:hAnsi="Calibri" w:cs="Calibri"/>
                <w:b/>
                <w:bCs/>
                <w:color w:val="000000"/>
                <w:lang w:eastAsia="en-GB"/>
              </w:rPr>
              <w:t> </w:t>
            </w:r>
          </w:p>
        </w:tc>
        <w:tc>
          <w:tcPr>
            <w:tcW w:w="636" w:type="pct"/>
            <w:tcBorders>
              <w:top w:val="nil"/>
              <w:left w:val="nil"/>
              <w:bottom w:val="nil"/>
              <w:right w:val="nil"/>
            </w:tcBorders>
            <w:shd w:val="clear" w:color="auto" w:fill="FFFFFF" w:themeFill="background1"/>
            <w:noWrap/>
            <w:vAlign w:val="bottom"/>
            <w:hideMark/>
          </w:tcPr>
          <w:p w14:paraId="6AC4D7FA" w14:textId="77777777" w:rsidR="0008685D" w:rsidRPr="0008685D" w:rsidRDefault="0008685D" w:rsidP="0008685D">
            <w:pPr>
              <w:spacing w:line="240" w:lineRule="auto"/>
              <w:jc w:val="right"/>
              <w:rPr>
                <w:rFonts w:ascii="Calibri" w:eastAsia="Times New Roman" w:hAnsi="Calibri" w:cs="Calibri"/>
                <w:b/>
                <w:bCs/>
                <w:color w:val="000000"/>
                <w:lang w:eastAsia="en-GB"/>
              </w:rPr>
            </w:pPr>
            <w:r w:rsidRPr="0008685D">
              <w:rPr>
                <w:rFonts w:ascii="Calibri" w:eastAsia="Times New Roman" w:hAnsi="Calibri" w:cs="Calibri"/>
                <w:b/>
                <w:bCs/>
                <w:color w:val="000000"/>
                <w:lang w:eastAsia="en-GB"/>
              </w:rPr>
              <w:t> </w:t>
            </w:r>
          </w:p>
        </w:tc>
        <w:tc>
          <w:tcPr>
            <w:tcW w:w="2529" w:type="pct"/>
            <w:tcBorders>
              <w:top w:val="nil"/>
              <w:left w:val="nil"/>
              <w:bottom w:val="nil"/>
              <w:right w:val="nil"/>
            </w:tcBorders>
            <w:shd w:val="clear" w:color="auto" w:fill="FFFFFF" w:themeFill="background1"/>
            <w:noWrap/>
            <w:vAlign w:val="bottom"/>
            <w:hideMark/>
          </w:tcPr>
          <w:p w14:paraId="1C9E8A9B" w14:textId="77777777" w:rsidR="0008685D" w:rsidRPr="0008685D" w:rsidRDefault="0008685D" w:rsidP="0008685D">
            <w:pPr>
              <w:spacing w:line="240" w:lineRule="auto"/>
              <w:jc w:val="left"/>
              <w:rPr>
                <w:rFonts w:ascii="Calibri" w:eastAsia="Times New Roman" w:hAnsi="Calibri" w:cs="Calibri"/>
                <w:b/>
                <w:bCs/>
                <w:lang w:eastAsia="en-GB"/>
              </w:rPr>
            </w:pPr>
            <w:proofErr w:type="spellStart"/>
            <w:r w:rsidRPr="0008685D">
              <w:rPr>
                <w:rFonts w:ascii="Calibri" w:eastAsia="Times New Roman" w:hAnsi="Calibri" w:cs="Calibri"/>
                <w:b/>
                <w:bCs/>
                <w:lang w:eastAsia="en-GB"/>
              </w:rPr>
              <w:t>Non financial</w:t>
            </w:r>
            <w:proofErr w:type="spellEnd"/>
            <w:r w:rsidRPr="0008685D">
              <w:rPr>
                <w:rFonts w:ascii="Calibri" w:eastAsia="Times New Roman" w:hAnsi="Calibri" w:cs="Calibri"/>
                <w:b/>
                <w:bCs/>
                <w:lang w:eastAsia="en-GB"/>
              </w:rPr>
              <w:t xml:space="preserve"> </w:t>
            </w:r>
            <w:proofErr w:type="gramStart"/>
            <w:r w:rsidRPr="0008685D">
              <w:rPr>
                <w:rFonts w:ascii="Calibri" w:eastAsia="Times New Roman" w:hAnsi="Calibri" w:cs="Calibri"/>
                <w:b/>
                <w:bCs/>
                <w:lang w:eastAsia="en-GB"/>
              </w:rPr>
              <w:t>instrument  assets</w:t>
            </w:r>
            <w:proofErr w:type="gramEnd"/>
            <w:r w:rsidRPr="0008685D">
              <w:rPr>
                <w:rFonts w:ascii="Calibri" w:eastAsia="Times New Roman" w:hAnsi="Calibri" w:cs="Calibri"/>
                <w:b/>
                <w:bCs/>
                <w:lang w:eastAsia="en-GB"/>
              </w:rPr>
              <w:t xml:space="preserve"> at amortised cost</w:t>
            </w:r>
          </w:p>
        </w:tc>
        <w:tc>
          <w:tcPr>
            <w:tcW w:w="599" w:type="pct"/>
            <w:tcBorders>
              <w:top w:val="nil"/>
              <w:left w:val="nil"/>
              <w:bottom w:val="nil"/>
              <w:right w:val="nil"/>
            </w:tcBorders>
            <w:shd w:val="clear" w:color="auto" w:fill="FFE1E1"/>
            <w:noWrap/>
            <w:vAlign w:val="bottom"/>
            <w:hideMark/>
          </w:tcPr>
          <w:p w14:paraId="09382EA9"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c>
          <w:tcPr>
            <w:tcW w:w="636" w:type="pct"/>
            <w:tcBorders>
              <w:top w:val="nil"/>
              <w:left w:val="nil"/>
              <w:bottom w:val="nil"/>
              <w:right w:val="nil"/>
            </w:tcBorders>
            <w:shd w:val="clear" w:color="auto" w:fill="FFE1E1"/>
            <w:noWrap/>
            <w:vAlign w:val="bottom"/>
            <w:hideMark/>
          </w:tcPr>
          <w:p w14:paraId="4B62AE69"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r>
      <w:tr w:rsidR="0008685D" w:rsidRPr="0008685D" w14:paraId="11011E8B" w14:textId="77777777" w:rsidTr="148FF933">
        <w:trPr>
          <w:trHeight w:val="290"/>
        </w:trPr>
        <w:tc>
          <w:tcPr>
            <w:tcW w:w="599" w:type="pct"/>
            <w:tcBorders>
              <w:top w:val="nil"/>
              <w:left w:val="nil"/>
              <w:bottom w:val="nil"/>
              <w:right w:val="nil"/>
            </w:tcBorders>
            <w:shd w:val="clear" w:color="auto" w:fill="FFFFFF" w:themeFill="background1"/>
            <w:noWrap/>
            <w:vAlign w:val="bottom"/>
            <w:hideMark/>
          </w:tcPr>
          <w:p w14:paraId="0E16A612"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FFFF" w:themeFill="background1"/>
            <w:noWrap/>
            <w:vAlign w:val="bottom"/>
            <w:hideMark/>
          </w:tcPr>
          <w:p w14:paraId="15EDACD3"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415</w:t>
            </w:r>
          </w:p>
        </w:tc>
        <w:tc>
          <w:tcPr>
            <w:tcW w:w="2529" w:type="pct"/>
            <w:tcBorders>
              <w:top w:val="nil"/>
              <w:left w:val="nil"/>
              <w:bottom w:val="nil"/>
              <w:right w:val="nil"/>
            </w:tcBorders>
            <w:shd w:val="clear" w:color="auto" w:fill="FFFFFF" w:themeFill="background1"/>
            <w:vAlign w:val="bottom"/>
            <w:hideMark/>
          </w:tcPr>
          <w:p w14:paraId="5A0BDB8A" w14:textId="77777777" w:rsidR="0008685D" w:rsidRPr="0008685D" w:rsidRDefault="0008685D" w:rsidP="0008685D">
            <w:pPr>
              <w:spacing w:line="240" w:lineRule="auto"/>
              <w:jc w:val="left"/>
              <w:rPr>
                <w:rFonts w:ascii="Calibri" w:eastAsia="Times New Roman" w:hAnsi="Calibri" w:cs="Calibri"/>
                <w:lang w:eastAsia="en-GB"/>
              </w:rPr>
            </w:pPr>
            <w:r w:rsidRPr="0008685D">
              <w:rPr>
                <w:rFonts w:ascii="Calibri" w:eastAsia="Times New Roman" w:hAnsi="Calibri" w:cs="Calibri"/>
                <w:lang w:eastAsia="en-GB"/>
              </w:rPr>
              <w:t>Payments in Advance (Debtor)</w:t>
            </w:r>
          </w:p>
        </w:tc>
        <w:tc>
          <w:tcPr>
            <w:tcW w:w="599" w:type="pct"/>
            <w:tcBorders>
              <w:top w:val="nil"/>
              <w:left w:val="nil"/>
              <w:bottom w:val="nil"/>
              <w:right w:val="nil"/>
            </w:tcBorders>
            <w:shd w:val="clear" w:color="auto" w:fill="FFE1E1"/>
            <w:vAlign w:val="bottom"/>
            <w:hideMark/>
          </w:tcPr>
          <w:p w14:paraId="13F22284"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E1E1"/>
            <w:noWrap/>
            <w:vAlign w:val="bottom"/>
            <w:hideMark/>
          </w:tcPr>
          <w:p w14:paraId="4B22CC36"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752</w:t>
            </w:r>
          </w:p>
        </w:tc>
      </w:tr>
      <w:tr w:rsidR="0008685D" w:rsidRPr="0008685D" w14:paraId="0D260147" w14:textId="77777777" w:rsidTr="148FF933">
        <w:trPr>
          <w:trHeight w:val="290"/>
        </w:trPr>
        <w:tc>
          <w:tcPr>
            <w:tcW w:w="599" w:type="pct"/>
            <w:tcBorders>
              <w:top w:val="nil"/>
              <w:left w:val="nil"/>
              <w:bottom w:val="nil"/>
              <w:right w:val="nil"/>
            </w:tcBorders>
            <w:shd w:val="clear" w:color="auto" w:fill="FFFFFF" w:themeFill="background1"/>
            <w:noWrap/>
            <w:vAlign w:val="bottom"/>
            <w:hideMark/>
          </w:tcPr>
          <w:p w14:paraId="72FD75B0"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FFFF" w:themeFill="background1"/>
            <w:noWrap/>
            <w:vAlign w:val="bottom"/>
            <w:hideMark/>
          </w:tcPr>
          <w:p w14:paraId="0098CDD0"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4,290</w:t>
            </w:r>
          </w:p>
        </w:tc>
        <w:tc>
          <w:tcPr>
            <w:tcW w:w="2529" w:type="pct"/>
            <w:tcBorders>
              <w:top w:val="nil"/>
              <w:left w:val="nil"/>
              <w:bottom w:val="nil"/>
              <w:right w:val="nil"/>
            </w:tcBorders>
            <w:shd w:val="clear" w:color="auto" w:fill="FFFFFF" w:themeFill="background1"/>
            <w:vAlign w:val="bottom"/>
            <w:hideMark/>
          </w:tcPr>
          <w:p w14:paraId="011C5532" w14:textId="77777777" w:rsidR="0008685D" w:rsidRPr="0008685D" w:rsidRDefault="0008685D" w:rsidP="0008685D">
            <w:pPr>
              <w:spacing w:line="240" w:lineRule="auto"/>
              <w:jc w:val="left"/>
              <w:rPr>
                <w:rFonts w:ascii="Calibri" w:eastAsia="Times New Roman" w:hAnsi="Calibri" w:cs="Calibri"/>
                <w:lang w:eastAsia="en-GB"/>
              </w:rPr>
            </w:pPr>
            <w:r w:rsidRPr="0008685D">
              <w:rPr>
                <w:rFonts w:ascii="Calibri" w:eastAsia="Times New Roman" w:hAnsi="Calibri" w:cs="Calibri"/>
                <w:lang w:eastAsia="en-GB"/>
              </w:rPr>
              <w:t>Statutory obligations</w:t>
            </w:r>
          </w:p>
        </w:tc>
        <w:tc>
          <w:tcPr>
            <w:tcW w:w="599" w:type="pct"/>
            <w:tcBorders>
              <w:top w:val="nil"/>
              <w:left w:val="nil"/>
              <w:bottom w:val="nil"/>
              <w:right w:val="nil"/>
            </w:tcBorders>
            <w:shd w:val="clear" w:color="auto" w:fill="FFE1E1"/>
            <w:vAlign w:val="bottom"/>
            <w:hideMark/>
          </w:tcPr>
          <w:p w14:paraId="36FD0E39"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E1E1"/>
            <w:noWrap/>
            <w:vAlign w:val="bottom"/>
            <w:hideMark/>
          </w:tcPr>
          <w:p w14:paraId="25176262" w14:textId="233DA95C" w:rsidR="0008685D" w:rsidRPr="0008685D" w:rsidRDefault="2B2AFD60" w:rsidP="0008685D">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5,299</w:t>
            </w:r>
          </w:p>
        </w:tc>
      </w:tr>
      <w:tr w:rsidR="0008685D" w:rsidRPr="0008685D" w14:paraId="2A1707DA" w14:textId="77777777" w:rsidTr="148FF933">
        <w:trPr>
          <w:trHeight w:val="290"/>
        </w:trPr>
        <w:tc>
          <w:tcPr>
            <w:tcW w:w="599" w:type="pct"/>
            <w:tcBorders>
              <w:top w:val="nil"/>
              <w:left w:val="nil"/>
              <w:bottom w:val="nil"/>
              <w:right w:val="nil"/>
            </w:tcBorders>
            <w:shd w:val="clear" w:color="auto" w:fill="FFFFFF" w:themeFill="background1"/>
            <w:noWrap/>
            <w:vAlign w:val="bottom"/>
            <w:hideMark/>
          </w:tcPr>
          <w:p w14:paraId="060BB2B3"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FFFF" w:themeFill="background1"/>
            <w:noWrap/>
            <w:vAlign w:val="bottom"/>
            <w:hideMark/>
          </w:tcPr>
          <w:p w14:paraId="09D32F75"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(1,212)</w:t>
            </w:r>
          </w:p>
        </w:tc>
        <w:tc>
          <w:tcPr>
            <w:tcW w:w="2529" w:type="pct"/>
            <w:tcBorders>
              <w:top w:val="nil"/>
              <w:left w:val="nil"/>
              <w:bottom w:val="nil"/>
              <w:right w:val="nil"/>
            </w:tcBorders>
            <w:shd w:val="clear" w:color="auto" w:fill="FFFFFF" w:themeFill="background1"/>
            <w:vAlign w:val="bottom"/>
            <w:hideMark/>
          </w:tcPr>
          <w:p w14:paraId="05D05859" w14:textId="77777777" w:rsidR="0008685D" w:rsidRPr="0008685D" w:rsidRDefault="0008685D" w:rsidP="0008685D">
            <w:pPr>
              <w:spacing w:line="240" w:lineRule="auto"/>
              <w:jc w:val="left"/>
              <w:rPr>
                <w:rFonts w:ascii="Calibri" w:eastAsia="Times New Roman" w:hAnsi="Calibri" w:cs="Calibri"/>
                <w:lang w:eastAsia="en-GB"/>
              </w:rPr>
            </w:pPr>
            <w:r w:rsidRPr="0008685D">
              <w:rPr>
                <w:rFonts w:ascii="Calibri" w:eastAsia="Times New Roman" w:hAnsi="Calibri" w:cs="Calibri"/>
                <w:lang w:eastAsia="en-GB"/>
              </w:rPr>
              <w:t>Bad debt provision</w:t>
            </w:r>
          </w:p>
        </w:tc>
        <w:tc>
          <w:tcPr>
            <w:tcW w:w="599" w:type="pct"/>
            <w:tcBorders>
              <w:top w:val="nil"/>
              <w:left w:val="nil"/>
              <w:bottom w:val="nil"/>
              <w:right w:val="nil"/>
            </w:tcBorders>
            <w:shd w:val="clear" w:color="auto" w:fill="FFE1E1"/>
            <w:vAlign w:val="bottom"/>
            <w:hideMark/>
          </w:tcPr>
          <w:p w14:paraId="24DA14B1"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E1E1"/>
            <w:noWrap/>
            <w:vAlign w:val="bottom"/>
            <w:hideMark/>
          </w:tcPr>
          <w:p w14:paraId="5D589348" w14:textId="7C22AFD5" w:rsidR="0008685D" w:rsidRPr="0008685D" w:rsidRDefault="155A0E88" w:rsidP="0008685D">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(1,</w:t>
            </w:r>
            <w:r w:rsidR="514A8F1A" w:rsidRPr="148FF933">
              <w:rPr>
                <w:rFonts w:ascii="Calibri" w:eastAsia="Times New Roman" w:hAnsi="Calibri" w:cs="Calibri"/>
                <w:color w:val="000000" w:themeColor="text1"/>
                <w:lang w:eastAsia="en-GB"/>
              </w:rPr>
              <w:t>367</w:t>
            </w:r>
            <w:r w:rsidRPr="148FF933">
              <w:rPr>
                <w:rFonts w:ascii="Calibri" w:eastAsia="Times New Roman" w:hAnsi="Calibri" w:cs="Calibri"/>
                <w:color w:val="000000" w:themeColor="text1"/>
                <w:lang w:eastAsia="en-GB"/>
              </w:rPr>
              <w:t>)</w:t>
            </w:r>
          </w:p>
        </w:tc>
      </w:tr>
      <w:tr w:rsidR="0008685D" w:rsidRPr="0008685D" w14:paraId="16A29898" w14:textId="77777777" w:rsidTr="148FF933">
        <w:trPr>
          <w:trHeight w:val="290"/>
        </w:trPr>
        <w:tc>
          <w:tcPr>
            <w:tcW w:w="599" w:type="pct"/>
            <w:tcBorders>
              <w:top w:val="single" w:sz="4" w:space="0" w:color="auto"/>
              <w:left w:val="nil"/>
              <w:bottom w:val="single" w:sz="4" w:space="0" w:color="auto"/>
              <w:right w:val="nil"/>
            </w:tcBorders>
            <w:shd w:val="clear" w:color="auto" w:fill="FFFFFF" w:themeFill="background1"/>
            <w:noWrap/>
            <w:vAlign w:val="bottom"/>
            <w:hideMark/>
          </w:tcPr>
          <w:p w14:paraId="5094EFBD"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w:t>
            </w:r>
          </w:p>
        </w:tc>
        <w:tc>
          <w:tcPr>
            <w:tcW w:w="636" w:type="pct"/>
            <w:tcBorders>
              <w:top w:val="single" w:sz="4" w:space="0" w:color="auto"/>
              <w:left w:val="nil"/>
              <w:bottom w:val="single" w:sz="4" w:space="0" w:color="auto"/>
              <w:right w:val="nil"/>
            </w:tcBorders>
            <w:shd w:val="clear" w:color="auto" w:fill="FFFFFF" w:themeFill="background1"/>
            <w:noWrap/>
            <w:vAlign w:val="bottom"/>
            <w:hideMark/>
          </w:tcPr>
          <w:p w14:paraId="7CBE12AD"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3,494</w:t>
            </w:r>
          </w:p>
        </w:tc>
        <w:tc>
          <w:tcPr>
            <w:tcW w:w="2529" w:type="pct"/>
            <w:tcBorders>
              <w:top w:val="single" w:sz="4" w:space="0" w:color="auto"/>
              <w:left w:val="nil"/>
              <w:bottom w:val="single" w:sz="4" w:space="0" w:color="auto"/>
              <w:right w:val="nil"/>
            </w:tcBorders>
            <w:shd w:val="clear" w:color="auto" w:fill="FFFFFF" w:themeFill="background1"/>
            <w:vAlign w:val="bottom"/>
            <w:hideMark/>
          </w:tcPr>
          <w:p w14:paraId="22DF8211" w14:textId="77777777" w:rsidR="0008685D" w:rsidRPr="0008685D" w:rsidRDefault="0008685D" w:rsidP="0008685D">
            <w:pPr>
              <w:spacing w:line="240" w:lineRule="auto"/>
              <w:jc w:val="left"/>
              <w:rPr>
                <w:rFonts w:ascii="Calibri" w:eastAsia="Times New Roman" w:hAnsi="Calibri" w:cs="Calibri"/>
                <w:b/>
                <w:bCs/>
                <w:lang w:eastAsia="en-GB"/>
              </w:rPr>
            </w:pPr>
            <w:r w:rsidRPr="0008685D">
              <w:rPr>
                <w:rFonts w:ascii="Calibri" w:eastAsia="Times New Roman" w:hAnsi="Calibri" w:cs="Calibri"/>
                <w:b/>
                <w:bCs/>
                <w:lang w:eastAsia="en-GB"/>
              </w:rPr>
              <w:t xml:space="preserve">Total </w:t>
            </w:r>
            <w:proofErr w:type="spellStart"/>
            <w:r w:rsidRPr="0008685D">
              <w:rPr>
                <w:rFonts w:ascii="Calibri" w:eastAsia="Times New Roman" w:hAnsi="Calibri" w:cs="Calibri"/>
                <w:b/>
                <w:bCs/>
                <w:lang w:eastAsia="en-GB"/>
              </w:rPr>
              <w:t>Non Financial</w:t>
            </w:r>
            <w:proofErr w:type="spellEnd"/>
            <w:r w:rsidRPr="0008685D">
              <w:rPr>
                <w:rFonts w:ascii="Calibri" w:eastAsia="Times New Roman" w:hAnsi="Calibri" w:cs="Calibri"/>
                <w:b/>
                <w:bCs/>
                <w:lang w:eastAsia="en-GB"/>
              </w:rPr>
              <w:t xml:space="preserve"> Instrument Assets</w:t>
            </w:r>
          </w:p>
        </w:tc>
        <w:tc>
          <w:tcPr>
            <w:tcW w:w="599" w:type="pct"/>
            <w:tcBorders>
              <w:top w:val="single" w:sz="4" w:space="0" w:color="auto"/>
              <w:left w:val="nil"/>
              <w:bottom w:val="single" w:sz="4" w:space="0" w:color="auto"/>
              <w:right w:val="nil"/>
            </w:tcBorders>
            <w:shd w:val="clear" w:color="auto" w:fill="FFE1E1"/>
            <w:noWrap/>
            <w:vAlign w:val="bottom"/>
            <w:hideMark/>
          </w:tcPr>
          <w:p w14:paraId="738D8C88"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w:t>
            </w:r>
          </w:p>
        </w:tc>
        <w:tc>
          <w:tcPr>
            <w:tcW w:w="636" w:type="pct"/>
            <w:tcBorders>
              <w:top w:val="single" w:sz="4" w:space="0" w:color="auto"/>
              <w:left w:val="nil"/>
              <w:bottom w:val="single" w:sz="4" w:space="0" w:color="auto"/>
              <w:right w:val="nil"/>
            </w:tcBorders>
            <w:shd w:val="clear" w:color="auto" w:fill="FFE1E1"/>
            <w:noWrap/>
            <w:vAlign w:val="bottom"/>
            <w:hideMark/>
          </w:tcPr>
          <w:p w14:paraId="18552CC1" w14:textId="0D53E1F0" w:rsidR="0008685D" w:rsidRPr="0008685D" w:rsidRDefault="02220807" w:rsidP="0008685D">
            <w:pPr>
              <w:spacing w:line="240" w:lineRule="auto"/>
              <w:jc w:val="right"/>
              <w:rPr>
                <w:rFonts w:ascii="Calibri" w:eastAsia="Times New Roman" w:hAnsi="Calibri" w:cs="Calibri"/>
                <w:b/>
                <w:bCs/>
                <w:lang w:eastAsia="en-GB"/>
              </w:rPr>
            </w:pPr>
            <w:r w:rsidRPr="148FF933">
              <w:rPr>
                <w:rFonts w:ascii="Calibri" w:eastAsia="Times New Roman" w:hAnsi="Calibri" w:cs="Calibri"/>
                <w:b/>
                <w:bCs/>
                <w:lang w:eastAsia="en-GB"/>
              </w:rPr>
              <w:t>4,684</w:t>
            </w:r>
          </w:p>
        </w:tc>
      </w:tr>
      <w:tr w:rsidR="0008685D" w:rsidRPr="0008685D" w14:paraId="5FE69DE8" w14:textId="77777777" w:rsidTr="148FF933">
        <w:trPr>
          <w:trHeight w:val="290"/>
        </w:trPr>
        <w:tc>
          <w:tcPr>
            <w:tcW w:w="599" w:type="pct"/>
            <w:tcBorders>
              <w:top w:val="nil"/>
              <w:left w:val="nil"/>
              <w:bottom w:val="nil"/>
              <w:right w:val="nil"/>
            </w:tcBorders>
            <w:shd w:val="clear" w:color="auto" w:fill="FFFFFF" w:themeFill="background1"/>
            <w:vAlign w:val="bottom"/>
            <w:hideMark/>
          </w:tcPr>
          <w:p w14:paraId="76C4C6B3"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c>
          <w:tcPr>
            <w:tcW w:w="636" w:type="pct"/>
            <w:tcBorders>
              <w:top w:val="nil"/>
              <w:left w:val="nil"/>
              <w:bottom w:val="nil"/>
              <w:right w:val="nil"/>
            </w:tcBorders>
            <w:shd w:val="clear" w:color="auto" w:fill="FFFFFF" w:themeFill="background1"/>
            <w:vAlign w:val="bottom"/>
            <w:hideMark/>
          </w:tcPr>
          <w:p w14:paraId="7607A5CE"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c>
          <w:tcPr>
            <w:tcW w:w="2529" w:type="pct"/>
            <w:tcBorders>
              <w:top w:val="nil"/>
              <w:left w:val="nil"/>
              <w:bottom w:val="nil"/>
              <w:right w:val="nil"/>
            </w:tcBorders>
            <w:shd w:val="clear" w:color="auto" w:fill="FFFFFF" w:themeFill="background1"/>
            <w:vAlign w:val="bottom"/>
            <w:hideMark/>
          </w:tcPr>
          <w:p w14:paraId="1E70B584" w14:textId="77777777" w:rsidR="0008685D" w:rsidRPr="0008685D" w:rsidRDefault="0008685D" w:rsidP="0008685D">
            <w:pPr>
              <w:spacing w:line="240" w:lineRule="auto"/>
              <w:jc w:val="left"/>
              <w:rPr>
                <w:rFonts w:ascii="Calibri" w:eastAsia="Times New Roman" w:hAnsi="Calibri" w:cs="Calibri"/>
                <w:b/>
                <w:bCs/>
                <w:lang w:eastAsia="en-GB"/>
              </w:rPr>
            </w:pPr>
            <w:proofErr w:type="spellStart"/>
            <w:proofErr w:type="gramStart"/>
            <w:r w:rsidRPr="0008685D">
              <w:rPr>
                <w:rFonts w:ascii="Calibri" w:eastAsia="Times New Roman" w:hAnsi="Calibri" w:cs="Calibri"/>
                <w:b/>
                <w:bCs/>
                <w:lang w:eastAsia="en-GB"/>
              </w:rPr>
              <w:t>Non financial</w:t>
            </w:r>
            <w:proofErr w:type="spellEnd"/>
            <w:proofErr w:type="gramEnd"/>
            <w:r w:rsidRPr="0008685D">
              <w:rPr>
                <w:rFonts w:ascii="Calibri" w:eastAsia="Times New Roman" w:hAnsi="Calibri" w:cs="Calibri"/>
                <w:b/>
                <w:bCs/>
                <w:lang w:eastAsia="en-GB"/>
              </w:rPr>
              <w:t xml:space="preserve"> instrument liabilities at amortised cost</w:t>
            </w:r>
          </w:p>
        </w:tc>
        <w:tc>
          <w:tcPr>
            <w:tcW w:w="599" w:type="pct"/>
            <w:tcBorders>
              <w:top w:val="nil"/>
              <w:left w:val="nil"/>
              <w:bottom w:val="nil"/>
              <w:right w:val="nil"/>
            </w:tcBorders>
            <w:shd w:val="clear" w:color="auto" w:fill="FFE1E1"/>
            <w:vAlign w:val="bottom"/>
            <w:hideMark/>
          </w:tcPr>
          <w:p w14:paraId="64F04F29"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c>
          <w:tcPr>
            <w:tcW w:w="636" w:type="pct"/>
            <w:tcBorders>
              <w:top w:val="nil"/>
              <w:left w:val="nil"/>
              <w:bottom w:val="nil"/>
              <w:right w:val="nil"/>
            </w:tcBorders>
            <w:shd w:val="clear" w:color="auto" w:fill="FFE1E1"/>
            <w:vAlign w:val="bottom"/>
            <w:hideMark/>
          </w:tcPr>
          <w:p w14:paraId="7219B94C"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 </w:t>
            </w:r>
          </w:p>
        </w:tc>
      </w:tr>
      <w:tr w:rsidR="0008685D" w:rsidRPr="0008685D" w14:paraId="037A420C" w14:textId="77777777" w:rsidTr="148FF933">
        <w:trPr>
          <w:trHeight w:val="290"/>
        </w:trPr>
        <w:tc>
          <w:tcPr>
            <w:tcW w:w="599" w:type="pct"/>
            <w:tcBorders>
              <w:top w:val="nil"/>
              <w:left w:val="nil"/>
              <w:bottom w:val="nil"/>
              <w:right w:val="nil"/>
            </w:tcBorders>
            <w:shd w:val="clear" w:color="auto" w:fill="FFFFFF" w:themeFill="background1"/>
            <w:noWrap/>
            <w:vAlign w:val="bottom"/>
            <w:hideMark/>
          </w:tcPr>
          <w:p w14:paraId="2D44AC84" w14:textId="77777777" w:rsidR="0008685D" w:rsidRPr="0008685D" w:rsidRDefault="0008685D" w:rsidP="0008685D">
            <w:pPr>
              <w:spacing w:line="240" w:lineRule="auto"/>
              <w:jc w:val="right"/>
              <w:rPr>
                <w:rFonts w:ascii="Calibri" w:eastAsia="Times New Roman" w:hAnsi="Calibri" w:cs="Calibri"/>
                <w:color w:val="231F20"/>
                <w:lang w:eastAsia="en-GB"/>
              </w:rPr>
            </w:pPr>
            <w:r w:rsidRPr="0008685D">
              <w:rPr>
                <w:rFonts w:ascii="Calibri" w:eastAsia="Times New Roman" w:hAnsi="Calibri" w:cs="Calibri"/>
                <w:color w:val="231F20"/>
                <w:lang w:eastAsia="en-GB"/>
              </w:rPr>
              <w:t>-</w:t>
            </w:r>
          </w:p>
        </w:tc>
        <w:tc>
          <w:tcPr>
            <w:tcW w:w="636" w:type="pct"/>
            <w:tcBorders>
              <w:top w:val="nil"/>
              <w:left w:val="nil"/>
              <w:bottom w:val="nil"/>
              <w:right w:val="nil"/>
            </w:tcBorders>
            <w:shd w:val="clear" w:color="auto" w:fill="FFFFFF" w:themeFill="background1"/>
            <w:noWrap/>
            <w:vAlign w:val="bottom"/>
            <w:hideMark/>
          </w:tcPr>
          <w:p w14:paraId="3E9B189F"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(954)</w:t>
            </w:r>
          </w:p>
        </w:tc>
        <w:tc>
          <w:tcPr>
            <w:tcW w:w="2529" w:type="pct"/>
            <w:tcBorders>
              <w:top w:val="nil"/>
              <w:left w:val="nil"/>
              <w:bottom w:val="nil"/>
              <w:right w:val="nil"/>
            </w:tcBorders>
            <w:shd w:val="clear" w:color="auto" w:fill="FFFFFF" w:themeFill="background1"/>
            <w:vAlign w:val="bottom"/>
            <w:hideMark/>
          </w:tcPr>
          <w:p w14:paraId="5F0C6F57" w14:textId="77777777" w:rsidR="0008685D" w:rsidRPr="0008685D" w:rsidRDefault="0008685D" w:rsidP="0008685D">
            <w:pPr>
              <w:spacing w:line="240" w:lineRule="auto"/>
              <w:jc w:val="left"/>
              <w:rPr>
                <w:rFonts w:ascii="Calibri" w:eastAsia="Times New Roman" w:hAnsi="Calibri" w:cs="Calibri"/>
                <w:lang w:eastAsia="en-GB"/>
              </w:rPr>
            </w:pPr>
            <w:r w:rsidRPr="0008685D">
              <w:rPr>
                <w:rFonts w:ascii="Calibri" w:eastAsia="Times New Roman" w:hAnsi="Calibri" w:cs="Calibri"/>
                <w:lang w:eastAsia="en-GB"/>
              </w:rPr>
              <w:t>Receipts in Advance (Creditor)</w:t>
            </w:r>
          </w:p>
        </w:tc>
        <w:tc>
          <w:tcPr>
            <w:tcW w:w="599" w:type="pct"/>
            <w:tcBorders>
              <w:top w:val="nil"/>
              <w:left w:val="nil"/>
              <w:bottom w:val="nil"/>
              <w:right w:val="nil"/>
            </w:tcBorders>
            <w:shd w:val="clear" w:color="auto" w:fill="FFE1E1"/>
            <w:vAlign w:val="bottom"/>
            <w:hideMark/>
          </w:tcPr>
          <w:p w14:paraId="7B1845CD"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E1E1"/>
            <w:vAlign w:val="bottom"/>
            <w:hideMark/>
          </w:tcPr>
          <w:p w14:paraId="6D3ACA92"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(5,571)</w:t>
            </w:r>
          </w:p>
        </w:tc>
      </w:tr>
      <w:tr w:rsidR="0008685D" w:rsidRPr="0008685D" w14:paraId="47B639BC" w14:textId="77777777" w:rsidTr="148FF933">
        <w:trPr>
          <w:trHeight w:val="290"/>
        </w:trPr>
        <w:tc>
          <w:tcPr>
            <w:tcW w:w="599" w:type="pct"/>
            <w:tcBorders>
              <w:top w:val="nil"/>
              <w:left w:val="nil"/>
              <w:bottom w:val="nil"/>
              <w:right w:val="nil"/>
            </w:tcBorders>
            <w:shd w:val="clear" w:color="auto" w:fill="FFFFFF" w:themeFill="background1"/>
            <w:noWrap/>
            <w:vAlign w:val="bottom"/>
            <w:hideMark/>
          </w:tcPr>
          <w:p w14:paraId="04447558" w14:textId="77777777" w:rsidR="0008685D" w:rsidRPr="0008685D" w:rsidRDefault="0008685D" w:rsidP="0008685D">
            <w:pPr>
              <w:spacing w:line="240" w:lineRule="auto"/>
              <w:jc w:val="right"/>
              <w:rPr>
                <w:rFonts w:ascii="Calibri" w:eastAsia="Times New Roman" w:hAnsi="Calibri" w:cs="Calibri"/>
                <w:color w:val="231F20"/>
                <w:lang w:eastAsia="en-GB"/>
              </w:rPr>
            </w:pPr>
            <w:r w:rsidRPr="0008685D">
              <w:rPr>
                <w:rFonts w:ascii="Calibri" w:eastAsia="Times New Roman" w:hAnsi="Calibri" w:cs="Calibri"/>
                <w:color w:val="231F20"/>
                <w:lang w:eastAsia="en-GB"/>
              </w:rPr>
              <w:t>-</w:t>
            </w:r>
          </w:p>
        </w:tc>
        <w:tc>
          <w:tcPr>
            <w:tcW w:w="636" w:type="pct"/>
            <w:tcBorders>
              <w:top w:val="nil"/>
              <w:left w:val="nil"/>
              <w:bottom w:val="nil"/>
              <w:right w:val="nil"/>
            </w:tcBorders>
            <w:shd w:val="clear" w:color="auto" w:fill="FFFFFF" w:themeFill="background1"/>
            <w:noWrap/>
            <w:vAlign w:val="bottom"/>
            <w:hideMark/>
          </w:tcPr>
          <w:p w14:paraId="5156602C" w14:textId="53E756D8" w:rsidR="0008685D" w:rsidRPr="0008685D" w:rsidRDefault="155A0E88" w:rsidP="0008685D">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w:t>
            </w:r>
            <w:r w:rsidR="4C48217C" w:rsidRPr="148FF933">
              <w:rPr>
                <w:rFonts w:ascii="Calibri" w:eastAsia="Times New Roman" w:hAnsi="Calibri" w:cs="Calibri"/>
                <w:color w:val="000000" w:themeColor="text1"/>
                <w:lang w:eastAsia="en-GB"/>
              </w:rPr>
              <w:t>20</w:t>
            </w:r>
            <w:r w:rsidRPr="148FF933">
              <w:rPr>
                <w:rFonts w:ascii="Calibri" w:eastAsia="Times New Roman" w:hAnsi="Calibri" w:cs="Calibri"/>
                <w:color w:val="000000" w:themeColor="text1"/>
                <w:lang w:eastAsia="en-GB"/>
              </w:rPr>
              <w:t>)</w:t>
            </w:r>
          </w:p>
        </w:tc>
        <w:tc>
          <w:tcPr>
            <w:tcW w:w="2529" w:type="pct"/>
            <w:tcBorders>
              <w:top w:val="nil"/>
              <w:left w:val="nil"/>
              <w:bottom w:val="nil"/>
              <w:right w:val="nil"/>
            </w:tcBorders>
            <w:shd w:val="clear" w:color="auto" w:fill="FFFFFF" w:themeFill="background1"/>
            <w:vAlign w:val="bottom"/>
            <w:hideMark/>
          </w:tcPr>
          <w:p w14:paraId="79B46274" w14:textId="77777777" w:rsidR="0008685D" w:rsidRPr="0008685D" w:rsidRDefault="0008685D" w:rsidP="0008685D">
            <w:pPr>
              <w:spacing w:line="240" w:lineRule="auto"/>
              <w:jc w:val="left"/>
              <w:rPr>
                <w:rFonts w:ascii="Calibri" w:eastAsia="Times New Roman" w:hAnsi="Calibri" w:cs="Calibri"/>
                <w:lang w:eastAsia="en-GB"/>
              </w:rPr>
            </w:pPr>
            <w:r w:rsidRPr="0008685D">
              <w:rPr>
                <w:rFonts w:ascii="Calibri" w:eastAsia="Times New Roman" w:hAnsi="Calibri" w:cs="Calibri"/>
                <w:lang w:eastAsia="en-GB"/>
              </w:rPr>
              <w:t>Statutory obligations</w:t>
            </w:r>
          </w:p>
        </w:tc>
        <w:tc>
          <w:tcPr>
            <w:tcW w:w="599" w:type="pct"/>
            <w:tcBorders>
              <w:top w:val="nil"/>
              <w:left w:val="nil"/>
              <w:bottom w:val="nil"/>
              <w:right w:val="nil"/>
            </w:tcBorders>
            <w:shd w:val="clear" w:color="auto" w:fill="FFE1E1"/>
            <w:vAlign w:val="bottom"/>
            <w:hideMark/>
          </w:tcPr>
          <w:p w14:paraId="1832009E"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w:t>
            </w:r>
          </w:p>
        </w:tc>
        <w:tc>
          <w:tcPr>
            <w:tcW w:w="636" w:type="pct"/>
            <w:tcBorders>
              <w:top w:val="nil"/>
              <w:left w:val="nil"/>
              <w:bottom w:val="nil"/>
              <w:right w:val="nil"/>
            </w:tcBorders>
            <w:shd w:val="clear" w:color="auto" w:fill="FFE1E1"/>
            <w:vAlign w:val="bottom"/>
            <w:hideMark/>
          </w:tcPr>
          <w:p w14:paraId="514E6645" w14:textId="77777777" w:rsidR="0008685D" w:rsidRPr="0008685D" w:rsidRDefault="0008685D" w:rsidP="0008685D">
            <w:pPr>
              <w:spacing w:line="240" w:lineRule="auto"/>
              <w:jc w:val="right"/>
              <w:rPr>
                <w:rFonts w:ascii="Calibri" w:eastAsia="Times New Roman" w:hAnsi="Calibri" w:cs="Calibri"/>
                <w:color w:val="000000"/>
                <w:lang w:eastAsia="en-GB"/>
              </w:rPr>
            </w:pPr>
            <w:r w:rsidRPr="0008685D">
              <w:rPr>
                <w:rFonts w:ascii="Calibri" w:eastAsia="Times New Roman" w:hAnsi="Calibri" w:cs="Calibri"/>
                <w:color w:val="000000"/>
                <w:lang w:eastAsia="en-GB"/>
              </w:rPr>
              <w:t>(3,669)</w:t>
            </w:r>
          </w:p>
        </w:tc>
      </w:tr>
      <w:tr w:rsidR="0008685D" w:rsidRPr="0008685D" w14:paraId="0FF52C02" w14:textId="77777777" w:rsidTr="148FF933">
        <w:trPr>
          <w:trHeight w:val="290"/>
        </w:trPr>
        <w:tc>
          <w:tcPr>
            <w:tcW w:w="599" w:type="pct"/>
            <w:tcBorders>
              <w:top w:val="single" w:sz="4" w:space="0" w:color="auto"/>
              <w:left w:val="nil"/>
              <w:bottom w:val="single" w:sz="4" w:space="0" w:color="auto"/>
              <w:right w:val="nil"/>
            </w:tcBorders>
            <w:shd w:val="clear" w:color="auto" w:fill="FFFFFF" w:themeFill="background1"/>
            <w:noWrap/>
            <w:vAlign w:val="bottom"/>
            <w:hideMark/>
          </w:tcPr>
          <w:p w14:paraId="34D1C4E1"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w:t>
            </w:r>
          </w:p>
        </w:tc>
        <w:tc>
          <w:tcPr>
            <w:tcW w:w="636" w:type="pct"/>
            <w:tcBorders>
              <w:top w:val="single" w:sz="4" w:space="0" w:color="auto"/>
              <w:left w:val="nil"/>
              <w:bottom w:val="single" w:sz="4" w:space="0" w:color="auto"/>
              <w:right w:val="nil"/>
            </w:tcBorders>
            <w:shd w:val="clear" w:color="auto" w:fill="FFFFFF" w:themeFill="background1"/>
            <w:noWrap/>
            <w:vAlign w:val="bottom"/>
            <w:hideMark/>
          </w:tcPr>
          <w:p w14:paraId="6E7AAE92" w14:textId="30820645" w:rsidR="0008685D" w:rsidRPr="0008685D" w:rsidRDefault="155A0E88" w:rsidP="0008685D">
            <w:pPr>
              <w:spacing w:line="240" w:lineRule="auto"/>
              <w:jc w:val="right"/>
              <w:rPr>
                <w:rFonts w:ascii="Calibri" w:eastAsia="Times New Roman" w:hAnsi="Calibri" w:cs="Calibri"/>
                <w:b/>
                <w:bCs/>
                <w:color w:val="000000"/>
                <w:lang w:eastAsia="en-GB"/>
              </w:rPr>
            </w:pPr>
            <w:r w:rsidRPr="148FF933">
              <w:rPr>
                <w:rFonts w:ascii="Calibri" w:eastAsia="Times New Roman" w:hAnsi="Calibri" w:cs="Calibri"/>
                <w:b/>
                <w:bCs/>
                <w:color w:val="000000" w:themeColor="text1"/>
                <w:lang w:eastAsia="en-GB"/>
              </w:rPr>
              <w:t>(</w:t>
            </w:r>
            <w:r w:rsidR="4D08382F" w:rsidRPr="148FF933">
              <w:rPr>
                <w:rFonts w:ascii="Calibri" w:eastAsia="Times New Roman" w:hAnsi="Calibri" w:cs="Calibri"/>
                <w:b/>
                <w:bCs/>
                <w:color w:val="000000" w:themeColor="text1"/>
                <w:lang w:eastAsia="en-GB"/>
              </w:rPr>
              <w:t>974</w:t>
            </w:r>
            <w:r w:rsidRPr="148FF933">
              <w:rPr>
                <w:rFonts w:ascii="Calibri" w:eastAsia="Times New Roman" w:hAnsi="Calibri" w:cs="Calibri"/>
                <w:b/>
                <w:bCs/>
                <w:color w:val="000000" w:themeColor="text1"/>
                <w:lang w:eastAsia="en-GB"/>
              </w:rPr>
              <w:t>)</w:t>
            </w:r>
          </w:p>
        </w:tc>
        <w:tc>
          <w:tcPr>
            <w:tcW w:w="2529" w:type="pct"/>
            <w:tcBorders>
              <w:top w:val="single" w:sz="4" w:space="0" w:color="auto"/>
              <w:left w:val="nil"/>
              <w:bottom w:val="single" w:sz="4" w:space="0" w:color="auto"/>
              <w:right w:val="nil"/>
            </w:tcBorders>
            <w:shd w:val="clear" w:color="auto" w:fill="FFFFFF" w:themeFill="background1"/>
            <w:vAlign w:val="bottom"/>
            <w:hideMark/>
          </w:tcPr>
          <w:p w14:paraId="73881823" w14:textId="77777777" w:rsidR="0008685D" w:rsidRPr="0008685D" w:rsidRDefault="0008685D" w:rsidP="0008685D">
            <w:pPr>
              <w:spacing w:line="240" w:lineRule="auto"/>
              <w:jc w:val="left"/>
              <w:rPr>
                <w:rFonts w:ascii="Calibri" w:eastAsia="Times New Roman" w:hAnsi="Calibri" w:cs="Calibri"/>
                <w:b/>
                <w:bCs/>
                <w:lang w:eastAsia="en-GB"/>
              </w:rPr>
            </w:pPr>
            <w:r w:rsidRPr="0008685D">
              <w:rPr>
                <w:rFonts w:ascii="Calibri" w:eastAsia="Times New Roman" w:hAnsi="Calibri" w:cs="Calibri"/>
                <w:b/>
                <w:bCs/>
                <w:lang w:eastAsia="en-GB"/>
              </w:rPr>
              <w:t xml:space="preserve">Total </w:t>
            </w:r>
            <w:proofErr w:type="spellStart"/>
            <w:r w:rsidRPr="0008685D">
              <w:rPr>
                <w:rFonts w:ascii="Calibri" w:eastAsia="Times New Roman" w:hAnsi="Calibri" w:cs="Calibri"/>
                <w:b/>
                <w:bCs/>
                <w:lang w:eastAsia="en-GB"/>
              </w:rPr>
              <w:t>Non Financial</w:t>
            </w:r>
            <w:proofErr w:type="spellEnd"/>
            <w:r w:rsidRPr="0008685D">
              <w:rPr>
                <w:rFonts w:ascii="Calibri" w:eastAsia="Times New Roman" w:hAnsi="Calibri" w:cs="Calibri"/>
                <w:b/>
                <w:bCs/>
                <w:lang w:eastAsia="en-GB"/>
              </w:rPr>
              <w:t xml:space="preserve"> Instrument Liabilities</w:t>
            </w:r>
          </w:p>
        </w:tc>
        <w:tc>
          <w:tcPr>
            <w:tcW w:w="599" w:type="pct"/>
            <w:tcBorders>
              <w:top w:val="single" w:sz="4" w:space="0" w:color="auto"/>
              <w:left w:val="nil"/>
              <w:bottom w:val="single" w:sz="4" w:space="0" w:color="auto"/>
              <w:right w:val="nil"/>
            </w:tcBorders>
            <w:shd w:val="clear" w:color="auto" w:fill="FFE1E1"/>
            <w:noWrap/>
            <w:vAlign w:val="bottom"/>
            <w:hideMark/>
          </w:tcPr>
          <w:p w14:paraId="4712F5B8" w14:textId="77777777" w:rsidR="0008685D" w:rsidRPr="0008685D" w:rsidRDefault="0008685D" w:rsidP="0008685D">
            <w:pPr>
              <w:spacing w:line="240" w:lineRule="auto"/>
              <w:jc w:val="right"/>
              <w:rPr>
                <w:rFonts w:ascii="Calibri" w:eastAsia="Times New Roman" w:hAnsi="Calibri" w:cs="Calibri"/>
                <w:b/>
                <w:bCs/>
                <w:lang w:eastAsia="en-GB"/>
              </w:rPr>
            </w:pPr>
            <w:r w:rsidRPr="0008685D">
              <w:rPr>
                <w:rFonts w:ascii="Calibri" w:eastAsia="Times New Roman" w:hAnsi="Calibri" w:cs="Calibri"/>
                <w:b/>
                <w:bCs/>
                <w:lang w:eastAsia="en-GB"/>
              </w:rPr>
              <w:t>-</w:t>
            </w:r>
          </w:p>
        </w:tc>
        <w:tc>
          <w:tcPr>
            <w:tcW w:w="636" w:type="pct"/>
            <w:tcBorders>
              <w:top w:val="single" w:sz="4" w:space="0" w:color="auto"/>
              <w:left w:val="nil"/>
              <w:bottom w:val="single" w:sz="4" w:space="0" w:color="auto"/>
              <w:right w:val="nil"/>
            </w:tcBorders>
            <w:shd w:val="clear" w:color="auto" w:fill="FFE1E1"/>
            <w:noWrap/>
            <w:vAlign w:val="bottom"/>
            <w:hideMark/>
          </w:tcPr>
          <w:p w14:paraId="3D696930" w14:textId="77777777" w:rsidR="0008685D" w:rsidRPr="0008685D" w:rsidRDefault="0008685D" w:rsidP="0008685D">
            <w:pPr>
              <w:spacing w:line="240" w:lineRule="auto"/>
              <w:jc w:val="right"/>
              <w:rPr>
                <w:rFonts w:ascii="Calibri" w:eastAsia="Times New Roman" w:hAnsi="Calibri" w:cs="Calibri"/>
                <w:b/>
                <w:bCs/>
                <w:color w:val="000000"/>
                <w:lang w:eastAsia="en-GB"/>
              </w:rPr>
            </w:pPr>
            <w:r w:rsidRPr="0008685D">
              <w:rPr>
                <w:rFonts w:ascii="Calibri" w:eastAsia="Times New Roman" w:hAnsi="Calibri" w:cs="Calibri"/>
                <w:b/>
                <w:bCs/>
                <w:color w:val="000000"/>
                <w:lang w:eastAsia="en-GB"/>
              </w:rPr>
              <w:t>(9,240)</w:t>
            </w:r>
          </w:p>
        </w:tc>
      </w:tr>
    </w:tbl>
    <w:p w14:paraId="7CF0BA1F" w14:textId="495785DF" w:rsidR="00E7677C" w:rsidRDefault="00E7677C" w:rsidP="00E7677C">
      <w:pPr>
        <w:rPr>
          <w:b/>
          <w:bCs/>
          <w:sz w:val="16"/>
          <w:szCs w:val="16"/>
        </w:rPr>
      </w:pPr>
    </w:p>
    <w:p w14:paraId="59BB8909" w14:textId="432556AB" w:rsidR="00280626" w:rsidRDefault="00280626" w:rsidP="00280626">
      <w:pPr>
        <w:pStyle w:val="VAHeadingLevel2"/>
      </w:pPr>
      <w:r w:rsidRPr="005F273C">
        <w:t>Note 38.</w:t>
      </w:r>
      <w:r>
        <w:t>4</w:t>
      </w:r>
      <w:r w:rsidRPr="005F273C">
        <w:t xml:space="preserve">. </w:t>
      </w:r>
      <w:r>
        <w:t>Fair Value Hierarchy</w:t>
      </w:r>
    </w:p>
    <w:p w14:paraId="20BF4C3D" w14:textId="53F295A1" w:rsidR="00280626" w:rsidRDefault="005320EC" w:rsidP="005320EC">
      <w:r w:rsidRPr="005320EC">
        <w:t>The Authority measures fair value using the IFRS 13 hierarchy adopted by the CIPFA Code, which prioritises observable inputs. Level 1 uses quoted prices in active markets for identical items, Level 2 relies on other observable inputs such as market interest rates, and Level 3 involves significant unobservable inputs requiring management judgement. Valuation techniques maximise observable data and minimise reliance on unobservable inputs.</w:t>
      </w:r>
    </w:p>
    <w:p w14:paraId="59FBAFF5" w14:textId="77777777" w:rsidR="00280626" w:rsidRDefault="00280626" w:rsidP="00280626">
      <w:pPr>
        <w:pStyle w:val="VAHeadingLevel2"/>
      </w:pPr>
    </w:p>
    <w:tbl>
      <w:tblPr>
        <w:tblW w:w="10418" w:type="dxa"/>
        <w:tblLayout w:type="fixed"/>
        <w:tblLook w:val="04A0" w:firstRow="1" w:lastRow="0" w:firstColumn="1" w:lastColumn="0" w:noHBand="0" w:noVBand="1"/>
      </w:tblPr>
      <w:tblGrid>
        <w:gridCol w:w="1383"/>
        <w:gridCol w:w="3912"/>
        <w:gridCol w:w="1190"/>
        <w:gridCol w:w="1311"/>
        <w:gridCol w:w="1311"/>
        <w:gridCol w:w="1311"/>
      </w:tblGrid>
      <w:tr w:rsidR="003C5AC1" w:rsidRPr="006C3552" w14:paraId="4B5F153B" w14:textId="77777777" w:rsidTr="003E09CB">
        <w:trPr>
          <w:trHeight w:val="290"/>
        </w:trPr>
        <w:tc>
          <w:tcPr>
            <w:tcW w:w="1383" w:type="dxa"/>
            <w:tcBorders>
              <w:top w:val="nil"/>
              <w:left w:val="nil"/>
              <w:bottom w:val="nil"/>
              <w:right w:val="nil"/>
            </w:tcBorders>
            <w:shd w:val="clear" w:color="000000" w:fill="AB2328"/>
            <w:vAlign w:val="bottom"/>
            <w:hideMark/>
          </w:tcPr>
          <w:p w14:paraId="51968BD9"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 </w:t>
            </w:r>
          </w:p>
        </w:tc>
        <w:tc>
          <w:tcPr>
            <w:tcW w:w="3912" w:type="dxa"/>
            <w:tcBorders>
              <w:top w:val="nil"/>
              <w:left w:val="nil"/>
              <w:bottom w:val="nil"/>
              <w:right w:val="nil"/>
            </w:tcBorders>
            <w:shd w:val="clear" w:color="000000" w:fill="AB2328"/>
            <w:vAlign w:val="bottom"/>
            <w:hideMark/>
          </w:tcPr>
          <w:p w14:paraId="177FDF9F"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 </w:t>
            </w:r>
          </w:p>
        </w:tc>
        <w:tc>
          <w:tcPr>
            <w:tcW w:w="2501" w:type="dxa"/>
            <w:gridSpan w:val="2"/>
            <w:tcBorders>
              <w:top w:val="nil"/>
              <w:left w:val="nil"/>
              <w:bottom w:val="nil"/>
              <w:right w:val="nil"/>
            </w:tcBorders>
            <w:shd w:val="clear" w:color="000000" w:fill="AB2328"/>
            <w:vAlign w:val="bottom"/>
            <w:hideMark/>
          </w:tcPr>
          <w:p w14:paraId="1FB29DCC" w14:textId="6CB36391" w:rsidR="006C3552" w:rsidRPr="006C3552" w:rsidRDefault="0047317E" w:rsidP="00B45528">
            <w:pPr>
              <w:spacing w:line="240" w:lineRule="auto"/>
              <w:jc w:val="right"/>
              <w:rPr>
                <w:rFonts w:ascii="Calibri" w:eastAsia="Times New Roman" w:hAnsi="Calibri" w:cs="Calibri"/>
                <w:b/>
                <w:bCs/>
                <w:color w:val="FFFFFF"/>
                <w:lang w:eastAsia="en-GB"/>
              </w:rPr>
            </w:pPr>
            <w:r>
              <w:rPr>
                <w:rFonts w:ascii="Calibri" w:eastAsia="Times New Roman" w:hAnsi="Calibri" w:cs="Calibri"/>
                <w:b/>
                <w:bCs/>
                <w:color w:val="FFFFFF"/>
                <w:lang w:eastAsia="en-GB"/>
              </w:rPr>
              <w:t>20</w:t>
            </w:r>
            <w:r w:rsidR="006C3552" w:rsidRPr="006C3552">
              <w:rPr>
                <w:rFonts w:ascii="Calibri" w:eastAsia="Times New Roman" w:hAnsi="Calibri" w:cs="Calibri"/>
                <w:b/>
                <w:bCs/>
                <w:color w:val="FFFFFF"/>
                <w:lang w:eastAsia="en-GB"/>
              </w:rPr>
              <w:t>23/24</w:t>
            </w:r>
          </w:p>
        </w:tc>
        <w:tc>
          <w:tcPr>
            <w:tcW w:w="2622" w:type="dxa"/>
            <w:gridSpan w:val="2"/>
            <w:tcBorders>
              <w:top w:val="nil"/>
              <w:left w:val="nil"/>
              <w:bottom w:val="nil"/>
              <w:right w:val="nil"/>
            </w:tcBorders>
            <w:shd w:val="clear" w:color="000000" w:fill="AB2328"/>
            <w:vAlign w:val="bottom"/>
            <w:hideMark/>
          </w:tcPr>
          <w:p w14:paraId="225C5615" w14:textId="4138BA70" w:rsidR="006C3552" w:rsidRPr="006C3552" w:rsidRDefault="0047317E" w:rsidP="00B45528">
            <w:pPr>
              <w:spacing w:line="240" w:lineRule="auto"/>
              <w:jc w:val="right"/>
              <w:rPr>
                <w:rFonts w:ascii="Calibri" w:eastAsia="Times New Roman" w:hAnsi="Calibri" w:cs="Calibri"/>
                <w:b/>
                <w:bCs/>
                <w:color w:val="FFFFFF"/>
                <w:lang w:eastAsia="en-GB"/>
              </w:rPr>
            </w:pPr>
            <w:r>
              <w:rPr>
                <w:rFonts w:ascii="Calibri" w:eastAsia="Times New Roman" w:hAnsi="Calibri" w:cs="Calibri"/>
                <w:b/>
                <w:bCs/>
                <w:color w:val="FFFFFF"/>
                <w:lang w:eastAsia="en-GB"/>
              </w:rPr>
              <w:t>20</w:t>
            </w:r>
            <w:r w:rsidR="006C3552" w:rsidRPr="006C3552">
              <w:rPr>
                <w:rFonts w:ascii="Calibri" w:eastAsia="Times New Roman" w:hAnsi="Calibri" w:cs="Calibri"/>
                <w:b/>
                <w:bCs/>
                <w:color w:val="FFFFFF"/>
                <w:lang w:eastAsia="en-GB"/>
              </w:rPr>
              <w:t>24/25</w:t>
            </w:r>
          </w:p>
        </w:tc>
      </w:tr>
      <w:tr w:rsidR="0095242F" w:rsidRPr="006C3552" w14:paraId="6CD6848A" w14:textId="77777777" w:rsidTr="003E09CB">
        <w:trPr>
          <w:trHeight w:val="580"/>
        </w:trPr>
        <w:tc>
          <w:tcPr>
            <w:tcW w:w="1383" w:type="dxa"/>
            <w:tcBorders>
              <w:top w:val="nil"/>
              <w:left w:val="nil"/>
              <w:bottom w:val="nil"/>
              <w:right w:val="nil"/>
            </w:tcBorders>
            <w:shd w:val="clear" w:color="000000" w:fill="AB2328"/>
            <w:vAlign w:val="bottom"/>
            <w:hideMark/>
          </w:tcPr>
          <w:p w14:paraId="19BE5BB7"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 xml:space="preserve">Level in hierarchy </w:t>
            </w:r>
          </w:p>
        </w:tc>
        <w:tc>
          <w:tcPr>
            <w:tcW w:w="3912" w:type="dxa"/>
            <w:tcBorders>
              <w:top w:val="nil"/>
              <w:left w:val="nil"/>
              <w:bottom w:val="nil"/>
              <w:right w:val="nil"/>
            </w:tcBorders>
            <w:shd w:val="clear" w:color="000000" w:fill="AB2328"/>
            <w:noWrap/>
            <w:vAlign w:val="bottom"/>
            <w:hideMark/>
          </w:tcPr>
          <w:p w14:paraId="36D148CF"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 </w:t>
            </w:r>
          </w:p>
        </w:tc>
        <w:tc>
          <w:tcPr>
            <w:tcW w:w="1190" w:type="dxa"/>
            <w:tcBorders>
              <w:top w:val="nil"/>
              <w:left w:val="nil"/>
              <w:bottom w:val="nil"/>
              <w:right w:val="nil"/>
            </w:tcBorders>
            <w:shd w:val="clear" w:color="000000" w:fill="AB2328"/>
            <w:vAlign w:val="bottom"/>
            <w:hideMark/>
          </w:tcPr>
          <w:p w14:paraId="15E2F210"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Carrying amount</w:t>
            </w:r>
          </w:p>
        </w:tc>
        <w:tc>
          <w:tcPr>
            <w:tcW w:w="1311" w:type="dxa"/>
            <w:tcBorders>
              <w:top w:val="nil"/>
              <w:left w:val="nil"/>
              <w:bottom w:val="nil"/>
              <w:right w:val="nil"/>
            </w:tcBorders>
            <w:shd w:val="clear" w:color="000000" w:fill="AB2328"/>
            <w:vAlign w:val="bottom"/>
            <w:hideMark/>
          </w:tcPr>
          <w:p w14:paraId="3E6D0084"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Fair</w:t>
            </w:r>
            <w:r w:rsidRPr="006C3552">
              <w:rPr>
                <w:rFonts w:ascii="Calibri" w:eastAsia="Times New Roman" w:hAnsi="Calibri" w:cs="Calibri"/>
                <w:b/>
                <w:bCs/>
                <w:color w:val="FFFFFF"/>
                <w:lang w:eastAsia="en-GB"/>
              </w:rPr>
              <w:br/>
              <w:t>Value</w:t>
            </w:r>
          </w:p>
        </w:tc>
        <w:tc>
          <w:tcPr>
            <w:tcW w:w="1311" w:type="dxa"/>
            <w:tcBorders>
              <w:top w:val="nil"/>
              <w:left w:val="nil"/>
              <w:bottom w:val="nil"/>
              <w:right w:val="nil"/>
            </w:tcBorders>
            <w:shd w:val="clear" w:color="000000" w:fill="AB2328"/>
            <w:vAlign w:val="bottom"/>
            <w:hideMark/>
          </w:tcPr>
          <w:p w14:paraId="76B9A456"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Carrying amount</w:t>
            </w:r>
          </w:p>
        </w:tc>
        <w:tc>
          <w:tcPr>
            <w:tcW w:w="1311" w:type="dxa"/>
            <w:tcBorders>
              <w:top w:val="nil"/>
              <w:left w:val="nil"/>
              <w:bottom w:val="nil"/>
              <w:right w:val="nil"/>
            </w:tcBorders>
            <w:shd w:val="clear" w:color="000000" w:fill="AB2328"/>
            <w:vAlign w:val="bottom"/>
            <w:hideMark/>
          </w:tcPr>
          <w:p w14:paraId="4AE27605" w14:textId="77777777" w:rsidR="006C3552" w:rsidRPr="006C3552" w:rsidRDefault="006C3552" w:rsidP="00B45528">
            <w:pPr>
              <w:spacing w:line="240" w:lineRule="auto"/>
              <w:jc w:val="right"/>
              <w:rPr>
                <w:rFonts w:ascii="Calibri" w:eastAsia="Times New Roman" w:hAnsi="Calibri" w:cs="Calibri"/>
                <w:b/>
                <w:bCs/>
                <w:color w:val="FFFFFF"/>
                <w:lang w:eastAsia="en-GB"/>
              </w:rPr>
            </w:pPr>
            <w:r w:rsidRPr="006C3552">
              <w:rPr>
                <w:rFonts w:ascii="Calibri" w:eastAsia="Times New Roman" w:hAnsi="Calibri" w:cs="Calibri"/>
                <w:b/>
                <w:bCs/>
                <w:color w:val="FFFFFF"/>
                <w:lang w:eastAsia="en-GB"/>
              </w:rPr>
              <w:t>Fair</w:t>
            </w:r>
            <w:r w:rsidRPr="006C3552">
              <w:rPr>
                <w:rFonts w:ascii="Calibri" w:eastAsia="Times New Roman" w:hAnsi="Calibri" w:cs="Calibri"/>
                <w:b/>
                <w:bCs/>
                <w:color w:val="FFFFFF"/>
                <w:lang w:eastAsia="en-GB"/>
              </w:rPr>
              <w:br/>
              <w:t>value</w:t>
            </w:r>
          </w:p>
        </w:tc>
      </w:tr>
      <w:tr w:rsidR="003C5AC1" w:rsidRPr="006C3552" w14:paraId="386A6225" w14:textId="77777777" w:rsidTr="003E09CB">
        <w:trPr>
          <w:trHeight w:val="290"/>
        </w:trPr>
        <w:tc>
          <w:tcPr>
            <w:tcW w:w="1383" w:type="dxa"/>
            <w:tcBorders>
              <w:top w:val="nil"/>
              <w:left w:val="nil"/>
              <w:bottom w:val="nil"/>
              <w:right w:val="nil"/>
            </w:tcBorders>
            <w:shd w:val="clear" w:color="000000" w:fill="FFFFFF"/>
            <w:noWrap/>
            <w:vAlign w:val="bottom"/>
            <w:hideMark/>
          </w:tcPr>
          <w:p w14:paraId="7CA7A375"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 </w:t>
            </w:r>
          </w:p>
        </w:tc>
        <w:tc>
          <w:tcPr>
            <w:tcW w:w="3912" w:type="dxa"/>
            <w:tcBorders>
              <w:top w:val="nil"/>
              <w:left w:val="nil"/>
              <w:bottom w:val="nil"/>
              <w:right w:val="nil"/>
            </w:tcBorders>
            <w:shd w:val="clear" w:color="000000" w:fill="FFFFFF"/>
            <w:noWrap/>
            <w:vAlign w:val="bottom"/>
            <w:hideMark/>
          </w:tcPr>
          <w:p w14:paraId="4636AD20" w14:textId="77777777" w:rsidR="006C3552" w:rsidRPr="006C3552" w:rsidRDefault="006C3552" w:rsidP="006C3552">
            <w:pPr>
              <w:spacing w:line="240" w:lineRule="auto"/>
              <w:jc w:val="left"/>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Financial Assets at Fair Value</w:t>
            </w:r>
          </w:p>
        </w:tc>
        <w:tc>
          <w:tcPr>
            <w:tcW w:w="1190" w:type="dxa"/>
            <w:tcBorders>
              <w:top w:val="nil"/>
              <w:left w:val="nil"/>
              <w:bottom w:val="nil"/>
              <w:right w:val="nil"/>
            </w:tcBorders>
            <w:shd w:val="clear" w:color="000000" w:fill="FFFFFF"/>
            <w:noWrap/>
            <w:vAlign w:val="bottom"/>
            <w:hideMark/>
          </w:tcPr>
          <w:p w14:paraId="3A9C7493" w14:textId="77777777" w:rsidR="006C3552" w:rsidRPr="006C3552" w:rsidRDefault="006C3552" w:rsidP="006C3552">
            <w:pPr>
              <w:spacing w:line="240" w:lineRule="auto"/>
              <w:jc w:val="left"/>
              <w:rPr>
                <w:rFonts w:ascii="Calibri" w:eastAsia="Times New Roman" w:hAnsi="Calibri" w:cs="Calibri"/>
                <w:lang w:eastAsia="en-GB"/>
              </w:rPr>
            </w:pPr>
            <w:r w:rsidRPr="006C3552">
              <w:rPr>
                <w:rFonts w:ascii="Calibri" w:eastAsia="Times New Roman" w:hAnsi="Calibri" w:cs="Calibri"/>
                <w:lang w:eastAsia="en-GB"/>
              </w:rPr>
              <w:t> </w:t>
            </w:r>
          </w:p>
        </w:tc>
        <w:tc>
          <w:tcPr>
            <w:tcW w:w="1311" w:type="dxa"/>
            <w:tcBorders>
              <w:top w:val="nil"/>
              <w:left w:val="nil"/>
              <w:bottom w:val="nil"/>
              <w:right w:val="nil"/>
            </w:tcBorders>
            <w:shd w:val="clear" w:color="000000" w:fill="FFFFFF"/>
            <w:noWrap/>
            <w:vAlign w:val="bottom"/>
            <w:hideMark/>
          </w:tcPr>
          <w:p w14:paraId="1F30FDFA" w14:textId="77777777" w:rsidR="006C3552" w:rsidRPr="006C3552" w:rsidRDefault="006C3552" w:rsidP="006C3552">
            <w:pPr>
              <w:spacing w:line="240" w:lineRule="auto"/>
              <w:jc w:val="left"/>
              <w:rPr>
                <w:rFonts w:ascii="Calibri" w:eastAsia="Times New Roman" w:hAnsi="Calibri" w:cs="Calibri"/>
                <w:lang w:eastAsia="en-GB"/>
              </w:rPr>
            </w:pPr>
            <w:r w:rsidRPr="006C3552">
              <w:rPr>
                <w:rFonts w:ascii="Calibri" w:eastAsia="Times New Roman" w:hAnsi="Calibri" w:cs="Calibri"/>
                <w:lang w:eastAsia="en-GB"/>
              </w:rPr>
              <w:t> </w:t>
            </w:r>
          </w:p>
        </w:tc>
        <w:tc>
          <w:tcPr>
            <w:tcW w:w="1311" w:type="dxa"/>
            <w:tcBorders>
              <w:top w:val="nil"/>
              <w:left w:val="nil"/>
              <w:bottom w:val="nil"/>
              <w:right w:val="nil"/>
            </w:tcBorders>
            <w:shd w:val="clear" w:color="000000" w:fill="FFE1E1"/>
            <w:noWrap/>
            <w:vAlign w:val="bottom"/>
            <w:hideMark/>
          </w:tcPr>
          <w:p w14:paraId="358C19BE"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 </w:t>
            </w:r>
          </w:p>
        </w:tc>
        <w:tc>
          <w:tcPr>
            <w:tcW w:w="1311" w:type="dxa"/>
            <w:tcBorders>
              <w:top w:val="nil"/>
              <w:left w:val="nil"/>
              <w:bottom w:val="nil"/>
              <w:right w:val="nil"/>
            </w:tcBorders>
            <w:shd w:val="clear" w:color="000000" w:fill="FFE1E1"/>
            <w:noWrap/>
            <w:vAlign w:val="bottom"/>
            <w:hideMark/>
          </w:tcPr>
          <w:p w14:paraId="5AC45128" w14:textId="77777777" w:rsidR="006C3552" w:rsidRPr="006C3552" w:rsidRDefault="006C3552" w:rsidP="006C3552">
            <w:pPr>
              <w:spacing w:line="240" w:lineRule="auto"/>
              <w:jc w:val="left"/>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 </w:t>
            </w:r>
          </w:p>
        </w:tc>
      </w:tr>
      <w:tr w:rsidR="003C5AC1" w:rsidRPr="006C3552" w14:paraId="441391AC" w14:textId="77777777" w:rsidTr="003E09CB">
        <w:trPr>
          <w:trHeight w:val="290"/>
        </w:trPr>
        <w:tc>
          <w:tcPr>
            <w:tcW w:w="1383" w:type="dxa"/>
            <w:tcBorders>
              <w:top w:val="nil"/>
              <w:left w:val="nil"/>
              <w:bottom w:val="nil"/>
              <w:right w:val="nil"/>
            </w:tcBorders>
            <w:shd w:val="clear" w:color="000000" w:fill="FFFFFF"/>
            <w:noWrap/>
            <w:vAlign w:val="bottom"/>
            <w:hideMark/>
          </w:tcPr>
          <w:p w14:paraId="6443ED85"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2</w:t>
            </w:r>
          </w:p>
        </w:tc>
        <w:tc>
          <w:tcPr>
            <w:tcW w:w="3912" w:type="dxa"/>
            <w:tcBorders>
              <w:top w:val="nil"/>
              <w:left w:val="nil"/>
              <w:bottom w:val="nil"/>
              <w:right w:val="nil"/>
            </w:tcBorders>
            <w:shd w:val="clear" w:color="000000" w:fill="FFFFFF"/>
            <w:noWrap/>
            <w:vAlign w:val="bottom"/>
            <w:hideMark/>
          </w:tcPr>
          <w:p w14:paraId="1CFBFD7B"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Debtors and Prepayments</w:t>
            </w:r>
          </w:p>
        </w:tc>
        <w:tc>
          <w:tcPr>
            <w:tcW w:w="1190" w:type="dxa"/>
            <w:tcBorders>
              <w:top w:val="nil"/>
              <w:left w:val="nil"/>
              <w:bottom w:val="nil"/>
              <w:right w:val="nil"/>
            </w:tcBorders>
            <w:shd w:val="clear" w:color="000000" w:fill="FFFFFF"/>
            <w:noWrap/>
            <w:vAlign w:val="bottom"/>
            <w:hideMark/>
          </w:tcPr>
          <w:p w14:paraId="0A381C52"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3,812</w:t>
            </w:r>
          </w:p>
        </w:tc>
        <w:tc>
          <w:tcPr>
            <w:tcW w:w="1311" w:type="dxa"/>
            <w:tcBorders>
              <w:top w:val="nil"/>
              <w:left w:val="nil"/>
              <w:bottom w:val="nil"/>
              <w:right w:val="nil"/>
            </w:tcBorders>
            <w:shd w:val="clear" w:color="000000" w:fill="FFFFFF"/>
            <w:noWrap/>
            <w:vAlign w:val="bottom"/>
            <w:hideMark/>
          </w:tcPr>
          <w:p w14:paraId="25A337F4"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3,812</w:t>
            </w:r>
          </w:p>
        </w:tc>
        <w:tc>
          <w:tcPr>
            <w:tcW w:w="1311" w:type="dxa"/>
            <w:tcBorders>
              <w:top w:val="nil"/>
              <w:left w:val="nil"/>
              <w:bottom w:val="nil"/>
              <w:right w:val="nil"/>
            </w:tcBorders>
            <w:shd w:val="clear" w:color="000000" w:fill="FFE1E1"/>
            <w:noWrap/>
            <w:vAlign w:val="bottom"/>
            <w:hideMark/>
          </w:tcPr>
          <w:p w14:paraId="01A64E08" w14:textId="77777777" w:rsidR="006C3552" w:rsidRPr="006C3552" w:rsidRDefault="006C3552" w:rsidP="006C3552">
            <w:pPr>
              <w:spacing w:line="240" w:lineRule="auto"/>
              <w:jc w:val="right"/>
              <w:rPr>
                <w:rFonts w:ascii="Calibri" w:eastAsia="Times New Roman" w:hAnsi="Calibri" w:cs="Calibri"/>
                <w:color w:val="000000"/>
                <w:lang w:eastAsia="en-GB"/>
              </w:rPr>
            </w:pPr>
            <w:r w:rsidRPr="006C3552">
              <w:rPr>
                <w:rFonts w:ascii="Calibri" w:eastAsia="Times New Roman" w:hAnsi="Calibri" w:cs="Calibri"/>
                <w:color w:val="000000"/>
                <w:lang w:eastAsia="en-GB"/>
              </w:rPr>
              <w:t>7,276</w:t>
            </w:r>
          </w:p>
        </w:tc>
        <w:tc>
          <w:tcPr>
            <w:tcW w:w="1311" w:type="dxa"/>
            <w:tcBorders>
              <w:top w:val="nil"/>
              <w:left w:val="nil"/>
              <w:bottom w:val="nil"/>
              <w:right w:val="nil"/>
            </w:tcBorders>
            <w:shd w:val="clear" w:color="000000" w:fill="FFE1E1"/>
            <w:noWrap/>
            <w:vAlign w:val="bottom"/>
            <w:hideMark/>
          </w:tcPr>
          <w:p w14:paraId="640C39D5" w14:textId="77777777" w:rsidR="006C3552" w:rsidRPr="006C3552" w:rsidRDefault="006C3552" w:rsidP="006C3552">
            <w:pPr>
              <w:spacing w:line="240" w:lineRule="auto"/>
              <w:jc w:val="right"/>
              <w:rPr>
                <w:rFonts w:ascii="Calibri" w:eastAsia="Times New Roman" w:hAnsi="Calibri" w:cs="Calibri"/>
                <w:color w:val="000000"/>
                <w:lang w:eastAsia="en-GB"/>
              </w:rPr>
            </w:pPr>
            <w:r w:rsidRPr="006C3552">
              <w:rPr>
                <w:rFonts w:ascii="Calibri" w:eastAsia="Times New Roman" w:hAnsi="Calibri" w:cs="Calibri"/>
                <w:color w:val="000000"/>
                <w:lang w:eastAsia="en-GB"/>
              </w:rPr>
              <w:t>7,276</w:t>
            </w:r>
          </w:p>
        </w:tc>
      </w:tr>
      <w:tr w:rsidR="003C5AC1" w:rsidRPr="006C3552" w14:paraId="5BD1C0A3" w14:textId="77777777" w:rsidTr="003E09CB">
        <w:trPr>
          <w:trHeight w:val="290"/>
        </w:trPr>
        <w:tc>
          <w:tcPr>
            <w:tcW w:w="1383" w:type="dxa"/>
            <w:tcBorders>
              <w:top w:val="nil"/>
              <w:left w:val="nil"/>
              <w:bottom w:val="nil"/>
              <w:right w:val="nil"/>
            </w:tcBorders>
            <w:shd w:val="clear" w:color="000000" w:fill="FFFFFF"/>
            <w:noWrap/>
            <w:vAlign w:val="bottom"/>
            <w:hideMark/>
          </w:tcPr>
          <w:p w14:paraId="3DC84B00"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1</w:t>
            </w:r>
          </w:p>
        </w:tc>
        <w:tc>
          <w:tcPr>
            <w:tcW w:w="3912" w:type="dxa"/>
            <w:tcBorders>
              <w:top w:val="nil"/>
              <w:left w:val="nil"/>
              <w:bottom w:val="nil"/>
              <w:right w:val="nil"/>
            </w:tcBorders>
            <w:shd w:val="clear" w:color="000000" w:fill="FFFFFF"/>
            <w:noWrap/>
            <w:vAlign w:val="bottom"/>
            <w:hideMark/>
          </w:tcPr>
          <w:p w14:paraId="47F21ED5"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Cash in Hand</w:t>
            </w:r>
          </w:p>
        </w:tc>
        <w:tc>
          <w:tcPr>
            <w:tcW w:w="1190" w:type="dxa"/>
            <w:tcBorders>
              <w:top w:val="nil"/>
              <w:left w:val="nil"/>
              <w:bottom w:val="nil"/>
              <w:right w:val="nil"/>
            </w:tcBorders>
            <w:shd w:val="clear" w:color="000000" w:fill="FFFFFF"/>
            <w:noWrap/>
            <w:vAlign w:val="bottom"/>
            <w:hideMark/>
          </w:tcPr>
          <w:p w14:paraId="2E95B76F"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2,344</w:t>
            </w:r>
          </w:p>
        </w:tc>
        <w:tc>
          <w:tcPr>
            <w:tcW w:w="1311" w:type="dxa"/>
            <w:tcBorders>
              <w:top w:val="nil"/>
              <w:left w:val="nil"/>
              <w:bottom w:val="nil"/>
              <w:right w:val="nil"/>
            </w:tcBorders>
            <w:shd w:val="clear" w:color="000000" w:fill="FFFFFF"/>
            <w:noWrap/>
            <w:vAlign w:val="bottom"/>
            <w:hideMark/>
          </w:tcPr>
          <w:p w14:paraId="40AADFF0"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2,344</w:t>
            </w:r>
          </w:p>
        </w:tc>
        <w:tc>
          <w:tcPr>
            <w:tcW w:w="1311" w:type="dxa"/>
            <w:tcBorders>
              <w:top w:val="nil"/>
              <w:left w:val="nil"/>
              <w:bottom w:val="nil"/>
              <w:right w:val="nil"/>
            </w:tcBorders>
            <w:shd w:val="clear" w:color="000000" w:fill="FFE1E1"/>
            <w:noWrap/>
            <w:vAlign w:val="bottom"/>
            <w:hideMark/>
          </w:tcPr>
          <w:p w14:paraId="765DC005" w14:textId="77777777" w:rsidR="006C3552" w:rsidRPr="006C3552" w:rsidRDefault="006C3552" w:rsidP="006C3552">
            <w:pPr>
              <w:spacing w:line="240" w:lineRule="auto"/>
              <w:jc w:val="right"/>
              <w:rPr>
                <w:rFonts w:ascii="Calibri" w:eastAsia="Times New Roman" w:hAnsi="Calibri" w:cs="Calibri"/>
                <w:color w:val="000000"/>
                <w:lang w:eastAsia="en-GB"/>
              </w:rPr>
            </w:pPr>
            <w:r w:rsidRPr="006C3552">
              <w:rPr>
                <w:rFonts w:ascii="Calibri" w:eastAsia="Times New Roman" w:hAnsi="Calibri" w:cs="Calibri"/>
                <w:color w:val="000000"/>
                <w:lang w:eastAsia="en-GB"/>
              </w:rPr>
              <w:t>3,605</w:t>
            </w:r>
          </w:p>
        </w:tc>
        <w:tc>
          <w:tcPr>
            <w:tcW w:w="1311" w:type="dxa"/>
            <w:tcBorders>
              <w:top w:val="nil"/>
              <w:left w:val="nil"/>
              <w:bottom w:val="nil"/>
              <w:right w:val="nil"/>
            </w:tcBorders>
            <w:shd w:val="clear" w:color="000000" w:fill="FFE1E1"/>
            <w:noWrap/>
            <w:vAlign w:val="bottom"/>
            <w:hideMark/>
          </w:tcPr>
          <w:p w14:paraId="059C64C0" w14:textId="77777777" w:rsidR="006C3552" w:rsidRPr="006C3552" w:rsidRDefault="006C3552" w:rsidP="006C3552">
            <w:pPr>
              <w:spacing w:line="240" w:lineRule="auto"/>
              <w:jc w:val="right"/>
              <w:rPr>
                <w:rFonts w:ascii="Calibri" w:eastAsia="Times New Roman" w:hAnsi="Calibri" w:cs="Calibri"/>
                <w:color w:val="000000"/>
                <w:lang w:eastAsia="en-GB"/>
              </w:rPr>
            </w:pPr>
            <w:r w:rsidRPr="006C3552">
              <w:rPr>
                <w:rFonts w:ascii="Calibri" w:eastAsia="Times New Roman" w:hAnsi="Calibri" w:cs="Calibri"/>
                <w:color w:val="000000"/>
                <w:lang w:eastAsia="en-GB"/>
              </w:rPr>
              <w:t>3,605</w:t>
            </w:r>
          </w:p>
        </w:tc>
      </w:tr>
      <w:tr w:rsidR="003C5AC1" w:rsidRPr="006C3552" w14:paraId="45316E15" w14:textId="77777777" w:rsidTr="003E09CB">
        <w:trPr>
          <w:trHeight w:val="290"/>
        </w:trPr>
        <w:tc>
          <w:tcPr>
            <w:tcW w:w="1383" w:type="dxa"/>
            <w:tcBorders>
              <w:top w:val="nil"/>
              <w:left w:val="nil"/>
              <w:bottom w:val="nil"/>
              <w:right w:val="nil"/>
            </w:tcBorders>
            <w:shd w:val="clear" w:color="000000" w:fill="FFFFFF"/>
            <w:noWrap/>
            <w:vAlign w:val="bottom"/>
            <w:hideMark/>
          </w:tcPr>
          <w:p w14:paraId="18D81179"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 </w:t>
            </w:r>
          </w:p>
        </w:tc>
        <w:tc>
          <w:tcPr>
            <w:tcW w:w="3912" w:type="dxa"/>
            <w:tcBorders>
              <w:top w:val="nil"/>
              <w:left w:val="nil"/>
              <w:bottom w:val="nil"/>
              <w:right w:val="nil"/>
            </w:tcBorders>
            <w:shd w:val="clear" w:color="000000" w:fill="FFFFFF"/>
            <w:noWrap/>
            <w:vAlign w:val="bottom"/>
            <w:hideMark/>
          </w:tcPr>
          <w:p w14:paraId="342303C8" w14:textId="77777777" w:rsidR="006C3552" w:rsidRPr="006C3552" w:rsidRDefault="006C3552" w:rsidP="006C3552">
            <w:pPr>
              <w:spacing w:line="240" w:lineRule="auto"/>
              <w:jc w:val="left"/>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Financial Liabilities at Fair Value</w:t>
            </w:r>
          </w:p>
        </w:tc>
        <w:tc>
          <w:tcPr>
            <w:tcW w:w="1190" w:type="dxa"/>
            <w:tcBorders>
              <w:top w:val="nil"/>
              <w:left w:val="nil"/>
              <w:bottom w:val="nil"/>
              <w:right w:val="nil"/>
            </w:tcBorders>
            <w:shd w:val="clear" w:color="000000" w:fill="FFFFFF"/>
            <w:noWrap/>
            <w:vAlign w:val="bottom"/>
            <w:hideMark/>
          </w:tcPr>
          <w:p w14:paraId="3E54EBAB" w14:textId="77777777" w:rsidR="006C3552" w:rsidRPr="006C3552" w:rsidRDefault="006C3552" w:rsidP="006C3552">
            <w:pPr>
              <w:spacing w:line="240" w:lineRule="auto"/>
              <w:jc w:val="left"/>
              <w:rPr>
                <w:rFonts w:ascii="Calibri" w:eastAsia="Times New Roman" w:hAnsi="Calibri" w:cs="Calibri"/>
                <w:lang w:eastAsia="en-GB"/>
              </w:rPr>
            </w:pPr>
            <w:r w:rsidRPr="006C3552">
              <w:rPr>
                <w:rFonts w:ascii="Calibri" w:eastAsia="Times New Roman" w:hAnsi="Calibri" w:cs="Calibri"/>
                <w:lang w:eastAsia="en-GB"/>
              </w:rPr>
              <w:t> </w:t>
            </w:r>
          </w:p>
        </w:tc>
        <w:tc>
          <w:tcPr>
            <w:tcW w:w="1311" w:type="dxa"/>
            <w:tcBorders>
              <w:top w:val="nil"/>
              <w:left w:val="nil"/>
              <w:bottom w:val="nil"/>
              <w:right w:val="nil"/>
            </w:tcBorders>
            <w:shd w:val="clear" w:color="000000" w:fill="FFFFFF"/>
            <w:noWrap/>
            <w:vAlign w:val="bottom"/>
            <w:hideMark/>
          </w:tcPr>
          <w:p w14:paraId="5AE1DB0F" w14:textId="77777777" w:rsidR="006C3552" w:rsidRPr="006C3552" w:rsidRDefault="006C3552" w:rsidP="006C3552">
            <w:pPr>
              <w:spacing w:line="240" w:lineRule="auto"/>
              <w:jc w:val="left"/>
              <w:rPr>
                <w:rFonts w:ascii="Calibri" w:eastAsia="Times New Roman" w:hAnsi="Calibri" w:cs="Calibri"/>
                <w:lang w:eastAsia="en-GB"/>
              </w:rPr>
            </w:pPr>
            <w:r w:rsidRPr="006C3552">
              <w:rPr>
                <w:rFonts w:ascii="Calibri" w:eastAsia="Times New Roman" w:hAnsi="Calibri" w:cs="Calibri"/>
                <w:lang w:eastAsia="en-GB"/>
              </w:rPr>
              <w:t> </w:t>
            </w:r>
          </w:p>
        </w:tc>
        <w:tc>
          <w:tcPr>
            <w:tcW w:w="1311" w:type="dxa"/>
            <w:tcBorders>
              <w:top w:val="nil"/>
              <w:left w:val="nil"/>
              <w:bottom w:val="nil"/>
              <w:right w:val="nil"/>
            </w:tcBorders>
            <w:shd w:val="clear" w:color="000000" w:fill="FFE1E1"/>
            <w:noWrap/>
            <w:vAlign w:val="bottom"/>
            <w:hideMark/>
          </w:tcPr>
          <w:p w14:paraId="259DA36B"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 </w:t>
            </w:r>
          </w:p>
        </w:tc>
        <w:tc>
          <w:tcPr>
            <w:tcW w:w="1311" w:type="dxa"/>
            <w:tcBorders>
              <w:top w:val="nil"/>
              <w:left w:val="nil"/>
              <w:bottom w:val="nil"/>
              <w:right w:val="nil"/>
            </w:tcBorders>
            <w:shd w:val="clear" w:color="000000" w:fill="FFE1E1"/>
            <w:noWrap/>
            <w:vAlign w:val="bottom"/>
            <w:hideMark/>
          </w:tcPr>
          <w:p w14:paraId="2B9318F6"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 </w:t>
            </w:r>
          </w:p>
        </w:tc>
      </w:tr>
      <w:tr w:rsidR="003C5AC1" w:rsidRPr="006C3552" w14:paraId="79E485E7" w14:textId="77777777" w:rsidTr="003E09CB">
        <w:trPr>
          <w:trHeight w:val="290"/>
        </w:trPr>
        <w:tc>
          <w:tcPr>
            <w:tcW w:w="1383" w:type="dxa"/>
            <w:tcBorders>
              <w:top w:val="nil"/>
              <w:left w:val="nil"/>
              <w:bottom w:val="nil"/>
              <w:right w:val="nil"/>
            </w:tcBorders>
            <w:shd w:val="clear" w:color="000000" w:fill="FFFFFF"/>
            <w:noWrap/>
            <w:vAlign w:val="bottom"/>
            <w:hideMark/>
          </w:tcPr>
          <w:p w14:paraId="1458F7DE"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2</w:t>
            </w:r>
          </w:p>
        </w:tc>
        <w:tc>
          <w:tcPr>
            <w:tcW w:w="3912" w:type="dxa"/>
            <w:tcBorders>
              <w:top w:val="nil"/>
              <w:left w:val="nil"/>
              <w:bottom w:val="nil"/>
              <w:right w:val="nil"/>
            </w:tcBorders>
            <w:shd w:val="clear" w:color="000000" w:fill="FFFFFF"/>
            <w:noWrap/>
            <w:vAlign w:val="bottom"/>
            <w:hideMark/>
          </w:tcPr>
          <w:p w14:paraId="3429CA21"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Loans</w:t>
            </w:r>
          </w:p>
        </w:tc>
        <w:tc>
          <w:tcPr>
            <w:tcW w:w="1190" w:type="dxa"/>
            <w:tcBorders>
              <w:top w:val="nil"/>
              <w:left w:val="nil"/>
              <w:bottom w:val="nil"/>
              <w:right w:val="nil"/>
            </w:tcBorders>
            <w:shd w:val="clear" w:color="000000" w:fill="FFFFFF"/>
            <w:noWrap/>
            <w:vAlign w:val="bottom"/>
            <w:hideMark/>
          </w:tcPr>
          <w:p w14:paraId="423C1C98"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(3,060)</w:t>
            </w:r>
          </w:p>
        </w:tc>
        <w:tc>
          <w:tcPr>
            <w:tcW w:w="1311" w:type="dxa"/>
            <w:tcBorders>
              <w:top w:val="nil"/>
              <w:left w:val="nil"/>
              <w:bottom w:val="nil"/>
              <w:right w:val="nil"/>
            </w:tcBorders>
            <w:shd w:val="clear" w:color="000000" w:fill="FFFFFF"/>
            <w:noWrap/>
            <w:vAlign w:val="bottom"/>
            <w:hideMark/>
          </w:tcPr>
          <w:p w14:paraId="1721CD6F"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(2,257)</w:t>
            </w:r>
          </w:p>
        </w:tc>
        <w:tc>
          <w:tcPr>
            <w:tcW w:w="1311" w:type="dxa"/>
            <w:tcBorders>
              <w:top w:val="nil"/>
              <w:left w:val="nil"/>
              <w:bottom w:val="nil"/>
              <w:right w:val="nil"/>
            </w:tcBorders>
            <w:shd w:val="clear" w:color="000000" w:fill="FFE1E1"/>
            <w:noWrap/>
            <w:vAlign w:val="bottom"/>
            <w:hideMark/>
          </w:tcPr>
          <w:p w14:paraId="06D2E97A"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(2,977)</w:t>
            </w:r>
          </w:p>
        </w:tc>
        <w:tc>
          <w:tcPr>
            <w:tcW w:w="1311" w:type="dxa"/>
            <w:tcBorders>
              <w:top w:val="nil"/>
              <w:left w:val="nil"/>
              <w:bottom w:val="nil"/>
              <w:right w:val="nil"/>
            </w:tcBorders>
            <w:shd w:val="clear" w:color="000000" w:fill="FFE1E1"/>
            <w:noWrap/>
            <w:vAlign w:val="bottom"/>
            <w:hideMark/>
          </w:tcPr>
          <w:p w14:paraId="6453B21A"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(2,030)</w:t>
            </w:r>
          </w:p>
        </w:tc>
      </w:tr>
      <w:tr w:rsidR="003C5AC1" w:rsidRPr="006C3552" w14:paraId="2D0E6005" w14:textId="77777777" w:rsidTr="003E09CB">
        <w:trPr>
          <w:trHeight w:val="290"/>
        </w:trPr>
        <w:tc>
          <w:tcPr>
            <w:tcW w:w="1383" w:type="dxa"/>
            <w:tcBorders>
              <w:top w:val="nil"/>
              <w:left w:val="nil"/>
              <w:bottom w:val="single" w:sz="4" w:space="0" w:color="auto"/>
              <w:right w:val="nil"/>
            </w:tcBorders>
            <w:shd w:val="clear" w:color="000000" w:fill="FFFFFF"/>
            <w:noWrap/>
            <w:vAlign w:val="bottom"/>
            <w:hideMark/>
          </w:tcPr>
          <w:p w14:paraId="4EF1F5CA" w14:textId="77777777" w:rsidR="006C3552" w:rsidRPr="006C3552" w:rsidRDefault="006C3552" w:rsidP="006C3552">
            <w:pPr>
              <w:spacing w:line="240" w:lineRule="auto"/>
              <w:jc w:val="center"/>
              <w:rPr>
                <w:rFonts w:ascii="Calibri" w:eastAsia="Times New Roman" w:hAnsi="Calibri" w:cs="Calibri"/>
                <w:b/>
                <w:bCs/>
                <w:color w:val="000000"/>
                <w:lang w:eastAsia="en-GB"/>
              </w:rPr>
            </w:pPr>
            <w:r w:rsidRPr="006C3552">
              <w:rPr>
                <w:rFonts w:ascii="Calibri" w:eastAsia="Times New Roman" w:hAnsi="Calibri" w:cs="Calibri"/>
                <w:b/>
                <w:bCs/>
                <w:color w:val="000000"/>
                <w:lang w:eastAsia="en-GB"/>
              </w:rPr>
              <w:t>2</w:t>
            </w:r>
          </w:p>
        </w:tc>
        <w:tc>
          <w:tcPr>
            <w:tcW w:w="3912" w:type="dxa"/>
            <w:tcBorders>
              <w:top w:val="nil"/>
              <w:left w:val="nil"/>
              <w:bottom w:val="single" w:sz="4" w:space="0" w:color="auto"/>
              <w:right w:val="nil"/>
            </w:tcBorders>
            <w:shd w:val="clear" w:color="000000" w:fill="FFFFFF"/>
            <w:noWrap/>
            <w:vAlign w:val="bottom"/>
            <w:hideMark/>
          </w:tcPr>
          <w:p w14:paraId="336F1E6D" w14:textId="77777777" w:rsidR="006C3552" w:rsidRPr="006C3552" w:rsidRDefault="006C3552" w:rsidP="006C3552">
            <w:pPr>
              <w:spacing w:line="240" w:lineRule="auto"/>
              <w:jc w:val="left"/>
              <w:rPr>
                <w:rFonts w:ascii="Calibri" w:eastAsia="Times New Roman" w:hAnsi="Calibri" w:cs="Calibri"/>
                <w:color w:val="000000"/>
                <w:lang w:eastAsia="en-GB"/>
              </w:rPr>
            </w:pPr>
            <w:r w:rsidRPr="006C3552">
              <w:rPr>
                <w:rFonts w:ascii="Calibri" w:eastAsia="Times New Roman" w:hAnsi="Calibri" w:cs="Calibri"/>
                <w:color w:val="000000"/>
                <w:lang w:eastAsia="en-GB"/>
              </w:rPr>
              <w:t>Creditors</w:t>
            </w:r>
          </w:p>
        </w:tc>
        <w:tc>
          <w:tcPr>
            <w:tcW w:w="1190" w:type="dxa"/>
            <w:tcBorders>
              <w:top w:val="nil"/>
              <w:left w:val="nil"/>
              <w:bottom w:val="single" w:sz="4" w:space="0" w:color="auto"/>
              <w:right w:val="nil"/>
            </w:tcBorders>
            <w:shd w:val="clear" w:color="000000" w:fill="FFFFFF"/>
            <w:noWrap/>
            <w:vAlign w:val="bottom"/>
            <w:hideMark/>
          </w:tcPr>
          <w:p w14:paraId="48EEFF7C"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7,179</w:t>
            </w:r>
          </w:p>
        </w:tc>
        <w:tc>
          <w:tcPr>
            <w:tcW w:w="1311" w:type="dxa"/>
            <w:tcBorders>
              <w:top w:val="nil"/>
              <w:left w:val="nil"/>
              <w:bottom w:val="single" w:sz="4" w:space="0" w:color="auto"/>
              <w:right w:val="nil"/>
            </w:tcBorders>
            <w:shd w:val="clear" w:color="000000" w:fill="FFFFFF"/>
            <w:noWrap/>
            <w:vAlign w:val="bottom"/>
            <w:hideMark/>
          </w:tcPr>
          <w:p w14:paraId="13CC0141"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lang w:eastAsia="en-GB"/>
              </w:rPr>
              <w:t>7,179</w:t>
            </w:r>
          </w:p>
        </w:tc>
        <w:tc>
          <w:tcPr>
            <w:tcW w:w="1311" w:type="dxa"/>
            <w:tcBorders>
              <w:top w:val="nil"/>
              <w:left w:val="nil"/>
              <w:bottom w:val="single" w:sz="4" w:space="0" w:color="auto"/>
              <w:right w:val="nil"/>
            </w:tcBorders>
            <w:shd w:val="clear" w:color="000000" w:fill="FFE1E1"/>
            <w:noWrap/>
            <w:vAlign w:val="bottom"/>
            <w:hideMark/>
          </w:tcPr>
          <w:p w14:paraId="1458DFDA"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(12,833)</w:t>
            </w:r>
          </w:p>
        </w:tc>
        <w:tc>
          <w:tcPr>
            <w:tcW w:w="1311" w:type="dxa"/>
            <w:tcBorders>
              <w:top w:val="nil"/>
              <w:left w:val="nil"/>
              <w:bottom w:val="single" w:sz="4" w:space="0" w:color="auto"/>
              <w:right w:val="nil"/>
            </w:tcBorders>
            <w:shd w:val="clear" w:color="000000" w:fill="FFE1E1"/>
            <w:noWrap/>
            <w:vAlign w:val="bottom"/>
            <w:hideMark/>
          </w:tcPr>
          <w:p w14:paraId="30905B61" w14:textId="77777777" w:rsidR="006C3552" w:rsidRPr="006C3552" w:rsidRDefault="006C3552" w:rsidP="006C3552">
            <w:pPr>
              <w:spacing w:line="240" w:lineRule="auto"/>
              <w:jc w:val="right"/>
              <w:rPr>
                <w:rFonts w:ascii="Calibri" w:eastAsia="Times New Roman" w:hAnsi="Calibri" w:cs="Calibri"/>
                <w:lang w:eastAsia="en-GB"/>
              </w:rPr>
            </w:pPr>
            <w:r w:rsidRPr="006C3552">
              <w:rPr>
                <w:rFonts w:ascii="Calibri" w:eastAsia="Times New Roman" w:hAnsi="Calibri" w:cs="Calibri"/>
                <w:color w:val="000000"/>
                <w:lang w:eastAsia="en-GB"/>
              </w:rPr>
              <w:t>(12,833)</w:t>
            </w:r>
          </w:p>
        </w:tc>
      </w:tr>
    </w:tbl>
    <w:p w14:paraId="6D57408C" w14:textId="669D2E03" w:rsidR="00461559" w:rsidRDefault="00461559" w:rsidP="002A1ADD">
      <w:pPr>
        <w:pStyle w:val="VAHeadingLevel2"/>
      </w:pPr>
    </w:p>
    <w:p w14:paraId="3A21385D" w14:textId="348327C8" w:rsidR="00E7677C" w:rsidRDefault="00E7677C" w:rsidP="002A1ADD">
      <w:pPr>
        <w:pStyle w:val="VAHeadingLevel2"/>
      </w:pPr>
      <w:r w:rsidRPr="005F273C">
        <w:t>Note 3</w:t>
      </w:r>
      <w:r w:rsidR="00C0547F" w:rsidRPr="005F273C">
        <w:t>8</w:t>
      </w:r>
      <w:r w:rsidRPr="005F273C">
        <w:t xml:space="preserve">.5. </w:t>
      </w:r>
      <w:r w:rsidR="00CB48F9">
        <w:t xml:space="preserve">Borrowing </w:t>
      </w:r>
      <w:r w:rsidR="00DA319E">
        <w:t>breakdown</w:t>
      </w:r>
      <w:r w:rsidRPr="00996040">
        <w:tab/>
      </w:r>
    </w:p>
    <w:tbl>
      <w:tblPr>
        <w:tblW w:w="10424" w:type="dxa"/>
        <w:tblLook w:val="04A0" w:firstRow="1" w:lastRow="0" w:firstColumn="1" w:lastColumn="0" w:noHBand="0" w:noVBand="1"/>
      </w:tblPr>
      <w:tblGrid>
        <w:gridCol w:w="1141"/>
        <w:gridCol w:w="1458"/>
        <w:gridCol w:w="3821"/>
        <w:gridCol w:w="789"/>
        <w:gridCol w:w="1266"/>
        <w:gridCol w:w="980"/>
        <w:gridCol w:w="980"/>
      </w:tblGrid>
      <w:tr w:rsidR="00852156" w:rsidRPr="00852156" w14:paraId="4D781A68" w14:textId="77777777" w:rsidTr="00266DA4">
        <w:trPr>
          <w:trHeight w:val="299"/>
        </w:trPr>
        <w:tc>
          <w:tcPr>
            <w:tcW w:w="1138" w:type="dxa"/>
            <w:tcBorders>
              <w:top w:val="nil"/>
              <w:left w:val="nil"/>
              <w:bottom w:val="nil"/>
              <w:right w:val="nil"/>
            </w:tcBorders>
            <w:shd w:val="clear" w:color="auto" w:fill="AB2328"/>
            <w:vAlign w:val="bottom"/>
            <w:hideMark/>
          </w:tcPr>
          <w:p w14:paraId="1C51F414"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 </w:t>
            </w:r>
          </w:p>
        </w:tc>
        <w:tc>
          <w:tcPr>
            <w:tcW w:w="1458" w:type="dxa"/>
            <w:tcBorders>
              <w:top w:val="nil"/>
              <w:left w:val="nil"/>
              <w:bottom w:val="nil"/>
              <w:right w:val="nil"/>
            </w:tcBorders>
            <w:shd w:val="clear" w:color="auto" w:fill="AB2328"/>
            <w:vAlign w:val="bottom"/>
            <w:hideMark/>
          </w:tcPr>
          <w:p w14:paraId="0F0D729E" w14:textId="77777777" w:rsidR="00852156" w:rsidRPr="00852156" w:rsidRDefault="00852156" w:rsidP="00852156">
            <w:pPr>
              <w:spacing w:line="240" w:lineRule="auto"/>
              <w:jc w:val="right"/>
              <w:rPr>
                <w:rFonts w:ascii="Calibri" w:eastAsia="Times New Roman" w:hAnsi="Calibri" w:cs="Calibri"/>
                <w:color w:val="FFFFFF"/>
                <w:lang w:eastAsia="en-GB"/>
              </w:rPr>
            </w:pPr>
            <w:r w:rsidRPr="00852156">
              <w:rPr>
                <w:rFonts w:ascii="Calibri" w:eastAsia="Times New Roman" w:hAnsi="Calibri" w:cs="Calibri"/>
                <w:color w:val="FFFFFF"/>
                <w:lang w:eastAsia="en-GB"/>
              </w:rPr>
              <w:t> </w:t>
            </w:r>
          </w:p>
        </w:tc>
        <w:tc>
          <w:tcPr>
            <w:tcW w:w="3821" w:type="dxa"/>
            <w:tcBorders>
              <w:top w:val="nil"/>
              <w:left w:val="nil"/>
              <w:bottom w:val="nil"/>
              <w:right w:val="nil"/>
            </w:tcBorders>
            <w:shd w:val="clear" w:color="auto" w:fill="AB2328"/>
            <w:vAlign w:val="bottom"/>
            <w:hideMark/>
          </w:tcPr>
          <w:p w14:paraId="11F2D897"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 </w:t>
            </w:r>
          </w:p>
        </w:tc>
        <w:tc>
          <w:tcPr>
            <w:tcW w:w="789" w:type="dxa"/>
            <w:tcBorders>
              <w:top w:val="nil"/>
              <w:left w:val="nil"/>
              <w:bottom w:val="nil"/>
              <w:right w:val="nil"/>
            </w:tcBorders>
            <w:shd w:val="clear" w:color="auto" w:fill="AB2328"/>
            <w:vAlign w:val="bottom"/>
            <w:hideMark/>
          </w:tcPr>
          <w:p w14:paraId="2C6BCD62"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 </w:t>
            </w:r>
          </w:p>
        </w:tc>
        <w:tc>
          <w:tcPr>
            <w:tcW w:w="1262" w:type="dxa"/>
            <w:tcBorders>
              <w:top w:val="nil"/>
              <w:left w:val="nil"/>
              <w:bottom w:val="nil"/>
              <w:right w:val="nil"/>
            </w:tcBorders>
            <w:shd w:val="clear" w:color="auto" w:fill="AB2328"/>
            <w:vAlign w:val="bottom"/>
            <w:hideMark/>
          </w:tcPr>
          <w:p w14:paraId="3EB2E8BE" w14:textId="77777777" w:rsidR="00852156" w:rsidRPr="00B34102" w:rsidRDefault="1EB1EE83" w:rsidP="5A995008">
            <w:pPr>
              <w:spacing w:line="240" w:lineRule="auto"/>
              <w:jc w:val="right"/>
              <w:rPr>
                <w:rFonts w:ascii="Calibri" w:eastAsia="Times New Roman" w:hAnsi="Calibri" w:cs="Calibri"/>
                <w:b/>
                <w:bCs/>
                <w:color w:val="FFFFFF"/>
                <w:lang w:eastAsia="en-GB"/>
              </w:rPr>
            </w:pPr>
            <w:r w:rsidRPr="00B34102">
              <w:rPr>
                <w:rFonts w:ascii="Calibri" w:eastAsia="Times New Roman" w:hAnsi="Calibri" w:cs="Calibri"/>
                <w:b/>
                <w:bCs/>
                <w:color w:val="FFFFFF" w:themeColor="background1"/>
                <w:lang w:eastAsia="en-GB"/>
              </w:rPr>
              <w:t> </w:t>
            </w:r>
          </w:p>
        </w:tc>
        <w:tc>
          <w:tcPr>
            <w:tcW w:w="977" w:type="dxa"/>
            <w:tcBorders>
              <w:top w:val="nil"/>
              <w:left w:val="nil"/>
              <w:bottom w:val="nil"/>
              <w:right w:val="nil"/>
            </w:tcBorders>
            <w:shd w:val="clear" w:color="auto" w:fill="AB2328"/>
            <w:vAlign w:val="bottom"/>
            <w:hideMark/>
          </w:tcPr>
          <w:p w14:paraId="70978714" w14:textId="77777777" w:rsidR="00852156" w:rsidRPr="00B34102" w:rsidRDefault="1EB1EE83" w:rsidP="5A995008">
            <w:pPr>
              <w:spacing w:line="240" w:lineRule="auto"/>
              <w:jc w:val="right"/>
              <w:rPr>
                <w:rFonts w:ascii="Calibri" w:eastAsia="Times New Roman" w:hAnsi="Calibri" w:cs="Calibri"/>
                <w:b/>
                <w:bCs/>
                <w:color w:val="FFFFFF"/>
                <w:lang w:eastAsia="en-GB"/>
              </w:rPr>
            </w:pPr>
            <w:r w:rsidRPr="00B34102">
              <w:rPr>
                <w:rFonts w:ascii="Calibri" w:eastAsia="Times New Roman" w:hAnsi="Calibri" w:cs="Calibri"/>
                <w:b/>
                <w:bCs/>
                <w:color w:val="FFFFFF" w:themeColor="background1"/>
                <w:lang w:eastAsia="en-GB"/>
              </w:rPr>
              <w:t>2023/24</w:t>
            </w:r>
          </w:p>
        </w:tc>
        <w:tc>
          <w:tcPr>
            <w:tcW w:w="977" w:type="dxa"/>
            <w:tcBorders>
              <w:top w:val="nil"/>
              <w:left w:val="nil"/>
              <w:bottom w:val="nil"/>
              <w:right w:val="nil"/>
            </w:tcBorders>
            <w:shd w:val="clear" w:color="auto" w:fill="AB2328"/>
            <w:vAlign w:val="bottom"/>
            <w:hideMark/>
          </w:tcPr>
          <w:p w14:paraId="0026041A" w14:textId="77777777" w:rsidR="00852156" w:rsidRPr="00B34102" w:rsidRDefault="1EB1EE83" w:rsidP="5A995008">
            <w:pPr>
              <w:spacing w:line="240" w:lineRule="auto"/>
              <w:jc w:val="right"/>
              <w:rPr>
                <w:rFonts w:ascii="Calibri" w:eastAsia="Times New Roman" w:hAnsi="Calibri" w:cs="Calibri"/>
                <w:b/>
                <w:bCs/>
                <w:color w:val="FFFFFF"/>
                <w:lang w:eastAsia="en-GB"/>
              </w:rPr>
            </w:pPr>
            <w:r w:rsidRPr="00B34102">
              <w:rPr>
                <w:rFonts w:ascii="Calibri" w:eastAsia="Times New Roman" w:hAnsi="Calibri" w:cs="Calibri"/>
                <w:b/>
                <w:bCs/>
                <w:color w:val="FFFFFF" w:themeColor="background1"/>
                <w:lang w:eastAsia="en-GB"/>
              </w:rPr>
              <w:t>2024/25</w:t>
            </w:r>
          </w:p>
        </w:tc>
      </w:tr>
      <w:tr w:rsidR="00852156" w:rsidRPr="00852156" w14:paraId="745FB61C" w14:textId="77777777" w:rsidTr="00266DA4">
        <w:trPr>
          <w:trHeight w:val="599"/>
        </w:trPr>
        <w:tc>
          <w:tcPr>
            <w:tcW w:w="1138" w:type="dxa"/>
            <w:tcBorders>
              <w:top w:val="nil"/>
              <w:left w:val="nil"/>
              <w:bottom w:val="nil"/>
              <w:right w:val="nil"/>
            </w:tcBorders>
            <w:shd w:val="clear" w:color="auto" w:fill="AB2328"/>
            <w:vAlign w:val="bottom"/>
            <w:hideMark/>
          </w:tcPr>
          <w:p w14:paraId="1399F422"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 xml:space="preserve">Loan Reference </w:t>
            </w:r>
          </w:p>
        </w:tc>
        <w:tc>
          <w:tcPr>
            <w:tcW w:w="1458" w:type="dxa"/>
            <w:tcBorders>
              <w:top w:val="nil"/>
              <w:left w:val="nil"/>
              <w:bottom w:val="nil"/>
              <w:right w:val="nil"/>
            </w:tcBorders>
            <w:shd w:val="clear" w:color="auto" w:fill="AB2328"/>
            <w:vAlign w:val="bottom"/>
            <w:hideMark/>
          </w:tcPr>
          <w:p w14:paraId="143770E1"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Maturity</w:t>
            </w:r>
            <w:r w:rsidRPr="00852156">
              <w:rPr>
                <w:rFonts w:ascii="Calibri" w:eastAsia="Times New Roman" w:hAnsi="Calibri" w:cs="Calibri"/>
                <w:b/>
                <w:bCs/>
                <w:color w:val="FFFFFF"/>
                <w:lang w:eastAsia="en-GB"/>
              </w:rPr>
              <w:br/>
              <w:t>date</w:t>
            </w:r>
          </w:p>
        </w:tc>
        <w:tc>
          <w:tcPr>
            <w:tcW w:w="3821" w:type="dxa"/>
            <w:tcBorders>
              <w:top w:val="nil"/>
              <w:left w:val="nil"/>
              <w:bottom w:val="nil"/>
              <w:right w:val="nil"/>
            </w:tcBorders>
            <w:shd w:val="clear" w:color="auto" w:fill="AB2328"/>
            <w:vAlign w:val="bottom"/>
            <w:hideMark/>
          </w:tcPr>
          <w:p w14:paraId="2DF227E1"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Interest</w:t>
            </w:r>
            <w:r w:rsidRPr="00852156">
              <w:rPr>
                <w:rFonts w:ascii="Calibri" w:eastAsia="Times New Roman" w:hAnsi="Calibri" w:cs="Calibri"/>
                <w:b/>
                <w:bCs/>
                <w:color w:val="FFFFFF"/>
                <w:lang w:eastAsia="en-GB"/>
              </w:rPr>
              <w:br/>
              <w:t xml:space="preserve">Rate </w:t>
            </w:r>
          </w:p>
        </w:tc>
        <w:tc>
          <w:tcPr>
            <w:tcW w:w="789" w:type="dxa"/>
            <w:tcBorders>
              <w:top w:val="nil"/>
              <w:left w:val="nil"/>
              <w:bottom w:val="nil"/>
              <w:right w:val="nil"/>
            </w:tcBorders>
            <w:shd w:val="clear" w:color="auto" w:fill="AB2328"/>
            <w:vAlign w:val="bottom"/>
            <w:hideMark/>
          </w:tcPr>
          <w:p w14:paraId="3DF0A8CC"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Loan</w:t>
            </w:r>
            <w:r w:rsidRPr="00852156">
              <w:rPr>
                <w:rFonts w:ascii="Calibri" w:eastAsia="Times New Roman" w:hAnsi="Calibri" w:cs="Calibri"/>
                <w:b/>
                <w:bCs/>
                <w:color w:val="FFFFFF"/>
                <w:lang w:eastAsia="en-GB"/>
              </w:rPr>
              <w:br/>
              <w:t>Type</w:t>
            </w:r>
          </w:p>
        </w:tc>
        <w:tc>
          <w:tcPr>
            <w:tcW w:w="1262" w:type="dxa"/>
            <w:tcBorders>
              <w:top w:val="nil"/>
              <w:left w:val="nil"/>
              <w:bottom w:val="nil"/>
              <w:right w:val="nil"/>
            </w:tcBorders>
            <w:shd w:val="clear" w:color="auto" w:fill="AB2328"/>
            <w:vAlign w:val="bottom"/>
            <w:hideMark/>
          </w:tcPr>
          <w:p w14:paraId="54886D94"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Repayment method</w:t>
            </w:r>
          </w:p>
        </w:tc>
        <w:tc>
          <w:tcPr>
            <w:tcW w:w="977" w:type="dxa"/>
            <w:tcBorders>
              <w:top w:val="nil"/>
              <w:left w:val="nil"/>
              <w:bottom w:val="nil"/>
              <w:right w:val="nil"/>
            </w:tcBorders>
            <w:shd w:val="clear" w:color="auto" w:fill="AB2328"/>
            <w:noWrap/>
            <w:vAlign w:val="bottom"/>
            <w:hideMark/>
          </w:tcPr>
          <w:p w14:paraId="10E0ADF2"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£000</w:t>
            </w:r>
          </w:p>
        </w:tc>
        <w:tc>
          <w:tcPr>
            <w:tcW w:w="977" w:type="dxa"/>
            <w:tcBorders>
              <w:top w:val="nil"/>
              <w:left w:val="nil"/>
              <w:bottom w:val="nil"/>
              <w:right w:val="nil"/>
            </w:tcBorders>
            <w:shd w:val="clear" w:color="auto" w:fill="AB2328"/>
            <w:noWrap/>
            <w:vAlign w:val="bottom"/>
            <w:hideMark/>
          </w:tcPr>
          <w:p w14:paraId="167DD4F7" w14:textId="77777777" w:rsidR="00852156" w:rsidRPr="00852156" w:rsidRDefault="00852156" w:rsidP="00852156">
            <w:pPr>
              <w:spacing w:line="240" w:lineRule="auto"/>
              <w:jc w:val="right"/>
              <w:rPr>
                <w:rFonts w:ascii="Calibri" w:eastAsia="Times New Roman" w:hAnsi="Calibri" w:cs="Calibri"/>
                <w:b/>
                <w:bCs/>
                <w:color w:val="FFFFFF"/>
                <w:lang w:eastAsia="en-GB"/>
              </w:rPr>
            </w:pPr>
            <w:r w:rsidRPr="00852156">
              <w:rPr>
                <w:rFonts w:ascii="Calibri" w:eastAsia="Times New Roman" w:hAnsi="Calibri" w:cs="Calibri"/>
                <w:b/>
                <w:bCs/>
                <w:color w:val="FFFFFF"/>
                <w:lang w:eastAsia="en-GB"/>
              </w:rPr>
              <w:t>£000</w:t>
            </w:r>
          </w:p>
        </w:tc>
      </w:tr>
      <w:tr w:rsidR="00852156" w:rsidRPr="00852156" w14:paraId="621DAED0" w14:textId="77777777" w:rsidTr="00266DA4">
        <w:trPr>
          <w:trHeight w:val="299"/>
        </w:trPr>
        <w:tc>
          <w:tcPr>
            <w:tcW w:w="1138" w:type="dxa"/>
            <w:tcBorders>
              <w:top w:val="nil"/>
              <w:left w:val="nil"/>
              <w:bottom w:val="nil"/>
              <w:right w:val="nil"/>
            </w:tcBorders>
            <w:shd w:val="clear" w:color="auto" w:fill="FFFFFF" w:themeFill="background1"/>
            <w:noWrap/>
            <w:vAlign w:val="bottom"/>
            <w:hideMark/>
          </w:tcPr>
          <w:p w14:paraId="16DA3AB9"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306703</w:t>
            </w:r>
          </w:p>
        </w:tc>
        <w:tc>
          <w:tcPr>
            <w:tcW w:w="1458" w:type="dxa"/>
            <w:tcBorders>
              <w:top w:val="nil"/>
              <w:left w:val="nil"/>
              <w:bottom w:val="nil"/>
              <w:right w:val="nil"/>
            </w:tcBorders>
            <w:shd w:val="clear" w:color="auto" w:fill="FFFFFF" w:themeFill="background1"/>
            <w:noWrap/>
            <w:vAlign w:val="bottom"/>
            <w:hideMark/>
          </w:tcPr>
          <w:p w14:paraId="4D0B8A12" w14:textId="7F4F9209" w:rsidR="00852156" w:rsidRPr="00852156" w:rsidRDefault="42FCE13B" w:rsidP="00852156">
            <w:pPr>
              <w:spacing w:line="240" w:lineRule="auto"/>
              <w:jc w:val="right"/>
              <w:rPr>
                <w:rFonts w:ascii="Calibri" w:eastAsia="Times New Roman" w:hAnsi="Calibri" w:cs="Calibri"/>
                <w:color w:val="000000"/>
                <w:lang w:eastAsia="en-GB"/>
              </w:rPr>
            </w:pPr>
            <w:r w:rsidRPr="5A995008">
              <w:rPr>
                <w:rFonts w:ascii="Calibri" w:eastAsia="Times New Roman" w:hAnsi="Calibri" w:cs="Calibri"/>
                <w:color w:val="000000" w:themeColor="text1"/>
                <w:lang w:eastAsia="en-GB"/>
              </w:rPr>
              <w:t>18/02/2061</w:t>
            </w:r>
          </w:p>
        </w:tc>
        <w:tc>
          <w:tcPr>
            <w:tcW w:w="3821" w:type="dxa"/>
            <w:tcBorders>
              <w:top w:val="nil"/>
              <w:left w:val="nil"/>
              <w:bottom w:val="nil"/>
              <w:right w:val="nil"/>
            </w:tcBorders>
            <w:shd w:val="clear" w:color="auto" w:fill="FFFFFF" w:themeFill="background1"/>
            <w:noWrap/>
            <w:vAlign w:val="bottom"/>
            <w:hideMark/>
          </w:tcPr>
          <w:p w14:paraId="4EBCBD97"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1.98%</w:t>
            </w:r>
          </w:p>
        </w:tc>
        <w:tc>
          <w:tcPr>
            <w:tcW w:w="789" w:type="dxa"/>
            <w:tcBorders>
              <w:top w:val="nil"/>
              <w:left w:val="nil"/>
              <w:bottom w:val="nil"/>
              <w:right w:val="nil"/>
            </w:tcBorders>
            <w:shd w:val="clear" w:color="auto" w:fill="FFFFFF" w:themeFill="background1"/>
            <w:noWrap/>
            <w:vAlign w:val="bottom"/>
            <w:hideMark/>
          </w:tcPr>
          <w:p w14:paraId="39C216A8"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 xml:space="preserve">Fixed </w:t>
            </w:r>
          </w:p>
        </w:tc>
        <w:tc>
          <w:tcPr>
            <w:tcW w:w="1262" w:type="dxa"/>
            <w:tcBorders>
              <w:top w:val="nil"/>
              <w:left w:val="nil"/>
              <w:bottom w:val="nil"/>
              <w:right w:val="nil"/>
            </w:tcBorders>
            <w:shd w:val="clear" w:color="auto" w:fill="FFFFFF" w:themeFill="background1"/>
            <w:noWrap/>
            <w:vAlign w:val="bottom"/>
            <w:hideMark/>
          </w:tcPr>
          <w:p w14:paraId="65EC0BD6"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EIP</w:t>
            </w:r>
          </w:p>
        </w:tc>
        <w:tc>
          <w:tcPr>
            <w:tcW w:w="977" w:type="dxa"/>
            <w:tcBorders>
              <w:top w:val="nil"/>
              <w:left w:val="nil"/>
              <w:bottom w:val="nil"/>
              <w:right w:val="nil"/>
            </w:tcBorders>
            <w:shd w:val="clear" w:color="auto" w:fill="FFFFFF" w:themeFill="background1"/>
            <w:noWrap/>
            <w:vAlign w:val="bottom"/>
            <w:hideMark/>
          </w:tcPr>
          <w:p w14:paraId="2B8F04A8"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(3,060)</w:t>
            </w:r>
          </w:p>
        </w:tc>
        <w:tc>
          <w:tcPr>
            <w:tcW w:w="977" w:type="dxa"/>
            <w:tcBorders>
              <w:top w:val="nil"/>
              <w:left w:val="nil"/>
              <w:bottom w:val="nil"/>
              <w:right w:val="nil"/>
            </w:tcBorders>
            <w:shd w:val="clear" w:color="auto" w:fill="FFE1E1"/>
            <w:noWrap/>
            <w:vAlign w:val="bottom"/>
            <w:hideMark/>
          </w:tcPr>
          <w:p w14:paraId="28B27ACC" w14:textId="77777777" w:rsidR="00852156" w:rsidRPr="00852156" w:rsidRDefault="00852156" w:rsidP="00852156">
            <w:pPr>
              <w:spacing w:line="240" w:lineRule="auto"/>
              <w:jc w:val="right"/>
              <w:rPr>
                <w:rFonts w:ascii="Calibri" w:eastAsia="Times New Roman" w:hAnsi="Calibri" w:cs="Calibri"/>
                <w:color w:val="000000"/>
                <w:lang w:eastAsia="en-GB"/>
              </w:rPr>
            </w:pPr>
            <w:r w:rsidRPr="00852156">
              <w:rPr>
                <w:rFonts w:ascii="Calibri" w:eastAsia="Times New Roman" w:hAnsi="Calibri" w:cs="Calibri"/>
                <w:color w:val="000000"/>
                <w:lang w:eastAsia="en-GB"/>
              </w:rPr>
              <w:t>(2,977)</w:t>
            </w:r>
          </w:p>
        </w:tc>
      </w:tr>
      <w:tr w:rsidR="00852156" w:rsidRPr="00852156" w14:paraId="76FF368B" w14:textId="77777777" w:rsidTr="00266DA4">
        <w:trPr>
          <w:trHeight w:val="341"/>
        </w:trPr>
        <w:tc>
          <w:tcPr>
            <w:tcW w:w="8470" w:type="dxa"/>
            <w:gridSpan w:val="5"/>
            <w:tcBorders>
              <w:top w:val="single" w:sz="4" w:space="0" w:color="auto"/>
              <w:left w:val="nil"/>
              <w:bottom w:val="single" w:sz="4" w:space="0" w:color="auto"/>
              <w:right w:val="nil"/>
            </w:tcBorders>
            <w:shd w:val="clear" w:color="auto" w:fill="FFFFFF" w:themeFill="background1"/>
            <w:noWrap/>
            <w:vAlign w:val="bottom"/>
            <w:hideMark/>
          </w:tcPr>
          <w:p w14:paraId="27C83F13" w14:textId="77777777" w:rsidR="00852156" w:rsidRPr="00852156" w:rsidRDefault="00852156" w:rsidP="00852156">
            <w:pPr>
              <w:spacing w:line="240" w:lineRule="auto"/>
              <w:jc w:val="left"/>
              <w:rPr>
                <w:rFonts w:ascii="Calibri" w:eastAsia="Times New Roman" w:hAnsi="Calibri" w:cs="Calibri"/>
                <w:b/>
                <w:bCs/>
                <w:color w:val="000000"/>
                <w:lang w:eastAsia="en-GB"/>
              </w:rPr>
            </w:pPr>
            <w:r w:rsidRPr="00852156">
              <w:rPr>
                <w:rFonts w:ascii="Calibri" w:eastAsia="Times New Roman" w:hAnsi="Calibri" w:cs="Calibri"/>
                <w:b/>
                <w:bCs/>
                <w:color w:val="000000"/>
                <w:lang w:eastAsia="en-GB"/>
              </w:rPr>
              <w:t>Total Long Term Borrowing</w:t>
            </w:r>
          </w:p>
        </w:tc>
        <w:tc>
          <w:tcPr>
            <w:tcW w:w="977" w:type="dxa"/>
            <w:tcBorders>
              <w:top w:val="single" w:sz="4" w:space="0" w:color="auto"/>
              <w:left w:val="nil"/>
              <w:bottom w:val="single" w:sz="4" w:space="0" w:color="auto"/>
              <w:right w:val="nil"/>
            </w:tcBorders>
            <w:shd w:val="clear" w:color="auto" w:fill="FFFFFF" w:themeFill="background1"/>
            <w:noWrap/>
            <w:vAlign w:val="bottom"/>
            <w:hideMark/>
          </w:tcPr>
          <w:p w14:paraId="482889C1" w14:textId="77777777" w:rsidR="00852156" w:rsidRPr="00852156" w:rsidRDefault="00852156" w:rsidP="00852156">
            <w:pPr>
              <w:spacing w:line="240" w:lineRule="auto"/>
              <w:jc w:val="right"/>
              <w:rPr>
                <w:rFonts w:ascii="Calibri" w:eastAsia="Times New Roman" w:hAnsi="Calibri" w:cs="Calibri"/>
                <w:b/>
                <w:bCs/>
                <w:color w:val="000000"/>
                <w:lang w:eastAsia="en-GB"/>
              </w:rPr>
            </w:pPr>
            <w:r w:rsidRPr="00852156">
              <w:rPr>
                <w:rFonts w:ascii="Calibri" w:eastAsia="Times New Roman" w:hAnsi="Calibri" w:cs="Calibri"/>
                <w:b/>
                <w:bCs/>
                <w:color w:val="000000"/>
                <w:lang w:eastAsia="en-GB"/>
              </w:rPr>
              <w:t>(3,060)</w:t>
            </w:r>
          </w:p>
        </w:tc>
        <w:tc>
          <w:tcPr>
            <w:tcW w:w="977" w:type="dxa"/>
            <w:tcBorders>
              <w:top w:val="single" w:sz="4" w:space="0" w:color="auto"/>
              <w:left w:val="nil"/>
              <w:bottom w:val="single" w:sz="4" w:space="0" w:color="auto"/>
              <w:right w:val="nil"/>
            </w:tcBorders>
            <w:shd w:val="clear" w:color="auto" w:fill="FFE1E1"/>
            <w:noWrap/>
            <w:vAlign w:val="bottom"/>
            <w:hideMark/>
          </w:tcPr>
          <w:p w14:paraId="56398063" w14:textId="77777777" w:rsidR="00852156" w:rsidRPr="00852156" w:rsidRDefault="00852156" w:rsidP="00852156">
            <w:pPr>
              <w:spacing w:line="240" w:lineRule="auto"/>
              <w:jc w:val="right"/>
              <w:rPr>
                <w:rFonts w:ascii="Calibri" w:eastAsia="Times New Roman" w:hAnsi="Calibri" w:cs="Calibri"/>
                <w:b/>
                <w:bCs/>
                <w:color w:val="000000"/>
                <w:lang w:eastAsia="en-GB"/>
              </w:rPr>
            </w:pPr>
            <w:r w:rsidRPr="00852156">
              <w:rPr>
                <w:rFonts w:ascii="Calibri" w:eastAsia="Times New Roman" w:hAnsi="Calibri" w:cs="Calibri"/>
                <w:b/>
                <w:bCs/>
                <w:color w:val="000000"/>
                <w:lang w:eastAsia="en-GB"/>
              </w:rPr>
              <w:t>(2,977)</w:t>
            </w:r>
          </w:p>
        </w:tc>
      </w:tr>
    </w:tbl>
    <w:p w14:paraId="2C27F59A" w14:textId="77777777" w:rsidR="00F11CA2" w:rsidRDefault="00F11CA2" w:rsidP="002A1ADD">
      <w:pPr>
        <w:pStyle w:val="VAHeadingLevel2"/>
      </w:pPr>
    </w:p>
    <w:tbl>
      <w:tblPr>
        <w:tblW w:w="5023" w:type="pct"/>
        <w:tblLook w:val="04A0" w:firstRow="1" w:lastRow="0" w:firstColumn="1" w:lastColumn="0" w:noHBand="0" w:noVBand="1"/>
      </w:tblPr>
      <w:tblGrid>
        <w:gridCol w:w="1249"/>
        <w:gridCol w:w="1386"/>
        <w:gridCol w:w="5153"/>
        <w:gridCol w:w="1249"/>
        <w:gridCol w:w="1386"/>
      </w:tblGrid>
      <w:tr w:rsidR="006F1767" w:rsidRPr="009B61CD" w14:paraId="0963AC5D" w14:textId="77777777" w:rsidTr="007D4D88">
        <w:trPr>
          <w:trHeight w:val="262"/>
        </w:trPr>
        <w:tc>
          <w:tcPr>
            <w:tcW w:w="1264" w:type="pct"/>
            <w:gridSpan w:val="2"/>
            <w:tcBorders>
              <w:top w:val="nil"/>
              <w:left w:val="nil"/>
              <w:bottom w:val="nil"/>
              <w:right w:val="nil"/>
            </w:tcBorders>
            <w:shd w:val="clear" w:color="000000" w:fill="AB2328"/>
            <w:vAlign w:val="bottom"/>
            <w:hideMark/>
          </w:tcPr>
          <w:p w14:paraId="314D3823" w14:textId="77777777" w:rsidR="009B61CD" w:rsidRPr="009B61CD" w:rsidRDefault="009B61CD" w:rsidP="00D53BCC">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2023/24</w:t>
            </w:r>
          </w:p>
        </w:tc>
        <w:tc>
          <w:tcPr>
            <w:tcW w:w="2472" w:type="pct"/>
            <w:tcBorders>
              <w:top w:val="nil"/>
              <w:left w:val="nil"/>
              <w:bottom w:val="nil"/>
              <w:right w:val="nil"/>
            </w:tcBorders>
            <w:shd w:val="clear" w:color="000000" w:fill="AB2328"/>
            <w:vAlign w:val="bottom"/>
            <w:hideMark/>
          </w:tcPr>
          <w:p w14:paraId="7A6F6862" w14:textId="77777777" w:rsidR="009B61CD" w:rsidRPr="009B61CD" w:rsidRDefault="009B61CD" w:rsidP="00D53BCC">
            <w:pPr>
              <w:spacing w:line="240" w:lineRule="auto"/>
              <w:jc w:val="right"/>
              <w:rPr>
                <w:rFonts w:ascii="Calibri" w:eastAsia="Times New Roman" w:hAnsi="Calibri" w:cs="Calibri"/>
                <w:color w:val="FFFFFF"/>
                <w:lang w:eastAsia="en-GB"/>
              </w:rPr>
            </w:pPr>
            <w:r w:rsidRPr="009B61CD">
              <w:rPr>
                <w:rFonts w:ascii="Calibri" w:eastAsia="Times New Roman" w:hAnsi="Calibri" w:cs="Calibri"/>
                <w:color w:val="FFFFFF"/>
                <w:lang w:eastAsia="en-GB"/>
              </w:rPr>
              <w:t> </w:t>
            </w:r>
          </w:p>
        </w:tc>
        <w:tc>
          <w:tcPr>
            <w:tcW w:w="1264" w:type="pct"/>
            <w:gridSpan w:val="2"/>
            <w:tcBorders>
              <w:top w:val="nil"/>
              <w:left w:val="nil"/>
              <w:bottom w:val="nil"/>
              <w:right w:val="nil"/>
            </w:tcBorders>
            <w:shd w:val="clear" w:color="000000" w:fill="AB2328"/>
            <w:vAlign w:val="bottom"/>
            <w:hideMark/>
          </w:tcPr>
          <w:p w14:paraId="1F04775B" w14:textId="77777777" w:rsidR="009B61CD" w:rsidRPr="009B61CD" w:rsidRDefault="009B61CD" w:rsidP="00D53BCC">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2024/25</w:t>
            </w:r>
          </w:p>
        </w:tc>
      </w:tr>
      <w:tr w:rsidR="00F26714" w:rsidRPr="009B61CD" w14:paraId="63FD45EB" w14:textId="77777777" w:rsidTr="007D4D88">
        <w:trPr>
          <w:trHeight w:val="528"/>
        </w:trPr>
        <w:tc>
          <w:tcPr>
            <w:tcW w:w="599" w:type="pct"/>
            <w:tcBorders>
              <w:top w:val="nil"/>
              <w:left w:val="nil"/>
              <w:bottom w:val="nil"/>
              <w:right w:val="nil"/>
            </w:tcBorders>
            <w:shd w:val="clear" w:color="000000" w:fill="AB2328"/>
            <w:vAlign w:val="bottom"/>
            <w:hideMark/>
          </w:tcPr>
          <w:p w14:paraId="4FD81824"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Carrying amount</w:t>
            </w:r>
          </w:p>
        </w:tc>
        <w:tc>
          <w:tcPr>
            <w:tcW w:w="665" w:type="pct"/>
            <w:tcBorders>
              <w:top w:val="nil"/>
              <w:left w:val="nil"/>
              <w:bottom w:val="nil"/>
              <w:right w:val="nil"/>
            </w:tcBorders>
            <w:shd w:val="clear" w:color="000000" w:fill="AB2328"/>
            <w:vAlign w:val="bottom"/>
            <w:hideMark/>
          </w:tcPr>
          <w:p w14:paraId="30230B4D"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Fair</w:t>
            </w:r>
            <w:r w:rsidRPr="009B61CD">
              <w:rPr>
                <w:rFonts w:ascii="Calibri" w:eastAsia="Times New Roman" w:hAnsi="Calibri" w:cs="Calibri"/>
                <w:b/>
                <w:bCs/>
                <w:color w:val="FFFFFF"/>
                <w:lang w:eastAsia="en-GB"/>
              </w:rPr>
              <w:br/>
              <w:t>Value</w:t>
            </w:r>
          </w:p>
        </w:tc>
        <w:tc>
          <w:tcPr>
            <w:tcW w:w="2472" w:type="pct"/>
            <w:tcBorders>
              <w:top w:val="nil"/>
              <w:left w:val="nil"/>
              <w:bottom w:val="nil"/>
              <w:right w:val="nil"/>
            </w:tcBorders>
            <w:shd w:val="clear" w:color="000000" w:fill="AB2328"/>
            <w:vAlign w:val="bottom"/>
            <w:hideMark/>
          </w:tcPr>
          <w:p w14:paraId="4B7543DE" w14:textId="77777777" w:rsidR="009B61CD" w:rsidRPr="009B61CD" w:rsidRDefault="009B61CD" w:rsidP="009B61CD">
            <w:pPr>
              <w:spacing w:line="240" w:lineRule="auto"/>
              <w:jc w:val="left"/>
              <w:rPr>
                <w:rFonts w:ascii="Calibri" w:eastAsia="Times New Roman" w:hAnsi="Calibri" w:cs="Calibri"/>
                <w:color w:val="FFFFFF"/>
                <w:lang w:eastAsia="en-GB"/>
              </w:rPr>
            </w:pPr>
            <w:r w:rsidRPr="009B61CD">
              <w:rPr>
                <w:rFonts w:ascii="Calibri" w:eastAsia="Times New Roman" w:hAnsi="Calibri" w:cs="Calibri"/>
                <w:color w:val="FFFFFF"/>
                <w:lang w:eastAsia="en-GB"/>
              </w:rPr>
              <w:t> </w:t>
            </w:r>
          </w:p>
        </w:tc>
        <w:tc>
          <w:tcPr>
            <w:tcW w:w="599" w:type="pct"/>
            <w:tcBorders>
              <w:top w:val="nil"/>
              <w:left w:val="nil"/>
              <w:bottom w:val="nil"/>
              <w:right w:val="nil"/>
            </w:tcBorders>
            <w:shd w:val="clear" w:color="000000" w:fill="AB2328"/>
            <w:vAlign w:val="bottom"/>
            <w:hideMark/>
          </w:tcPr>
          <w:p w14:paraId="6CB96CA5"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Carrying</w:t>
            </w:r>
            <w:r w:rsidRPr="009B61CD">
              <w:rPr>
                <w:rFonts w:ascii="Calibri" w:eastAsia="Times New Roman" w:hAnsi="Calibri" w:cs="Calibri"/>
                <w:b/>
                <w:bCs/>
                <w:color w:val="FFFFFF"/>
                <w:lang w:eastAsia="en-GB"/>
              </w:rPr>
              <w:br/>
              <w:t>amount</w:t>
            </w:r>
          </w:p>
        </w:tc>
        <w:tc>
          <w:tcPr>
            <w:tcW w:w="665" w:type="pct"/>
            <w:tcBorders>
              <w:top w:val="nil"/>
              <w:left w:val="nil"/>
              <w:bottom w:val="nil"/>
              <w:right w:val="nil"/>
            </w:tcBorders>
            <w:shd w:val="clear" w:color="000000" w:fill="AB2328"/>
            <w:vAlign w:val="bottom"/>
            <w:hideMark/>
          </w:tcPr>
          <w:p w14:paraId="2089DD58"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Fair</w:t>
            </w:r>
            <w:r w:rsidRPr="009B61CD">
              <w:rPr>
                <w:rFonts w:ascii="Calibri" w:eastAsia="Times New Roman" w:hAnsi="Calibri" w:cs="Calibri"/>
                <w:b/>
                <w:bCs/>
                <w:color w:val="FFFFFF"/>
                <w:lang w:eastAsia="en-GB"/>
              </w:rPr>
              <w:br/>
              <w:t>Value</w:t>
            </w:r>
          </w:p>
        </w:tc>
      </w:tr>
      <w:tr w:rsidR="00F26714" w:rsidRPr="009B61CD" w14:paraId="0A7513C5" w14:textId="77777777" w:rsidTr="007D4D88">
        <w:trPr>
          <w:trHeight w:val="262"/>
        </w:trPr>
        <w:tc>
          <w:tcPr>
            <w:tcW w:w="599" w:type="pct"/>
            <w:tcBorders>
              <w:top w:val="nil"/>
              <w:left w:val="nil"/>
              <w:bottom w:val="nil"/>
              <w:right w:val="nil"/>
            </w:tcBorders>
            <w:shd w:val="clear" w:color="000000" w:fill="AB2328"/>
            <w:noWrap/>
            <w:vAlign w:val="bottom"/>
            <w:hideMark/>
          </w:tcPr>
          <w:p w14:paraId="0670371E"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£000</w:t>
            </w:r>
          </w:p>
        </w:tc>
        <w:tc>
          <w:tcPr>
            <w:tcW w:w="665" w:type="pct"/>
            <w:tcBorders>
              <w:top w:val="nil"/>
              <w:left w:val="nil"/>
              <w:bottom w:val="nil"/>
              <w:right w:val="nil"/>
            </w:tcBorders>
            <w:shd w:val="clear" w:color="000000" w:fill="AB2328"/>
            <w:noWrap/>
            <w:vAlign w:val="bottom"/>
            <w:hideMark/>
          </w:tcPr>
          <w:p w14:paraId="19FF3F36"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£000</w:t>
            </w:r>
          </w:p>
        </w:tc>
        <w:tc>
          <w:tcPr>
            <w:tcW w:w="2472" w:type="pct"/>
            <w:tcBorders>
              <w:top w:val="nil"/>
              <w:left w:val="nil"/>
              <w:bottom w:val="nil"/>
              <w:right w:val="nil"/>
            </w:tcBorders>
            <w:shd w:val="clear" w:color="000000" w:fill="AB2328"/>
            <w:vAlign w:val="bottom"/>
            <w:hideMark/>
          </w:tcPr>
          <w:p w14:paraId="7028AEC4" w14:textId="77777777" w:rsidR="009B61CD" w:rsidRPr="009B61CD" w:rsidRDefault="009B61CD" w:rsidP="009B61CD">
            <w:pPr>
              <w:spacing w:line="240" w:lineRule="auto"/>
              <w:jc w:val="left"/>
              <w:rPr>
                <w:rFonts w:ascii="Calibri" w:eastAsia="Times New Roman" w:hAnsi="Calibri" w:cs="Calibri"/>
                <w:color w:val="FFFFFF"/>
                <w:lang w:eastAsia="en-GB"/>
              </w:rPr>
            </w:pPr>
            <w:r w:rsidRPr="009B61CD">
              <w:rPr>
                <w:rFonts w:ascii="Calibri" w:eastAsia="Times New Roman" w:hAnsi="Calibri" w:cs="Calibri"/>
                <w:color w:val="FFFFFF"/>
                <w:lang w:eastAsia="en-GB"/>
              </w:rPr>
              <w:t> </w:t>
            </w:r>
          </w:p>
        </w:tc>
        <w:tc>
          <w:tcPr>
            <w:tcW w:w="599" w:type="pct"/>
            <w:tcBorders>
              <w:top w:val="nil"/>
              <w:left w:val="nil"/>
              <w:bottom w:val="nil"/>
              <w:right w:val="nil"/>
            </w:tcBorders>
            <w:shd w:val="clear" w:color="000000" w:fill="AB2328"/>
            <w:noWrap/>
            <w:vAlign w:val="bottom"/>
            <w:hideMark/>
          </w:tcPr>
          <w:p w14:paraId="63C57F3A"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£000</w:t>
            </w:r>
          </w:p>
        </w:tc>
        <w:tc>
          <w:tcPr>
            <w:tcW w:w="665" w:type="pct"/>
            <w:tcBorders>
              <w:top w:val="nil"/>
              <w:left w:val="nil"/>
              <w:bottom w:val="nil"/>
              <w:right w:val="nil"/>
            </w:tcBorders>
            <w:shd w:val="clear" w:color="000000" w:fill="AB2328"/>
            <w:noWrap/>
            <w:vAlign w:val="bottom"/>
            <w:hideMark/>
          </w:tcPr>
          <w:p w14:paraId="2AAEAECF" w14:textId="77777777" w:rsidR="009B61CD" w:rsidRPr="009B61CD" w:rsidRDefault="009B61CD" w:rsidP="009B61CD">
            <w:pPr>
              <w:spacing w:line="240" w:lineRule="auto"/>
              <w:jc w:val="right"/>
              <w:rPr>
                <w:rFonts w:ascii="Calibri" w:eastAsia="Times New Roman" w:hAnsi="Calibri" w:cs="Calibri"/>
                <w:b/>
                <w:bCs/>
                <w:color w:val="FFFFFF"/>
                <w:lang w:eastAsia="en-GB"/>
              </w:rPr>
            </w:pPr>
            <w:r w:rsidRPr="009B61CD">
              <w:rPr>
                <w:rFonts w:ascii="Calibri" w:eastAsia="Times New Roman" w:hAnsi="Calibri" w:cs="Calibri"/>
                <w:b/>
                <w:bCs/>
                <w:color w:val="FFFFFF"/>
                <w:lang w:eastAsia="en-GB"/>
              </w:rPr>
              <w:t>£000</w:t>
            </w:r>
          </w:p>
        </w:tc>
      </w:tr>
      <w:tr w:rsidR="00F26714" w:rsidRPr="009B61CD" w14:paraId="0C2B73AD" w14:textId="77777777" w:rsidTr="007D4D88">
        <w:trPr>
          <w:trHeight w:val="262"/>
        </w:trPr>
        <w:tc>
          <w:tcPr>
            <w:tcW w:w="599" w:type="pct"/>
            <w:tcBorders>
              <w:top w:val="nil"/>
              <w:left w:val="nil"/>
              <w:bottom w:val="single" w:sz="4" w:space="0" w:color="auto"/>
              <w:right w:val="nil"/>
            </w:tcBorders>
            <w:shd w:val="clear" w:color="000000" w:fill="FFFFFF"/>
            <w:noWrap/>
            <w:vAlign w:val="bottom"/>
            <w:hideMark/>
          </w:tcPr>
          <w:p w14:paraId="48841481" w14:textId="77777777" w:rsidR="009B61CD" w:rsidRPr="009B61CD" w:rsidRDefault="009B61CD" w:rsidP="009B61CD">
            <w:pPr>
              <w:spacing w:line="240" w:lineRule="auto"/>
              <w:jc w:val="right"/>
              <w:rPr>
                <w:rFonts w:ascii="Calibri" w:eastAsia="Times New Roman" w:hAnsi="Calibri" w:cs="Calibri"/>
                <w:lang w:eastAsia="en-GB"/>
              </w:rPr>
            </w:pPr>
            <w:r w:rsidRPr="009B61CD">
              <w:rPr>
                <w:rFonts w:ascii="Calibri" w:eastAsia="Times New Roman" w:hAnsi="Calibri" w:cs="Calibri"/>
                <w:color w:val="000000"/>
                <w:lang w:eastAsia="en-GB"/>
              </w:rPr>
              <w:t>(3,060)</w:t>
            </w:r>
          </w:p>
        </w:tc>
        <w:tc>
          <w:tcPr>
            <w:tcW w:w="665" w:type="pct"/>
            <w:tcBorders>
              <w:top w:val="nil"/>
              <w:left w:val="nil"/>
              <w:bottom w:val="single" w:sz="4" w:space="0" w:color="auto"/>
              <w:right w:val="nil"/>
            </w:tcBorders>
            <w:shd w:val="clear" w:color="000000" w:fill="FFFFFF"/>
            <w:noWrap/>
            <w:vAlign w:val="bottom"/>
            <w:hideMark/>
          </w:tcPr>
          <w:p w14:paraId="0E136B96" w14:textId="77777777" w:rsidR="009B61CD" w:rsidRPr="009B61CD" w:rsidRDefault="009B61CD" w:rsidP="009B61CD">
            <w:pPr>
              <w:spacing w:line="240" w:lineRule="auto"/>
              <w:jc w:val="right"/>
              <w:rPr>
                <w:rFonts w:ascii="Calibri" w:eastAsia="Times New Roman" w:hAnsi="Calibri" w:cs="Calibri"/>
                <w:lang w:eastAsia="en-GB"/>
              </w:rPr>
            </w:pPr>
            <w:r w:rsidRPr="009B61CD">
              <w:rPr>
                <w:rFonts w:ascii="Calibri" w:eastAsia="Times New Roman" w:hAnsi="Calibri" w:cs="Calibri"/>
                <w:color w:val="000000"/>
                <w:lang w:eastAsia="en-GB"/>
              </w:rPr>
              <w:t>(2,257)</w:t>
            </w:r>
          </w:p>
        </w:tc>
        <w:tc>
          <w:tcPr>
            <w:tcW w:w="2472" w:type="pct"/>
            <w:tcBorders>
              <w:top w:val="nil"/>
              <w:left w:val="nil"/>
              <w:bottom w:val="single" w:sz="4" w:space="0" w:color="auto"/>
              <w:right w:val="nil"/>
            </w:tcBorders>
            <w:shd w:val="clear" w:color="000000" w:fill="FFFFFF"/>
            <w:noWrap/>
            <w:vAlign w:val="bottom"/>
            <w:hideMark/>
          </w:tcPr>
          <w:p w14:paraId="1A13215A" w14:textId="77777777" w:rsidR="009B61CD" w:rsidRPr="009B61CD" w:rsidRDefault="009B61CD" w:rsidP="009B61CD">
            <w:pPr>
              <w:spacing w:line="240" w:lineRule="auto"/>
              <w:jc w:val="left"/>
              <w:rPr>
                <w:rFonts w:ascii="Calibri" w:eastAsia="Times New Roman" w:hAnsi="Calibri" w:cs="Calibri"/>
                <w:lang w:eastAsia="en-GB"/>
              </w:rPr>
            </w:pPr>
            <w:r w:rsidRPr="009B61CD">
              <w:rPr>
                <w:rFonts w:ascii="Calibri" w:eastAsia="Times New Roman" w:hAnsi="Calibri" w:cs="Calibri"/>
                <w:lang w:eastAsia="en-GB"/>
              </w:rPr>
              <w:t>Loans</w:t>
            </w:r>
          </w:p>
        </w:tc>
        <w:tc>
          <w:tcPr>
            <w:tcW w:w="599" w:type="pct"/>
            <w:tcBorders>
              <w:top w:val="nil"/>
              <w:left w:val="nil"/>
              <w:bottom w:val="single" w:sz="4" w:space="0" w:color="auto"/>
              <w:right w:val="nil"/>
            </w:tcBorders>
            <w:shd w:val="clear" w:color="000000" w:fill="FFE1E1"/>
            <w:noWrap/>
            <w:vAlign w:val="bottom"/>
            <w:hideMark/>
          </w:tcPr>
          <w:p w14:paraId="6AF33496" w14:textId="77777777" w:rsidR="009B61CD" w:rsidRPr="009B61CD" w:rsidRDefault="009B61CD" w:rsidP="009B61CD">
            <w:pPr>
              <w:spacing w:line="240" w:lineRule="auto"/>
              <w:jc w:val="right"/>
              <w:rPr>
                <w:rFonts w:ascii="Calibri" w:eastAsia="Times New Roman" w:hAnsi="Calibri" w:cs="Calibri"/>
                <w:lang w:eastAsia="en-GB"/>
              </w:rPr>
            </w:pPr>
            <w:r w:rsidRPr="009B61CD">
              <w:rPr>
                <w:rFonts w:ascii="Calibri" w:eastAsia="Times New Roman" w:hAnsi="Calibri" w:cs="Calibri"/>
                <w:color w:val="000000"/>
                <w:lang w:eastAsia="en-GB"/>
              </w:rPr>
              <w:t>(2,977)</w:t>
            </w:r>
          </w:p>
        </w:tc>
        <w:tc>
          <w:tcPr>
            <w:tcW w:w="665" w:type="pct"/>
            <w:tcBorders>
              <w:top w:val="nil"/>
              <w:left w:val="nil"/>
              <w:bottom w:val="single" w:sz="4" w:space="0" w:color="auto"/>
              <w:right w:val="nil"/>
            </w:tcBorders>
            <w:shd w:val="clear" w:color="000000" w:fill="FFE1E1"/>
            <w:noWrap/>
            <w:vAlign w:val="bottom"/>
            <w:hideMark/>
          </w:tcPr>
          <w:p w14:paraId="0F3555DB" w14:textId="77777777" w:rsidR="009B61CD" w:rsidRPr="009B61CD" w:rsidRDefault="009B61CD" w:rsidP="009B61CD">
            <w:pPr>
              <w:spacing w:line="240" w:lineRule="auto"/>
              <w:jc w:val="right"/>
              <w:rPr>
                <w:rFonts w:ascii="Calibri" w:eastAsia="Times New Roman" w:hAnsi="Calibri" w:cs="Calibri"/>
                <w:lang w:eastAsia="en-GB"/>
              </w:rPr>
            </w:pPr>
            <w:r w:rsidRPr="009B61CD">
              <w:rPr>
                <w:rFonts w:ascii="Calibri" w:eastAsia="Times New Roman" w:hAnsi="Calibri" w:cs="Calibri"/>
                <w:color w:val="000000"/>
                <w:lang w:eastAsia="en-GB"/>
              </w:rPr>
              <w:t>(2,030)</w:t>
            </w:r>
          </w:p>
        </w:tc>
      </w:tr>
    </w:tbl>
    <w:p w14:paraId="02A2E846" w14:textId="77777777" w:rsidR="006528C7" w:rsidRDefault="006528C7" w:rsidP="002A1ADD">
      <w:pPr>
        <w:pStyle w:val="VAHeadingLevel2"/>
      </w:pPr>
    </w:p>
    <w:tbl>
      <w:tblPr>
        <w:tblW w:w="5041" w:type="pct"/>
        <w:tblLook w:val="04A0" w:firstRow="1" w:lastRow="0" w:firstColumn="1" w:lastColumn="0" w:noHBand="0" w:noVBand="1"/>
      </w:tblPr>
      <w:tblGrid>
        <w:gridCol w:w="267"/>
        <w:gridCol w:w="3042"/>
        <w:gridCol w:w="4360"/>
        <w:gridCol w:w="1613"/>
        <w:gridCol w:w="1178"/>
      </w:tblGrid>
      <w:tr w:rsidR="00DA319E" w:rsidRPr="00DA319E" w14:paraId="05D18297" w14:textId="77777777" w:rsidTr="007D4D88">
        <w:trPr>
          <w:trHeight w:val="286"/>
        </w:trPr>
        <w:tc>
          <w:tcPr>
            <w:tcW w:w="5000" w:type="pct"/>
            <w:gridSpan w:val="5"/>
            <w:tcBorders>
              <w:top w:val="nil"/>
              <w:left w:val="nil"/>
              <w:bottom w:val="nil"/>
              <w:right w:val="nil"/>
            </w:tcBorders>
            <w:shd w:val="clear" w:color="auto" w:fill="AB2328"/>
            <w:vAlign w:val="bottom"/>
            <w:hideMark/>
          </w:tcPr>
          <w:p w14:paraId="0A840571" w14:textId="77777777" w:rsidR="00DA319E" w:rsidRPr="00DA319E" w:rsidRDefault="00DA319E" w:rsidP="00002C2E">
            <w:pPr>
              <w:spacing w:line="240" w:lineRule="auto"/>
              <w:jc w:val="lef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Interest rate exposure – the maximum percentage of borrowing at Fixed and Variable Rates</w:t>
            </w:r>
          </w:p>
        </w:tc>
      </w:tr>
      <w:tr w:rsidR="00DA319E" w:rsidRPr="00DA319E" w14:paraId="15D9495E" w14:textId="77777777" w:rsidTr="007D4D88">
        <w:trPr>
          <w:trHeight w:val="286"/>
        </w:trPr>
        <w:tc>
          <w:tcPr>
            <w:tcW w:w="128" w:type="pct"/>
            <w:tcBorders>
              <w:top w:val="nil"/>
              <w:left w:val="nil"/>
              <w:bottom w:val="nil"/>
              <w:right w:val="nil"/>
            </w:tcBorders>
            <w:shd w:val="clear" w:color="auto" w:fill="AB2328"/>
            <w:noWrap/>
            <w:vAlign w:val="bottom"/>
            <w:hideMark/>
          </w:tcPr>
          <w:p w14:paraId="518B99B8" w14:textId="77777777" w:rsidR="00DA319E" w:rsidRPr="00DA319E" w:rsidRDefault="00DA319E" w:rsidP="00DA319E">
            <w:pPr>
              <w:spacing w:line="240" w:lineRule="auto"/>
              <w:jc w:val="lef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 xml:space="preserve"> </w:t>
            </w:r>
          </w:p>
        </w:tc>
        <w:tc>
          <w:tcPr>
            <w:tcW w:w="1454" w:type="pct"/>
            <w:tcBorders>
              <w:top w:val="nil"/>
              <w:left w:val="nil"/>
              <w:bottom w:val="nil"/>
              <w:right w:val="nil"/>
            </w:tcBorders>
            <w:shd w:val="clear" w:color="auto" w:fill="AB2328"/>
            <w:vAlign w:val="bottom"/>
            <w:hideMark/>
          </w:tcPr>
          <w:p w14:paraId="739510E4" w14:textId="77777777" w:rsidR="00DA319E" w:rsidRPr="00DA319E" w:rsidRDefault="00DA319E" w:rsidP="00DA319E">
            <w:pPr>
              <w:spacing w:line="240" w:lineRule="auto"/>
              <w:jc w:val="lef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 </w:t>
            </w:r>
          </w:p>
        </w:tc>
        <w:tc>
          <w:tcPr>
            <w:tcW w:w="2084" w:type="pct"/>
            <w:tcBorders>
              <w:top w:val="nil"/>
              <w:left w:val="nil"/>
              <w:bottom w:val="nil"/>
              <w:right w:val="nil"/>
            </w:tcBorders>
            <w:shd w:val="clear" w:color="auto" w:fill="AB2328"/>
            <w:vAlign w:val="bottom"/>
            <w:hideMark/>
          </w:tcPr>
          <w:p w14:paraId="38B5EDFE" w14:textId="77777777" w:rsidR="00DA319E" w:rsidRPr="00DA319E" w:rsidRDefault="00DA319E" w:rsidP="00DA319E">
            <w:pPr>
              <w:spacing w:line="240" w:lineRule="auto"/>
              <w:jc w:val="lef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 </w:t>
            </w:r>
          </w:p>
        </w:tc>
        <w:tc>
          <w:tcPr>
            <w:tcW w:w="771" w:type="pct"/>
            <w:tcBorders>
              <w:top w:val="nil"/>
              <w:left w:val="nil"/>
              <w:bottom w:val="nil"/>
              <w:right w:val="nil"/>
            </w:tcBorders>
            <w:shd w:val="clear" w:color="auto" w:fill="AB2328"/>
            <w:vAlign w:val="bottom"/>
            <w:hideMark/>
          </w:tcPr>
          <w:p w14:paraId="36780A28" w14:textId="77777777" w:rsidR="00DA319E" w:rsidRPr="00DA319E" w:rsidRDefault="00DA319E" w:rsidP="00DA319E">
            <w:pPr>
              <w:spacing w:line="240" w:lineRule="auto"/>
              <w:jc w:val="righ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2023/24</w:t>
            </w:r>
          </w:p>
        </w:tc>
        <w:tc>
          <w:tcPr>
            <w:tcW w:w="563" w:type="pct"/>
            <w:tcBorders>
              <w:top w:val="nil"/>
              <w:left w:val="nil"/>
              <w:bottom w:val="nil"/>
              <w:right w:val="nil"/>
            </w:tcBorders>
            <w:shd w:val="clear" w:color="auto" w:fill="AB2328"/>
            <w:noWrap/>
            <w:vAlign w:val="bottom"/>
            <w:hideMark/>
          </w:tcPr>
          <w:p w14:paraId="362A750D" w14:textId="77777777" w:rsidR="00DA319E" w:rsidRPr="00DA319E" w:rsidRDefault="00DA319E" w:rsidP="00DA319E">
            <w:pPr>
              <w:spacing w:line="240" w:lineRule="auto"/>
              <w:jc w:val="right"/>
              <w:rPr>
                <w:rFonts w:ascii="Calibri" w:eastAsia="Times New Roman" w:hAnsi="Calibri" w:cs="Calibri"/>
                <w:b/>
                <w:bCs/>
                <w:color w:val="FFFFFF"/>
                <w:lang w:eastAsia="en-GB"/>
              </w:rPr>
            </w:pPr>
            <w:r w:rsidRPr="00DA319E">
              <w:rPr>
                <w:rFonts w:ascii="Calibri" w:eastAsia="Times New Roman" w:hAnsi="Calibri" w:cs="Calibri"/>
                <w:b/>
                <w:bCs/>
                <w:color w:val="FFFFFF"/>
                <w:lang w:eastAsia="en-GB"/>
              </w:rPr>
              <w:t>2024/25</w:t>
            </w:r>
          </w:p>
        </w:tc>
      </w:tr>
      <w:tr w:rsidR="00DA319E" w:rsidRPr="00DA319E" w14:paraId="1DFFE0A2" w14:textId="77777777" w:rsidTr="007D4D88">
        <w:trPr>
          <w:trHeight w:val="286"/>
        </w:trPr>
        <w:tc>
          <w:tcPr>
            <w:tcW w:w="1582" w:type="pct"/>
            <w:gridSpan w:val="2"/>
            <w:tcBorders>
              <w:top w:val="nil"/>
              <w:left w:val="nil"/>
              <w:bottom w:val="nil"/>
              <w:right w:val="nil"/>
            </w:tcBorders>
            <w:shd w:val="clear" w:color="auto" w:fill="FFFFFF" w:themeFill="background1"/>
            <w:noWrap/>
            <w:vAlign w:val="bottom"/>
            <w:hideMark/>
          </w:tcPr>
          <w:p w14:paraId="4BE0663A" w14:textId="77777777" w:rsidR="00DA319E" w:rsidRPr="00DA319E" w:rsidRDefault="00DA319E" w:rsidP="00DA319E">
            <w:pPr>
              <w:spacing w:line="240" w:lineRule="auto"/>
              <w:jc w:val="left"/>
              <w:rPr>
                <w:rFonts w:ascii="Calibri" w:eastAsia="Times New Roman" w:hAnsi="Calibri" w:cs="Calibri"/>
                <w:lang w:eastAsia="en-GB"/>
              </w:rPr>
            </w:pPr>
            <w:r w:rsidRPr="00DA319E">
              <w:rPr>
                <w:rFonts w:ascii="Calibri" w:eastAsia="Times New Roman" w:hAnsi="Calibri" w:cs="Calibri"/>
                <w:lang w:eastAsia="en-GB"/>
              </w:rPr>
              <w:t xml:space="preserve">Fixed Rate – maximum limit </w:t>
            </w:r>
          </w:p>
        </w:tc>
        <w:tc>
          <w:tcPr>
            <w:tcW w:w="2084" w:type="pct"/>
            <w:tcBorders>
              <w:top w:val="nil"/>
              <w:left w:val="nil"/>
              <w:bottom w:val="nil"/>
              <w:right w:val="nil"/>
            </w:tcBorders>
            <w:shd w:val="clear" w:color="auto" w:fill="FFFFFF" w:themeFill="background1"/>
            <w:noWrap/>
            <w:vAlign w:val="bottom"/>
            <w:hideMark/>
          </w:tcPr>
          <w:p w14:paraId="7ABE990E" w14:textId="77777777" w:rsidR="00DA319E" w:rsidRPr="00DA319E" w:rsidRDefault="00DA319E" w:rsidP="00DA319E">
            <w:pPr>
              <w:spacing w:line="240" w:lineRule="auto"/>
              <w:jc w:val="left"/>
              <w:rPr>
                <w:rFonts w:ascii="Calibri" w:eastAsia="Times New Roman" w:hAnsi="Calibri" w:cs="Calibri"/>
                <w:lang w:eastAsia="en-GB"/>
              </w:rPr>
            </w:pPr>
            <w:r w:rsidRPr="00DA319E">
              <w:rPr>
                <w:rFonts w:ascii="Calibri" w:eastAsia="Times New Roman" w:hAnsi="Calibri" w:cs="Calibri"/>
                <w:lang w:eastAsia="en-GB"/>
              </w:rPr>
              <w:t> </w:t>
            </w:r>
          </w:p>
        </w:tc>
        <w:tc>
          <w:tcPr>
            <w:tcW w:w="771" w:type="pct"/>
            <w:tcBorders>
              <w:top w:val="nil"/>
              <w:left w:val="nil"/>
              <w:bottom w:val="nil"/>
              <w:right w:val="nil"/>
            </w:tcBorders>
            <w:shd w:val="clear" w:color="auto" w:fill="FFFFFF" w:themeFill="background1"/>
            <w:noWrap/>
            <w:vAlign w:val="bottom"/>
            <w:hideMark/>
          </w:tcPr>
          <w:p w14:paraId="7D02B40E" w14:textId="77777777" w:rsidR="00DA319E" w:rsidRPr="00DA319E" w:rsidRDefault="00DA319E" w:rsidP="00DA319E">
            <w:pPr>
              <w:spacing w:line="240" w:lineRule="auto"/>
              <w:jc w:val="right"/>
              <w:rPr>
                <w:rFonts w:ascii="Calibri" w:eastAsia="Times New Roman" w:hAnsi="Calibri" w:cs="Calibri"/>
                <w:lang w:eastAsia="en-GB"/>
              </w:rPr>
            </w:pPr>
            <w:r w:rsidRPr="00DA319E">
              <w:rPr>
                <w:rFonts w:ascii="Calibri" w:eastAsia="Times New Roman" w:hAnsi="Calibri" w:cs="Calibri"/>
                <w:lang w:eastAsia="en-GB"/>
              </w:rPr>
              <w:t>100%</w:t>
            </w:r>
          </w:p>
        </w:tc>
        <w:tc>
          <w:tcPr>
            <w:tcW w:w="563" w:type="pct"/>
            <w:tcBorders>
              <w:top w:val="nil"/>
              <w:left w:val="nil"/>
              <w:bottom w:val="nil"/>
              <w:right w:val="nil"/>
            </w:tcBorders>
            <w:shd w:val="clear" w:color="auto" w:fill="FFFFFF" w:themeFill="background1"/>
            <w:noWrap/>
            <w:vAlign w:val="bottom"/>
            <w:hideMark/>
          </w:tcPr>
          <w:p w14:paraId="6BC27498" w14:textId="77777777" w:rsidR="00DA319E" w:rsidRPr="00DA319E" w:rsidRDefault="00DA319E" w:rsidP="00DA319E">
            <w:pPr>
              <w:spacing w:line="240" w:lineRule="auto"/>
              <w:jc w:val="right"/>
              <w:rPr>
                <w:rFonts w:ascii="Calibri" w:eastAsia="Times New Roman" w:hAnsi="Calibri" w:cs="Calibri"/>
                <w:lang w:eastAsia="en-GB"/>
              </w:rPr>
            </w:pPr>
            <w:r w:rsidRPr="00DA319E">
              <w:rPr>
                <w:rFonts w:ascii="Calibri" w:eastAsia="Times New Roman" w:hAnsi="Calibri" w:cs="Calibri"/>
                <w:lang w:eastAsia="en-GB"/>
              </w:rPr>
              <w:t>100%</w:t>
            </w:r>
          </w:p>
        </w:tc>
      </w:tr>
      <w:tr w:rsidR="00DA319E" w:rsidRPr="00DA319E" w14:paraId="2D3C409D" w14:textId="77777777" w:rsidTr="007D4D88">
        <w:trPr>
          <w:trHeight w:val="286"/>
        </w:trPr>
        <w:tc>
          <w:tcPr>
            <w:tcW w:w="1582" w:type="pct"/>
            <w:gridSpan w:val="2"/>
            <w:tcBorders>
              <w:top w:val="nil"/>
              <w:left w:val="nil"/>
              <w:bottom w:val="single" w:sz="4" w:space="0" w:color="auto"/>
              <w:right w:val="nil"/>
            </w:tcBorders>
            <w:shd w:val="clear" w:color="auto" w:fill="FFFFFF" w:themeFill="background1"/>
            <w:noWrap/>
            <w:vAlign w:val="bottom"/>
            <w:hideMark/>
          </w:tcPr>
          <w:p w14:paraId="7C59729A" w14:textId="77777777" w:rsidR="00DA319E" w:rsidRPr="00DA319E" w:rsidRDefault="00DA319E" w:rsidP="00DA319E">
            <w:pPr>
              <w:spacing w:line="240" w:lineRule="auto"/>
              <w:jc w:val="left"/>
              <w:rPr>
                <w:rFonts w:ascii="Calibri" w:eastAsia="Times New Roman" w:hAnsi="Calibri" w:cs="Calibri"/>
                <w:lang w:eastAsia="en-GB"/>
              </w:rPr>
            </w:pPr>
            <w:r w:rsidRPr="00DA319E">
              <w:rPr>
                <w:rFonts w:ascii="Calibri" w:eastAsia="Times New Roman" w:hAnsi="Calibri" w:cs="Calibri"/>
                <w:lang w:eastAsia="en-GB"/>
              </w:rPr>
              <w:t xml:space="preserve">Variable Rate – maximum limit </w:t>
            </w:r>
          </w:p>
        </w:tc>
        <w:tc>
          <w:tcPr>
            <w:tcW w:w="2084" w:type="pct"/>
            <w:tcBorders>
              <w:top w:val="nil"/>
              <w:left w:val="nil"/>
              <w:bottom w:val="single" w:sz="4" w:space="0" w:color="auto"/>
              <w:right w:val="nil"/>
            </w:tcBorders>
            <w:shd w:val="clear" w:color="auto" w:fill="FFFFFF" w:themeFill="background1"/>
            <w:noWrap/>
            <w:vAlign w:val="bottom"/>
            <w:hideMark/>
          </w:tcPr>
          <w:p w14:paraId="0E8E704A" w14:textId="77777777" w:rsidR="00DA319E" w:rsidRPr="00DA319E" w:rsidRDefault="00DA319E" w:rsidP="00DA319E">
            <w:pPr>
              <w:spacing w:line="240" w:lineRule="auto"/>
              <w:jc w:val="left"/>
              <w:rPr>
                <w:rFonts w:ascii="Calibri" w:eastAsia="Times New Roman" w:hAnsi="Calibri" w:cs="Calibri"/>
                <w:lang w:eastAsia="en-GB"/>
              </w:rPr>
            </w:pPr>
            <w:r w:rsidRPr="00DA319E">
              <w:rPr>
                <w:rFonts w:ascii="Calibri" w:eastAsia="Times New Roman" w:hAnsi="Calibri" w:cs="Calibri"/>
                <w:lang w:eastAsia="en-GB"/>
              </w:rPr>
              <w:t> </w:t>
            </w:r>
          </w:p>
        </w:tc>
        <w:tc>
          <w:tcPr>
            <w:tcW w:w="771" w:type="pct"/>
            <w:tcBorders>
              <w:top w:val="nil"/>
              <w:left w:val="nil"/>
              <w:bottom w:val="single" w:sz="4" w:space="0" w:color="auto"/>
              <w:right w:val="nil"/>
            </w:tcBorders>
            <w:shd w:val="clear" w:color="auto" w:fill="FFFFFF" w:themeFill="background1"/>
            <w:noWrap/>
            <w:vAlign w:val="bottom"/>
            <w:hideMark/>
          </w:tcPr>
          <w:p w14:paraId="0976818E" w14:textId="3AE69349" w:rsidR="00DA319E" w:rsidRPr="00DA319E" w:rsidRDefault="3D5F6F3A" w:rsidP="00DA319E">
            <w:pPr>
              <w:spacing w:line="240" w:lineRule="auto"/>
              <w:jc w:val="right"/>
              <w:rPr>
                <w:rFonts w:ascii="Calibri" w:eastAsia="Times New Roman" w:hAnsi="Calibri" w:cs="Calibri"/>
                <w:lang w:eastAsia="en-GB"/>
              </w:rPr>
            </w:pPr>
            <w:r w:rsidRPr="148FF933">
              <w:rPr>
                <w:rFonts w:ascii="Calibri" w:eastAsia="Times New Roman" w:hAnsi="Calibri" w:cs="Calibri"/>
                <w:lang w:eastAsia="en-GB"/>
              </w:rPr>
              <w:t>5</w:t>
            </w:r>
            <w:r w:rsidR="00DA319E" w:rsidRPr="148FF933">
              <w:rPr>
                <w:rFonts w:ascii="Calibri" w:eastAsia="Times New Roman" w:hAnsi="Calibri" w:cs="Calibri"/>
                <w:lang w:eastAsia="en-GB"/>
              </w:rPr>
              <w:t>0%</w:t>
            </w:r>
          </w:p>
        </w:tc>
        <w:tc>
          <w:tcPr>
            <w:tcW w:w="563" w:type="pct"/>
            <w:tcBorders>
              <w:top w:val="nil"/>
              <w:left w:val="nil"/>
              <w:bottom w:val="single" w:sz="4" w:space="0" w:color="auto"/>
              <w:right w:val="nil"/>
            </w:tcBorders>
            <w:shd w:val="clear" w:color="auto" w:fill="FFFFFF" w:themeFill="background1"/>
            <w:noWrap/>
            <w:vAlign w:val="bottom"/>
            <w:hideMark/>
          </w:tcPr>
          <w:p w14:paraId="2254E0AE" w14:textId="2114D905" w:rsidR="00DA319E" w:rsidRPr="00DA319E" w:rsidRDefault="6AC0A9E8" w:rsidP="00DA319E">
            <w:pPr>
              <w:spacing w:line="240" w:lineRule="auto"/>
              <w:jc w:val="right"/>
              <w:rPr>
                <w:rFonts w:ascii="Calibri" w:eastAsia="Times New Roman" w:hAnsi="Calibri" w:cs="Calibri"/>
                <w:lang w:eastAsia="en-GB"/>
              </w:rPr>
            </w:pPr>
            <w:r w:rsidRPr="148FF933">
              <w:rPr>
                <w:rFonts w:ascii="Calibri" w:eastAsia="Times New Roman" w:hAnsi="Calibri" w:cs="Calibri"/>
                <w:lang w:eastAsia="en-GB"/>
              </w:rPr>
              <w:t>5</w:t>
            </w:r>
            <w:r w:rsidR="00DA319E" w:rsidRPr="148FF933">
              <w:rPr>
                <w:rFonts w:ascii="Calibri" w:eastAsia="Times New Roman" w:hAnsi="Calibri" w:cs="Calibri"/>
                <w:lang w:eastAsia="en-GB"/>
              </w:rPr>
              <w:t>0%</w:t>
            </w:r>
          </w:p>
        </w:tc>
      </w:tr>
    </w:tbl>
    <w:p w14:paraId="4285E083" w14:textId="6A4607CA" w:rsidR="5A995008" w:rsidRDefault="5A995008" w:rsidP="5A995008">
      <w:pPr>
        <w:pStyle w:val="VAHeadingLevel3"/>
        <w:rPr>
          <w:color w:val="AB2328"/>
        </w:rPr>
      </w:pPr>
    </w:p>
    <w:p w14:paraId="735D9A1A" w14:textId="50D0E0E6" w:rsidR="00746220" w:rsidRDefault="00746220" w:rsidP="00746220">
      <w:pPr>
        <w:pStyle w:val="VAHeadingLevel3"/>
        <w:rPr>
          <w:color w:val="AB2328"/>
        </w:rPr>
      </w:pPr>
      <w:r>
        <w:rPr>
          <w:color w:val="AB2328"/>
        </w:rPr>
        <w:t>Liquidity Risk</w:t>
      </w:r>
    </w:p>
    <w:p w14:paraId="1D76CCC4" w14:textId="433CD80A" w:rsidR="00CB3D77" w:rsidRPr="00CB3D77" w:rsidRDefault="00CB3D77" w:rsidP="00746220">
      <w:pPr>
        <w:pStyle w:val="VAHeadingLevel3"/>
        <w:rPr>
          <w:rFonts w:eastAsiaTheme="minorHAnsi" w:cstheme="minorHAnsi"/>
          <w:bCs w:val="0"/>
          <w:color w:val="auto"/>
        </w:rPr>
      </w:pPr>
      <w:r w:rsidRPr="00CB3D77">
        <w:rPr>
          <w:rFonts w:eastAsiaTheme="minorHAnsi" w:cstheme="minorHAnsi"/>
          <w:bCs w:val="0"/>
          <w:color w:val="auto"/>
        </w:rPr>
        <w:t>Amount of fixed rate borrowing maturing in each period as a percentage of total fixed rate borrowing – prudential limits.</w:t>
      </w:r>
    </w:p>
    <w:tbl>
      <w:tblPr>
        <w:tblW w:w="5000" w:type="pct"/>
        <w:tblLook w:val="04A0" w:firstRow="1" w:lastRow="0" w:firstColumn="1" w:lastColumn="0" w:noHBand="0" w:noVBand="1"/>
      </w:tblPr>
      <w:tblGrid>
        <w:gridCol w:w="2211"/>
        <w:gridCol w:w="1111"/>
        <w:gridCol w:w="4863"/>
        <w:gridCol w:w="1095"/>
        <w:gridCol w:w="1095"/>
      </w:tblGrid>
      <w:tr w:rsidR="00EE4720" w:rsidRPr="00EE4720" w14:paraId="5E4CBD25" w14:textId="77777777" w:rsidTr="00EE4720">
        <w:trPr>
          <w:trHeight w:val="580"/>
        </w:trPr>
        <w:tc>
          <w:tcPr>
            <w:tcW w:w="931" w:type="pct"/>
            <w:tcBorders>
              <w:top w:val="nil"/>
              <w:left w:val="nil"/>
              <w:bottom w:val="nil"/>
              <w:right w:val="nil"/>
            </w:tcBorders>
            <w:shd w:val="clear" w:color="000000" w:fill="AB2328"/>
            <w:noWrap/>
            <w:vAlign w:val="bottom"/>
            <w:hideMark/>
          </w:tcPr>
          <w:p w14:paraId="18018BAB" w14:textId="77777777" w:rsidR="00EE4720" w:rsidRPr="00EE4720" w:rsidRDefault="00EE4720" w:rsidP="00D263E7">
            <w:pPr>
              <w:spacing w:line="240" w:lineRule="auto"/>
              <w:rPr>
                <w:rFonts w:ascii="Calibri" w:eastAsia="Times New Roman" w:hAnsi="Calibri" w:cs="Calibri"/>
                <w:b/>
                <w:bCs/>
                <w:color w:val="FFFFFF"/>
                <w:lang w:eastAsia="en-GB"/>
              </w:rPr>
            </w:pPr>
            <w:r w:rsidRPr="00EE4720">
              <w:rPr>
                <w:rFonts w:ascii="Calibri" w:eastAsia="Times New Roman" w:hAnsi="Calibri" w:cs="Calibri"/>
                <w:b/>
                <w:bCs/>
                <w:color w:val="FFFFFF"/>
                <w:lang w:eastAsia="en-GB"/>
              </w:rPr>
              <w:t xml:space="preserve">Period </w:t>
            </w:r>
          </w:p>
        </w:tc>
        <w:tc>
          <w:tcPr>
            <w:tcW w:w="569" w:type="pct"/>
            <w:tcBorders>
              <w:top w:val="nil"/>
              <w:left w:val="nil"/>
              <w:bottom w:val="nil"/>
              <w:right w:val="nil"/>
            </w:tcBorders>
            <w:shd w:val="clear" w:color="000000" w:fill="AB2328"/>
            <w:noWrap/>
            <w:vAlign w:val="bottom"/>
            <w:hideMark/>
          </w:tcPr>
          <w:p w14:paraId="0E57E1BC" w14:textId="77777777" w:rsidR="00EE4720" w:rsidRPr="00EE4720" w:rsidRDefault="00EE4720" w:rsidP="00EE4720">
            <w:pPr>
              <w:spacing w:line="240" w:lineRule="auto"/>
              <w:jc w:val="right"/>
              <w:rPr>
                <w:rFonts w:ascii="Calibri" w:eastAsia="Times New Roman" w:hAnsi="Calibri" w:cs="Calibri"/>
                <w:b/>
                <w:bCs/>
                <w:color w:val="FFFFFF"/>
                <w:lang w:eastAsia="en-GB"/>
              </w:rPr>
            </w:pPr>
            <w:r w:rsidRPr="00EE4720">
              <w:rPr>
                <w:rFonts w:ascii="Calibri" w:eastAsia="Times New Roman" w:hAnsi="Calibri" w:cs="Calibri"/>
                <w:b/>
                <w:bCs/>
                <w:color w:val="FFFFFF"/>
                <w:lang w:eastAsia="en-GB"/>
              </w:rPr>
              <w:t> </w:t>
            </w:r>
          </w:p>
        </w:tc>
        <w:tc>
          <w:tcPr>
            <w:tcW w:w="2377" w:type="pct"/>
            <w:tcBorders>
              <w:top w:val="nil"/>
              <w:left w:val="nil"/>
              <w:bottom w:val="nil"/>
              <w:right w:val="nil"/>
            </w:tcBorders>
            <w:shd w:val="clear" w:color="000000" w:fill="AB2328"/>
            <w:vAlign w:val="bottom"/>
            <w:hideMark/>
          </w:tcPr>
          <w:p w14:paraId="5C7BAF21" w14:textId="77777777" w:rsidR="00EE4720" w:rsidRPr="00EE4720" w:rsidRDefault="00EE4720" w:rsidP="00D263E7">
            <w:pPr>
              <w:spacing w:line="240" w:lineRule="auto"/>
              <w:jc w:val="right"/>
              <w:rPr>
                <w:rFonts w:ascii="Calibri" w:eastAsia="Times New Roman" w:hAnsi="Calibri" w:cs="Calibri"/>
                <w:b/>
                <w:bCs/>
                <w:color w:val="FFFFFF"/>
                <w:lang w:eastAsia="en-GB"/>
              </w:rPr>
            </w:pPr>
            <w:r w:rsidRPr="00EE4720">
              <w:rPr>
                <w:rFonts w:ascii="Calibri" w:eastAsia="Times New Roman" w:hAnsi="Calibri" w:cs="Calibri"/>
                <w:b/>
                <w:bCs/>
                <w:color w:val="FFFFFF"/>
                <w:lang w:eastAsia="en-GB"/>
              </w:rPr>
              <w:t>Upper</w:t>
            </w:r>
            <w:r w:rsidRPr="00EE4720">
              <w:rPr>
                <w:rFonts w:ascii="Calibri" w:eastAsia="Times New Roman" w:hAnsi="Calibri" w:cs="Calibri"/>
                <w:b/>
                <w:bCs/>
                <w:color w:val="FFFFFF"/>
                <w:lang w:eastAsia="en-GB"/>
              </w:rPr>
              <w:br/>
              <w:t xml:space="preserve">Limit </w:t>
            </w:r>
          </w:p>
        </w:tc>
        <w:tc>
          <w:tcPr>
            <w:tcW w:w="561" w:type="pct"/>
            <w:tcBorders>
              <w:top w:val="nil"/>
              <w:left w:val="nil"/>
              <w:bottom w:val="nil"/>
              <w:right w:val="nil"/>
            </w:tcBorders>
            <w:shd w:val="clear" w:color="000000" w:fill="AB2328"/>
            <w:vAlign w:val="bottom"/>
            <w:hideMark/>
          </w:tcPr>
          <w:p w14:paraId="0FFA69EC" w14:textId="77777777" w:rsidR="00EE4720" w:rsidRPr="00EE4720" w:rsidRDefault="00EE4720" w:rsidP="00D263E7">
            <w:pPr>
              <w:spacing w:line="240" w:lineRule="auto"/>
              <w:jc w:val="right"/>
              <w:rPr>
                <w:rFonts w:ascii="Calibri" w:eastAsia="Times New Roman" w:hAnsi="Calibri" w:cs="Calibri"/>
                <w:b/>
                <w:bCs/>
                <w:color w:val="FFFFFF"/>
                <w:lang w:eastAsia="en-GB"/>
              </w:rPr>
            </w:pPr>
            <w:r w:rsidRPr="00EE4720">
              <w:rPr>
                <w:rFonts w:ascii="Calibri" w:eastAsia="Times New Roman" w:hAnsi="Calibri" w:cs="Calibri"/>
                <w:b/>
                <w:bCs/>
                <w:color w:val="FFFFFF"/>
                <w:lang w:eastAsia="en-GB"/>
              </w:rPr>
              <w:t>Actual</w:t>
            </w:r>
            <w:r w:rsidRPr="00EE4720">
              <w:rPr>
                <w:rFonts w:ascii="Calibri" w:eastAsia="Times New Roman" w:hAnsi="Calibri" w:cs="Calibri"/>
                <w:b/>
                <w:bCs/>
                <w:color w:val="FFFFFF"/>
                <w:lang w:eastAsia="en-GB"/>
              </w:rPr>
              <w:br/>
              <w:t xml:space="preserve"> 2024/25</w:t>
            </w:r>
          </w:p>
        </w:tc>
        <w:tc>
          <w:tcPr>
            <w:tcW w:w="561" w:type="pct"/>
            <w:tcBorders>
              <w:top w:val="nil"/>
              <w:left w:val="nil"/>
              <w:bottom w:val="nil"/>
              <w:right w:val="nil"/>
            </w:tcBorders>
            <w:shd w:val="clear" w:color="000000" w:fill="AB2328"/>
            <w:vAlign w:val="bottom"/>
            <w:hideMark/>
          </w:tcPr>
          <w:p w14:paraId="14BE298D" w14:textId="77777777" w:rsidR="00EE4720" w:rsidRPr="00EE4720" w:rsidRDefault="00EE4720" w:rsidP="00D263E7">
            <w:pPr>
              <w:spacing w:line="240" w:lineRule="auto"/>
              <w:jc w:val="right"/>
              <w:rPr>
                <w:rFonts w:ascii="Calibri" w:eastAsia="Times New Roman" w:hAnsi="Calibri" w:cs="Calibri"/>
                <w:b/>
                <w:bCs/>
                <w:color w:val="FFFFFF"/>
                <w:lang w:eastAsia="en-GB"/>
              </w:rPr>
            </w:pPr>
            <w:r w:rsidRPr="00EE4720">
              <w:rPr>
                <w:rFonts w:ascii="Calibri" w:eastAsia="Times New Roman" w:hAnsi="Calibri" w:cs="Calibri"/>
                <w:b/>
                <w:bCs/>
                <w:color w:val="FFFFFF"/>
                <w:lang w:eastAsia="en-GB"/>
              </w:rPr>
              <w:t>Lower</w:t>
            </w:r>
            <w:r w:rsidRPr="00EE4720">
              <w:rPr>
                <w:rFonts w:ascii="Calibri" w:eastAsia="Times New Roman" w:hAnsi="Calibri" w:cs="Calibri"/>
                <w:b/>
                <w:bCs/>
                <w:color w:val="FFFFFF"/>
                <w:lang w:eastAsia="en-GB"/>
              </w:rPr>
              <w:br/>
              <w:t>Limit</w:t>
            </w:r>
          </w:p>
        </w:tc>
      </w:tr>
      <w:tr w:rsidR="00EE4720" w:rsidRPr="00EE4720" w14:paraId="73EC21D4" w14:textId="77777777" w:rsidTr="00EE4720">
        <w:trPr>
          <w:trHeight w:val="290"/>
        </w:trPr>
        <w:tc>
          <w:tcPr>
            <w:tcW w:w="931" w:type="pct"/>
            <w:tcBorders>
              <w:top w:val="nil"/>
              <w:left w:val="nil"/>
              <w:bottom w:val="nil"/>
              <w:right w:val="nil"/>
            </w:tcBorders>
            <w:shd w:val="clear" w:color="000000" w:fill="FFFFFF"/>
            <w:noWrap/>
            <w:vAlign w:val="bottom"/>
            <w:hideMark/>
          </w:tcPr>
          <w:p w14:paraId="410113C0"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xml:space="preserve">Under 12 months </w:t>
            </w:r>
          </w:p>
        </w:tc>
        <w:tc>
          <w:tcPr>
            <w:tcW w:w="569" w:type="pct"/>
            <w:tcBorders>
              <w:top w:val="nil"/>
              <w:left w:val="nil"/>
              <w:bottom w:val="nil"/>
              <w:right w:val="nil"/>
            </w:tcBorders>
            <w:shd w:val="clear" w:color="000000" w:fill="FFFFFF"/>
            <w:noWrap/>
            <w:vAlign w:val="bottom"/>
            <w:hideMark/>
          </w:tcPr>
          <w:p w14:paraId="615F8863"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w:t>
            </w:r>
          </w:p>
        </w:tc>
        <w:tc>
          <w:tcPr>
            <w:tcW w:w="2377" w:type="pct"/>
            <w:tcBorders>
              <w:top w:val="nil"/>
              <w:left w:val="nil"/>
              <w:bottom w:val="nil"/>
              <w:right w:val="nil"/>
            </w:tcBorders>
            <w:shd w:val="clear" w:color="000000" w:fill="FFFFFF"/>
            <w:noWrap/>
            <w:vAlign w:val="bottom"/>
            <w:hideMark/>
          </w:tcPr>
          <w:p w14:paraId="29001D6D" w14:textId="371F1E5B" w:rsidR="00EE4720" w:rsidRPr="00EE4720" w:rsidRDefault="000714C6" w:rsidP="00EE4720">
            <w:pPr>
              <w:spacing w:line="240" w:lineRule="auto"/>
              <w:jc w:val="right"/>
              <w:rPr>
                <w:rFonts w:ascii="Calibri" w:eastAsia="Times New Roman" w:hAnsi="Calibri" w:cs="Calibri"/>
                <w:lang w:eastAsia="en-GB"/>
              </w:rPr>
            </w:pPr>
            <w:r>
              <w:rPr>
                <w:rFonts w:ascii="Calibri" w:eastAsia="Times New Roman" w:hAnsi="Calibri" w:cs="Calibri"/>
                <w:lang w:eastAsia="en-GB"/>
              </w:rPr>
              <w:t>75</w:t>
            </w:r>
            <w:r w:rsidR="00EE4720" w:rsidRPr="00EE4720">
              <w:rPr>
                <w:rFonts w:ascii="Calibri" w:eastAsia="Times New Roman" w:hAnsi="Calibri" w:cs="Calibri"/>
                <w:lang w:eastAsia="en-GB"/>
              </w:rPr>
              <w:t>%</w:t>
            </w:r>
          </w:p>
        </w:tc>
        <w:tc>
          <w:tcPr>
            <w:tcW w:w="561" w:type="pct"/>
            <w:tcBorders>
              <w:top w:val="nil"/>
              <w:left w:val="nil"/>
              <w:bottom w:val="nil"/>
              <w:right w:val="nil"/>
            </w:tcBorders>
            <w:shd w:val="clear" w:color="000000" w:fill="FFFFFF"/>
            <w:noWrap/>
            <w:vAlign w:val="bottom"/>
            <w:hideMark/>
          </w:tcPr>
          <w:p w14:paraId="0475A1D0" w14:textId="0280064D" w:rsidR="00EE4720" w:rsidRPr="00EE4720" w:rsidRDefault="000714C6" w:rsidP="00EE4720">
            <w:pPr>
              <w:spacing w:line="240" w:lineRule="auto"/>
              <w:jc w:val="right"/>
              <w:rPr>
                <w:rFonts w:ascii="Calibri" w:eastAsia="Times New Roman" w:hAnsi="Calibri" w:cs="Calibri"/>
                <w:lang w:eastAsia="en-GB"/>
              </w:rPr>
            </w:pPr>
            <w:r>
              <w:rPr>
                <w:rFonts w:ascii="Calibri" w:eastAsia="Times New Roman" w:hAnsi="Calibri" w:cs="Calibri"/>
                <w:lang w:eastAsia="en-GB"/>
              </w:rPr>
              <w:t>3</w:t>
            </w:r>
            <w:r w:rsidR="00EE4720" w:rsidRPr="00EE4720">
              <w:rPr>
                <w:rFonts w:ascii="Calibri" w:eastAsia="Times New Roman" w:hAnsi="Calibri" w:cs="Calibri"/>
                <w:lang w:eastAsia="en-GB"/>
              </w:rPr>
              <w:t>%</w:t>
            </w:r>
          </w:p>
        </w:tc>
        <w:tc>
          <w:tcPr>
            <w:tcW w:w="561" w:type="pct"/>
            <w:tcBorders>
              <w:top w:val="nil"/>
              <w:left w:val="nil"/>
              <w:bottom w:val="nil"/>
              <w:right w:val="nil"/>
            </w:tcBorders>
            <w:shd w:val="clear" w:color="000000" w:fill="FFFFFF"/>
            <w:noWrap/>
            <w:vAlign w:val="bottom"/>
            <w:hideMark/>
          </w:tcPr>
          <w:p w14:paraId="2FCD596B" w14:textId="77777777" w:rsidR="00EE4720" w:rsidRPr="00EE4720" w:rsidRDefault="00EE4720" w:rsidP="00EE4720">
            <w:pPr>
              <w:spacing w:line="240" w:lineRule="auto"/>
              <w:jc w:val="right"/>
              <w:rPr>
                <w:rFonts w:ascii="Calibri" w:eastAsia="Times New Roman" w:hAnsi="Calibri" w:cs="Calibri"/>
                <w:lang w:eastAsia="en-GB"/>
              </w:rPr>
            </w:pPr>
            <w:r w:rsidRPr="00EE4720">
              <w:rPr>
                <w:rFonts w:ascii="Calibri" w:eastAsia="Times New Roman" w:hAnsi="Calibri" w:cs="Calibri"/>
                <w:lang w:eastAsia="en-GB"/>
              </w:rPr>
              <w:t>0%</w:t>
            </w:r>
          </w:p>
        </w:tc>
      </w:tr>
      <w:tr w:rsidR="00EE4720" w:rsidRPr="00EE4720" w14:paraId="0E4CDAA9" w14:textId="77777777" w:rsidTr="00EE4720">
        <w:trPr>
          <w:trHeight w:val="290"/>
        </w:trPr>
        <w:tc>
          <w:tcPr>
            <w:tcW w:w="931" w:type="pct"/>
            <w:tcBorders>
              <w:top w:val="nil"/>
              <w:left w:val="nil"/>
              <w:bottom w:val="nil"/>
              <w:right w:val="nil"/>
            </w:tcBorders>
            <w:shd w:val="clear" w:color="000000" w:fill="FFFFFF"/>
            <w:noWrap/>
            <w:vAlign w:val="bottom"/>
            <w:hideMark/>
          </w:tcPr>
          <w:p w14:paraId="44DAB88D"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xml:space="preserve">12 months to 10 years </w:t>
            </w:r>
          </w:p>
        </w:tc>
        <w:tc>
          <w:tcPr>
            <w:tcW w:w="569" w:type="pct"/>
            <w:tcBorders>
              <w:top w:val="nil"/>
              <w:left w:val="nil"/>
              <w:bottom w:val="nil"/>
              <w:right w:val="nil"/>
            </w:tcBorders>
            <w:shd w:val="clear" w:color="000000" w:fill="FFFFFF"/>
            <w:noWrap/>
            <w:vAlign w:val="bottom"/>
            <w:hideMark/>
          </w:tcPr>
          <w:p w14:paraId="15E6E0DA"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w:t>
            </w:r>
          </w:p>
        </w:tc>
        <w:tc>
          <w:tcPr>
            <w:tcW w:w="2377" w:type="pct"/>
            <w:tcBorders>
              <w:top w:val="nil"/>
              <w:left w:val="nil"/>
              <w:bottom w:val="nil"/>
              <w:right w:val="nil"/>
            </w:tcBorders>
            <w:shd w:val="clear" w:color="000000" w:fill="FFFFFF"/>
            <w:noWrap/>
            <w:vAlign w:val="bottom"/>
            <w:hideMark/>
          </w:tcPr>
          <w:p w14:paraId="554CC6B0" w14:textId="74D3579B" w:rsidR="00EE4720" w:rsidRPr="00EE4720" w:rsidRDefault="000714C6" w:rsidP="00EE4720">
            <w:pPr>
              <w:spacing w:line="240" w:lineRule="auto"/>
              <w:jc w:val="right"/>
              <w:rPr>
                <w:rFonts w:ascii="Calibri" w:eastAsia="Times New Roman" w:hAnsi="Calibri" w:cs="Calibri"/>
                <w:lang w:eastAsia="en-GB"/>
              </w:rPr>
            </w:pPr>
            <w:r>
              <w:rPr>
                <w:rFonts w:ascii="Calibri" w:eastAsia="Times New Roman" w:hAnsi="Calibri" w:cs="Calibri"/>
                <w:lang w:eastAsia="en-GB"/>
              </w:rPr>
              <w:t>80</w:t>
            </w:r>
            <w:r w:rsidR="00EE4720" w:rsidRPr="00EE4720">
              <w:rPr>
                <w:rFonts w:ascii="Calibri" w:eastAsia="Times New Roman" w:hAnsi="Calibri" w:cs="Calibri"/>
                <w:lang w:eastAsia="en-GB"/>
              </w:rPr>
              <w:t>%</w:t>
            </w:r>
          </w:p>
        </w:tc>
        <w:tc>
          <w:tcPr>
            <w:tcW w:w="561" w:type="pct"/>
            <w:tcBorders>
              <w:top w:val="nil"/>
              <w:left w:val="nil"/>
              <w:bottom w:val="nil"/>
              <w:right w:val="nil"/>
            </w:tcBorders>
            <w:shd w:val="clear" w:color="000000" w:fill="FFFFFF"/>
            <w:noWrap/>
            <w:vAlign w:val="bottom"/>
            <w:hideMark/>
          </w:tcPr>
          <w:p w14:paraId="7D6F3051" w14:textId="1C762260" w:rsidR="00EE4720" w:rsidRPr="00EE4720" w:rsidRDefault="000714C6" w:rsidP="00EE4720">
            <w:pPr>
              <w:spacing w:line="240" w:lineRule="auto"/>
              <w:jc w:val="right"/>
              <w:rPr>
                <w:rFonts w:ascii="Calibri" w:eastAsia="Times New Roman" w:hAnsi="Calibri" w:cs="Calibri"/>
                <w:lang w:eastAsia="en-GB"/>
              </w:rPr>
            </w:pPr>
            <w:r>
              <w:rPr>
                <w:rFonts w:ascii="Calibri" w:eastAsia="Times New Roman" w:hAnsi="Calibri" w:cs="Calibri"/>
                <w:lang w:eastAsia="en-GB"/>
              </w:rPr>
              <w:t>25</w:t>
            </w:r>
            <w:r w:rsidR="00EE4720" w:rsidRPr="00EE4720">
              <w:rPr>
                <w:rFonts w:ascii="Calibri" w:eastAsia="Times New Roman" w:hAnsi="Calibri" w:cs="Calibri"/>
                <w:lang w:eastAsia="en-GB"/>
              </w:rPr>
              <w:t>%</w:t>
            </w:r>
          </w:p>
        </w:tc>
        <w:tc>
          <w:tcPr>
            <w:tcW w:w="561" w:type="pct"/>
            <w:tcBorders>
              <w:top w:val="nil"/>
              <w:left w:val="nil"/>
              <w:bottom w:val="nil"/>
              <w:right w:val="nil"/>
            </w:tcBorders>
            <w:shd w:val="clear" w:color="000000" w:fill="FFFFFF"/>
            <w:noWrap/>
            <w:vAlign w:val="bottom"/>
            <w:hideMark/>
          </w:tcPr>
          <w:p w14:paraId="2D9D8039" w14:textId="77777777" w:rsidR="00EE4720" w:rsidRPr="00EE4720" w:rsidRDefault="00EE4720" w:rsidP="00EE4720">
            <w:pPr>
              <w:spacing w:line="240" w:lineRule="auto"/>
              <w:jc w:val="right"/>
              <w:rPr>
                <w:rFonts w:ascii="Calibri" w:eastAsia="Times New Roman" w:hAnsi="Calibri" w:cs="Calibri"/>
                <w:lang w:eastAsia="en-GB"/>
              </w:rPr>
            </w:pPr>
            <w:r w:rsidRPr="00EE4720">
              <w:rPr>
                <w:rFonts w:ascii="Calibri" w:eastAsia="Times New Roman" w:hAnsi="Calibri" w:cs="Calibri"/>
                <w:lang w:eastAsia="en-GB"/>
              </w:rPr>
              <w:t>0%</w:t>
            </w:r>
          </w:p>
        </w:tc>
      </w:tr>
      <w:tr w:rsidR="00EE4720" w:rsidRPr="00EE4720" w14:paraId="6112E566" w14:textId="77777777" w:rsidTr="00EE4720">
        <w:trPr>
          <w:trHeight w:val="290"/>
        </w:trPr>
        <w:tc>
          <w:tcPr>
            <w:tcW w:w="931" w:type="pct"/>
            <w:tcBorders>
              <w:top w:val="nil"/>
              <w:left w:val="nil"/>
              <w:bottom w:val="single" w:sz="4" w:space="0" w:color="auto"/>
              <w:right w:val="nil"/>
            </w:tcBorders>
            <w:shd w:val="clear" w:color="000000" w:fill="FFFFFF"/>
            <w:noWrap/>
            <w:vAlign w:val="bottom"/>
            <w:hideMark/>
          </w:tcPr>
          <w:p w14:paraId="356D319A"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xml:space="preserve">10 years and above </w:t>
            </w:r>
          </w:p>
        </w:tc>
        <w:tc>
          <w:tcPr>
            <w:tcW w:w="569" w:type="pct"/>
            <w:tcBorders>
              <w:top w:val="nil"/>
              <w:left w:val="nil"/>
              <w:bottom w:val="single" w:sz="4" w:space="0" w:color="auto"/>
              <w:right w:val="nil"/>
            </w:tcBorders>
            <w:shd w:val="clear" w:color="000000" w:fill="FFFFFF"/>
            <w:noWrap/>
            <w:vAlign w:val="bottom"/>
            <w:hideMark/>
          </w:tcPr>
          <w:p w14:paraId="3914C13B" w14:textId="77777777" w:rsidR="00EE4720" w:rsidRPr="00EE4720" w:rsidRDefault="00EE4720" w:rsidP="00EE4720">
            <w:pPr>
              <w:spacing w:line="240" w:lineRule="auto"/>
              <w:jc w:val="left"/>
              <w:rPr>
                <w:rFonts w:ascii="Calibri" w:eastAsia="Times New Roman" w:hAnsi="Calibri" w:cs="Calibri"/>
                <w:lang w:eastAsia="en-GB"/>
              </w:rPr>
            </w:pPr>
            <w:r w:rsidRPr="00EE4720">
              <w:rPr>
                <w:rFonts w:ascii="Calibri" w:eastAsia="Times New Roman" w:hAnsi="Calibri" w:cs="Calibri"/>
                <w:lang w:eastAsia="en-GB"/>
              </w:rPr>
              <w:t> </w:t>
            </w:r>
          </w:p>
        </w:tc>
        <w:tc>
          <w:tcPr>
            <w:tcW w:w="2377" w:type="pct"/>
            <w:tcBorders>
              <w:top w:val="nil"/>
              <w:left w:val="nil"/>
              <w:bottom w:val="single" w:sz="4" w:space="0" w:color="auto"/>
              <w:right w:val="nil"/>
            </w:tcBorders>
            <w:shd w:val="clear" w:color="000000" w:fill="FFFFFF"/>
            <w:noWrap/>
            <w:vAlign w:val="bottom"/>
            <w:hideMark/>
          </w:tcPr>
          <w:p w14:paraId="6C45B791" w14:textId="77777777" w:rsidR="00EE4720" w:rsidRPr="00EE4720" w:rsidRDefault="00EE4720" w:rsidP="00EE4720">
            <w:pPr>
              <w:spacing w:line="240" w:lineRule="auto"/>
              <w:jc w:val="right"/>
              <w:rPr>
                <w:rFonts w:ascii="Calibri" w:eastAsia="Times New Roman" w:hAnsi="Calibri" w:cs="Calibri"/>
                <w:lang w:eastAsia="en-GB"/>
              </w:rPr>
            </w:pPr>
            <w:r w:rsidRPr="00EE4720">
              <w:rPr>
                <w:rFonts w:ascii="Calibri" w:eastAsia="Times New Roman" w:hAnsi="Calibri" w:cs="Calibri"/>
                <w:lang w:eastAsia="en-GB"/>
              </w:rPr>
              <w:t>100%</w:t>
            </w:r>
          </w:p>
        </w:tc>
        <w:tc>
          <w:tcPr>
            <w:tcW w:w="561" w:type="pct"/>
            <w:tcBorders>
              <w:top w:val="nil"/>
              <w:left w:val="nil"/>
              <w:bottom w:val="single" w:sz="4" w:space="0" w:color="auto"/>
              <w:right w:val="nil"/>
            </w:tcBorders>
            <w:shd w:val="clear" w:color="000000" w:fill="FFFFFF"/>
            <w:noWrap/>
            <w:vAlign w:val="bottom"/>
            <w:hideMark/>
          </w:tcPr>
          <w:p w14:paraId="49A02C49" w14:textId="2BD6F914" w:rsidR="00EE4720" w:rsidRPr="00EE4720" w:rsidRDefault="000714C6" w:rsidP="00EE4720">
            <w:pPr>
              <w:spacing w:line="240" w:lineRule="auto"/>
              <w:jc w:val="right"/>
              <w:rPr>
                <w:rFonts w:ascii="Calibri" w:eastAsia="Times New Roman" w:hAnsi="Calibri" w:cs="Calibri"/>
                <w:lang w:eastAsia="en-GB"/>
              </w:rPr>
            </w:pPr>
            <w:r>
              <w:rPr>
                <w:rFonts w:ascii="Calibri" w:eastAsia="Times New Roman" w:hAnsi="Calibri" w:cs="Calibri"/>
                <w:lang w:eastAsia="en-GB"/>
              </w:rPr>
              <w:t>72</w:t>
            </w:r>
            <w:r w:rsidR="00EE4720" w:rsidRPr="00EE4720">
              <w:rPr>
                <w:rFonts w:ascii="Calibri" w:eastAsia="Times New Roman" w:hAnsi="Calibri" w:cs="Calibri"/>
                <w:lang w:eastAsia="en-GB"/>
              </w:rPr>
              <w:t>%</w:t>
            </w:r>
          </w:p>
        </w:tc>
        <w:tc>
          <w:tcPr>
            <w:tcW w:w="561" w:type="pct"/>
            <w:tcBorders>
              <w:top w:val="nil"/>
              <w:left w:val="nil"/>
              <w:bottom w:val="single" w:sz="4" w:space="0" w:color="auto"/>
              <w:right w:val="nil"/>
            </w:tcBorders>
            <w:shd w:val="clear" w:color="000000" w:fill="FFFFFF"/>
            <w:noWrap/>
            <w:vAlign w:val="bottom"/>
            <w:hideMark/>
          </w:tcPr>
          <w:p w14:paraId="20CFDB0A" w14:textId="77777777" w:rsidR="00EE4720" w:rsidRPr="00EE4720" w:rsidRDefault="00EE4720" w:rsidP="00EE4720">
            <w:pPr>
              <w:spacing w:line="240" w:lineRule="auto"/>
              <w:jc w:val="right"/>
              <w:rPr>
                <w:rFonts w:ascii="Calibri" w:eastAsia="Times New Roman" w:hAnsi="Calibri" w:cs="Calibri"/>
                <w:lang w:eastAsia="en-GB"/>
              </w:rPr>
            </w:pPr>
            <w:r w:rsidRPr="00EE4720">
              <w:rPr>
                <w:rFonts w:ascii="Calibri" w:eastAsia="Times New Roman" w:hAnsi="Calibri" w:cs="Calibri"/>
                <w:lang w:eastAsia="en-GB"/>
              </w:rPr>
              <w:t>0%</w:t>
            </w:r>
          </w:p>
        </w:tc>
      </w:tr>
    </w:tbl>
    <w:p w14:paraId="06BBF2C8" w14:textId="77777777" w:rsidR="00746220" w:rsidRDefault="00746220" w:rsidP="002A1ADD">
      <w:pPr>
        <w:pStyle w:val="VAHeadingLevel2"/>
      </w:pPr>
    </w:p>
    <w:p w14:paraId="7DFA9B14" w14:textId="4314CF94" w:rsidR="00E053B8" w:rsidRDefault="00E053B8" w:rsidP="00E053B8">
      <w:pPr>
        <w:pStyle w:val="VAHeadingLevel2"/>
      </w:pPr>
      <w:r w:rsidRPr="005F273C">
        <w:t>Note 3</w:t>
      </w:r>
      <w:r>
        <w:t>8</w:t>
      </w:r>
      <w:r w:rsidRPr="005F273C">
        <w:t>.</w:t>
      </w:r>
      <w:r>
        <w:t>6</w:t>
      </w:r>
      <w:r w:rsidRPr="005F273C">
        <w:t xml:space="preserve"> </w:t>
      </w:r>
      <w:r>
        <w:t>Credit risk management practices</w:t>
      </w:r>
    </w:p>
    <w:p w14:paraId="28222000" w14:textId="66A4F663" w:rsidR="006F089B" w:rsidRPr="005F273C" w:rsidRDefault="006F089B" w:rsidP="006F089B">
      <w:r w:rsidRPr="006F089B">
        <w:t>The Authority’s credit risk management practices are set out in the annual Treasury Management Strategy document.</w:t>
      </w:r>
    </w:p>
    <w:p w14:paraId="35E71AC4" w14:textId="77777777" w:rsidR="00E053B8" w:rsidRDefault="00E053B8" w:rsidP="002A1ADD">
      <w:pPr>
        <w:pStyle w:val="VAHeadingLevel2"/>
      </w:pPr>
    </w:p>
    <w:p w14:paraId="20465F1D" w14:textId="28E4648B" w:rsidR="0039605B" w:rsidRPr="005F273C" w:rsidRDefault="0039605B" w:rsidP="002A1ADD">
      <w:pPr>
        <w:pStyle w:val="VAHeadingLevel2"/>
      </w:pPr>
      <w:r w:rsidRPr="005F273C">
        <w:t xml:space="preserve">Note 39. </w:t>
      </w:r>
      <w:r w:rsidR="00640979" w:rsidRPr="005F273C">
        <w:t xml:space="preserve">Joint </w:t>
      </w:r>
      <w:r w:rsidR="00640979" w:rsidRPr="00C8292A">
        <w:t>Operations</w:t>
      </w:r>
      <w:r w:rsidR="00640979" w:rsidRPr="005F273C">
        <w:t xml:space="preserve"> &amp; Associate Entities</w:t>
      </w:r>
    </w:p>
    <w:p w14:paraId="4B1131C2" w14:textId="532DF24E" w:rsidR="00640979" w:rsidRDefault="006A274D" w:rsidP="00C8292A">
      <w:r w:rsidRPr="006A274D">
        <w:t>The Authority has no Joint Operations or Associates</w:t>
      </w:r>
      <w:r w:rsidR="007347BE">
        <w:t>.</w:t>
      </w:r>
    </w:p>
    <w:p w14:paraId="3CD1DFE7" w14:textId="77777777" w:rsidR="006F089B" w:rsidRPr="006A274D" w:rsidRDefault="006F089B" w:rsidP="00C8292A">
      <w:pPr>
        <w:rPr>
          <w:bCs/>
        </w:rPr>
      </w:pPr>
    </w:p>
    <w:p w14:paraId="650D92D1" w14:textId="2C19B203" w:rsidR="00640979" w:rsidRPr="005F273C" w:rsidRDefault="00F47765" w:rsidP="002A1ADD">
      <w:pPr>
        <w:pStyle w:val="VAHeadingLevel2"/>
      </w:pPr>
      <w:r w:rsidRPr="005F273C">
        <w:t xml:space="preserve">Note 40. </w:t>
      </w:r>
      <w:r w:rsidR="0033251C" w:rsidRPr="005F273C">
        <w:t>Accounting Standards that have been issued but not yet adopted</w:t>
      </w:r>
    </w:p>
    <w:p w14:paraId="1E159EDD" w14:textId="596DD452" w:rsidR="00DE6D7A" w:rsidRDefault="00DE6D7A" w:rsidP="002C054B">
      <w:r w:rsidRPr="00DE6D7A">
        <w:t xml:space="preserve">Under The Code of Practice on Local Authority Accounting disclosure of the impact of accounting standards issued but not yet adopted is required.  Following a review of the relevant standards it has been determined that there would be no material changes to the accounts if these were to have been adopted. </w:t>
      </w:r>
      <w:r w:rsidR="00C27662">
        <w:t xml:space="preserve"> </w:t>
      </w:r>
      <w:r w:rsidRPr="00DE6D7A">
        <w:t>The relevant standards being introduced for 2024/25 are:</w:t>
      </w:r>
    </w:p>
    <w:p w14:paraId="1031BAFE" w14:textId="5720D48C" w:rsidR="00D27E62" w:rsidRDefault="00DE6D7A" w:rsidP="005F273C">
      <w:pPr>
        <w:pStyle w:val="Firebullet"/>
      </w:pPr>
      <w:r w:rsidRPr="00DE6D7A">
        <w:t>IFRS 17 Insurance Contracts issued in May 2017</w:t>
      </w:r>
    </w:p>
    <w:p w14:paraId="76DA3E87" w14:textId="2186E956" w:rsidR="00DE6D7A" w:rsidRDefault="00DE6D7A" w:rsidP="005F273C">
      <w:pPr>
        <w:pStyle w:val="Firebullet"/>
      </w:pPr>
      <w:r w:rsidRPr="00DE6D7A">
        <w:t>IAS 21 The Effects of Changes in Foreign Exchange Rate (Lack of Exchangeability) issued in August 2023</w:t>
      </w:r>
    </w:p>
    <w:p w14:paraId="463CFD60" w14:textId="4FB23FFD" w:rsidR="00DE6D7A" w:rsidRDefault="002C054B" w:rsidP="005F273C">
      <w:pPr>
        <w:pStyle w:val="Firebullet"/>
      </w:pPr>
      <w:r w:rsidRPr="002C054B">
        <w:t>The changes to the measurement of non-investment assets within the 2025/26 Code include adaptations and interpretations of IAS 16 Property, Plant and Equipment and IAS 38 Intangible Assets</w:t>
      </w:r>
    </w:p>
    <w:p w14:paraId="242603E9" w14:textId="77777777" w:rsidR="002C054B" w:rsidRDefault="002C054B" w:rsidP="002C054B"/>
    <w:p w14:paraId="5584D355" w14:textId="7502D2B0" w:rsidR="002C054B" w:rsidRPr="00AF00B3" w:rsidRDefault="002C054B" w:rsidP="002A1ADD">
      <w:pPr>
        <w:pStyle w:val="VAHeadingLevel2"/>
      </w:pPr>
    </w:p>
    <w:p w14:paraId="5DAE8C6B" w14:textId="7AD8012D" w:rsidR="002C054B" w:rsidRPr="00AF00B3" w:rsidRDefault="00D11BC2" w:rsidP="002A1ADD">
      <w:pPr>
        <w:pStyle w:val="VAHeadingLevel2"/>
      </w:pPr>
      <w:r>
        <w:t>Note 41. Resta</w:t>
      </w:r>
      <w:r w:rsidR="00F257E6">
        <w:t>tements</w:t>
      </w:r>
    </w:p>
    <w:p w14:paraId="0C8FEFCE" w14:textId="4617E4FB" w:rsidR="3E9FA374" w:rsidRDefault="3E9FA374" w:rsidP="5A995008">
      <w:pPr>
        <w:pStyle w:val="VAHeadingLevel2"/>
      </w:pPr>
      <w:r w:rsidRPr="5A995008">
        <w:rPr>
          <w:rFonts w:eastAsiaTheme="minorEastAsia" w:cstheme="minorBidi"/>
          <w:color w:val="auto"/>
          <w:sz w:val="22"/>
          <w:szCs w:val="22"/>
        </w:rPr>
        <w:t>There are 2 prior year adjustments in 24-25</w:t>
      </w:r>
    </w:p>
    <w:p w14:paraId="141B171C" w14:textId="3B991932" w:rsidR="5A995008" w:rsidRDefault="5A995008" w:rsidP="5A995008">
      <w:pPr>
        <w:pStyle w:val="VAHeadingLevel2"/>
        <w:rPr>
          <w:rFonts w:eastAsiaTheme="minorEastAsia" w:cstheme="minorBidi"/>
          <w:color w:val="auto"/>
          <w:sz w:val="22"/>
          <w:szCs w:val="22"/>
        </w:rPr>
      </w:pPr>
    </w:p>
    <w:p w14:paraId="5C24BF2E" w14:textId="600B54D8" w:rsidR="3E9FA374" w:rsidRPr="00A81DE8" w:rsidRDefault="3E9FA374" w:rsidP="5A995008">
      <w:pPr>
        <w:pStyle w:val="VAHeadingLevel2"/>
        <w:rPr>
          <w:rFonts w:eastAsiaTheme="minorEastAsia" w:cstheme="minorBidi"/>
          <w:b/>
          <w:color w:val="auto"/>
          <w:sz w:val="22"/>
          <w:szCs w:val="22"/>
          <w:u w:val="single"/>
        </w:rPr>
      </w:pPr>
      <w:r w:rsidRPr="00A81DE8">
        <w:rPr>
          <w:rFonts w:eastAsiaTheme="minorEastAsia" w:cstheme="minorBidi"/>
          <w:b/>
          <w:color w:val="auto"/>
          <w:sz w:val="22"/>
          <w:szCs w:val="22"/>
          <w:u w:val="single"/>
        </w:rPr>
        <w:t>Financial instruments</w:t>
      </w:r>
    </w:p>
    <w:p w14:paraId="3C50894E" w14:textId="3D9AA668" w:rsidR="00F257E6" w:rsidRDefault="15DCE9CD" w:rsidP="002C054B">
      <w:r>
        <w:t xml:space="preserve"> Items that are not financial instruments were incorrectly included in the </w:t>
      </w:r>
      <w:r w:rsidR="004B556D">
        <w:t>20</w:t>
      </w:r>
      <w:r>
        <w:t>23</w:t>
      </w:r>
      <w:r w:rsidR="004B556D">
        <w:t>/</w:t>
      </w:r>
      <w:r>
        <w:t>24 financial instruments note. These included statutory non-</w:t>
      </w:r>
      <w:r w:rsidR="30C053FC">
        <w:t xml:space="preserve"> </w:t>
      </w:r>
      <w:r>
        <w:t xml:space="preserve">contractual transactions and VAT. This has been adjusted to ensure compliance with CIPFA Code requirements for IFRS 9 classification. The below tables show the impact on the financial </w:t>
      </w:r>
      <w:proofErr w:type="gramStart"/>
      <w:r>
        <w:t>instruments</w:t>
      </w:r>
      <w:proofErr w:type="gramEnd"/>
      <w:r>
        <w:t xml:space="preserve"> disclosure.</w:t>
      </w:r>
    </w:p>
    <w:p w14:paraId="6F213661" w14:textId="210476D6" w:rsidR="5A995008" w:rsidRDefault="5A995008"/>
    <w:p w14:paraId="1DFC7B34" w14:textId="2A1917FC" w:rsidR="0E7EFB79" w:rsidRPr="00A81DE8" w:rsidRDefault="0E7EFB79">
      <w:pPr>
        <w:rPr>
          <w:b/>
        </w:rPr>
      </w:pPr>
      <w:r w:rsidRPr="00A81DE8">
        <w:rPr>
          <w:b/>
        </w:rPr>
        <w:t>Note 38.1 - Financial instruments</w:t>
      </w:r>
    </w:p>
    <w:p w14:paraId="0B1E5CE8" w14:textId="77777777" w:rsidR="004F224B" w:rsidRDefault="004F224B" w:rsidP="002C054B"/>
    <w:tbl>
      <w:tblPr>
        <w:tblW w:w="5000" w:type="pct"/>
        <w:tblLook w:val="04A0" w:firstRow="1" w:lastRow="0" w:firstColumn="1" w:lastColumn="0" w:noHBand="0" w:noVBand="1"/>
      </w:tblPr>
      <w:tblGrid>
        <w:gridCol w:w="3848"/>
        <w:gridCol w:w="1305"/>
        <w:gridCol w:w="1305"/>
        <w:gridCol w:w="1311"/>
        <w:gridCol w:w="1305"/>
        <w:gridCol w:w="1301"/>
      </w:tblGrid>
      <w:tr w:rsidR="007779BF" w:rsidRPr="007779BF" w14:paraId="4AEC7147" w14:textId="77777777" w:rsidTr="004B556D">
        <w:trPr>
          <w:trHeight w:val="283"/>
        </w:trPr>
        <w:tc>
          <w:tcPr>
            <w:tcW w:w="1854" w:type="pct"/>
            <w:tcBorders>
              <w:top w:val="nil"/>
              <w:left w:val="nil"/>
              <w:bottom w:val="nil"/>
              <w:right w:val="nil"/>
            </w:tcBorders>
            <w:shd w:val="clear" w:color="auto" w:fill="C00000"/>
            <w:vAlign w:val="bottom"/>
            <w:hideMark/>
          </w:tcPr>
          <w:p w14:paraId="760B6A42" w14:textId="77777777" w:rsidR="007779BF" w:rsidRDefault="007779BF" w:rsidP="004D2AC9">
            <w:pPr>
              <w:spacing w:line="240" w:lineRule="auto"/>
              <w:jc w:val="right"/>
              <w:rPr>
                <w:rFonts w:ascii="Calibri" w:eastAsia="Times New Roman" w:hAnsi="Calibri" w:cs="Calibri"/>
                <w:color w:val="FFFFFF"/>
                <w:lang w:eastAsia="en-GB"/>
              </w:rPr>
            </w:pPr>
            <w:r w:rsidRPr="007779BF">
              <w:rPr>
                <w:rFonts w:ascii="Calibri" w:eastAsia="Times New Roman" w:hAnsi="Calibri" w:cs="Calibri"/>
                <w:color w:val="FFFFFF"/>
                <w:lang w:eastAsia="en-GB"/>
              </w:rPr>
              <w:t> </w:t>
            </w:r>
          </w:p>
          <w:p w14:paraId="60AB2BCC" w14:textId="77777777" w:rsidR="004F224B" w:rsidRPr="007779BF" w:rsidRDefault="004F224B" w:rsidP="004D2AC9">
            <w:pPr>
              <w:spacing w:line="240" w:lineRule="auto"/>
              <w:jc w:val="right"/>
              <w:rPr>
                <w:rFonts w:ascii="Calibri" w:eastAsia="Times New Roman" w:hAnsi="Calibri" w:cs="Calibri"/>
                <w:color w:val="FFFFFF"/>
                <w:lang w:eastAsia="en-GB"/>
              </w:rPr>
            </w:pPr>
          </w:p>
        </w:tc>
        <w:tc>
          <w:tcPr>
            <w:tcW w:w="1258" w:type="pct"/>
            <w:gridSpan w:val="2"/>
            <w:tcBorders>
              <w:top w:val="nil"/>
              <w:left w:val="nil"/>
              <w:bottom w:val="nil"/>
              <w:right w:val="nil"/>
            </w:tcBorders>
            <w:shd w:val="clear" w:color="auto" w:fill="C00000"/>
            <w:noWrap/>
            <w:vAlign w:val="bottom"/>
            <w:hideMark/>
          </w:tcPr>
          <w:p w14:paraId="21BC1956" w14:textId="13B79EBF"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 xml:space="preserve">Original </w:t>
            </w:r>
            <w:r w:rsidR="004D2AC9">
              <w:rPr>
                <w:rFonts w:ascii="Calibri" w:eastAsia="Times New Roman" w:hAnsi="Calibri" w:cs="Calibri"/>
                <w:b/>
                <w:bCs/>
                <w:color w:val="FFFFFF"/>
                <w:lang w:eastAsia="en-GB"/>
              </w:rPr>
              <w:t>20</w:t>
            </w:r>
            <w:r w:rsidRPr="007779BF">
              <w:rPr>
                <w:rFonts w:ascii="Calibri" w:eastAsia="Times New Roman" w:hAnsi="Calibri" w:cs="Calibri"/>
                <w:b/>
                <w:bCs/>
                <w:color w:val="FFFFFF"/>
                <w:lang w:eastAsia="en-GB"/>
              </w:rPr>
              <w:t>23</w:t>
            </w:r>
            <w:r w:rsidR="004D2AC9">
              <w:rPr>
                <w:rFonts w:ascii="Calibri" w:eastAsia="Times New Roman" w:hAnsi="Calibri" w:cs="Calibri"/>
                <w:b/>
                <w:bCs/>
                <w:color w:val="FFFFFF"/>
                <w:lang w:eastAsia="en-GB"/>
              </w:rPr>
              <w:t>/</w:t>
            </w:r>
            <w:r w:rsidRPr="007779BF">
              <w:rPr>
                <w:rFonts w:ascii="Calibri" w:eastAsia="Times New Roman" w:hAnsi="Calibri" w:cs="Calibri"/>
                <w:b/>
                <w:bCs/>
                <w:color w:val="FFFFFF"/>
                <w:lang w:eastAsia="en-GB"/>
              </w:rPr>
              <w:t>24</w:t>
            </w:r>
          </w:p>
        </w:tc>
        <w:tc>
          <w:tcPr>
            <w:tcW w:w="632" w:type="pct"/>
            <w:tcBorders>
              <w:top w:val="nil"/>
              <w:left w:val="nil"/>
              <w:bottom w:val="nil"/>
              <w:right w:val="nil"/>
            </w:tcBorders>
            <w:shd w:val="clear" w:color="auto" w:fill="C00000"/>
            <w:noWrap/>
            <w:vAlign w:val="bottom"/>
            <w:hideMark/>
          </w:tcPr>
          <w:p w14:paraId="4824C51E"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 </w:t>
            </w:r>
          </w:p>
        </w:tc>
        <w:tc>
          <w:tcPr>
            <w:tcW w:w="1256" w:type="pct"/>
            <w:gridSpan w:val="2"/>
            <w:tcBorders>
              <w:top w:val="nil"/>
              <w:left w:val="nil"/>
              <w:bottom w:val="nil"/>
              <w:right w:val="nil"/>
            </w:tcBorders>
            <w:shd w:val="clear" w:color="auto" w:fill="C00000"/>
            <w:noWrap/>
            <w:vAlign w:val="bottom"/>
            <w:hideMark/>
          </w:tcPr>
          <w:p w14:paraId="45AAF7AD" w14:textId="3490E3A2"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 xml:space="preserve">Adjusted </w:t>
            </w:r>
            <w:r w:rsidR="004D2AC9">
              <w:rPr>
                <w:rFonts w:ascii="Calibri" w:eastAsia="Times New Roman" w:hAnsi="Calibri" w:cs="Calibri"/>
                <w:b/>
                <w:bCs/>
                <w:color w:val="FFFFFF"/>
                <w:lang w:eastAsia="en-GB"/>
              </w:rPr>
              <w:t>20</w:t>
            </w:r>
            <w:r w:rsidRPr="007779BF">
              <w:rPr>
                <w:rFonts w:ascii="Calibri" w:eastAsia="Times New Roman" w:hAnsi="Calibri" w:cs="Calibri"/>
                <w:b/>
                <w:bCs/>
                <w:color w:val="FFFFFF"/>
                <w:lang w:eastAsia="en-GB"/>
              </w:rPr>
              <w:t>23</w:t>
            </w:r>
            <w:r w:rsidR="004D2AC9">
              <w:rPr>
                <w:rFonts w:ascii="Calibri" w:eastAsia="Times New Roman" w:hAnsi="Calibri" w:cs="Calibri"/>
                <w:b/>
                <w:bCs/>
                <w:color w:val="FFFFFF"/>
                <w:lang w:eastAsia="en-GB"/>
              </w:rPr>
              <w:t>/</w:t>
            </w:r>
            <w:r w:rsidRPr="007779BF">
              <w:rPr>
                <w:rFonts w:ascii="Calibri" w:eastAsia="Times New Roman" w:hAnsi="Calibri" w:cs="Calibri"/>
                <w:b/>
                <w:bCs/>
                <w:color w:val="FFFFFF"/>
                <w:lang w:eastAsia="en-GB"/>
              </w:rPr>
              <w:t>24</w:t>
            </w:r>
          </w:p>
        </w:tc>
      </w:tr>
      <w:tr w:rsidR="007779BF" w:rsidRPr="007779BF" w14:paraId="5A34E16C" w14:textId="77777777" w:rsidTr="004B556D">
        <w:trPr>
          <w:trHeight w:val="283"/>
        </w:trPr>
        <w:tc>
          <w:tcPr>
            <w:tcW w:w="1854" w:type="pct"/>
            <w:tcBorders>
              <w:top w:val="nil"/>
              <w:left w:val="nil"/>
              <w:bottom w:val="nil"/>
              <w:right w:val="nil"/>
            </w:tcBorders>
            <w:shd w:val="clear" w:color="auto" w:fill="C00000"/>
            <w:vAlign w:val="bottom"/>
            <w:hideMark/>
          </w:tcPr>
          <w:p w14:paraId="6BC28AEE" w14:textId="77777777" w:rsidR="007779BF" w:rsidRPr="007779BF" w:rsidRDefault="007779BF" w:rsidP="004D2AC9">
            <w:pPr>
              <w:spacing w:line="240" w:lineRule="auto"/>
              <w:jc w:val="right"/>
              <w:rPr>
                <w:rFonts w:ascii="Calibri" w:eastAsia="Times New Roman" w:hAnsi="Calibri" w:cs="Calibri"/>
                <w:color w:val="FFFFFF"/>
                <w:lang w:eastAsia="en-GB"/>
              </w:rPr>
            </w:pPr>
            <w:r w:rsidRPr="007779BF">
              <w:rPr>
                <w:rFonts w:ascii="Calibri" w:eastAsia="Times New Roman" w:hAnsi="Calibri" w:cs="Calibri"/>
                <w:color w:val="FFFFFF"/>
                <w:lang w:eastAsia="en-GB"/>
              </w:rPr>
              <w:t> </w:t>
            </w:r>
          </w:p>
        </w:tc>
        <w:tc>
          <w:tcPr>
            <w:tcW w:w="629" w:type="pct"/>
            <w:tcBorders>
              <w:top w:val="nil"/>
              <w:left w:val="nil"/>
              <w:bottom w:val="nil"/>
              <w:right w:val="nil"/>
            </w:tcBorders>
            <w:shd w:val="clear" w:color="auto" w:fill="C00000"/>
            <w:vAlign w:val="bottom"/>
            <w:hideMark/>
          </w:tcPr>
          <w:p w14:paraId="2158BA02"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Long term</w:t>
            </w:r>
          </w:p>
        </w:tc>
        <w:tc>
          <w:tcPr>
            <w:tcW w:w="629" w:type="pct"/>
            <w:tcBorders>
              <w:top w:val="nil"/>
              <w:left w:val="nil"/>
              <w:bottom w:val="nil"/>
              <w:right w:val="nil"/>
            </w:tcBorders>
            <w:shd w:val="clear" w:color="auto" w:fill="C00000"/>
            <w:vAlign w:val="bottom"/>
            <w:hideMark/>
          </w:tcPr>
          <w:p w14:paraId="63E4A7C8"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Short term</w:t>
            </w:r>
          </w:p>
        </w:tc>
        <w:tc>
          <w:tcPr>
            <w:tcW w:w="632" w:type="pct"/>
            <w:tcBorders>
              <w:top w:val="nil"/>
              <w:left w:val="nil"/>
              <w:bottom w:val="nil"/>
              <w:right w:val="nil"/>
            </w:tcBorders>
            <w:shd w:val="clear" w:color="auto" w:fill="C00000"/>
            <w:noWrap/>
            <w:vAlign w:val="bottom"/>
            <w:hideMark/>
          </w:tcPr>
          <w:p w14:paraId="56058151"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Adjustment</w:t>
            </w:r>
          </w:p>
        </w:tc>
        <w:tc>
          <w:tcPr>
            <w:tcW w:w="629" w:type="pct"/>
            <w:tcBorders>
              <w:top w:val="nil"/>
              <w:left w:val="nil"/>
              <w:bottom w:val="nil"/>
              <w:right w:val="nil"/>
            </w:tcBorders>
            <w:shd w:val="clear" w:color="auto" w:fill="C00000"/>
            <w:vAlign w:val="bottom"/>
            <w:hideMark/>
          </w:tcPr>
          <w:p w14:paraId="2C3EDC37"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Long term</w:t>
            </w:r>
          </w:p>
        </w:tc>
        <w:tc>
          <w:tcPr>
            <w:tcW w:w="627" w:type="pct"/>
            <w:tcBorders>
              <w:top w:val="nil"/>
              <w:left w:val="nil"/>
              <w:bottom w:val="nil"/>
              <w:right w:val="nil"/>
            </w:tcBorders>
            <w:shd w:val="clear" w:color="auto" w:fill="C00000"/>
            <w:vAlign w:val="bottom"/>
            <w:hideMark/>
          </w:tcPr>
          <w:p w14:paraId="0292F104"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Short term</w:t>
            </w:r>
          </w:p>
        </w:tc>
      </w:tr>
      <w:tr w:rsidR="007779BF" w:rsidRPr="007779BF" w14:paraId="7E17B385" w14:textId="77777777" w:rsidTr="004B556D">
        <w:trPr>
          <w:trHeight w:val="283"/>
        </w:trPr>
        <w:tc>
          <w:tcPr>
            <w:tcW w:w="1854" w:type="pct"/>
            <w:tcBorders>
              <w:top w:val="nil"/>
              <w:left w:val="nil"/>
              <w:bottom w:val="nil"/>
              <w:right w:val="nil"/>
            </w:tcBorders>
            <w:shd w:val="clear" w:color="auto" w:fill="C00000"/>
            <w:vAlign w:val="bottom"/>
            <w:hideMark/>
          </w:tcPr>
          <w:p w14:paraId="39B8C434" w14:textId="77777777" w:rsidR="007779BF" w:rsidRPr="007779BF" w:rsidRDefault="007779BF" w:rsidP="004D2AC9">
            <w:pPr>
              <w:spacing w:line="240" w:lineRule="auto"/>
              <w:jc w:val="right"/>
              <w:rPr>
                <w:rFonts w:ascii="Calibri" w:eastAsia="Times New Roman" w:hAnsi="Calibri" w:cs="Calibri"/>
                <w:color w:val="FFFFFF"/>
                <w:lang w:eastAsia="en-GB"/>
              </w:rPr>
            </w:pPr>
            <w:r w:rsidRPr="007779BF">
              <w:rPr>
                <w:rFonts w:ascii="Calibri" w:eastAsia="Times New Roman" w:hAnsi="Calibri" w:cs="Calibri"/>
                <w:color w:val="FFFFFF"/>
                <w:lang w:eastAsia="en-GB"/>
              </w:rPr>
              <w:t> </w:t>
            </w:r>
          </w:p>
        </w:tc>
        <w:tc>
          <w:tcPr>
            <w:tcW w:w="629" w:type="pct"/>
            <w:tcBorders>
              <w:top w:val="nil"/>
              <w:left w:val="nil"/>
              <w:bottom w:val="nil"/>
              <w:right w:val="nil"/>
            </w:tcBorders>
            <w:shd w:val="clear" w:color="auto" w:fill="C00000"/>
            <w:vAlign w:val="bottom"/>
            <w:hideMark/>
          </w:tcPr>
          <w:p w14:paraId="004BD2D1"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£000</w:t>
            </w:r>
          </w:p>
        </w:tc>
        <w:tc>
          <w:tcPr>
            <w:tcW w:w="629" w:type="pct"/>
            <w:tcBorders>
              <w:top w:val="nil"/>
              <w:left w:val="nil"/>
              <w:bottom w:val="nil"/>
              <w:right w:val="nil"/>
            </w:tcBorders>
            <w:shd w:val="clear" w:color="auto" w:fill="C00000"/>
            <w:vAlign w:val="bottom"/>
            <w:hideMark/>
          </w:tcPr>
          <w:p w14:paraId="77E339D2"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£000</w:t>
            </w:r>
          </w:p>
        </w:tc>
        <w:tc>
          <w:tcPr>
            <w:tcW w:w="632" w:type="pct"/>
            <w:tcBorders>
              <w:top w:val="nil"/>
              <w:left w:val="nil"/>
              <w:bottom w:val="nil"/>
              <w:right w:val="nil"/>
            </w:tcBorders>
            <w:shd w:val="clear" w:color="auto" w:fill="C00000"/>
            <w:vAlign w:val="bottom"/>
            <w:hideMark/>
          </w:tcPr>
          <w:p w14:paraId="632E1956"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£000</w:t>
            </w:r>
          </w:p>
        </w:tc>
        <w:tc>
          <w:tcPr>
            <w:tcW w:w="629" w:type="pct"/>
            <w:tcBorders>
              <w:top w:val="nil"/>
              <w:left w:val="nil"/>
              <w:bottom w:val="nil"/>
              <w:right w:val="nil"/>
            </w:tcBorders>
            <w:shd w:val="clear" w:color="auto" w:fill="C00000"/>
            <w:vAlign w:val="bottom"/>
            <w:hideMark/>
          </w:tcPr>
          <w:p w14:paraId="7A8EDD9E"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£000</w:t>
            </w:r>
          </w:p>
        </w:tc>
        <w:tc>
          <w:tcPr>
            <w:tcW w:w="627" w:type="pct"/>
            <w:tcBorders>
              <w:top w:val="nil"/>
              <w:left w:val="nil"/>
              <w:bottom w:val="nil"/>
              <w:right w:val="nil"/>
            </w:tcBorders>
            <w:shd w:val="clear" w:color="auto" w:fill="C00000"/>
            <w:vAlign w:val="bottom"/>
            <w:hideMark/>
          </w:tcPr>
          <w:p w14:paraId="55D8ED62" w14:textId="77777777" w:rsidR="007779BF" w:rsidRPr="007779BF" w:rsidRDefault="007779BF" w:rsidP="004D2AC9">
            <w:pPr>
              <w:spacing w:line="240" w:lineRule="auto"/>
              <w:jc w:val="right"/>
              <w:rPr>
                <w:rFonts w:ascii="Calibri" w:eastAsia="Times New Roman" w:hAnsi="Calibri" w:cs="Calibri"/>
                <w:b/>
                <w:bCs/>
                <w:color w:val="FFFFFF"/>
                <w:lang w:eastAsia="en-GB"/>
              </w:rPr>
            </w:pPr>
            <w:r w:rsidRPr="007779BF">
              <w:rPr>
                <w:rFonts w:ascii="Calibri" w:eastAsia="Times New Roman" w:hAnsi="Calibri" w:cs="Calibri"/>
                <w:b/>
                <w:bCs/>
                <w:color w:val="FFFFFF"/>
                <w:lang w:eastAsia="en-GB"/>
              </w:rPr>
              <w:t>£000</w:t>
            </w:r>
          </w:p>
        </w:tc>
      </w:tr>
      <w:tr w:rsidR="007779BF" w:rsidRPr="007779BF" w14:paraId="3FE79F45"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6E4EFD3C" w14:textId="77777777" w:rsidR="007779BF" w:rsidRPr="007779BF" w:rsidRDefault="007779BF" w:rsidP="007779BF">
            <w:pPr>
              <w:spacing w:line="240" w:lineRule="auto"/>
              <w:jc w:val="left"/>
              <w:rPr>
                <w:rFonts w:ascii="Calibri" w:eastAsia="Times New Roman" w:hAnsi="Calibri" w:cs="Calibri"/>
                <w:b/>
                <w:bCs/>
                <w:lang w:eastAsia="en-GB"/>
              </w:rPr>
            </w:pPr>
            <w:r w:rsidRPr="007779BF">
              <w:rPr>
                <w:rFonts w:ascii="Calibri" w:eastAsia="Times New Roman" w:hAnsi="Calibri" w:cs="Calibri"/>
                <w:b/>
                <w:bCs/>
                <w:lang w:eastAsia="en-GB"/>
              </w:rPr>
              <w:t>Financial Assets Held at amortised cost</w:t>
            </w:r>
          </w:p>
        </w:tc>
        <w:tc>
          <w:tcPr>
            <w:tcW w:w="629" w:type="pct"/>
            <w:tcBorders>
              <w:top w:val="nil"/>
              <w:left w:val="nil"/>
              <w:bottom w:val="nil"/>
              <w:right w:val="nil"/>
            </w:tcBorders>
            <w:shd w:val="clear" w:color="auto" w:fill="FFFFFF" w:themeFill="background1"/>
            <w:noWrap/>
            <w:vAlign w:val="bottom"/>
            <w:hideMark/>
          </w:tcPr>
          <w:p w14:paraId="6755D3D1"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9" w:type="pct"/>
            <w:tcBorders>
              <w:top w:val="nil"/>
              <w:left w:val="nil"/>
              <w:bottom w:val="nil"/>
              <w:right w:val="nil"/>
            </w:tcBorders>
            <w:shd w:val="clear" w:color="auto" w:fill="FFFFFF" w:themeFill="background1"/>
            <w:noWrap/>
            <w:vAlign w:val="bottom"/>
            <w:hideMark/>
          </w:tcPr>
          <w:p w14:paraId="62ABDDDA"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32" w:type="pct"/>
            <w:tcBorders>
              <w:top w:val="nil"/>
              <w:left w:val="nil"/>
              <w:bottom w:val="nil"/>
              <w:right w:val="nil"/>
            </w:tcBorders>
            <w:shd w:val="clear" w:color="auto" w:fill="D0D0D0"/>
            <w:noWrap/>
            <w:vAlign w:val="bottom"/>
            <w:hideMark/>
          </w:tcPr>
          <w:p w14:paraId="766AE7BB"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9" w:type="pct"/>
            <w:tcBorders>
              <w:top w:val="nil"/>
              <w:left w:val="nil"/>
              <w:bottom w:val="nil"/>
              <w:right w:val="nil"/>
            </w:tcBorders>
            <w:shd w:val="clear" w:color="auto" w:fill="FFE1E1"/>
            <w:noWrap/>
            <w:vAlign w:val="bottom"/>
            <w:hideMark/>
          </w:tcPr>
          <w:p w14:paraId="7E48F49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7" w:type="pct"/>
            <w:tcBorders>
              <w:top w:val="nil"/>
              <w:left w:val="nil"/>
              <w:bottom w:val="nil"/>
              <w:right w:val="nil"/>
            </w:tcBorders>
            <w:shd w:val="clear" w:color="auto" w:fill="FFE1E1"/>
            <w:noWrap/>
            <w:vAlign w:val="bottom"/>
            <w:hideMark/>
          </w:tcPr>
          <w:p w14:paraId="4FDBD783"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r>
      <w:tr w:rsidR="007779BF" w:rsidRPr="007779BF" w14:paraId="7D952B5A"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33D5FC60" w14:textId="77777777" w:rsidR="007779BF" w:rsidRPr="007779BF" w:rsidRDefault="007779BF" w:rsidP="007779BF">
            <w:pPr>
              <w:spacing w:line="240" w:lineRule="auto"/>
              <w:jc w:val="left"/>
              <w:rPr>
                <w:rFonts w:ascii="Calibri" w:eastAsia="Times New Roman" w:hAnsi="Calibri" w:cs="Calibri"/>
                <w:lang w:eastAsia="en-GB"/>
              </w:rPr>
            </w:pPr>
            <w:r w:rsidRPr="007779BF">
              <w:rPr>
                <w:rFonts w:ascii="Calibri" w:eastAsia="Times New Roman" w:hAnsi="Calibri" w:cs="Calibri"/>
                <w:lang w:eastAsia="en-GB"/>
              </w:rPr>
              <w:t>Investments</w:t>
            </w:r>
          </w:p>
        </w:tc>
        <w:tc>
          <w:tcPr>
            <w:tcW w:w="629" w:type="pct"/>
            <w:tcBorders>
              <w:top w:val="nil"/>
              <w:left w:val="nil"/>
              <w:bottom w:val="nil"/>
              <w:right w:val="nil"/>
            </w:tcBorders>
            <w:shd w:val="clear" w:color="auto" w:fill="FFFFFF" w:themeFill="background1"/>
            <w:noWrap/>
            <w:vAlign w:val="bottom"/>
            <w:hideMark/>
          </w:tcPr>
          <w:p w14:paraId="333FAE57"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FFFF" w:themeFill="background1"/>
            <w:noWrap/>
            <w:vAlign w:val="bottom"/>
            <w:hideMark/>
          </w:tcPr>
          <w:p w14:paraId="2D1013AD"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10</w:t>
            </w:r>
          </w:p>
        </w:tc>
        <w:tc>
          <w:tcPr>
            <w:tcW w:w="632" w:type="pct"/>
            <w:tcBorders>
              <w:top w:val="nil"/>
              <w:left w:val="nil"/>
              <w:bottom w:val="nil"/>
              <w:right w:val="nil"/>
            </w:tcBorders>
            <w:shd w:val="clear" w:color="auto" w:fill="D0D0D0"/>
            <w:noWrap/>
            <w:vAlign w:val="bottom"/>
            <w:hideMark/>
          </w:tcPr>
          <w:p w14:paraId="5CCFA60B"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E1E1"/>
            <w:vAlign w:val="bottom"/>
            <w:hideMark/>
          </w:tcPr>
          <w:p w14:paraId="2521D7CD"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7" w:type="pct"/>
            <w:tcBorders>
              <w:top w:val="nil"/>
              <w:left w:val="nil"/>
              <w:bottom w:val="nil"/>
              <w:right w:val="nil"/>
            </w:tcBorders>
            <w:shd w:val="clear" w:color="auto" w:fill="FFE1E1"/>
            <w:noWrap/>
            <w:vAlign w:val="bottom"/>
            <w:hideMark/>
          </w:tcPr>
          <w:p w14:paraId="1E60AB37"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10</w:t>
            </w:r>
          </w:p>
        </w:tc>
      </w:tr>
      <w:tr w:rsidR="007779BF" w:rsidRPr="007779BF" w14:paraId="1866CE33"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5EAD1BBF" w14:textId="77777777" w:rsidR="007779BF" w:rsidRPr="007779BF" w:rsidRDefault="007779BF" w:rsidP="007779BF">
            <w:pPr>
              <w:spacing w:line="240" w:lineRule="auto"/>
              <w:jc w:val="left"/>
              <w:rPr>
                <w:rFonts w:ascii="Calibri" w:eastAsia="Times New Roman" w:hAnsi="Calibri" w:cs="Calibri"/>
                <w:lang w:eastAsia="en-GB"/>
              </w:rPr>
            </w:pPr>
            <w:r w:rsidRPr="007779BF">
              <w:rPr>
                <w:rFonts w:ascii="Calibri" w:eastAsia="Times New Roman" w:hAnsi="Calibri" w:cs="Calibri"/>
                <w:lang w:eastAsia="en-GB"/>
              </w:rPr>
              <w:t>Cash and cash equivalents</w:t>
            </w:r>
          </w:p>
        </w:tc>
        <w:tc>
          <w:tcPr>
            <w:tcW w:w="629" w:type="pct"/>
            <w:tcBorders>
              <w:top w:val="nil"/>
              <w:left w:val="nil"/>
              <w:bottom w:val="nil"/>
              <w:right w:val="nil"/>
            </w:tcBorders>
            <w:shd w:val="clear" w:color="auto" w:fill="FFFFFF" w:themeFill="background1"/>
            <w:noWrap/>
            <w:vAlign w:val="bottom"/>
            <w:hideMark/>
          </w:tcPr>
          <w:p w14:paraId="320E5890"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FFFF" w:themeFill="background1"/>
            <w:noWrap/>
            <w:vAlign w:val="bottom"/>
            <w:hideMark/>
          </w:tcPr>
          <w:p w14:paraId="6B684E8C"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2,344</w:t>
            </w:r>
          </w:p>
        </w:tc>
        <w:tc>
          <w:tcPr>
            <w:tcW w:w="632" w:type="pct"/>
            <w:tcBorders>
              <w:top w:val="nil"/>
              <w:left w:val="nil"/>
              <w:bottom w:val="nil"/>
              <w:right w:val="nil"/>
            </w:tcBorders>
            <w:shd w:val="clear" w:color="auto" w:fill="D0D0D0"/>
            <w:noWrap/>
            <w:vAlign w:val="bottom"/>
            <w:hideMark/>
          </w:tcPr>
          <w:p w14:paraId="1B9A409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E1E1"/>
            <w:vAlign w:val="bottom"/>
            <w:hideMark/>
          </w:tcPr>
          <w:p w14:paraId="07AC410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7" w:type="pct"/>
            <w:tcBorders>
              <w:top w:val="nil"/>
              <w:left w:val="nil"/>
              <w:bottom w:val="nil"/>
              <w:right w:val="nil"/>
            </w:tcBorders>
            <w:shd w:val="clear" w:color="auto" w:fill="FFE1E1"/>
            <w:noWrap/>
            <w:vAlign w:val="bottom"/>
            <w:hideMark/>
          </w:tcPr>
          <w:p w14:paraId="7646E25C"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2,344</w:t>
            </w:r>
          </w:p>
        </w:tc>
      </w:tr>
      <w:tr w:rsidR="007779BF" w:rsidRPr="007779BF" w14:paraId="2A30C9AE"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3B0127DC" w14:textId="77777777" w:rsidR="007779BF" w:rsidRPr="007779BF" w:rsidRDefault="007779BF" w:rsidP="007779BF">
            <w:pPr>
              <w:spacing w:line="240" w:lineRule="auto"/>
              <w:jc w:val="left"/>
              <w:rPr>
                <w:rFonts w:ascii="Calibri" w:eastAsia="Times New Roman" w:hAnsi="Calibri" w:cs="Calibri"/>
                <w:lang w:eastAsia="en-GB"/>
              </w:rPr>
            </w:pPr>
            <w:r w:rsidRPr="007779BF">
              <w:rPr>
                <w:rFonts w:ascii="Calibri" w:eastAsia="Times New Roman" w:hAnsi="Calibri" w:cs="Calibri"/>
                <w:lang w:eastAsia="en-GB"/>
              </w:rPr>
              <w:t>Debtors</w:t>
            </w:r>
          </w:p>
        </w:tc>
        <w:tc>
          <w:tcPr>
            <w:tcW w:w="629" w:type="pct"/>
            <w:tcBorders>
              <w:top w:val="nil"/>
              <w:left w:val="nil"/>
              <w:bottom w:val="nil"/>
              <w:right w:val="nil"/>
            </w:tcBorders>
            <w:shd w:val="clear" w:color="auto" w:fill="FFFFFF" w:themeFill="background1"/>
            <w:noWrap/>
            <w:vAlign w:val="bottom"/>
            <w:hideMark/>
          </w:tcPr>
          <w:p w14:paraId="3662F8A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FFFF" w:themeFill="background1"/>
            <w:noWrap/>
            <w:vAlign w:val="bottom"/>
            <w:hideMark/>
          </w:tcPr>
          <w:p w14:paraId="0DE97DA1"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3,811</w:t>
            </w:r>
          </w:p>
        </w:tc>
        <w:tc>
          <w:tcPr>
            <w:tcW w:w="632" w:type="pct"/>
            <w:tcBorders>
              <w:top w:val="nil"/>
              <w:left w:val="nil"/>
              <w:bottom w:val="nil"/>
              <w:right w:val="nil"/>
            </w:tcBorders>
            <w:shd w:val="clear" w:color="auto" w:fill="D0D0D0"/>
            <w:noWrap/>
            <w:vAlign w:val="bottom"/>
            <w:hideMark/>
          </w:tcPr>
          <w:p w14:paraId="518538FE"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3,493</w:t>
            </w:r>
          </w:p>
        </w:tc>
        <w:tc>
          <w:tcPr>
            <w:tcW w:w="629" w:type="pct"/>
            <w:tcBorders>
              <w:top w:val="nil"/>
              <w:left w:val="nil"/>
              <w:bottom w:val="nil"/>
              <w:right w:val="nil"/>
            </w:tcBorders>
            <w:shd w:val="clear" w:color="auto" w:fill="FFE1E1"/>
            <w:vAlign w:val="bottom"/>
            <w:hideMark/>
          </w:tcPr>
          <w:p w14:paraId="7EE84841"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7" w:type="pct"/>
            <w:tcBorders>
              <w:top w:val="nil"/>
              <w:left w:val="nil"/>
              <w:bottom w:val="nil"/>
              <w:right w:val="nil"/>
            </w:tcBorders>
            <w:shd w:val="clear" w:color="auto" w:fill="FFE1E1"/>
            <w:noWrap/>
            <w:vAlign w:val="bottom"/>
            <w:hideMark/>
          </w:tcPr>
          <w:p w14:paraId="3028D99B"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318</w:t>
            </w:r>
          </w:p>
        </w:tc>
      </w:tr>
      <w:tr w:rsidR="007779BF" w:rsidRPr="007779BF" w14:paraId="6B2E53D1" w14:textId="77777777" w:rsidTr="004B556D">
        <w:trPr>
          <w:trHeight w:val="283"/>
        </w:trPr>
        <w:tc>
          <w:tcPr>
            <w:tcW w:w="1854" w:type="pct"/>
            <w:tcBorders>
              <w:top w:val="single" w:sz="4" w:space="0" w:color="auto"/>
              <w:left w:val="nil"/>
              <w:bottom w:val="single" w:sz="4" w:space="0" w:color="auto"/>
              <w:right w:val="nil"/>
            </w:tcBorders>
            <w:shd w:val="clear" w:color="auto" w:fill="FFFFFF" w:themeFill="background1"/>
            <w:vAlign w:val="bottom"/>
            <w:hideMark/>
          </w:tcPr>
          <w:p w14:paraId="2CB5DECB" w14:textId="77777777" w:rsidR="007779BF" w:rsidRPr="007779BF" w:rsidRDefault="007779BF" w:rsidP="007779BF">
            <w:pPr>
              <w:spacing w:line="240" w:lineRule="auto"/>
              <w:jc w:val="left"/>
              <w:rPr>
                <w:rFonts w:ascii="Calibri" w:eastAsia="Times New Roman" w:hAnsi="Calibri" w:cs="Calibri"/>
                <w:b/>
                <w:bCs/>
                <w:lang w:eastAsia="en-GB"/>
              </w:rPr>
            </w:pPr>
            <w:r w:rsidRPr="007779BF">
              <w:rPr>
                <w:rFonts w:ascii="Calibri" w:eastAsia="Times New Roman" w:hAnsi="Calibri" w:cs="Calibri"/>
                <w:b/>
                <w:bCs/>
                <w:lang w:eastAsia="en-GB"/>
              </w:rPr>
              <w:t>Total Financial Assets</w:t>
            </w:r>
          </w:p>
        </w:tc>
        <w:tc>
          <w:tcPr>
            <w:tcW w:w="629" w:type="pct"/>
            <w:tcBorders>
              <w:top w:val="single" w:sz="4" w:space="0" w:color="auto"/>
              <w:left w:val="nil"/>
              <w:bottom w:val="single" w:sz="4" w:space="0" w:color="auto"/>
              <w:right w:val="nil"/>
            </w:tcBorders>
            <w:shd w:val="clear" w:color="auto" w:fill="FFFFFF" w:themeFill="background1"/>
            <w:noWrap/>
            <w:vAlign w:val="bottom"/>
            <w:hideMark/>
          </w:tcPr>
          <w:p w14:paraId="5830EFA1"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single" w:sz="4" w:space="0" w:color="auto"/>
              <w:left w:val="nil"/>
              <w:bottom w:val="single" w:sz="4" w:space="0" w:color="auto"/>
              <w:right w:val="nil"/>
            </w:tcBorders>
            <w:shd w:val="clear" w:color="auto" w:fill="FFFFFF" w:themeFill="background1"/>
            <w:noWrap/>
            <w:vAlign w:val="bottom"/>
            <w:hideMark/>
          </w:tcPr>
          <w:p w14:paraId="6865E42E" w14:textId="77777777" w:rsidR="007779BF" w:rsidRPr="007779BF" w:rsidRDefault="007779BF" w:rsidP="007779BF">
            <w:pPr>
              <w:spacing w:line="240" w:lineRule="auto"/>
              <w:jc w:val="right"/>
              <w:rPr>
                <w:rFonts w:ascii="Calibri" w:eastAsia="Times New Roman" w:hAnsi="Calibri" w:cs="Calibri"/>
                <w:b/>
                <w:bCs/>
                <w:lang w:eastAsia="en-GB"/>
              </w:rPr>
            </w:pPr>
            <w:r w:rsidRPr="007779BF">
              <w:rPr>
                <w:rFonts w:ascii="Calibri" w:eastAsia="Times New Roman" w:hAnsi="Calibri" w:cs="Calibri"/>
                <w:b/>
                <w:bCs/>
                <w:lang w:eastAsia="en-GB"/>
              </w:rPr>
              <w:t>6,165</w:t>
            </w:r>
          </w:p>
        </w:tc>
        <w:tc>
          <w:tcPr>
            <w:tcW w:w="632" w:type="pct"/>
            <w:tcBorders>
              <w:top w:val="single" w:sz="4" w:space="0" w:color="auto"/>
              <w:left w:val="nil"/>
              <w:bottom w:val="single" w:sz="4" w:space="0" w:color="auto"/>
              <w:right w:val="nil"/>
            </w:tcBorders>
            <w:shd w:val="clear" w:color="auto" w:fill="D0D0D0"/>
            <w:noWrap/>
            <w:vAlign w:val="bottom"/>
            <w:hideMark/>
          </w:tcPr>
          <w:p w14:paraId="27EF99BF" w14:textId="77777777" w:rsidR="007779BF" w:rsidRPr="007779BF" w:rsidRDefault="007779BF" w:rsidP="007779BF">
            <w:pPr>
              <w:spacing w:line="240" w:lineRule="auto"/>
              <w:jc w:val="right"/>
              <w:rPr>
                <w:rFonts w:ascii="Calibri" w:eastAsia="Times New Roman" w:hAnsi="Calibri" w:cs="Calibri"/>
                <w:b/>
                <w:bCs/>
                <w:color w:val="000000"/>
                <w:lang w:eastAsia="en-GB"/>
              </w:rPr>
            </w:pPr>
            <w:r w:rsidRPr="007779BF">
              <w:rPr>
                <w:rFonts w:ascii="Calibri" w:eastAsia="Times New Roman" w:hAnsi="Calibri" w:cs="Calibri"/>
                <w:b/>
                <w:bCs/>
                <w:color w:val="000000"/>
                <w:lang w:eastAsia="en-GB"/>
              </w:rPr>
              <w:t>3,493</w:t>
            </w:r>
          </w:p>
        </w:tc>
        <w:tc>
          <w:tcPr>
            <w:tcW w:w="629" w:type="pct"/>
            <w:tcBorders>
              <w:top w:val="single" w:sz="4" w:space="0" w:color="auto"/>
              <w:left w:val="nil"/>
              <w:bottom w:val="single" w:sz="4" w:space="0" w:color="auto"/>
              <w:right w:val="nil"/>
            </w:tcBorders>
            <w:shd w:val="clear" w:color="auto" w:fill="FFE1E1"/>
            <w:vAlign w:val="bottom"/>
            <w:hideMark/>
          </w:tcPr>
          <w:p w14:paraId="2DE9F07B"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7" w:type="pct"/>
            <w:tcBorders>
              <w:top w:val="single" w:sz="4" w:space="0" w:color="auto"/>
              <w:left w:val="nil"/>
              <w:bottom w:val="single" w:sz="4" w:space="0" w:color="auto"/>
              <w:right w:val="nil"/>
            </w:tcBorders>
            <w:shd w:val="clear" w:color="auto" w:fill="FFE1E1"/>
            <w:noWrap/>
            <w:vAlign w:val="bottom"/>
            <w:hideMark/>
          </w:tcPr>
          <w:p w14:paraId="02BB6C17" w14:textId="77777777" w:rsidR="007779BF" w:rsidRPr="007779BF" w:rsidRDefault="007779BF" w:rsidP="007779BF">
            <w:pPr>
              <w:spacing w:line="240" w:lineRule="auto"/>
              <w:jc w:val="right"/>
              <w:rPr>
                <w:rFonts w:ascii="Calibri" w:eastAsia="Times New Roman" w:hAnsi="Calibri" w:cs="Calibri"/>
                <w:b/>
                <w:bCs/>
                <w:lang w:eastAsia="en-GB"/>
              </w:rPr>
            </w:pPr>
            <w:r w:rsidRPr="007779BF">
              <w:rPr>
                <w:rFonts w:ascii="Calibri" w:eastAsia="Times New Roman" w:hAnsi="Calibri" w:cs="Calibri"/>
                <w:b/>
                <w:bCs/>
                <w:lang w:eastAsia="en-GB"/>
              </w:rPr>
              <w:t>2,672</w:t>
            </w:r>
          </w:p>
        </w:tc>
      </w:tr>
      <w:tr w:rsidR="007779BF" w:rsidRPr="007779BF" w14:paraId="013EB1E9"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6B52723C" w14:textId="77777777" w:rsidR="007779BF" w:rsidRPr="007779BF" w:rsidRDefault="007779BF" w:rsidP="007779BF">
            <w:pPr>
              <w:spacing w:line="240" w:lineRule="auto"/>
              <w:jc w:val="left"/>
              <w:rPr>
                <w:rFonts w:ascii="Calibri" w:eastAsia="Times New Roman" w:hAnsi="Calibri" w:cs="Calibri"/>
                <w:b/>
                <w:bCs/>
                <w:lang w:eastAsia="en-GB"/>
              </w:rPr>
            </w:pPr>
            <w:r w:rsidRPr="007779BF">
              <w:rPr>
                <w:rFonts w:ascii="Calibri" w:eastAsia="Times New Roman" w:hAnsi="Calibri" w:cs="Calibri"/>
                <w:b/>
                <w:bCs/>
                <w:lang w:eastAsia="en-GB"/>
              </w:rPr>
              <w:t>Financial liabilities at amortised cost</w:t>
            </w:r>
          </w:p>
        </w:tc>
        <w:tc>
          <w:tcPr>
            <w:tcW w:w="629" w:type="pct"/>
            <w:tcBorders>
              <w:top w:val="nil"/>
              <w:left w:val="nil"/>
              <w:bottom w:val="nil"/>
              <w:right w:val="nil"/>
            </w:tcBorders>
            <w:shd w:val="clear" w:color="auto" w:fill="FFFFFF" w:themeFill="background1"/>
            <w:noWrap/>
            <w:vAlign w:val="bottom"/>
            <w:hideMark/>
          </w:tcPr>
          <w:p w14:paraId="54F55B8F"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9" w:type="pct"/>
            <w:tcBorders>
              <w:top w:val="nil"/>
              <w:left w:val="nil"/>
              <w:bottom w:val="nil"/>
              <w:right w:val="nil"/>
            </w:tcBorders>
            <w:shd w:val="clear" w:color="auto" w:fill="FFFFFF" w:themeFill="background1"/>
            <w:noWrap/>
            <w:vAlign w:val="bottom"/>
            <w:hideMark/>
          </w:tcPr>
          <w:p w14:paraId="63C66F37"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32" w:type="pct"/>
            <w:tcBorders>
              <w:top w:val="nil"/>
              <w:left w:val="nil"/>
              <w:bottom w:val="nil"/>
              <w:right w:val="nil"/>
            </w:tcBorders>
            <w:shd w:val="clear" w:color="auto" w:fill="D0D0D0"/>
            <w:noWrap/>
            <w:vAlign w:val="bottom"/>
            <w:hideMark/>
          </w:tcPr>
          <w:p w14:paraId="4EA56AE5"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9" w:type="pct"/>
            <w:tcBorders>
              <w:top w:val="nil"/>
              <w:left w:val="nil"/>
              <w:bottom w:val="nil"/>
              <w:right w:val="nil"/>
            </w:tcBorders>
            <w:shd w:val="clear" w:color="auto" w:fill="FFE1E1"/>
            <w:noWrap/>
            <w:vAlign w:val="bottom"/>
            <w:hideMark/>
          </w:tcPr>
          <w:p w14:paraId="3B02ABD5"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c>
          <w:tcPr>
            <w:tcW w:w="627" w:type="pct"/>
            <w:tcBorders>
              <w:top w:val="nil"/>
              <w:left w:val="nil"/>
              <w:bottom w:val="nil"/>
              <w:right w:val="nil"/>
            </w:tcBorders>
            <w:shd w:val="clear" w:color="auto" w:fill="FFE1E1"/>
            <w:noWrap/>
            <w:vAlign w:val="bottom"/>
            <w:hideMark/>
          </w:tcPr>
          <w:p w14:paraId="7086DFA5"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 </w:t>
            </w:r>
          </w:p>
        </w:tc>
      </w:tr>
      <w:tr w:rsidR="007779BF" w:rsidRPr="007779BF" w14:paraId="47B37DBC"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5D3BD996" w14:textId="77777777" w:rsidR="007779BF" w:rsidRPr="007779BF" w:rsidRDefault="007779BF" w:rsidP="007779BF">
            <w:pPr>
              <w:spacing w:line="240" w:lineRule="auto"/>
              <w:jc w:val="left"/>
              <w:rPr>
                <w:rFonts w:ascii="Calibri" w:eastAsia="Times New Roman" w:hAnsi="Calibri" w:cs="Calibri"/>
                <w:lang w:eastAsia="en-GB"/>
              </w:rPr>
            </w:pPr>
            <w:r w:rsidRPr="007779BF">
              <w:rPr>
                <w:rFonts w:ascii="Calibri" w:eastAsia="Times New Roman" w:hAnsi="Calibri" w:cs="Calibri"/>
                <w:lang w:eastAsia="en-GB"/>
              </w:rPr>
              <w:t>Public Works Loan Board Borrowing</w:t>
            </w:r>
          </w:p>
        </w:tc>
        <w:tc>
          <w:tcPr>
            <w:tcW w:w="629" w:type="pct"/>
            <w:tcBorders>
              <w:top w:val="nil"/>
              <w:left w:val="nil"/>
              <w:bottom w:val="nil"/>
              <w:right w:val="nil"/>
            </w:tcBorders>
            <w:shd w:val="clear" w:color="auto" w:fill="FFFFFF" w:themeFill="background1"/>
            <w:noWrap/>
            <w:vAlign w:val="bottom"/>
            <w:hideMark/>
          </w:tcPr>
          <w:p w14:paraId="5C173432"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(3,060)</w:t>
            </w:r>
          </w:p>
        </w:tc>
        <w:tc>
          <w:tcPr>
            <w:tcW w:w="629" w:type="pct"/>
            <w:tcBorders>
              <w:top w:val="nil"/>
              <w:left w:val="nil"/>
              <w:bottom w:val="nil"/>
              <w:right w:val="nil"/>
            </w:tcBorders>
            <w:shd w:val="clear" w:color="auto" w:fill="FFFFFF" w:themeFill="background1"/>
            <w:noWrap/>
            <w:vAlign w:val="bottom"/>
            <w:hideMark/>
          </w:tcPr>
          <w:p w14:paraId="013A4C4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348C87F9"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E1E1"/>
            <w:noWrap/>
            <w:vAlign w:val="bottom"/>
            <w:hideMark/>
          </w:tcPr>
          <w:p w14:paraId="0E4928F0"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(3,060)</w:t>
            </w:r>
          </w:p>
        </w:tc>
        <w:tc>
          <w:tcPr>
            <w:tcW w:w="627" w:type="pct"/>
            <w:tcBorders>
              <w:top w:val="nil"/>
              <w:left w:val="nil"/>
              <w:bottom w:val="nil"/>
              <w:right w:val="nil"/>
            </w:tcBorders>
            <w:shd w:val="clear" w:color="auto" w:fill="FFE1E1"/>
            <w:vAlign w:val="bottom"/>
            <w:hideMark/>
          </w:tcPr>
          <w:p w14:paraId="27B43720"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r>
      <w:tr w:rsidR="007779BF" w:rsidRPr="007779BF" w14:paraId="72029BC2" w14:textId="77777777" w:rsidTr="004B556D">
        <w:trPr>
          <w:trHeight w:val="283"/>
        </w:trPr>
        <w:tc>
          <w:tcPr>
            <w:tcW w:w="1854" w:type="pct"/>
            <w:tcBorders>
              <w:top w:val="nil"/>
              <w:left w:val="nil"/>
              <w:bottom w:val="nil"/>
              <w:right w:val="nil"/>
            </w:tcBorders>
            <w:shd w:val="clear" w:color="auto" w:fill="FFFFFF" w:themeFill="background1"/>
            <w:vAlign w:val="bottom"/>
            <w:hideMark/>
          </w:tcPr>
          <w:p w14:paraId="4BEB72D8" w14:textId="77777777" w:rsidR="007779BF" w:rsidRPr="007779BF" w:rsidRDefault="007779BF" w:rsidP="007779BF">
            <w:pPr>
              <w:spacing w:line="240" w:lineRule="auto"/>
              <w:jc w:val="left"/>
              <w:rPr>
                <w:rFonts w:ascii="Calibri" w:eastAsia="Times New Roman" w:hAnsi="Calibri" w:cs="Calibri"/>
                <w:lang w:eastAsia="en-GB"/>
              </w:rPr>
            </w:pPr>
            <w:r w:rsidRPr="007779BF">
              <w:rPr>
                <w:rFonts w:ascii="Calibri" w:eastAsia="Times New Roman" w:hAnsi="Calibri" w:cs="Calibri"/>
                <w:lang w:eastAsia="en-GB"/>
              </w:rPr>
              <w:t>Creditors</w:t>
            </w:r>
          </w:p>
        </w:tc>
        <w:tc>
          <w:tcPr>
            <w:tcW w:w="629" w:type="pct"/>
            <w:tcBorders>
              <w:top w:val="nil"/>
              <w:left w:val="nil"/>
              <w:bottom w:val="nil"/>
              <w:right w:val="nil"/>
            </w:tcBorders>
            <w:shd w:val="clear" w:color="auto" w:fill="FFFFFF" w:themeFill="background1"/>
            <w:noWrap/>
            <w:vAlign w:val="bottom"/>
            <w:hideMark/>
          </w:tcPr>
          <w:p w14:paraId="22A1AD06"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9" w:type="pct"/>
            <w:tcBorders>
              <w:top w:val="nil"/>
              <w:left w:val="nil"/>
              <w:bottom w:val="nil"/>
              <w:right w:val="nil"/>
            </w:tcBorders>
            <w:shd w:val="clear" w:color="auto" w:fill="FFFFFF" w:themeFill="background1"/>
            <w:noWrap/>
            <w:vAlign w:val="bottom"/>
            <w:hideMark/>
          </w:tcPr>
          <w:p w14:paraId="2F778FE1"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(7,179)</w:t>
            </w:r>
          </w:p>
        </w:tc>
        <w:tc>
          <w:tcPr>
            <w:tcW w:w="632" w:type="pct"/>
            <w:tcBorders>
              <w:top w:val="nil"/>
              <w:left w:val="nil"/>
              <w:bottom w:val="nil"/>
              <w:right w:val="nil"/>
            </w:tcBorders>
            <w:shd w:val="clear" w:color="auto" w:fill="D0D0D0"/>
            <w:noWrap/>
            <w:vAlign w:val="bottom"/>
            <w:hideMark/>
          </w:tcPr>
          <w:p w14:paraId="18D77645" w14:textId="20D21766" w:rsidR="007779BF" w:rsidRPr="007779BF" w:rsidRDefault="1F2321BF" w:rsidP="007779BF">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w:t>
            </w:r>
            <w:r w:rsidR="5D88ECB8" w:rsidRPr="148FF933">
              <w:rPr>
                <w:rFonts w:ascii="Calibri" w:eastAsia="Times New Roman" w:hAnsi="Calibri" w:cs="Calibri"/>
                <w:color w:val="000000" w:themeColor="text1"/>
                <w:lang w:eastAsia="en-GB"/>
              </w:rPr>
              <w:t>974</w:t>
            </w:r>
            <w:r w:rsidRPr="148FF933">
              <w:rPr>
                <w:rFonts w:ascii="Calibri" w:eastAsia="Times New Roman" w:hAnsi="Calibri" w:cs="Calibri"/>
                <w:color w:val="000000" w:themeColor="text1"/>
                <w:lang w:eastAsia="en-GB"/>
              </w:rPr>
              <w:t>)</w:t>
            </w:r>
          </w:p>
        </w:tc>
        <w:tc>
          <w:tcPr>
            <w:tcW w:w="629" w:type="pct"/>
            <w:tcBorders>
              <w:top w:val="nil"/>
              <w:left w:val="nil"/>
              <w:bottom w:val="nil"/>
              <w:right w:val="nil"/>
            </w:tcBorders>
            <w:shd w:val="clear" w:color="auto" w:fill="FFE1E1"/>
            <w:vAlign w:val="bottom"/>
            <w:hideMark/>
          </w:tcPr>
          <w:p w14:paraId="1CE0EC24" w14:textId="77777777" w:rsidR="007779BF" w:rsidRPr="007779BF" w:rsidRDefault="007779BF" w:rsidP="007779BF">
            <w:pPr>
              <w:spacing w:line="240" w:lineRule="auto"/>
              <w:jc w:val="right"/>
              <w:rPr>
                <w:rFonts w:ascii="Calibri" w:eastAsia="Times New Roman" w:hAnsi="Calibri" w:cs="Calibri"/>
                <w:color w:val="000000"/>
                <w:lang w:eastAsia="en-GB"/>
              </w:rPr>
            </w:pPr>
            <w:r w:rsidRPr="007779BF">
              <w:rPr>
                <w:rFonts w:ascii="Calibri" w:eastAsia="Times New Roman" w:hAnsi="Calibri" w:cs="Calibri"/>
                <w:color w:val="000000"/>
                <w:lang w:eastAsia="en-GB"/>
              </w:rPr>
              <w:t>-</w:t>
            </w:r>
          </w:p>
        </w:tc>
        <w:tc>
          <w:tcPr>
            <w:tcW w:w="627" w:type="pct"/>
            <w:tcBorders>
              <w:top w:val="nil"/>
              <w:left w:val="nil"/>
              <w:bottom w:val="nil"/>
              <w:right w:val="nil"/>
            </w:tcBorders>
            <w:shd w:val="clear" w:color="auto" w:fill="FFE1E1"/>
            <w:noWrap/>
            <w:vAlign w:val="bottom"/>
            <w:hideMark/>
          </w:tcPr>
          <w:p w14:paraId="7BCFE7F5" w14:textId="5F30801F" w:rsidR="007779BF" w:rsidRPr="007779BF" w:rsidRDefault="1F2321BF" w:rsidP="007779BF">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(6</w:t>
            </w:r>
            <w:r w:rsidR="5D7331B9" w:rsidRPr="148FF933">
              <w:rPr>
                <w:rFonts w:ascii="Calibri" w:eastAsia="Times New Roman" w:hAnsi="Calibri" w:cs="Calibri"/>
                <w:color w:val="000000" w:themeColor="text1"/>
                <w:lang w:eastAsia="en-GB"/>
              </w:rPr>
              <w:t>,205</w:t>
            </w:r>
            <w:r w:rsidRPr="148FF933">
              <w:rPr>
                <w:rFonts w:ascii="Calibri" w:eastAsia="Times New Roman" w:hAnsi="Calibri" w:cs="Calibri"/>
                <w:color w:val="000000" w:themeColor="text1"/>
                <w:lang w:eastAsia="en-GB"/>
              </w:rPr>
              <w:t>)</w:t>
            </w:r>
          </w:p>
        </w:tc>
      </w:tr>
      <w:tr w:rsidR="007779BF" w:rsidRPr="007779BF" w14:paraId="27ECC26E" w14:textId="77777777" w:rsidTr="004B556D">
        <w:trPr>
          <w:trHeight w:val="283"/>
        </w:trPr>
        <w:tc>
          <w:tcPr>
            <w:tcW w:w="1854" w:type="pct"/>
            <w:tcBorders>
              <w:top w:val="single" w:sz="4" w:space="0" w:color="auto"/>
              <w:left w:val="nil"/>
              <w:bottom w:val="single" w:sz="4" w:space="0" w:color="auto"/>
              <w:right w:val="nil"/>
            </w:tcBorders>
            <w:shd w:val="clear" w:color="auto" w:fill="FFFFFF" w:themeFill="background1"/>
            <w:vAlign w:val="bottom"/>
            <w:hideMark/>
          </w:tcPr>
          <w:p w14:paraId="691E681F" w14:textId="77777777" w:rsidR="007779BF" w:rsidRPr="007779BF" w:rsidRDefault="007779BF" w:rsidP="007779BF">
            <w:pPr>
              <w:spacing w:line="240" w:lineRule="auto"/>
              <w:jc w:val="left"/>
              <w:rPr>
                <w:rFonts w:ascii="Calibri" w:eastAsia="Times New Roman" w:hAnsi="Calibri" w:cs="Calibri"/>
                <w:b/>
                <w:bCs/>
                <w:lang w:eastAsia="en-GB"/>
              </w:rPr>
            </w:pPr>
            <w:r w:rsidRPr="007779BF">
              <w:rPr>
                <w:rFonts w:ascii="Calibri" w:eastAsia="Times New Roman" w:hAnsi="Calibri" w:cs="Calibri"/>
                <w:b/>
                <w:bCs/>
                <w:lang w:eastAsia="en-GB"/>
              </w:rPr>
              <w:t>Total Financial Liabilities</w:t>
            </w:r>
          </w:p>
        </w:tc>
        <w:tc>
          <w:tcPr>
            <w:tcW w:w="629" w:type="pct"/>
            <w:tcBorders>
              <w:top w:val="single" w:sz="4" w:space="0" w:color="auto"/>
              <w:left w:val="nil"/>
              <w:bottom w:val="single" w:sz="4" w:space="0" w:color="auto"/>
              <w:right w:val="nil"/>
            </w:tcBorders>
            <w:shd w:val="clear" w:color="auto" w:fill="FFFFFF" w:themeFill="background1"/>
            <w:noWrap/>
            <w:vAlign w:val="bottom"/>
            <w:hideMark/>
          </w:tcPr>
          <w:p w14:paraId="4E8D56D6" w14:textId="77777777" w:rsidR="007779BF" w:rsidRPr="007779BF" w:rsidRDefault="007779BF" w:rsidP="007779BF">
            <w:pPr>
              <w:spacing w:line="240" w:lineRule="auto"/>
              <w:jc w:val="right"/>
              <w:rPr>
                <w:rFonts w:ascii="Calibri" w:eastAsia="Times New Roman" w:hAnsi="Calibri" w:cs="Calibri"/>
                <w:b/>
                <w:bCs/>
                <w:lang w:eastAsia="en-GB"/>
              </w:rPr>
            </w:pPr>
            <w:r w:rsidRPr="007779BF">
              <w:rPr>
                <w:rFonts w:ascii="Calibri" w:eastAsia="Times New Roman" w:hAnsi="Calibri" w:cs="Calibri"/>
                <w:b/>
                <w:bCs/>
                <w:color w:val="000000"/>
                <w:lang w:eastAsia="en-GB"/>
              </w:rPr>
              <w:t>(3,060)</w:t>
            </w:r>
          </w:p>
        </w:tc>
        <w:tc>
          <w:tcPr>
            <w:tcW w:w="629" w:type="pct"/>
            <w:tcBorders>
              <w:top w:val="single" w:sz="4" w:space="0" w:color="auto"/>
              <w:left w:val="nil"/>
              <w:bottom w:val="single" w:sz="4" w:space="0" w:color="auto"/>
              <w:right w:val="nil"/>
            </w:tcBorders>
            <w:shd w:val="clear" w:color="auto" w:fill="FFFFFF" w:themeFill="background1"/>
            <w:noWrap/>
            <w:vAlign w:val="bottom"/>
            <w:hideMark/>
          </w:tcPr>
          <w:p w14:paraId="1F4926F6" w14:textId="77777777" w:rsidR="007779BF" w:rsidRPr="007779BF" w:rsidRDefault="007779BF" w:rsidP="007779BF">
            <w:pPr>
              <w:spacing w:line="240" w:lineRule="auto"/>
              <w:jc w:val="right"/>
              <w:rPr>
                <w:rFonts w:ascii="Calibri" w:eastAsia="Times New Roman" w:hAnsi="Calibri" w:cs="Calibri"/>
                <w:b/>
                <w:bCs/>
                <w:lang w:eastAsia="en-GB"/>
              </w:rPr>
            </w:pPr>
            <w:r w:rsidRPr="007779BF">
              <w:rPr>
                <w:rFonts w:ascii="Calibri" w:eastAsia="Times New Roman" w:hAnsi="Calibri" w:cs="Calibri"/>
                <w:b/>
                <w:bCs/>
                <w:color w:val="000000"/>
                <w:lang w:eastAsia="en-GB"/>
              </w:rPr>
              <w:t>(7,179)</w:t>
            </w:r>
          </w:p>
        </w:tc>
        <w:tc>
          <w:tcPr>
            <w:tcW w:w="632" w:type="pct"/>
            <w:tcBorders>
              <w:top w:val="single" w:sz="4" w:space="0" w:color="auto"/>
              <w:left w:val="nil"/>
              <w:bottom w:val="single" w:sz="4" w:space="0" w:color="auto"/>
              <w:right w:val="nil"/>
            </w:tcBorders>
            <w:shd w:val="clear" w:color="auto" w:fill="D0D0D0"/>
            <w:noWrap/>
            <w:vAlign w:val="bottom"/>
            <w:hideMark/>
          </w:tcPr>
          <w:p w14:paraId="54686F54" w14:textId="5636384F" w:rsidR="007779BF" w:rsidRPr="007779BF" w:rsidRDefault="1F2321BF" w:rsidP="007779BF">
            <w:pPr>
              <w:spacing w:line="240" w:lineRule="auto"/>
              <w:jc w:val="right"/>
              <w:rPr>
                <w:rFonts w:ascii="Calibri" w:eastAsia="Times New Roman" w:hAnsi="Calibri" w:cs="Calibri"/>
                <w:b/>
                <w:bCs/>
                <w:color w:val="000000"/>
                <w:lang w:eastAsia="en-GB"/>
              </w:rPr>
            </w:pPr>
            <w:r w:rsidRPr="148FF933">
              <w:rPr>
                <w:rFonts w:ascii="Calibri" w:eastAsia="Times New Roman" w:hAnsi="Calibri" w:cs="Calibri"/>
                <w:b/>
                <w:bCs/>
                <w:color w:val="000000" w:themeColor="text1"/>
                <w:lang w:eastAsia="en-GB"/>
              </w:rPr>
              <w:t>(</w:t>
            </w:r>
            <w:r w:rsidR="6AF97BB3" w:rsidRPr="148FF933">
              <w:rPr>
                <w:rFonts w:ascii="Calibri" w:eastAsia="Times New Roman" w:hAnsi="Calibri" w:cs="Calibri"/>
                <w:b/>
                <w:bCs/>
                <w:color w:val="000000" w:themeColor="text1"/>
                <w:lang w:eastAsia="en-GB"/>
              </w:rPr>
              <w:t>974</w:t>
            </w:r>
            <w:r w:rsidRPr="148FF933">
              <w:rPr>
                <w:rFonts w:ascii="Calibri" w:eastAsia="Times New Roman" w:hAnsi="Calibri" w:cs="Calibri"/>
                <w:b/>
                <w:bCs/>
                <w:color w:val="000000" w:themeColor="text1"/>
                <w:lang w:eastAsia="en-GB"/>
              </w:rPr>
              <w:t>)</w:t>
            </w:r>
          </w:p>
        </w:tc>
        <w:tc>
          <w:tcPr>
            <w:tcW w:w="629" w:type="pct"/>
            <w:tcBorders>
              <w:top w:val="single" w:sz="4" w:space="0" w:color="auto"/>
              <w:left w:val="nil"/>
              <w:bottom w:val="single" w:sz="4" w:space="0" w:color="auto"/>
              <w:right w:val="nil"/>
            </w:tcBorders>
            <w:shd w:val="clear" w:color="auto" w:fill="FFE1E1"/>
            <w:noWrap/>
            <w:vAlign w:val="bottom"/>
            <w:hideMark/>
          </w:tcPr>
          <w:p w14:paraId="4583B9B0" w14:textId="77777777" w:rsidR="007779BF" w:rsidRPr="007779BF" w:rsidRDefault="007779BF" w:rsidP="007779BF">
            <w:pPr>
              <w:spacing w:line="240" w:lineRule="auto"/>
              <w:jc w:val="right"/>
              <w:rPr>
                <w:rFonts w:ascii="Calibri" w:eastAsia="Times New Roman" w:hAnsi="Calibri" w:cs="Calibri"/>
                <w:b/>
                <w:bCs/>
                <w:lang w:eastAsia="en-GB"/>
              </w:rPr>
            </w:pPr>
            <w:r w:rsidRPr="007779BF">
              <w:rPr>
                <w:rFonts w:ascii="Calibri" w:eastAsia="Times New Roman" w:hAnsi="Calibri" w:cs="Calibri"/>
                <w:b/>
                <w:bCs/>
                <w:color w:val="000000"/>
                <w:lang w:eastAsia="en-GB"/>
              </w:rPr>
              <w:t>(3,060)</w:t>
            </w:r>
          </w:p>
        </w:tc>
        <w:tc>
          <w:tcPr>
            <w:tcW w:w="627" w:type="pct"/>
            <w:tcBorders>
              <w:top w:val="single" w:sz="4" w:space="0" w:color="auto"/>
              <w:left w:val="nil"/>
              <w:bottom w:val="single" w:sz="4" w:space="0" w:color="auto"/>
              <w:right w:val="nil"/>
            </w:tcBorders>
            <w:shd w:val="clear" w:color="auto" w:fill="FFE1E1"/>
            <w:noWrap/>
            <w:vAlign w:val="bottom"/>
            <w:hideMark/>
          </w:tcPr>
          <w:p w14:paraId="69777C69" w14:textId="56E2B0E4" w:rsidR="007779BF" w:rsidRPr="007779BF" w:rsidRDefault="1F2321BF" w:rsidP="007779BF">
            <w:pPr>
              <w:spacing w:line="240" w:lineRule="auto"/>
              <w:jc w:val="right"/>
              <w:rPr>
                <w:rFonts w:ascii="Calibri" w:eastAsia="Times New Roman" w:hAnsi="Calibri" w:cs="Calibri"/>
                <w:b/>
                <w:bCs/>
                <w:lang w:eastAsia="en-GB"/>
              </w:rPr>
            </w:pPr>
            <w:r w:rsidRPr="148FF933">
              <w:rPr>
                <w:rFonts w:ascii="Calibri" w:eastAsia="Times New Roman" w:hAnsi="Calibri" w:cs="Calibri"/>
                <w:b/>
                <w:bCs/>
                <w:color w:val="000000" w:themeColor="text1"/>
                <w:lang w:eastAsia="en-GB"/>
              </w:rPr>
              <w:t>(6,</w:t>
            </w:r>
            <w:r w:rsidR="60082A7F" w:rsidRPr="148FF933">
              <w:rPr>
                <w:rFonts w:ascii="Calibri" w:eastAsia="Times New Roman" w:hAnsi="Calibri" w:cs="Calibri"/>
                <w:b/>
                <w:bCs/>
                <w:color w:val="000000" w:themeColor="text1"/>
                <w:lang w:eastAsia="en-GB"/>
              </w:rPr>
              <w:t>205</w:t>
            </w:r>
            <w:r w:rsidRPr="148FF933">
              <w:rPr>
                <w:rFonts w:ascii="Calibri" w:eastAsia="Times New Roman" w:hAnsi="Calibri" w:cs="Calibri"/>
                <w:b/>
                <w:bCs/>
                <w:color w:val="000000" w:themeColor="text1"/>
                <w:lang w:eastAsia="en-GB"/>
              </w:rPr>
              <w:t>)</w:t>
            </w:r>
          </w:p>
        </w:tc>
      </w:tr>
    </w:tbl>
    <w:p w14:paraId="107ED120" w14:textId="77777777" w:rsidR="00BA559E" w:rsidRDefault="00BA559E" w:rsidP="002C054B"/>
    <w:p w14:paraId="60C441FD" w14:textId="23DB6F85" w:rsidR="003F43C1" w:rsidRDefault="003F43C1" w:rsidP="5A995008">
      <w:pPr>
        <w:spacing w:after="160"/>
        <w:jc w:val="left"/>
      </w:pPr>
      <w:r>
        <w:lastRenderedPageBreak/>
        <w:t xml:space="preserve">Note 38.3 - </w:t>
      </w:r>
      <w:proofErr w:type="gramStart"/>
      <w:r>
        <w:t>Non financial</w:t>
      </w:r>
      <w:proofErr w:type="gramEnd"/>
      <w:r>
        <w:t xml:space="preserve"> instruments at Amortised value (this table was not included in the </w:t>
      </w:r>
      <w:r w:rsidR="004B556D">
        <w:t>20</w:t>
      </w:r>
      <w:r>
        <w:t>23</w:t>
      </w:r>
      <w:r w:rsidR="004B556D">
        <w:t>/</w:t>
      </w:r>
      <w:r>
        <w:t>24 accounts due to the full value being included in 38.1).</w:t>
      </w:r>
    </w:p>
    <w:p w14:paraId="002E833B" w14:textId="77777777" w:rsidR="000245B5" w:rsidRDefault="000245B5" w:rsidP="002C054B"/>
    <w:tbl>
      <w:tblPr>
        <w:tblW w:w="5000" w:type="pct"/>
        <w:tblLayout w:type="fixed"/>
        <w:tblLook w:val="04A0" w:firstRow="1" w:lastRow="0" w:firstColumn="1" w:lastColumn="0" w:noHBand="0" w:noVBand="1"/>
      </w:tblPr>
      <w:tblGrid>
        <w:gridCol w:w="3787"/>
        <w:gridCol w:w="1297"/>
        <w:gridCol w:w="1322"/>
        <w:gridCol w:w="1311"/>
        <w:gridCol w:w="1291"/>
        <w:gridCol w:w="1367"/>
      </w:tblGrid>
      <w:tr w:rsidR="00CA04BF" w:rsidRPr="00CA04BF" w14:paraId="58BB50C4" w14:textId="77777777" w:rsidTr="148FF933">
        <w:trPr>
          <w:trHeight w:val="283"/>
        </w:trPr>
        <w:tc>
          <w:tcPr>
            <w:tcW w:w="1825" w:type="pct"/>
            <w:vMerge w:val="restart"/>
            <w:tcBorders>
              <w:top w:val="nil"/>
              <w:left w:val="nil"/>
              <w:bottom w:val="nil"/>
              <w:right w:val="nil"/>
            </w:tcBorders>
            <w:shd w:val="clear" w:color="auto" w:fill="C00000"/>
            <w:vAlign w:val="bottom"/>
            <w:hideMark/>
          </w:tcPr>
          <w:p w14:paraId="4F07470B" w14:textId="77777777" w:rsidR="00CA04BF" w:rsidRPr="00CA04BF" w:rsidRDefault="00CA04BF" w:rsidP="00CA04BF">
            <w:pPr>
              <w:spacing w:line="240" w:lineRule="auto"/>
              <w:jc w:val="left"/>
              <w:rPr>
                <w:rFonts w:ascii="Calibri" w:eastAsia="Times New Roman" w:hAnsi="Calibri" w:cs="Calibri"/>
                <w:color w:val="FFFFFF"/>
                <w:lang w:eastAsia="en-GB"/>
              </w:rPr>
            </w:pPr>
            <w:r w:rsidRPr="00CA04BF">
              <w:rPr>
                <w:rFonts w:ascii="Calibri" w:eastAsia="Times New Roman" w:hAnsi="Calibri" w:cs="Calibri"/>
                <w:color w:val="FFFFFF"/>
                <w:lang w:eastAsia="en-GB"/>
              </w:rPr>
              <w:t> </w:t>
            </w:r>
          </w:p>
        </w:tc>
        <w:tc>
          <w:tcPr>
            <w:tcW w:w="1262" w:type="pct"/>
            <w:gridSpan w:val="2"/>
            <w:tcBorders>
              <w:top w:val="nil"/>
              <w:left w:val="nil"/>
              <w:bottom w:val="nil"/>
              <w:right w:val="nil"/>
            </w:tcBorders>
            <w:shd w:val="clear" w:color="auto" w:fill="C00000"/>
            <w:noWrap/>
            <w:vAlign w:val="bottom"/>
            <w:hideMark/>
          </w:tcPr>
          <w:p w14:paraId="653D4A75" w14:textId="77777777" w:rsidR="00CA04BF" w:rsidRPr="00CA04BF" w:rsidRDefault="00CA04BF" w:rsidP="00CA04BF">
            <w:pPr>
              <w:spacing w:line="240" w:lineRule="auto"/>
              <w:jc w:val="center"/>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Original 23-24</w:t>
            </w:r>
          </w:p>
        </w:tc>
        <w:tc>
          <w:tcPr>
            <w:tcW w:w="632" w:type="pct"/>
            <w:tcBorders>
              <w:top w:val="nil"/>
              <w:left w:val="nil"/>
              <w:bottom w:val="nil"/>
              <w:right w:val="nil"/>
            </w:tcBorders>
            <w:shd w:val="clear" w:color="auto" w:fill="C00000"/>
            <w:noWrap/>
            <w:vAlign w:val="bottom"/>
            <w:hideMark/>
          </w:tcPr>
          <w:p w14:paraId="7B5E660F" w14:textId="77777777" w:rsidR="00CA04BF" w:rsidRPr="00CA04BF" w:rsidRDefault="00CA04BF" w:rsidP="00CA04BF">
            <w:pPr>
              <w:spacing w:line="240" w:lineRule="auto"/>
              <w:jc w:val="lef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 </w:t>
            </w:r>
          </w:p>
        </w:tc>
        <w:tc>
          <w:tcPr>
            <w:tcW w:w="1281" w:type="pct"/>
            <w:gridSpan w:val="2"/>
            <w:tcBorders>
              <w:top w:val="nil"/>
              <w:left w:val="nil"/>
              <w:bottom w:val="nil"/>
              <w:right w:val="nil"/>
            </w:tcBorders>
            <w:shd w:val="clear" w:color="auto" w:fill="C00000"/>
            <w:noWrap/>
            <w:vAlign w:val="bottom"/>
            <w:hideMark/>
          </w:tcPr>
          <w:p w14:paraId="6F7E3B71" w14:textId="77777777" w:rsidR="00CA04BF" w:rsidRPr="00CA04BF" w:rsidRDefault="00CA04BF" w:rsidP="00CA04BF">
            <w:pPr>
              <w:spacing w:line="240" w:lineRule="auto"/>
              <w:jc w:val="center"/>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Adjusted 23-24</w:t>
            </w:r>
          </w:p>
        </w:tc>
      </w:tr>
      <w:tr w:rsidR="00CA04BF" w:rsidRPr="00CA04BF" w14:paraId="30F421BC" w14:textId="77777777" w:rsidTr="148FF933">
        <w:trPr>
          <w:trHeight w:val="283"/>
        </w:trPr>
        <w:tc>
          <w:tcPr>
            <w:tcW w:w="1825" w:type="pct"/>
            <w:vMerge/>
            <w:vAlign w:val="center"/>
            <w:hideMark/>
          </w:tcPr>
          <w:p w14:paraId="25164CA4" w14:textId="77777777" w:rsidR="00CA04BF" w:rsidRPr="00CA04BF" w:rsidRDefault="00CA04BF" w:rsidP="00CA04BF">
            <w:pPr>
              <w:spacing w:line="240" w:lineRule="auto"/>
              <w:jc w:val="left"/>
              <w:rPr>
                <w:rFonts w:ascii="Calibri" w:eastAsia="Times New Roman" w:hAnsi="Calibri" w:cs="Calibri"/>
                <w:color w:val="FFFFFF"/>
                <w:lang w:eastAsia="en-GB"/>
              </w:rPr>
            </w:pPr>
          </w:p>
        </w:tc>
        <w:tc>
          <w:tcPr>
            <w:tcW w:w="625" w:type="pct"/>
            <w:tcBorders>
              <w:top w:val="nil"/>
              <w:left w:val="nil"/>
              <w:bottom w:val="nil"/>
              <w:right w:val="nil"/>
            </w:tcBorders>
            <w:shd w:val="clear" w:color="auto" w:fill="C00000"/>
            <w:vAlign w:val="bottom"/>
            <w:hideMark/>
          </w:tcPr>
          <w:p w14:paraId="6386F675"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Long term</w:t>
            </w:r>
          </w:p>
        </w:tc>
        <w:tc>
          <w:tcPr>
            <w:tcW w:w="637" w:type="pct"/>
            <w:tcBorders>
              <w:top w:val="nil"/>
              <w:left w:val="nil"/>
              <w:bottom w:val="nil"/>
              <w:right w:val="nil"/>
            </w:tcBorders>
            <w:shd w:val="clear" w:color="auto" w:fill="C00000"/>
            <w:vAlign w:val="bottom"/>
            <w:hideMark/>
          </w:tcPr>
          <w:p w14:paraId="4BA9E043"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Short term</w:t>
            </w:r>
          </w:p>
        </w:tc>
        <w:tc>
          <w:tcPr>
            <w:tcW w:w="632" w:type="pct"/>
            <w:tcBorders>
              <w:top w:val="nil"/>
              <w:left w:val="nil"/>
              <w:bottom w:val="nil"/>
              <w:right w:val="nil"/>
            </w:tcBorders>
            <w:shd w:val="clear" w:color="auto" w:fill="C00000"/>
            <w:noWrap/>
            <w:vAlign w:val="bottom"/>
            <w:hideMark/>
          </w:tcPr>
          <w:p w14:paraId="4F0D4A8C"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Adjustment</w:t>
            </w:r>
          </w:p>
        </w:tc>
        <w:tc>
          <w:tcPr>
            <w:tcW w:w="622" w:type="pct"/>
            <w:tcBorders>
              <w:top w:val="nil"/>
              <w:left w:val="nil"/>
              <w:bottom w:val="nil"/>
              <w:right w:val="nil"/>
            </w:tcBorders>
            <w:shd w:val="clear" w:color="auto" w:fill="C00000"/>
            <w:vAlign w:val="bottom"/>
            <w:hideMark/>
          </w:tcPr>
          <w:p w14:paraId="4BF1BF64"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Long term</w:t>
            </w:r>
          </w:p>
        </w:tc>
        <w:tc>
          <w:tcPr>
            <w:tcW w:w="659" w:type="pct"/>
            <w:tcBorders>
              <w:top w:val="nil"/>
              <w:left w:val="nil"/>
              <w:bottom w:val="nil"/>
              <w:right w:val="nil"/>
            </w:tcBorders>
            <w:shd w:val="clear" w:color="auto" w:fill="C00000"/>
            <w:vAlign w:val="bottom"/>
            <w:hideMark/>
          </w:tcPr>
          <w:p w14:paraId="144833B3"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Short term</w:t>
            </w:r>
          </w:p>
        </w:tc>
      </w:tr>
      <w:tr w:rsidR="00CA04BF" w:rsidRPr="00CA04BF" w14:paraId="4228793A" w14:textId="77777777" w:rsidTr="148FF933">
        <w:trPr>
          <w:trHeight w:val="283"/>
        </w:trPr>
        <w:tc>
          <w:tcPr>
            <w:tcW w:w="1825" w:type="pct"/>
            <w:vMerge/>
            <w:vAlign w:val="center"/>
            <w:hideMark/>
          </w:tcPr>
          <w:p w14:paraId="20BEFC9F" w14:textId="77777777" w:rsidR="00CA04BF" w:rsidRPr="00CA04BF" w:rsidRDefault="00CA04BF" w:rsidP="00CA04BF">
            <w:pPr>
              <w:spacing w:line="240" w:lineRule="auto"/>
              <w:jc w:val="left"/>
              <w:rPr>
                <w:rFonts w:ascii="Calibri" w:eastAsia="Times New Roman" w:hAnsi="Calibri" w:cs="Calibri"/>
                <w:color w:val="FFFFFF"/>
                <w:lang w:eastAsia="en-GB"/>
              </w:rPr>
            </w:pPr>
          </w:p>
        </w:tc>
        <w:tc>
          <w:tcPr>
            <w:tcW w:w="625" w:type="pct"/>
            <w:tcBorders>
              <w:top w:val="nil"/>
              <w:left w:val="nil"/>
              <w:bottom w:val="nil"/>
              <w:right w:val="nil"/>
            </w:tcBorders>
            <w:shd w:val="clear" w:color="auto" w:fill="C00000"/>
            <w:vAlign w:val="bottom"/>
            <w:hideMark/>
          </w:tcPr>
          <w:p w14:paraId="59EE12A3"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£000</w:t>
            </w:r>
          </w:p>
        </w:tc>
        <w:tc>
          <w:tcPr>
            <w:tcW w:w="637" w:type="pct"/>
            <w:tcBorders>
              <w:top w:val="nil"/>
              <w:left w:val="nil"/>
              <w:bottom w:val="nil"/>
              <w:right w:val="nil"/>
            </w:tcBorders>
            <w:shd w:val="clear" w:color="auto" w:fill="C00000"/>
            <w:vAlign w:val="bottom"/>
            <w:hideMark/>
          </w:tcPr>
          <w:p w14:paraId="1D4DDDDE"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£000</w:t>
            </w:r>
          </w:p>
        </w:tc>
        <w:tc>
          <w:tcPr>
            <w:tcW w:w="632" w:type="pct"/>
            <w:tcBorders>
              <w:top w:val="nil"/>
              <w:left w:val="nil"/>
              <w:bottom w:val="nil"/>
              <w:right w:val="nil"/>
            </w:tcBorders>
            <w:shd w:val="clear" w:color="auto" w:fill="C00000"/>
            <w:vAlign w:val="bottom"/>
            <w:hideMark/>
          </w:tcPr>
          <w:p w14:paraId="4F4561A4"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£000</w:t>
            </w:r>
          </w:p>
        </w:tc>
        <w:tc>
          <w:tcPr>
            <w:tcW w:w="622" w:type="pct"/>
            <w:tcBorders>
              <w:top w:val="nil"/>
              <w:left w:val="nil"/>
              <w:bottom w:val="nil"/>
              <w:right w:val="nil"/>
            </w:tcBorders>
            <w:shd w:val="clear" w:color="auto" w:fill="C00000"/>
            <w:vAlign w:val="bottom"/>
            <w:hideMark/>
          </w:tcPr>
          <w:p w14:paraId="33BFC22C"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£000</w:t>
            </w:r>
          </w:p>
        </w:tc>
        <w:tc>
          <w:tcPr>
            <w:tcW w:w="659" w:type="pct"/>
            <w:tcBorders>
              <w:top w:val="nil"/>
              <w:left w:val="nil"/>
              <w:bottom w:val="nil"/>
              <w:right w:val="nil"/>
            </w:tcBorders>
            <w:shd w:val="clear" w:color="auto" w:fill="C00000"/>
            <w:vAlign w:val="bottom"/>
            <w:hideMark/>
          </w:tcPr>
          <w:p w14:paraId="5E88D38C" w14:textId="77777777" w:rsidR="00CA04BF" w:rsidRPr="00CA04BF" w:rsidRDefault="00CA04BF" w:rsidP="00CA04BF">
            <w:pPr>
              <w:spacing w:line="240" w:lineRule="auto"/>
              <w:jc w:val="right"/>
              <w:rPr>
                <w:rFonts w:ascii="Calibri" w:eastAsia="Times New Roman" w:hAnsi="Calibri" w:cs="Calibri"/>
                <w:b/>
                <w:bCs/>
                <w:color w:val="FFFFFF"/>
                <w:lang w:eastAsia="en-GB"/>
              </w:rPr>
            </w:pPr>
            <w:r w:rsidRPr="00CA04BF">
              <w:rPr>
                <w:rFonts w:ascii="Calibri" w:eastAsia="Times New Roman" w:hAnsi="Calibri" w:cs="Calibri"/>
                <w:b/>
                <w:bCs/>
                <w:color w:val="FFFFFF"/>
                <w:lang w:eastAsia="en-GB"/>
              </w:rPr>
              <w:t>£000</w:t>
            </w:r>
          </w:p>
        </w:tc>
      </w:tr>
      <w:tr w:rsidR="00CA04BF" w:rsidRPr="00CA04BF" w14:paraId="1CE945A1" w14:textId="77777777" w:rsidTr="148FF933">
        <w:trPr>
          <w:trHeight w:val="283"/>
        </w:trPr>
        <w:tc>
          <w:tcPr>
            <w:tcW w:w="1825" w:type="pct"/>
            <w:tcBorders>
              <w:top w:val="nil"/>
              <w:left w:val="nil"/>
              <w:bottom w:val="nil"/>
              <w:right w:val="nil"/>
            </w:tcBorders>
            <w:shd w:val="clear" w:color="auto" w:fill="FFFFFF" w:themeFill="background1"/>
            <w:noWrap/>
            <w:vAlign w:val="bottom"/>
            <w:hideMark/>
          </w:tcPr>
          <w:p w14:paraId="25BF77F8" w14:textId="77777777" w:rsidR="00CA04BF" w:rsidRPr="00CA04BF" w:rsidRDefault="00CA04BF" w:rsidP="00CA04BF">
            <w:pPr>
              <w:spacing w:line="240" w:lineRule="auto"/>
              <w:jc w:val="left"/>
              <w:rPr>
                <w:rFonts w:ascii="Calibri" w:eastAsia="Times New Roman" w:hAnsi="Calibri" w:cs="Calibri"/>
                <w:b/>
                <w:bCs/>
                <w:lang w:eastAsia="en-GB"/>
              </w:rPr>
            </w:pPr>
            <w:r w:rsidRPr="00CA04BF">
              <w:rPr>
                <w:rFonts w:ascii="Calibri" w:eastAsia="Times New Roman" w:hAnsi="Calibri" w:cs="Calibri"/>
                <w:b/>
                <w:bCs/>
                <w:lang w:eastAsia="en-GB"/>
              </w:rPr>
              <w:t>Financial assets at amortised cost</w:t>
            </w:r>
          </w:p>
        </w:tc>
        <w:tc>
          <w:tcPr>
            <w:tcW w:w="625" w:type="pct"/>
            <w:tcBorders>
              <w:top w:val="nil"/>
              <w:left w:val="nil"/>
              <w:bottom w:val="nil"/>
              <w:right w:val="nil"/>
            </w:tcBorders>
            <w:shd w:val="clear" w:color="auto" w:fill="FFFFFF" w:themeFill="background1"/>
            <w:noWrap/>
            <w:vAlign w:val="bottom"/>
            <w:hideMark/>
          </w:tcPr>
          <w:p w14:paraId="3D6A2D07"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37" w:type="pct"/>
            <w:tcBorders>
              <w:top w:val="nil"/>
              <w:left w:val="nil"/>
              <w:bottom w:val="nil"/>
              <w:right w:val="nil"/>
            </w:tcBorders>
            <w:shd w:val="clear" w:color="auto" w:fill="FFFFFF" w:themeFill="background1"/>
            <w:noWrap/>
            <w:vAlign w:val="bottom"/>
            <w:hideMark/>
          </w:tcPr>
          <w:p w14:paraId="2D4E2768"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32" w:type="pct"/>
            <w:tcBorders>
              <w:top w:val="nil"/>
              <w:left w:val="nil"/>
              <w:bottom w:val="nil"/>
              <w:right w:val="nil"/>
            </w:tcBorders>
            <w:shd w:val="clear" w:color="auto" w:fill="D0D0D0"/>
            <w:noWrap/>
            <w:vAlign w:val="bottom"/>
            <w:hideMark/>
          </w:tcPr>
          <w:p w14:paraId="2A4A8DA9"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22" w:type="pct"/>
            <w:tcBorders>
              <w:top w:val="nil"/>
              <w:left w:val="nil"/>
              <w:bottom w:val="nil"/>
              <w:right w:val="nil"/>
            </w:tcBorders>
            <w:shd w:val="clear" w:color="auto" w:fill="FFE1E1"/>
            <w:noWrap/>
            <w:vAlign w:val="bottom"/>
            <w:hideMark/>
          </w:tcPr>
          <w:p w14:paraId="09294DD0"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 </w:t>
            </w:r>
          </w:p>
        </w:tc>
        <w:tc>
          <w:tcPr>
            <w:tcW w:w="659" w:type="pct"/>
            <w:tcBorders>
              <w:top w:val="nil"/>
              <w:left w:val="nil"/>
              <w:bottom w:val="nil"/>
              <w:right w:val="nil"/>
            </w:tcBorders>
            <w:shd w:val="clear" w:color="auto" w:fill="FFE1E1"/>
            <w:noWrap/>
            <w:vAlign w:val="bottom"/>
            <w:hideMark/>
          </w:tcPr>
          <w:p w14:paraId="109AC7A2"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 </w:t>
            </w:r>
          </w:p>
        </w:tc>
      </w:tr>
      <w:tr w:rsidR="00CA04BF" w:rsidRPr="00CA04BF" w14:paraId="7FB67CFC"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3C20F8AC" w14:textId="77777777" w:rsidR="00CA04BF" w:rsidRPr="00CA04BF" w:rsidRDefault="00CA04BF" w:rsidP="00CA04BF">
            <w:pPr>
              <w:spacing w:line="240" w:lineRule="auto"/>
              <w:jc w:val="left"/>
              <w:rPr>
                <w:rFonts w:ascii="Calibri" w:eastAsia="Times New Roman" w:hAnsi="Calibri" w:cs="Calibri"/>
                <w:lang w:eastAsia="en-GB"/>
              </w:rPr>
            </w:pPr>
            <w:r w:rsidRPr="00CA04BF">
              <w:rPr>
                <w:rFonts w:ascii="Calibri" w:eastAsia="Times New Roman" w:hAnsi="Calibri" w:cs="Calibri"/>
                <w:lang w:eastAsia="en-GB"/>
              </w:rPr>
              <w:t>Payments in Advance (Debtor)</w:t>
            </w:r>
          </w:p>
        </w:tc>
        <w:tc>
          <w:tcPr>
            <w:tcW w:w="625" w:type="pct"/>
            <w:tcBorders>
              <w:top w:val="nil"/>
              <w:left w:val="nil"/>
              <w:bottom w:val="nil"/>
              <w:right w:val="nil"/>
            </w:tcBorders>
            <w:shd w:val="clear" w:color="auto" w:fill="FFFFFF" w:themeFill="background1"/>
            <w:noWrap/>
            <w:vAlign w:val="bottom"/>
            <w:hideMark/>
          </w:tcPr>
          <w:p w14:paraId="57F0A763"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nil"/>
              <w:left w:val="nil"/>
              <w:bottom w:val="nil"/>
              <w:right w:val="nil"/>
            </w:tcBorders>
            <w:shd w:val="clear" w:color="auto" w:fill="FFFFFF" w:themeFill="background1"/>
            <w:noWrap/>
            <w:vAlign w:val="bottom"/>
            <w:hideMark/>
          </w:tcPr>
          <w:p w14:paraId="4652770D"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64AE11C0"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415</w:t>
            </w:r>
          </w:p>
        </w:tc>
        <w:tc>
          <w:tcPr>
            <w:tcW w:w="622" w:type="pct"/>
            <w:tcBorders>
              <w:top w:val="nil"/>
              <w:left w:val="nil"/>
              <w:bottom w:val="nil"/>
              <w:right w:val="nil"/>
            </w:tcBorders>
            <w:shd w:val="clear" w:color="auto" w:fill="FFE1E1"/>
            <w:vAlign w:val="bottom"/>
            <w:hideMark/>
          </w:tcPr>
          <w:p w14:paraId="04EBDF66"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59" w:type="pct"/>
            <w:tcBorders>
              <w:top w:val="nil"/>
              <w:left w:val="nil"/>
              <w:bottom w:val="nil"/>
              <w:right w:val="nil"/>
            </w:tcBorders>
            <w:shd w:val="clear" w:color="auto" w:fill="FFE1E1"/>
            <w:noWrap/>
            <w:vAlign w:val="bottom"/>
            <w:hideMark/>
          </w:tcPr>
          <w:p w14:paraId="67E60E10"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415</w:t>
            </w:r>
          </w:p>
        </w:tc>
      </w:tr>
      <w:tr w:rsidR="00CA04BF" w:rsidRPr="00CA04BF" w14:paraId="50A8EA67"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16E5D572" w14:textId="77777777" w:rsidR="00CA04BF" w:rsidRPr="00CA04BF" w:rsidRDefault="00CA04BF" w:rsidP="00CA04BF">
            <w:pPr>
              <w:spacing w:line="240" w:lineRule="auto"/>
              <w:jc w:val="left"/>
              <w:rPr>
                <w:rFonts w:ascii="Calibri" w:eastAsia="Times New Roman" w:hAnsi="Calibri" w:cs="Calibri"/>
                <w:lang w:eastAsia="en-GB"/>
              </w:rPr>
            </w:pPr>
            <w:r w:rsidRPr="00CA04BF">
              <w:rPr>
                <w:rFonts w:ascii="Calibri" w:eastAsia="Times New Roman" w:hAnsi="Calibri" w:cs="Calibri"/>
                <w:lang w:eastAsia="en-GB"/>
              </w:rPr>
              <w:t>Statutory obligations</w:t>
            </w:r>
          </w:p>
        </w:tc>
        <w:tc>
          <w:tcPr>
            <w:tcW w:w="625" w:type="pct"/>
            <w:tcBorders>
              <w:top w:val="nil"/>
              <w:left w:val="nil"/>
              <w:bottom w:val="nil"/>
              <w:right w:val="nil"/>
            </w:tcBorders>
            <w:shd w:val="clear" w:color="auto" w:fill="FFFFFF" w:themeFill="background1"/>
            <w:noWrap/>
            <w:vAlign w:val="bottom"/>
            <w:hideMark/>
          </w:tcPr>
          <w:p w14:paraId="0A3A40AC"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nil"/>
              <w:left w:val="nil"/>
              <w:bottom w:val="nil"/>
              <w:right w:val="nil"/>
            </w:tcBorders>
            <w:shd w:val="clear" w:color="auto" w:fill="FFFFFF" w:themeFill="background1"/>
            <w:noWrap/>
            <w:vAlign w:val="bottom"/>
            <w:hideMark/>
          </w:tcPr>
          <w:p w14:paraId="77CFBA2F"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772683A6"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4,290</w:t>
            </w:r>
          </w:p>
        </w:tc>
        <w:tc>
          <w:tcPr>
            <w:tcW w:w="622" w:type="pct"/>
            <w:tcBorders>
              <w:top w:val="nil"/>
              <w:left w:val="nil"/>
              <w:bottom w:val="nil"/>
              <w:right w:val="nil"/>
            </w:tcBorders>
            <w:shd w:val="clear" w:color="auto" w:fill="FFE1E1"/>
            <w:vAlign w:val="bottom"/>
            <w:hideMark/>
          </w:tcPr>
          <w:p w14:paraId="1B956AC6"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59" w:type="pct"/>
            <w:tcBorders>
              <w:top w:val="nil"/>
              <w:left w:val="nil"/>
              <w:bottom w:val="nil"/>
              <w:right w:val="nil"/>
            </w:tcBorders>
            <w:shd w:val="clear" w:color="auto" w:fill="FFE1E1"/>
            <w:noWrap/>
            <w:vAlign w:val="bottom"/>
            <w:hideMark/>
          </w:tcPr>
          <w:p w14:paraId="4E2DDDF5"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4,290</w:t>
            </w:r>
          </w:p>
        </w:tc>
      </w:tr>
      <w:tr w:rsidR="00CA04BF" w:rsidRPr="00CA04BF" w14:paraId="70CDAADE"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7B35488E" w14:textId="77777777" w:rsidR="00CA04BF" w:rsidRPr="00CA04BF" w:rsidRDefault="00CA04BF" w:rsidP="00CA04BF">
            <w:pPr>
              <w:spacing w:line="240" w:lineRule="auto"/>
              <w:jc w:val="left"/>
              <w:rPr>
                <w:rFonts w:ascii="Calibri" w:eastAsia="Times New Roman" w:hAnsi="Calibri" w:cs="Calibri"/>
                <w:lang w:eastAsia="en-GB"/>
              </w:rPr>
            </w:pPr>
            <w:r w:rsidRPr="00CA04BF">
              <w:rPr>
                <w:rFonts w:ascii="Calibri" w:eastAsia="Times New Roman" w:hAnsi="Calibri" w:cs="Calibri"/>
                <w:lang w:eastAsia="en-GB"/>
              </w:rPr>
              <w:t>Bad debt provision</w:t>
            </w:r>
          </w:p>
        </w:tc>
        <w:tc>
          <w:tcPr>
            <w:tcW w:w="625" w:type="pct"/>
            <w:tcBorders>
              <w:top w:val="nil"/>
              <w:left w:val="nil"/>
              <w:bottom w:val="nil"/>
              <w:right w:val="nil"/>
            </w:tcBorders>
            <w:shd w:val="clear" w:color="auto" w:fill="FFFFFF" w:themeFill="background1"/>
            <w:noWrap/>
            <w:vAlign w:val="bottom"/>
            <w:hideMark/>
          </w:tcPr>
          <w:p w14:paraId="462D794E"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nil"/>
              <w:left w:val="nil"/>
              <w:bottom w:val="nil"/>
              <w:right w:val="nil"/>
            </w:tcBorders>
            <w:shd w:val="clear" w:color="auto" w:fill="FFFFFF" w:themeFill="background1"/>
            <w:noWrap/>
            <w:vAlign w:val="bottom"/>
            <w:hideMark/>
          </w:tcPr>
          <w:p w14:paraId="599379C7"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09B3BC56"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(1,212)</w:t>
            </w:r>
          </w:p>
        </w:tc>
        <w:tc>
          <w:tcPr>
            <w:tcW w:w="622" w:type="pct"/>
            <w:tcBorders>
              <w:top w:val="nil"/>
              <w:left w:val="nil"/>
              <w:bottom w:val="nil"/>
              <w:right w:val="nil"/>
            </w:tcBorders>
            <w:shd w:val="clear" w:color="auto" w:fill="FFE1E1"/>
            <w:vAlign w:val="bottom"/>
            <w:hideMark/>
          </w:tcPr>
          <w:p w14:paraId="4F4CD814"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59" w:type="pct"/>
            <w:tcBorders>
              <w:top w:val="nil"/>
              <w:left w:val="nil"/>
              <w:bottom w:val="nil"/>
              <w:right w:val="nil"/>
            </w:tcBorders>
            <w:shd w:val="clear" w:color="auto" w:fill="FFE1E1"/>
            <w:noWrap/>
            <w:vAlign w:val="bottom"/>
            <w:hideMark/>
          </w:tcPr>
          <w:p w14:paraId="520A50E1"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(1,212)</w:t>
            </w:r>
          </w:p>
        </w:tc>
      </w:tr>
      <w:tr w:rsidR="00CA04BF" w:rsidRPr="00CA04BF" w14:paraId="7A0F62D2" w14:textId="77777777" w:rsidTr="148FF933">
        <w:trPr>
          <w:trHeight w:val="283"/>
        </w:trPr>
        <w:tc>
          <w:tcPr>
            <w:tcW w:w="1825" w:type="pct"/>
            <w:tcBorders>
              <w:top w:val="single" w:sz="4" w:space="0" w:color="auto"/>
              <w:left w:val="nil"/>
              <w:bottom w:val="single" w:sz="4" w:space="0" w:color="auto"/>
              <w:right w:val="nil"/>
            </w:tcBorders>
            <w:shd w:val="clear" w:color="auto" w:fill="FFFFFF" w:themeFill="background1"/>
            <w:vAlign w:val="bottom"/>
            <w:hideMark/>
          </w:tcPr>
          <w:p w14:paraId="1D20EC67" w14:textId="77777777" w:rsidR="00CA04BF" w:rsidRPr="00CA04BF" w:rsidRDefault="00CA04BF" w:rsidP="00CA04BF">
            <w:pPr>
              <w:spacing w:line="240" w:lineRule="auto"/>
              <w:jc w:val="left"/>
              <w:rPr>
                <w:rFonts w:ascii="Calibri" w:eastAsia="Times New Roman" w:hAnsi="Calibri" w:cs="Calibri"/>
                <w:b/>
                <w:bCs/>
                <w:lang w:eastAsia="en-GB"/>
              </w:rPr>
            </w:pPr>
            <w:r w:rsidRPr="00CA04BF">
              <w:rPr>
                <w:rFonts w:ascii="Calibri" w:eastAsia="Times New Roman" w:hAnsi="Calibri" w:cs="Calibri"/>
                <w:b/>
                <w:bCs/>
                <w:lang w:eastAsia="en-GB"/>
              </w:rPr>
              <w:t>Total Financial Assets</w:t>
            </w:r>
          </w:p>
        </w:tc>
        <w:tc>
          <w:tcPr>
            <w:tcW w:w="625" w:type="pct"/>
            <w:tcBorders>
              <w:top w:val="single" w:sz="4" w:space="0" w:color="auto"/>
              <w:left w:val="nil"/>
              <w:bottom w:val="single" w:sz="4" w:space="0" w:color="auto"/>
              <w:right w:val="nil"/>
            </w:tcBorders>
            <w:shd w:val="clear" w:color="auto" w:fill="FFFFFF" w:themeFill="background1"/>
            <w:noWrap/>
            <w:vAlign w:val="bottom"/>
            <w:hideMark/>
          </w:tcPr>
          <w:p w14:paraId="1319F8AC"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single" w:sz="4" w:space="0" w:color="auto"/>
              <w:left w:val="nil"/>
              <w:bottom w:val="single" w:sz="4" w:space="0" w:color="auto"/>
              <w:right w:val="nil"/>
            </w:tcBorders>
            <w:shd w:val="clear" w:color="auto" w:fill="FFFFFF" w:themeFill="background1"/>
            <w:noWrap/>
            <w:vAlign w:val="bottom"/>
            <w:hideMark/>
          </w:tcPr>
          <w:p w14:paraId="66659C60"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w:t>
            </w:r>
          </w:p>
        </w:tc>
        <w:tc>
          <w:tcPr>
            <w:tcW w:w="632" w:type="pct"/>
            <w:tcBorders>
              <w:top w:val="single" w:sz="4" w:space="0" w:color="auto"/>
              <w:left w:val="nil"/>
              <w:bottom w:val="single" w:sz="4" w:space="0" w:color="auto"/>
              <w:right w:val="nil"/>
            </w:tcBorders>
            <w:shd w:val="clear" w:color="auto" w:fill="D0D0D0"/>
            <w:noWrap/>
            <w:vAlign w:val="bottom"/>
            <w:hideMark/>
          </w:tcPr>
          <w:p w14:paraId="632CEA10" w14:textId="77777777" w:rsidR="00CA04BF" w:rsidRPr="00CA04BF" w:rsidRDefault="00CA04BF" w:rsidP="00CA04BF">
            <w:pPr>
              <w:spacing w:line="240" w:lineRule="auto"/>
              <w:jc w:val="right"/>
              <w:rPr>
                <w:rFonts w:ascii="Calibri" w:eastAsia="Times New Roman" w:hAnsi="Calibri" w:cs="Calibri"/>
                <w:b/>
                <w:bCs/>
                <w:color w:val="000000"/>
                <w:lang w:eastAsia="en-GB"/>
              </w:rPr>
            </w:pPr>
            <w:r w:rsidRPr="00CA04BF">
              <w:rPr>
                <w:rFonts w:ascii="Calibri" w:eastAsia="Times New Roman" w:hAnsi="Calibri" w:cs="Calibri"/>
                <w:b/>
                <w:bCs/>
                <w:color w:val="000000"/>
                <w:lang w:eastAsia="en-GB"/>
              </w:rPr>
              <w:t>3,494</w:t>
            </w:r>
          </w:p>
        </w:tc>
        <w:tc>
          <w:tcPr>
            <w:tcW w:w="622" w:type="pct"/>
            <w:tcBorders>
              <w:top w:val="single" w:sz="4" w:space="0" w:color="auto"/>
              <w:left w:val="nil"/>
              <w:bottom w:val="single" w:sz="4" w:space="0" w:color="auto"/>
              <w:right w:val="nil"/>
            </w:tcBorders>
            <w:shd w:val="clear" w:color="auto" w:fill="FFE1E1"/>
            <w:noWrap/>
            <w:vAlign w:val="bottom"/>
            <w:hideMark/>
          </w:tcPr>
          <w:p w14:paraId="4D1C43D3"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w:t>
            </w:r>
          </w:p>
        </w:tc>
        <w:tc>
          <w:tcPr>
            <w:tcW w:w="659" w:type="pct"/>
            <w:tcBorders>
              <w:top w:val="single" w:sz="4" w:space="0" w:color="auto"/>
              <w:left w:val="nil"/>
              <w:bottom w:val="single" w:sz="4" w:space="0" w:color="auto"/>
              <w:right w:val="nil"/>
            </w:tcBorders>
            <w:shd w:val="clear" w:color="auto" w:fill="FFE1E1"/>
            <w:noWrap/>
            <w:vAlign w:val="bottom"/>
            <w:hideMark/>
          </w:tcPr>
          <w:p w14:paraId="5062D197"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3,494</w:t>
            </w:r>
          </w:p>
        </w:tc>
      </w:tr>
      <w:tr w:rsidR="00CA04BF" w:rsidRPr="00CA04BF" w14:paraId="329EF7FD"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3B4F11BE" w14:textId="77777777" w:rsidR="00CA04BF" w:rsidRPr="00CA04BF" w:rsidRDefault="00CA04BF" w:rsidP="00CA04BF">
            <w:pPr>
              <w:spacing w:line="240" w:lineRule="auto"/>
              <w:jc w:val="left"/>
              <w:rPr>
                <w:rFonts w:ascii="Calibri" w:eastAsia="Times New Roman" w:hAnsi="Calibri" w:cs="Calibri"/>
                <w:b/>
                <w:bCs/>
                <w:lang w:eastAsia="en-GB"/>
              </w:rPr>
            </w:pPr>
            <w:r w:rsidRPr="00CA04BF">
              <w:rPr>
                <w:rFonts w:ascii="Calibri" w:eastAsia="Times New Roman" w:hAnsi="Calibri" w:cs="Calibri"/>
                <w:b/>
                <w:bCs/>
                <w:lang w:eastAsia="en-GB"/>
              </w:rPr>
              <w:t>Financial liabilities at amortised cost</w:t>
            </w:r>
          </w:p>
        </w:tc>
        <w:tc>
          <w:tcPr>
            <w:tcW w:w="625" w:type="pct"/>
            <w:tcBorders>
              <w:top w:val="nil"/>
              <w:left w:val="nil"/>
              <w:bottom w:val="nil"/>
              <w:right w:val="nil"/>
            </w:tcBorders>
            <w:shd w:val="clear" w:color="auto" w:fill="FFFFFF" w:themeFill="background1"/>
            <w:noWrap/>
            <w:vAlign w:val="bottom"/>
            <w:hideMark/>
          </w:tcPr>
          <w:p w14:paraId="63687ED0"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37" w:type="pct"/>
            <w:tcBorders>
              <w:top w:val="nil"/>
              <w:left w:val="nil"/>
              <w:bottom w:val="nil"/>
              <w:right w:val="nil"/>
            </w:tcBorders>
            <w:shd w:val="clear" w:color="auto" w:fill="FFFFFF" w:themeFill="background1"/>
            <w:noWrap/>
            <w:vAlign w:val="bottom"/>
            <w:hideMark/>
          </w:tcPr>
          <w:p w14:paraId="3AD5D4C5"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32" w:type="pct"/>
            <w:tcBorders>
              <w:top w:val="nil"/>
              <w:left w:val="nil"/>
              <w:bottom w:val="nil"/>
              <w:right w:val="nil"/>
            </w:tcBorders>
            <w:shd w:val="clear" w:color="auto" w:fill="D0D0D0"/>
            <w:noWrap/>
            <w:vAlign w:val="bottom"/>
            <w:hideMark/>
          </w:tcPr>
          <w:p w14:paraId="38504FED"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22" w:type="pct"/>
            <w:tcBorders>
              <w:top w:val="nil"/>
              <w:left w:val="nil"/>
              <w:bottom w:val="nil"/>
              <w:right w:val="nil"/>
            </w:tcBorders>
            <w:shd w:val="clear" w:color="auto" w:fill="FFE1E1"/>
            <w:vAlign w:val="bottom"/>
            <w:hideMark/>
          </w:tcPr>
          <w:p w14:paraId="7C170013"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 </w:t>
            </w:r>
          </w:p>
        </w:tc>
        <w:tc>
          <w:tcPr>
            <w:tcW w:w="659" w:type="pct"/>
            <w:tcBorders>
              <w:top w:val="nil"/>
              <w:left w:val="nil"/>
              <w:bottom w:val="nil"/>
              <w:right w:val="nil"/>
            </w:tcBorders>
            <w:shd w:val="clear" w:color="auto" w:fill="FFE1E1"/>
            <w:vAlign w:val="bottom"/>
            <w:hideMark/>
          </w:tcPr>
          <w:p w14:paraId="196AD5F6"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 </w:t>
            </w:r>
          </w:p>
        </w:tc>
      </w:tr>
      <w:tr w:rsidR="00CA04BF" w:rsidRPr="00CA04BF" w14:paraId="1CA10FD2"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179C728A" w14:textId="77777777" w:rsidR="00CA04BF" w:rsidRPr="00CA04BF" w:rsidRDefault="00CA04BF" w:rsidP="00CA04BF">
            <w:pPr>
              <w:spacing w:line="240" w:lineRule="auto"/>
              <w:jc w:val="left"/>
              <w:rPr>
                <w:rFonts w:ascii="Calibri" w:eastAsia="Times New Roman" w:hAnsi="Calibri" w:cs="Calibri"/>
                <w:lang w:eastAsia="en-GB"/>
              </w:rPr>
            </w:pPr>
            <w:r w:rsidRPr="00CA04BF">
              <w:rPr>
                <w:rFonts w:ascii="Calibri" w:eastAsia="Times New Roman" w:hAnsi="Calibri" w:cs="Calibri"/>
                <w:lang w:eastAsia="en-GB"/>
              </w:rPr>
              <w:t>Receipts in Advance (Creditor)</w:t>
            </w:r>
          </w:p>
        </w:tc>
        <w:tc>
          <w:tcPr>
            <w:tcW w:w="625" w:type="pct"/>
            <w:tcBorders>
              <w:top w:val="nil"/>
              <w:left w:val="nil"/>
              <w:bottom w:val="nil"/>
              <w:right w:val="nil"/>
            </w:tcBorders>
            <w:shd w:val="clear" w:color="auto" w:fill="FFFFFF" w:themeFill="background1"/>
            <w:noWrap/>
            <w:vAlign w:val="bottom"/>
            <w:hideMark/>
          </w:tcPr>
          <w:p w14:paraId="67E2D280"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nil"/>
              <w:left w:val="nil"/>
              <w:bottom w:val="nil"/>
              <w:right w:val="nil"/>
            </w:tcBorders>
            <w:shd w:val="clear" w:color="auto" w:fill="FFFFFF" w:themeFill="background1"/>
            <w:noWrap/>
            <w:vAlign w:val="bottom"/>
            <w:hideMark/>
          </w:tcPr>
          <w:p w14:paraId="03B26573"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6DEAA44C"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(954)</w:t>
            </w:r>
          </w:p>
        </w:tc>
        <w:tc>
          <w:tcPr>
            <w:tcW w:w="622" w:type="pct"/>
            <w:tcBorders>
              <w:top w:val="nil"/>
              <w:left w:val="nil"/>
              <w:bottom w:val="nil"/>
              <w:right w:val="nil"/>
            </w:tcBorders>
            <w:shd w:val="clear" w:color="auto" w:fill="FFE1E1"/>
            <w:vAlign w:val="bottom"/>
            <w:hideMark/>
          </w:tcPr>
          <w:p w14:paraId="5DADE84D"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59" w:type="pct"/>
            <w:tcBorders>
              <w:top w:val="nil"/>
              <w:left w:val="nil"/>
              <w:bottom w:val="nil"/>
              <w:right w:val="nil"/>
            </w:tcBorders>
            <w:shd w:val="clear" w:color="auto" w:fill="FFE1E1"/>
            <w:vAlign w:val="bottom"/>
            <w:hideMark/>
          </w:tcPr>
          <w:p w14:paraId="73B5B301"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(954)</w:t>
            </w:r>
          </w:p>
        </w:tc>
      </w:tr>
      <w:tr w:rsidR="00CA04BF" w:rsidRPr="00CA04BF" w14:paraId="0092FF24" w14:textId="77777777" w:rsidTr="148FF933">
        <w:trPr>
          <w:trHeight w:val="283"/>
        </w:trPr>
        <w:tc>
          <w:tcPr>
            <w:tcW w:w="1825" w:type="pct"/>
            <w:tcBorders>
              <w:top w:val="nil"/>
              <w:left w:val="nil"/>
              <w:bottom w:val="nil"/>
              <w:right w:val="nil"/>
            </w:tcBorders>
            <w:shd w:val="clear" w:color="auto" w:fill="FFFFFF" w:themeFill="background1"/>
            <w:vAlign w:val="bottom"/>
            <w:hideMark/>
          </w:tcPr>
          <w:p w14:paraId="69E8B8D6" w14:textId="77777777" w:rsidR="00CA04BF" w:rsidRPr="00CA04BF" w:rsidRDefault="00CA04BF" w:rsidP="00CA04BF">
            <w:pPr>
              <w:spacing w:line="240" w:lineRule="auto"/>
              <w:jc w:val="left"/>
              <w:rPr>
                <w:rFonts w:ascii="Calibri" w:eastAsia="Times New Roman" w:hAnsi="Calibri" w:cs="Calibri"/>
                <w:lang w:eastAsia="en-GB"/>
              </w:rPr>
            </w:pPr>
            <w:r w:rsidRPr="00CA04BF">
              <w:rPr>
                <w:rFonts w:ascii="Calibri" w:eastAsia="Times New Roman" w:hAnsi="Calibri" w:cs="Calibri"/>
                <w:lang w:eastAsia="en-GB"/>
              </w:rPr>
              <w:t>Statutory obligations</w:t>
            </w:r>
          </w:p>
        </w:tc>
        <w:tc>
          <w:tcPr>
            <w:tcW w:w="625" w:type="pct"/>
            <w:tcBorders>
              <w:top w:val="nil"/>
              <w:left w:val="nil"/>
              <w:bottom w:val="nil"/>
              <w:right w:val="nil"/>
            </w:tcBorders>
            <w:shd w:val="clear" w:color="auto" w:fill="FFFFFF" w:themeFill="background1"/>
            <w:noWrap/>
            <w:vAlign w:val="bottom"/>
            <w:hideMark/>
          </w:tcPr>
          <w:p w14:paraId="2007E9DF"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7" w:type="pct"/>
            <w:tcBorders>
              <w:top w:val="nil"/>
              <w:left w:val="nil"/>
              <w:bottom w:val="nil"/>
              <w:right w:val="nil"/>
            </w:tcBorders>
            <w:shd w:val="clear" w:color="auto" w:fill="FFFFFF" w:themeFill="background1"/>
            <w:noWrap/>
            <w:vAlign w:val="bottom"/>
            <w:hideMark/>
          </w:tcPr>
          <w:p w14:paraId="6AA3DAB7"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w:t>
            </w:r>
          </w:p>
        </w:tc>
        <w:tc>
          <w:tcPr>
            <w:tcW w:w="632" w:type="pct"/>
            <w:tcBorders>
              <w:top w:val="nil"/>
              <w:left w:val="nil"/>
              <w:bottom w:val="nil"/>
              <w:right w:val="nil"/>
            </w:tcBorders>
            <w:shd w:val="clear" w:color="auto" w:fill="D0D0D0"/>
            <w:noWrap/>
            <w:vAlign w:val="bottom"/>
            <w:hideMark/>
          </w:tcPr>
          <w:p w14:paraId="2B0A7BFE" w14:textId="0F976386" w:rsidR="00CA04BF" w:rsidRPr="00CA04BF" w:rsidRDefault="6A69B4BF" w:rsidP="00CA04BF">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w:t>
            </w:r>
            <w:r w:rsidR="4D7070EB" w:rsidRPr="148FF933">
              <w:rPr>
                <w:rFonts w:ascii="Calibri" w:eastAsia="Times New Roman" w:hAnsi="Calibri" w:cs="Calibri"/>
                <w:color w:val="000000" w:themeColor="text1"/>
                <w:lang w:eastAsia="en-GB"/>
              </w:rPr>
              <w:t>20</w:t>
            </w:r>
            <w:r w:rsidRPr="148FF933">
              <w:rPr>
                <w:rFonts w:ascii="Calibri" w:eastAsia="Times New Roman" w:hAnsi="Calibri" w:cs="Calibri"/>
                <w:color w:val="000000" w:themeColor="text1"/>
                <w:lang w:eastAsia="en-GB"/>
              </w:rPr>
              <w:t>)</w:t>
            </w:r>
          </w:p>
        </w:tc>
        <w:tc>
          <w:tcPr>
            <w:tcW w:w="622" w:type="pct"/>
            <w:tcBorders>
              <w:top w:val="nil"/>
              <w:left w:val="nil"/>
              <w:bottom w:val="nil"/>
              <w:right w:val="nil"/>
            </w:tcBorders>
            <w:shd w:val="clear" w:color="auto" w:fill="FFE1E1"/>
            <w:vAlign w:val="bottom"/>
            <w:hideMark/>
          </w:tcPr>
          <w:p w14:paraId="4C438D20" w14:textId="77777777" w:rsidR="00CA04BF" w:rsidRPr="00CA04BF" w:rsidRDefault="00CA04BF" w:rsidP="00CA04BF">
            <w:pPr>
              <w:spacing w:line="240" w:lineRule="auto"/>
              <w:jc w:val="right"/>
              <w:rPr>
                <w:rFonts w:ascii="Calibri" w:eastAsia="Times New Roman" w:hAnsi="Calibri" w:cs="Calibri"/>
                <w:color w:val="000000"/>
                <w:lang w:eastAsia="en-GB"/>
              </w:rPr>
            </w:pPr>
            <w:r w:rsidRPr="00CA04BF">
              <w:rPr>
                <w:rFonts w:ascii="Calibri" w:eastAsia="Times New Roman" w:hAnsi="Calibri" w:cs="Calibri"/>
                <w:color w:val="000000"/>
                <w:lang w:eastAsia="en-GB"/>
              </w:rPr>
              <w:t> </w:t>
            </w:r>
          </w:p>
        </w:tc>
        <w:tc>
          <w:tcPr>
            <w:tcW w:w="659" w:type="pct"/>
            <w:tcBorders>
              <w:top w:val="nil"/>
              <w:left w:val="nil"/>
              <w:bottom w:val="nil"/>
              <w:right w:val="nil"/>
            </w:tcBorders>
            <w:shd w:val="clear" w:color="auto" w:fill="FFE1E1"/>
            <w:vAlign w:val="bottom"/>
            <w:hideMark/>
          </w:tcPr>
          <w:p w14:paraId="5689D3E6" w14:textId="6F818CCD" w:rsidR="00CA04BF" w:rsidRPr="00CA04BF" w:rsidRDefault="6A69B4BF" w:rsidP="00CA04BF">
            <w:pPr>
              <w:spacing w:line="240" w:lineRule="auto"/>
              <w:jc w:val="right"/>
              <w:rPr>
                <w:rFonts w:ascii="Calibri" w:eastAsia="Times New Roman" w:hAnsi="Calibri" w:cs="Calibri"/>
                <w:color w:val="000000"/>
                <w:lang w:eastAsia="en-GB"/>
              </w:rPr>
            </w:pPr>
            <w:r w:rsidRPr="148FF933">
              <w:rPr>
                <w:rFonts w:ascii="Calibri" w:eastAsia="Times New Roman" w:hAnsi="Calibri" w:cs="Calibri"/>
                <w:color w:val="000000" w:themeColor="text1"/>
                <w:lang w:eastAsia="en-GB"/>
              </w:rPr>
              <w:t>(</w:t>
            </w:r>
            <w:r w:rsidR="00FBFE24" w:rsidRPr="148FF933">
              <w:rPr>
                <w:rFonts w:ascii="Calibri" w:eastAsia="Times New Roman" w:hAnsi="Calibri" w:cs="Calibri"/>
                <w:color w:val="000000" w:themeColor="text1"/>
                <w:lang w:eastAsia="en-GB"/>
              </w:rPr>
              <w:t>20</w:t>
            </w:r>
            <w:r w:rsidRPr="148FF933">
              <w:rPr>
                <w:rFonts w:ascii="Calibri" w:eastAsia="Times New Roman" w:hAnsi="Calibri" w:cs="Calibri"/>
                <w:color w:val="000000" w:themeColor="text1"/>
                <w:lang w:eastAsia="en-GB"/>
              </w:rPr>
              <w:t>)</w:t>
            </w:r>
          </w:p>
        </w:tc>
      </w:tr>
      <w:tr w:rsidR="00CA04BF" w:rsidRPr="00CA04BF" w14:paraId="3B737ECF" w14:textId="77777777" w:rsidTr="148FF933">
        <w:trPr>
          <w:trHeight w:val="283"/>
        </w:trPr>
        <w:tc>
          <w:tcPr>
            <w:tcW w:w="1825" w:type="pct"/>
            <w:tcBorders>
              <w:top w:val="single" w:sz="4" w:space="0" w:color="auto"/>
              <w:left w:val="nil"/>
              <w:bottom w:val="single" w:sz="4" w:space="0" w:color="auto"/>
              <w:right w:val="nil"/>
            </w:tcBorders>
            <w:shd w:val="clear" w:color="auto" w:fill="FFFFFF" w:themeFill="background1"/>
            <w:vAlign w:val="bottom"/>
            <w:hideMark/>
          </w:tcPr>
          <w:p w14:paraId="2252C0BA" w14:textId="77777777" w:rsidR="00CA04BF" w:rsidRPr="00CA04BF" w:rsidRDefault="00CA04BF" w:rsidP="00CA04BF">
            <w:pPr>
              <w:spacing w:line="240" w:lineRule="auto"/>
              <w:jc w:val="left"/>
              <w:rPr>
                <w:rFonts w:ascii="Calibri" w:eastAsia="Times New Roman" w:hAnsi="Calibri" w:cs="Calibri"/>
                <w:b/>
                <w:bCs/>
                <w:lang w:eastAsia="en-GB"/>
              </w:rPr>
            </w:pPr>
            <w:r w:rsidRPr="00CA04BF">
              <w:rPr>
                <w:rFonts w:ascii="Calibri" w:eastAsia="Times New Roman" w:hAnsi="Calibri" w:cs="Calibri"/>
                <w:b/>
                <w:bCs/>
                <w:lang w:eastAsia="en-GB"/>
              </w:rPr>
              <w:t>Total Financial Liabilities</w:t>
            </w:r>
          </w:p>
        </w:tc>
        <w:tc>
          <w:tcPr>
            <w:tcW w:w="625" w:type="pct"/>
            <w:tcBorders>
              <w:top w:val="single" w:sz="4" w:space="0" w:color="auto"/>
              <w:left w:val="nil"/>
              <w:bottom w:val="single" w:sz="4" w:space="0" w:color="auto"/>
              <w:right w:val="nil"/>
            </w:tcBorders>
            <w:shd w:val="clear" w:color="auto" w:fill="FFFFFF" w:themeFill="background1"/>
            <w:noWrap/>
            <w:vAlign w:val="bottom"/>
            <w:hideMark/>
          </w:tcPr>
          <w:p w14:paraId="5BB85F56"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w:t>
            </w:r>
          </w:p>
        </w:tc>
        <w:tc>
          <w:tcPr>
            <w:tcW w:w="637" w:type="pct"/>
            <w:tcBorders>
              <w:top w:val="single" w:sz="4" w:space="0" w:color="auto"/>
              <w:left w:val="nil"/>
              <w:bottom w:val="single" w:sz="4" w:space="0" w:color="auto"/>
              <w:right w:val="nil"/>
            </w:tcBorders>
            <w:shd w:val="clear" w:color="auto" w:fill="FFFFFF" w:themeFill="background1"/>
            <w:noWrap/>
            <w:vAlign w:val="bottom"/>
            <w:hideMark/>
          </w:tcPr>
          <w:p w14:paraId="4B2E3B53"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w:t>
            </w:r>
          </w:p>
        </w:tc>
        <w:tc>
          <w:tcPr>
            <w:tcW w:w="632" w:type="pct"/>
            <w:tcBorders>
              <w:top w:val="single" w:sz="4" w:space="0" w:color="auto"/>
              <w:left w:val="nil"/>
              <w:bottom w:val="single" w:sz="4" w:space="0" w:color="auto"/>
              <w:right w:val="nil"/>
            </w:tcBorders>
            <w:shd w:val="clear" w:color="auto" w:fill="D0D0D0"/>
            <w:noWrap/>
            <w:vAlign w:val="bottom"/>
            <w:hideMark/>
          </w:tcPr>
          <w:p w14:paraId="47A6AF7A" w14:textId="7B1C6603" w:rsidR="00CA04BF" w:rsidRPr="00CA04BF" w:rsidRDefault="6A69B4BF" w:rsidP="00CA04BF">
            <w:pPr>
              <w:spacing w:line="240" w:lineRule="auto"/>
              <w:jc w:val="right"/>
              <w:rPr>
                <w:rFonts w:ascii="Calibri" w:eastAsia="Times New Roman" w:hAnsi="Calibri" w:cs="Calibri"/>
                <w:b/>
                <w:bCs/>
                <w:color w:val="000000"/>
                <w:lang w:eastAsia="en-GB"/>
              </w:rPr>
            </w:pPr>
            <w:r w:rsidRPr="148FF933">
              <w:rPr>
                <w:rFonts w:ascii="Calibri" w:eastAsia="Times New Roman" w:hAnsi="Calibri" w:cs="Calibri"/>
                <w:b/>
                <w:bCs/>
                <w:color w:val="000000" w:themeColor="text1"/>
                <w:lang w:eastAsia="en-GB"/>
              </w:rPr>
              <w:t>(</w:t>
            </w:r>
            <w:r w:rsidR="384A6335" w:rsidRPr="148FF933">
              <w:rPr>
                <w:rFonts w:ascii="Calibri" w:eastAsia="Times New Roman" w:hAnsi="Calibri" w:cs="Calibri"/>
                <w:b/>
                <w:bCs/>
                <w:color w:val="000000" w:themeColor="text1"/>
                <w:lang w:eastAsia="en-GB"/>
              </w:rPr>
              <w:t>974</w:t>
            </w:r>
            <w:r w:rsidRPr="148FF933">
              <w:rPr>
                <w:rFonts w:ascii="Calibri" w:eastAsia="Times New Roman" w:hAnsi="Calibri" w:cs="Calibri"/>
                <w:b/>
                <w:bCs/>
                <w:color w:val="000000" w:themeColor="text1"/>
                <w:lang w:eastAsia="en-GB"/>
              </w:rPr>
              <w:t>)</w:t>
            </w:r>
          </w:p>
        </w:tc>
        <w:tc>
          <w:tcPr>
            <w:tcW w:w="622" w:type="pct"/>
            <w:tcBorders>
              <w:top w:val="single" w:sz="4" w:space="0" w:color="auto"/>
              <w:left w:val="nil"/>
              <w:bottom w:val="single" w:sz="4" w:space="0" w:color="auto"/>
              <w:right w:val="nil"/>
            </w:tcBorders>
            <w:shd w:val="clear" w:color="auto" w:fill="FFE1E1"/>
            <w:noWrap/>
            <w:vAlign w:val="bottom"/>
            <w:hideMark/>
          </w:tcPr>
          <w:p w14:paraId="60A6AA5E" w14:textId="77777777" w:rsidR="00CA04BF" w:rsidRPr="00CA04BF" w:rsidRDefault="00CA04BF" w:rsidP="00CA04BF">
            <w:pPr>
              <w:spacing w:line="240" w:lineRule="auto"/>
              <w:jc w:val="right"/>
              <w:rPr>
                <w:rFonts w:ascii="Calibri" w:eastAsia="Times New Roman" w:hAnsi="Calibri" w:cs="Calibri"/>
                <w:b/>
                <w:bCs/>
                <w:lang w:eastAsia="en-GB"/>
              </w:rPr>
            </w:pPr>
            <w:r w:rsidRPr="00CA04BF">
              <w:rPr>
                <w:rFonts w:ascii="Calibri" w:eastAsia="Times New Roman" w:hAnsi="Calibri" w:cs="Calibri"/>
                <w:b/>
                <w:bCs/>
                <w:lang w:eastAsia="en-GB"/>
              </w:rPr>
              <w:t>-</w:t>
            </w:r>
          </w:p>
        </w:tc>
        <w:tc>
          <w:tcPr>
            <w:tcW w:w="659" w:type="pct"/>
            <w:tcBorders>
              <w:top w:val="single" w:sz="4" w:space="0" w:color="auto"/>
              <w:left w:val="nil"/>
              <w:bottom w:val="single" w:sz="4" w:space="0" w:color="auto"/>
              <w:right w:val="nil"/>
            </w:tcBorders>
            <w:shd w:val="clear" w:color="auto" w:fill="FFE1E1"/>
            <w:noWrap/>
            <w:vAlign w:val="bottom"/>
            <w:hideMark/>
          </w:tcPr>
          <w:p w14:paraId="74E2CA30" w14:textId="5DD41686" w:rsidR="00CA04BF" w:rsidRPr="00CA04BF" w:rsidRDefault="6A69B4BF" w:rsidP="00CA04BF">
            <w:pPr>
              <w:spacing w:line="240" w:lineRule="auto"/>
              <w:jc w:val="right"/>
              <w:rPr>
                <w:rFonts w:ascii="Calibri" w:eastAsia="Times New Roman" w:hAnsi="Calibri" w:cs="Calibri"/>
                <w:b/>
                <w:bCs/>
                <w:color w:val="000000"/>
                <w:lang w:eastAsia="en-GB"/>
              </w:rPr>
            </w:pPr>
            <w:r w:rsidRPr="148FF933">
              <w:rPr>
                <w:rFonts w:ascii="Calibri" w:eastAsia="Times New Roman" w:hAnsi="Calibri" w:cs="Calibri"/>
                <w:b/>
                <w:bCs/>
                <w:color w:val="000000" w:themeColor="text1"/>
                <w:lang w:eastAsia="en-GB"/>
              </w:rPr>
              <w:t>(</w:t>
            </w:r>
            <w:r w:rsidR="1AB213A1" w:rsidRPr="148FF933">
              <w:rPr>
                <w:rFonts w:ascii="Calibri" w:eastAsia="Times New Roman" w:hAnsi="Calibri" w:cs="Calibri"/>
                <w:b/>
                <w:bCs/>
                <w:color w:val="000000" w:themeColor="text1"/>
                <w:lang w:eastAsia="en-GB"/>
              </w:rPr>
              <w:t>974</w:t>
            </w:r>
            <w:r w:rsidRPr="148FF933">
              <w:rPr>
                <w:rFonts w:ascii="Calibri" w:eastAsia="Times New Roman" w:hAnsi="Calibri" w:cs="Calibri"/>
                <w:b/>
                <w:bCs/>
                <w:color w:val="000000" w:themeColor="text1"/>
                <w:lang w:eastAsia="en-GB"/>
              </w:rPr>
              <w:t>)</w:t>
            </w:r>
          </w:p>
        </w:tc>
      </w:tr>
    </w:tbl>
    <w:p w14:paraId="77410E42" w14:textId="77777777" w:rsidR="00F257E6" w:rsidRDefault="00F257E6" w:rsidP="002A1ADD">
      <w:pPr>
        <w:pStyle w:val="VAHeadingLevel2"/>
      </w:pPr>
    </w:p>
    <w:p w14:paraId="3DCDE7D0" w14:textId="643EA5E9" w:rsidR="008F7867" w:rsidRDefault="008F7867" w:rsidP="008F7867">
      <w:r>
        <w:t>There was no impact on any other financial statements or notes to the accounts.</w:t>
      </w:r>
    </w:p>
    <w:p w14:paraId="2177F1CD" w14:textId="07A47C00" w:rsidR="5A995008" w:rsidRPr="00FE0EEB" w:rsidRDefault="5A995008">
      <w:pPr>
        <w:rPr>
          <w:b/>
        </w:rPr>
      </w:pPr>
    </w:p>
    <w:p w14:paraId="32A34511" w14:textId="6241D0CB" w:rsidR="54363F31" w:rsidRPr="00FE0EEB" w:rsidRDefault="54363F31" w:rsidP="5A995008">
      <w:pPr>
        <w:rPr>
          <w:b/>
          <w:u w:val="single"/>
        </w:rPr>
      </w:pPr>
      <w:r w:rsidRPr="00FE0EEB">
        <w:rPr>
          <w:b/>
          <w:u w:val="single"/>
        </w:rPr>
        <w:t>Cash flow statement</w:t>
      </w:r>
    </w:p>
    <w:p w14:paraId="1667BF4F" w14:textId="5763CE5B" w:rsidR="54363F31" w:rsidRDefault="54363F31" w:rsidP="5A995008">
      <w:pPr>
        <w:rPr>
          <w:u w:val="single"/>
        </w:rPr>
      </w:pPr>
      <w:r>
        <w:t xml:space="preserve">Prior year figures have been restated to present the information on a more detailed basis. In previous periods, certain balances were aggregated and therefore not reported </w:t>
      </w:r>
      <w:r w:rsidR="35DD37B7">
        <w:t>separately</w:t>
      </w:r>
      <w:r>
        <w:t>. The restatement reflects a revised presentation that dis</w:t>
      </w:r>
      <w:r w:rsidR="5BF63768">
        <w:t>aggregates these items to provide greater transparency and comparability with the current year’s disclosures.</w:t>
      </w:r>
    </w:p>
    <w:p w14:paraId="252D00C8" w14:textId="54352842" w:rsidR="5A995008" w:rsidRDefault="5A995008"/>
    <w:p w14:paraId="701A6FCD" w14:textId="09E3A5E5" w:rsidR="12F73B35" w:rsidRDefault="12F73B35">
      <w:r>
        <w:t>Extract from 23-24 cash flow statement:</w:t>
      </w:r>
    </w:p>
    <w:tbl>
      <w:tblPr>
        <w:tblW w:w="0" w:type="auto"/>
        <w:tblLook w:val="04A0" w:firstRow="1" w:lastRow="0" w:firstColumn="1" w:lastColumn="0" w:noHBand="0" w:noVBand="1"/>
      </w:tblPr>
      <w:tblGrid>
        <w:gridCol w:w="1592"/>
        <w:gridCol w:w="6758"/>
        <w:gridCol w:w="307"/>
        <w:gridCol w:w="1708"/>
      </w:tblGrid>
      <w:tr w:rsidR="5A995008" w14:paraId="4134DA4E" w14:textId="77777777" w:rsidTr="31A96136">
        <w:trPr>
          <w:trHeight w:val="390"/>
        </w:trPr>
        <w:tc>
          <w:tcPr>
            <w:tcW w:w="1592" w:type="dxa"/>
            <w:shd w:val="clear" w:color="auto" w:fill="FFFFFF" w:themeFill="background1"/>
            <w:tcMar>
              <w:left w:w="108" w:type="dxa"/>
              <w:right w:w="108" w:type="dxa"/>
            </w:tcMar>
            <w:vAlign w:val="bottom"/>
          </w:tcPr>
          <w:p w14:paraId="0083BB62" w14:textId="1AAB6C8D" w:rsidR="5A995008" w:rsidRDefault="5A995008" w:rsidP="5A995008">
            <w:pPr>
              <w:jc w:val="right"/>
            </w:pPr>
            <w:r w:rsidRPr="5A995008">
              <w:rPr>
                <w:rFonts w:ascii="Calibri" w:eastAsia="Calibri" w:hAnsi="Calibri" w:cs="Calibri"/>
                <w:color w:val="000000" w:themeColor="text1"/>
              </w:rPr>
              <w:t>19</w:t>
            </w:r>
          </w:p>
        </w:tc>
        <w:tc>
          <w:tcPr>
            <w:tcW w:w="6758" w:type="dxa"/>
            <w:shd w:val="clear" w:color="auto" w:fill="FFFFFF" w:themeFill="background1"/>
            <w:tcMar>
              <w:left w:w="108" w:type="dxa"/>
              <w:right w:w="108" w:type="dxa"/>
            </w:tcMar>
            <w:vAlign w:val="bottom"/>
          </w:tcPr>
          <w:p w14:paraId="1F4AFBB5" w14:textId="0E6A9B49" w:rsidR="5A995008" w:rsidRDefault="5A995008" w:rsidP="5A995008">
            <w:pPr>
              <w:jc w:val="left"/>
            </w:pPr>
            <w:r w:rsidRPr="5A995008">
              <w:rPr>
                <w:rFonts w:ascii="Calibri" w:eastAsia="Calibri" w:hAnsi="Calibri" w:cs="Calibri"/>
                <w:color w:val="000000" w:themeColor="text1"/>
              </w:rPr>
              <w:t>Proceeds from Sale of Assets</w:t>
            </w:r>
          </w:p>
        </w:tc>
        <w:tc>
          <w:tcPr>
            <w:tcW w:w="307" w:type="dxa"/>
            <w:shd w:val="clear" w:color="auto" w:fill="FFFFFF" w:themeFill="background1"/>
            <w:tcMar>
              <w:left w:w="108" w:type="dxa"/>
              <w:right w:w="108" w:type="dxa"/>
            </w:tcMar>
            <w:vAlign w:val="bottom"/>
          </w:tcPr>
          <w:p w14:paraId="2BD5CA5E" w14:textId="0EDAE590" w:rsidR="5A995008" w:rsidRDefault="5A995008" w:rsidP="5A995008">
            <w:pPr>
              <w:jc w:val="left"/>
            </w:pPr>
            <w:r w:rsidRPr="5A995008">
              <w:rPr>
                <w:rFonts w:ascii="Calibri" w:eastAsia="Calibri" w:hAnsi="Calibri" w:cs="Calibri"/>
                <w:color w:val="000000" w:themeColor="text1"/>
              </w:rPr>
              <w:t xml:space="preserve"> </w:t>
            </w:r>
          </w:p>
        </w:tc>
        <w:tc>
          <w:tcPr>
            <w:tcW w:w="1708" w:type="dxa"/>
            <w:shd w:val="clear" w:color="auto" w:fill="FFE1E1"/>
            <w:tcMar>
              <w:left w:w="108" w:type="dxa"/>
              <w:right w:w="108" w:type="dxa"/>
            </w:tcMar>
            <w:vAlign w:val="bottom"/>
          </w:tcPr>
          <w:p w14:paraId="07E49532" w14:textId="65D00DDB" w:rsidR="5A995008" w:rsidRDefault="5A995008" w:rsidP="5A995008">
            <w:pPr>
              <w:jc w:val="right"/>
            </w:pPr>
            <w:r w:rsidRPr="5A995008">
              <w:rPr>
                <w:rFonts w:ascii="Calibri" w:eastAsia="Calibri" w:hAnsi="Calibri" w:cs="Calibri"/>
                <w:color w:val="000000" w:themeColor="text1"/>
              </w:rPr>
              <w:t>-</w:t>
            </w:r>
          </w:p>
        </w:tc>
      </w:tr>
      <w:tr w:rsidR="5A995008" w14:paraId="28BD9BBB" w14:textId="77777777" w:rsidTr="5A995008">
        <w:trPr>
          <w:trHeight w:val="330"/>
        </w:trPr>
        <w:tc>
          <w:tcPr>
            <w:tcW w:w="1592" w:type="dxa"/>
            <w:shd w:val="clear" w:color="auto" w:fill="FFFFFF" w:themeFill="background1"/>
            <w:tcMar>
              <w:left w:w="108" w:type="dxa"/>
              <w:right w:w="108" w:type="dxa"/>
            </w:tcMar>
            <w:vAlign w:val="bottom"/>
          </w:tcPr>
          <w:p w14:paraId="2EA4A926" w14:textId="63D25C0C" w:rsidR="5A995008" w:rsidRDefault="5A995008" w:rsidP="5A995008">
            <w:pPr>
              <w:jc w:val="right"/>
            </w:pPr>
            <w:r w:rsidRPr="5A995008">
              <w:rPr>
                <w:rFonts w:ascii="Calibri" w:eastAsia="Calibri" w:hAnsi="Calibri" w:cs="Calibri"/>
                <w:color w:val="000000" w:themeColor="text1"/>
              </w:rPr>
              <w:t>(2,869)</w:t>
            </w:r>
          </w:p>
        </w:tc>
        <w:tc>
          <w:tcPr>
            <w:tcW w:w="6758" w:type="dxa"/>
            <w:shd w:val="clear" w:color="auto" w:fill="FFFFFF" w:themeFill="background1"/>
            <w:tcMar>
              <w:left w:w="108" w:type="dxa"/>
              <w:right w:w="108" w:type="dxa"/>
            </w:tcMar>
            <w:vAlign w:val="bottom"/>
          </w:tcPr>
          <w:p w14:paraId="70943F4A" w14:textId="482EBD0C" w:rsidR="5A995008" w:rsidRDefault="5A995008" w:rsidP="5A995008">
            <w:pPr>
              <w:jc w:val="left"/>
            </w:pPr>
            <w:r w:rsidRPr="5A995008">
              <w:rPr>
                <w:rFonts w:ascii="Calibri" w:eastAsia="Calibri" w:hAnsi="Calibri" w:cs="Calibri"/>
                <w:color w:val="000000" w:themeColor="text1"/>
              </w:rPr>
              <w:t>Additions of PPE Assets</w:t>
            </w:r>
          </w:p>
        </w:tc>
        <w:tc>
          <w:tcPr>
            <w:tcW w:w="307" w:type="dxa"/>
            <w:shd w:val="clear" w:color="auto" w:fill="FFFFFF" w:themeFill="background1"/>
            <w:tcMar>
              <w:left w:w="108" w:type="dxa"/>
              <w:right w:w="108" w:type="dxa"/>
            </w:tcMar>
            <w:vAlign w:val="bottom"/>
          </w:tcPr>
          <w:p w14:paraId="0B75DB9F" w14:textId="00517D65" w:rsidR="5A995008" w:rsidRDefault="5A995008" w:rsidP="5A995008">
            <w:pPr>
              <w:jc w:val="left"/>
            </w:pPr>
            <w:r w:rsidRPr="5A995008">
              <w:rPr>
                <w:rFonts w:ascii="Calibri" w:eastAsia="Calibri" w:hAnsi="Calibri" w:cs="Calibri"/>
                <w:color w:val="000000" w:themeColor="text1"/>
              </w:rPr>
              <w:t xml:space="preserve"> </w:t>
            </w:r>
          </w:p>
        </w:tc>
        <w:tc>
          <w:tcPr>
            <w:tcW w:w="1708" w:type="dxa"/>
            <w:shd w:val="clear" w:color="auto" w:fill="FFE1E1"/>
            <w:tcMar>
              <w:left w:w="108" w:type="dxa"/>
              <w:right w:w="108" w:type="dxa"/>
            </w:tcMar>
            <w:vAlign w:val="bottom"/>
          </w:tcPr>
          <w:p w14:paraId="7E4C5C08" w14:textId="6A2859C6" w:rsidR="5A995008" w:rsidRDefault="5A995008" w:rsidP="5A995008">
            <w:pPr>
              <w:jc w:val="right"/>
            </w:pPr>
            <w:r w:rsidRPr="5A995008">
              <w:rPr>
                <w:rFonts w:ascii="Calibri" w:eastAsia="Calibri" w:hAnsi="Calibri" w:cs="Calibri"/>
                <w:color w:val="000000" w:themeColor="text1"/>
              </w:rPr>
              <w:t>(2,305)</w:t>
            </w:r>
          </w:p>
        </w:tc>
      </w:tr>
      <w:tr w:rsidR="5A995008" w14:paraId="42F555C7" w14:textId="77777777" w:rsidTr="5A995008">
        <w:trPr>
          <w:trHeight w:val="285"/>
        </w:trPr>
        <w:tc>
          <w:tcPr>
            <w:tcW w:w="1592" w:type="dxa"/>
            <w:shd w:val="clear" w:color="auto" w:fill="FFFFFF" w:themeFill="background1"/>
            <w:tcMar>
              <w:left w:w="108" w:type="dxa"/>
              <w:right w:w="108" w:type="dxa"/>
            </w:tcMar>
            <w:vAlign w:val="bottom"/>
          </w:tcPr>
          <w:p w14:paraId="62AD368C" w14:textId="2654AB49" w:rsidR="5A995008" w:rsidRDefault="5A995008" w:rsidP="5A995008">
            <w:pPr>
              <w:jc w:val="right"/>
            </w:pPr>
            <w:r w:rsidRPr="5A995008">
              <w:rPr>
                <w:rFonts w:ascii="Calibri" w:eastAsia="Calibri" w:hAnsi="Calibri" w:cs="Calibri"/>
                <w:color w:val="000000" w:themeColor="text1"/>
              </w:rPr>
              <w:t>3,000</w:t>
            </w:r>
          </w:p>
        </w:tc>
        <w:tc>
          <w:tcPr>
            <w:tcW w:w="6758" w:type="dxa"/>
            <w:shd w:val="clear" w:color="auto" w:fill="FFFFFF" w:themeFill="background1"/>
            <w:tcMar>
              <w:left w:w="108" w:type="dxa"/>
              <w:right w:w="108" w:type="dxa"/>
            </w:tcMar>
            <w:vAlign w:val="bottom"/>
          </w:tcPr>
          <w:p w14:paraId="0E01BAC3" w14:textId="6D69EE18" w:rsidR="5A995008" w:rsidRDefault="5A995008" w:rsidP="5A995008">
            <w:pPr>
              <w:jc w:val="left"/>
            </w:pPr>
            <w:proofErr w:type="gramStart"/>
            <w:r w:rsidRPr="5A995008">
              <w:rPr>
                <w:rFonts w:ascii="Calibri" w:eastAsia="Calibri" w:hAnsi="Calibri" w:cs="Calibri"/>
                <w:color w:val="000000" w:themeColor="text1"/>
              </w:rPr>
              <w:t>Increase(</w:t>
            </w:r>
            <w:proofErr w:type="gramEnd"/>
            <w:r w:rsidRPr="5A995008">
              <w:rPr>
                <w:rFonts w:ascii="Calibri" w:eastAsia="Calibri" w:hAnsi="Calibri" w:cs="Calibri"/>
                <w:color w:val="000000" w:themeColor="text1"/>
              </w:rPr>
              <w:t>-)/Decrease in Investments</w:t>
            </w:r>
          </w:p>
        </w:tc>
        <w:tc>
          <w:tcPr>
            <w:tcW w:w="307" w:type="dxa"/>
            <w:shd w:val="clear" w:color="auto" w:fill="FFFFFF" w:themeFill="background1"/>
            <w:tcMar>
              <w:left w:w="108" w:type="dxa"/>
              <w:right w:w="108" w:type="dxa"/>
            </w:tcMar>
            <w:vAlign w:val="bottom"/>
          </w:tcPr>
          <w:p w14:paraId="1CECC88D" w14:textId="48AF7DC8" w:rsidR="5A995008" w:rsidRDefault="5A995008" w:rsidP="5A995008">
            <w:pPr>
              <w:jc w:val="left"/>
            </w:pPr>
            <w:r w:rsidRPr="5A995008">
              <w:rPr>
                <w:rFonts w:ascii="Calibri" w:eastAsia="Calibri" w:hAnsi="Calibri" w:cs="Calibri"/>
                <w:color w:val="000000" w:themeColor="text1"/>
              </w:rPr>
              <w:t xml:space="preserve"> </w:t>
            </w:r>
          </w:p>
        </w:tc>
        <w:tc>
          <w:tcPr>
            <w:tcW w:w="1708" w:type="dxa"/>
            <w:shd w:val="clear" w:color="auto" w:fill="FFE1E1"/>
            <w:tcMar>
              <w:left w:w="108" w:type="dxa"/>
              <w:right w:w="108" w:type="dxa"/>
            </w:tcMar>
            <w:vAlign w:val="bottom"/>
          </w:tcPr>
          <w:p w14:paraId="2C476D20" w14:textId="52F25D5A" w:rsidR="5A995008" w:rsidRDefault="5A995008" w:rsidP="5A995008">
            <w:pPr>
              <w:jc w:val="right"/>
            </w:pPr>
            <w:r w:rsidRPr="5A995008">
              <w:rPr>
                <w:rFonts w:ascii="Calibri" w:eastAsia="Calibri" w:hAnsi="Calibri" w:cs="Calibri"/>
                <w:color w:val="000000" w:themeColor="text1"/>
              </w:rPr>
              <w:t>(10)</w:t>
            </w:r>
          </w:p>
        </w:tc>
      </w:tr>
      <w:tr w:rsidR="5A995008" w14:paraId="62FBC66E" w14:textId="77777777" w:rsidTr="5A995008">
        <w:trPr>
          <w:trHeight w:val="315"/>
        </w:trPr>
        <w:tc>
          <w:tcPr>
            <w:tcW w:w="1592" w:type="dxa"/>
            <w:tcBorders>
              <w:top w:val="single" w:sz="8" w:space="0" w:color="auto"/>
              <w:left w:val="nil"/>
              <w:bottom w:val="single" w:sz="8" w:space="0" w:color="auto"/>
              <w:right w:val="nil"/>
            </w:tcBorders>
            <w:shd w:val="clear" w:color="auto" w:fill="FFFFFF" w:themeFill="background1"/>
            <w:tcMar>
              <w:left w:w="108" w:type="dxa"/>
              <w:right w:w="108" w:type="dxa"/>
            </w:tcMar>
            <w:vAlign w:val="bottom"/>
          </w:tcPr>
          <w:p w14:paraId="60A095A9" w14:textId="4285E7D4" w:rsidR="5A995008" w:rsidRDefault="5A995008" w:rsidP="5A995008">
            <w:pPr>
              <w:jc w:val="right"/>
            </w:pPr>
            <w:r w:rsidRPr="5A995008">
              <w:rPr>
                <w:rFonts w:ascii="Calibri" w:eastAsia="Calibri" w:hAnsi="Calibri" w:cs="Calibri"/>
                <w:b/>
                <w:bCs/>
                <w:color w:val="000000" w:themeColor="text1"/>
              </w:rPr>
              <w:t>150</w:t>
            </w:r>
          </w:p>
        </w:tc>
        <w:tc>
          <w:tcPr>
            <w:tcW w:w="6758" w:type="dxa"/>
            <w:tcBorders>
              <w:top w:val="single" w:sz="8" w:space="0" w:color="auto"/>
              <w:left w:val="nil"/>
              <w:bottom w:val="single" w:sz="8" w:space="0" w:color="auto"/>
              <w:right w:val="nil"/>
            </w:tcBorders>
            <w:shd w:val="clear" w:color="auto" w:fill="FFFFFF" w:themeFill="background1"/>
            <w:tcMar>
              <w:left w:w="108" w:type="dxa"/>
              <w:right w:w="108" w:type="dxa"/>
            </w:tcMar>
            <w:vAlign w:val="bottom"/>
          </w:tcPr>
          <w:p w14:paraId="7E9EC291" w14:textId="17B37834" w:rsidR="5A995008" w:rsidRDefault="5A995008" w:rsidP="5A995008">
            <w:pPr>
              <w:jc w:val="left"/>
            </w:pPr>
            <w:r w:rsidRPr="5A995008">
              <w:rPr>
                <w:rFonts w:ascii="Calibri" w:eastAsia="Calibri" w:hAnsi="Calibri" w:cs="Calibri"/>
                <w:b/>
                <w:bCs/>
                <w:color w:val="000000" w:themeColor="text1"/>
              </w:rPr>
              <w:t>Net cashflows from investing activities</w:t>
            </w:r>
          </w:p>
        </w:tc>
        <w:tc>
          <w:tcPr>
            <w:tcW w:w="307" w:type="dxa"/>
            <w:tcBorders>
              <w:top w:val="single" w:sz="8" w:space="0" w:color="auto"/>
              <w:left w:val="nil"/>
              <w:bottom w:val="single" w:sz="8" w:space="0" w:color="auto"/>
              <w:right w:val="nil"/>
            </w:tcBorders>
            <w:shd w:val="clear" w:color="auto" w:fill="FFFFFF" w:themeFill="background1"/>
            <w:tcMar>
              <w:left w:w="108" w:type="dxa"/>
              <w:right w:w="108" w:type="dxa"/>
            </w:tcMar>
            <w:vAlign w:val="bottom"/>
          </w:tcPr>
          <w:p w14:paraId="35812937" w14:textId="7EAC73CE" w:rsidR="5A995008" w:rsidRDefault="5A995008" w:rsidP="5A995008">
            <w:pPr>
              <w:jc w:val="left"/>
            </w:pPr>
            <w:r w:rsidRPr="5A995008">
              <w:rPr>
                <w:rFonts w:ascii="Calibri" w:eastAsia="Calibri" w:hAnsi="Calibri" w:cs="Calibri"/>
                <w:b/>
                <w:bCs/>
                <w:color w:val="000000" w:themeColor="text1"/>
              </w:rPr>
              <w:t xml:space="preserve"> </w:t>
            </w:r>
          </w:p>
        </w:tc>
        <w:tc>
          <w:tcPr>
            <w:tcW w:w="1708" w:type="dxa"/>
            <w:tcBorders>
              <w:top w:val="single" w:sz="8" w:space="0" w:color="auto"/>
              <w:left w:val="nil"/>
              <w:bottom w:val="single" w:sz="8" w:space="0" w:color="auto"/>
              <w:right w:val="nil"/>
            </w:tcBorders>
            <w:shd w:val="clear" w:color="auto" w:fill="FFE1E1"/>
            <w:tcMar>
              <w:left w:w="108" w:type="dxa"/>
              <w:right w:w="108" w:type="dxa"/>
            </w:tcMar>
            <w:vAlign w:val="bottom"/>
          </w:tcPr>
          <w:p w14:paraId="312B85CB" w14:textId="36A04BBA" w:rsidR="5A995008" w:rsidRDefault="5A995008" w:rsidP="5A995008">
            <w:pPr>
              <w:jc w:val="right"/>
            </w:pPr>
            <w:r w:rsidRPr="5A995008">
              <w:rPr>
                <w:rFonts w:ascii="Calibri" w:eastAsia="Calibri" w:hAnsi="Calibri" w:cs="Calibri"/>
                <w:b/>
                <w:bCs/>
                <w:color w:val="000000" w:themeColor="text1"/>
              </w:rPr>
              <w:t>(2,315)</w:t>
            </w:r>
          </w:p>
        </w:tc>
      </w:tr>
    </w:tbl>
    <w:p w14:paraId="5666C560" w14:textId="6CB50779" w:rsidR="5A995008" w:rsidRDefault="5A995008"/>
    <w:p w14:paraId="7928A257" w14:textId="77777777" w:rsidR="008F7867" w:rsidRPr="0056541E" w:rsidRDefault="008F7867" w:rsidP="008F7867"/>
    <w:p w14:paraId="2F2BCD1F" w14:textId="19E1D8F6" w:rsidR="0A9DA5D8" w:rsidRDefault="0A9DA5D8" w:rsidP="31A96136">
      <w:pPr>
        <w:pStyle w:val="VAHeadingLevel2"/>
        <w:rPr>
          <w:rFonts w:eastAsiaTheme="minorEastAsia" w:cstheme="minorBidi"/>
          <w:color w:val="auto"/>
          <w:sz w:val="22"/>
          <w:szCs w:val="22"/>
        </w:rPr>
      </w:pPr>
      <w:r w:rsidRPr="31A96136">
        <w:rPr>
          <w:rFonts w:eastAsiaTheme="minorEastAsia" w:cstheme="minorBidi"/>
          <w:color w:val="auto"/>
          <w:sz w:val="22"/>
          <w:szCs w:val="22"/>
        </w:rPr>
        <w:t>Extract from 24-25 disaggregated cash flow statement</w:t>
      </w:r>
    </w:p>
    <w:tbl>
      <w:tblPr>
        <w:tblW w:w="0" w:type="auto"/>
        <w:tblLook w:val="04A0" w:firstRow="1" w:lastRow="0" w:firstColumn="1" w:lastColumn="0" w:noHBand="0" w:noVBand="1"/>
      </w:tblPr>
      <w:tblGrid>
        <w:gridCol w:w="1593"/>
        <w:gridCol w:w="6765"/>
        <w:gridCol w:w="307"/>
        <w:gridCol w:w="1710"/>
      </w:tblGrid>
      <w:tr w:rsidR="31A96136" w14:paraId="1B4DE1D2" w14:textId="77777777" w:rsidTr="31A96136">
        <w:trPr>
          <w:trHeight w:val="300"/>
        </w:trPr>
        <w:tc>
          <w:tcPr>
            <w:tcW w:w="1593" w:type="dxa"/>
            <w:tcBorders>
              <w:top w:val="nil"/>
              <w:left w:val="nil"/>
              <w:bottom w:val="nil"/>
              <w:right w:val="nil"/>
            </w:tcBorders>
            <w:shd w:val="clear" w:color="auto" w:fill="FFFFFF" w:themeFill="background1"/>
            <w:vAlign w:val="bottom"/>
          </w:tcPr>
          <w:p w14:paraId="4C7CDFBD" w14:textId="77777777" w:rsidR="31A96136" w:rsidRDefault="31A96136" w:rsidP="31A96136">
            <w:pPr>
              <w:spacing w:line="240" w:lineRule="auto"/>
              <w:jc w:val="right"/>
              <w:rPr>
                <w:rFonts w:ascii="Calibri" w:eastAsia="Times New Roman" w:hAnsi="Calibri" w:cs="Calibri"/>
                <w:lang w:eastAsia="en-GB"/>
              </w:rPr>
            </w:pPr>
            <w:r w:rsidRPr="31A96136">
              <w:rPr>
                <w:rFonts w:ascii="Calibri" w:eastAsia="Times New Roman" w:hAnsi="Calibri" w:cs="Calibri"/>
                <w:lang w:eastAsia="en-GB"/>
              </w:rPr>
              <w:t>-</w:t>
            </w:r>
          </w:p>
        </w:tc>
        <w:tc>
          <w:tcPr>
            <w:tcW w:w="6765" w:type="dxa"/>
            <w:tcBorders>
              <w:top w:val="nil"/>
              <w:left w:val="nil"/>
              <w:bottom w:val="nil"/>
              <w:right w:val="nil"/>
            </w:tcBorders>
            <w:shd w:val="clear" w:color="auto" w:fill="FFFFFF" w:themeFill="background1"/>
            <w:vAlign w:val="bottom"/>
          </w:tcPr>
          <w:p w14:paraId="6390C959" w14:textId="77777777"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Proceeds from Sale of Assets</w:t>
            </w:r>
          </w:p>
        </w:tc>
        <w:tc>
          <w:tcPr>
            <w:tcW w:w="307" w:type="dxa"/>
            <w:tcBorders>
              <w:top w:val="nil"/>
              <w:left w:val="nil"/>
              <w:bottom w:val="nil"/>
              <w:right w:val="nil"/>
            </w:tcBorders>
            <w:shd w:val="clear" w:color="auto" w:fill="FFFFFF" w:themeFill="background1"/>
            <w:vAlign w:val="bottom"/>
          </w:tcPr>
          <w:p w14:paraId="63DF7DC6" w14:textId="77777777"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 </w:t>
            </w:r>
          </w:p>
        </w:tc>
        <w:tc>
          <w:tcPr>
            <w:tcW w:w="1710" w:type="dxa"/>
            <w:tcBorders>
              <w:top w:val="nil"/>
              <w:left w:val="nil"/>
              <w:bottom w:val="nil"/>
              <w:right w:val="nil"/>
            </w:tcBorders>
            <w:shd w:val="clear" w:color="auto" w:fill="FFE1E1"/>
            <w:vAlign w:val="bottom"/>
          </w:tcPr>
          <w:p w14:paraId="09BC9B44" w14:textId="77777777" w:rsidR="31A96136" w:rsidRDefault="31A96136" w:rsidP="31A96136">
            <w:pPr>
              <w:spacing w:line="240" w:lineRule="auto"/>
              <w:jc w:val="right"/>
              <w:rPr>
                <w:rFonts w:ascii="Calibri" w:eastAsia="Times New Roman" w:hAnsi="Calibri" w:cs="Calibri"/>
                <w:lang w:eastAsia="en-GB"/>
              </w:rPr>
            </w:pPr>
            <w:r w:rsidRPr="31A96136">
              <w:rPr>
                <w:rFonts w:ascii="Calibri" w:eastAsia="Times New Roman" w:hAnsi="Calibri" w:cs="Calibri"/>
                <w:lang w:eastAsia="en-GB"/>
              </w:rPr>
              <w:t>3,260</w:t>
            </w:r>
          </w:p>
        </w:tc>
      </w:tr>
      <w:tr w:rsidR="31A96136" w14:paraId="7D1D602F" w14:textId="77777777" w:rsidTr="31A96136">
        <w:trPr>
          <w:trHeight w:val="300"/>
        </w:trPr>
        <w:tc>
          <w:tcPr>
            <w:tcW w:w="1593" w:type="dxa"/>
            <w:tcBorders>
              <w:top w:val="nil"/>
              <w:left w:val="nil"/>
              <w:bottom w:val="nil"/>
              <w:right w:val="nil"/>
            </w:tcBorders>
            <w:shd w:val="clear" w:color="auto" w:fill="FFFFFF" w:themeFill="background1"/>
            <w:vAlign w:val="bottom"/>
          </w:tcPr>
          <w:p w14:paraId="6D7563D7" w14:textId="77777777" w:rsidR="31A96136" w:rsidRDefault="31A96136" w:rsidP="31A96136">
            <w:pPr>
              <w:spacing w:line="240" w:lineRule="auto"/>
              <w:jc w:val="right"/>
              <w:rPr>
                <w:rFonts w:ascii="Calibri" w:eastAsia="Times New Roman" w:hAnsi="Calibri" w:cs="Calibri"/>
                <w:lang w:eastAsia="en-GB"/>
              </w:rPr>
            </w:pPr>
            <w:r w:rsidRPr="31A96136">
              <w:rPr>
                <w:rFonts w:ascii="Calibri" w:eastAsia="Times New Roman" w:hAnsi="Calibri" w:cs="Calibri"/>
                <w:lang w:eastAsia="en-GB"/>
              </w:rPr>
              <w:t>(2,305)</w:t>
            </w:r>
          </w:p>
        </w:tc>
        <w:tc>
          <w:tcPr>
            <w:tcW w:w="6765" w:type="dxa"/>
            <w:tcBorders>
              <w:top w:val="nil"/>
              <w:left w:val="nil"/>
              <w:bottom w:val="nil"/>
              <w:right w:val="nil"/>
            </w:tcBorders>
            <w:shd w:val="clear" w:color="auto" w:fill="FFFFFF" w:themeFill="background1"/>
            <w:vAlign w:val="bottom"/>
          </w:tcPr>
          <w:p w14:paraId="10560D2D" w14:textId="531CD7C1"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Additions of PPE and ROU Assets</w:t>
            </w:r>
          </w:p>
        </w:tc>
        <w:tc>
          <w:tcPr>
            <w:tcW w:w="307" w:type="dxa"/>
            <w:tcBorders>
              <w:top w:val="nil"/>
              <w:left w:val="nil"/>
              <w:bottom w:val="nil"/>
              <w:right w:val="nil"/>
            </w:tcBorders>
            <w:shd w:val="clear" w:color="auto" w:fill="FFFFFF" w:themeFill="background1"/>
            <w:vAlign w:val="bottom"/>
          </w:tcPr>
          <w:p w14:paraId="4F5BF413" w14:textId="77777777"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 </w:t>
            </w:r>
          </w:p>
        </w:tc>
        <w:tc>
          <w:tcPr>
            <w:tcW w:w="1710" w:type="dxa"/>
            <w:tcBorders>
              <w:top w:val="nil"/>
              <w:left w:val="nil"/>
              <w:bottom w:val="nil"/>
              <w:right w:val="nil"/>
            </w:tcBorders>
            <w:shd w:val="clear" w:color="auto" w:fill="FFE1E1"/>
            <w:vAlign w:val="bottom"/>
          </w:tcPr>
          <w:p w14:paraId="46BAD553" w14:textId="1C8FB29B" w:rsidR="31A96136" w:rsidRDefault="31A96136" w:rsidP="31A96136">
            <w:pPr>
              <w:spacing w:line="240" w:lineRule="auto"/>
              <w:jc w:val="right"/>
              <w:rPr>
                <w:rFonts w:ascii="Calibri" w:eastAsia="Times New Roman" w:hAnsi="Calibri" w:cs="Calibri"/>
                <w:lang w:eastAsia="en-GB"/>
              </w:rPr>
            </w:pPr>
            <w:r w:rsidRPr="31A96136">
              <w:rPr>
                <w:rFonts w:ascii="Calibri" w:eastAsia="Times New Roman" w:hAnsi="Calibri" w:cs="Calibri"/>
                <w:lang w:eastAsia="en-GB"/>
              </w:rPr>
              <w:t>(2,741)</w:t>
            </w:r>
          </w:p>
        </w:tc>
      </w:tr>
      <w:tr w:rsidR="31A96136" w14:paraId="424D12E6" w14:textId="77777777" w:rsidTr="31A96136">
        <w:trPr>
          <w:trHeight w:val="300"/>
        </w:trPr>
        <w:tc>
          <w:tcPr>
            <w:tcW w:w="1593" w:type="dxa"/>
            <w:tcBorders>
              <w:top w:val="nil"/>
              <w:left w:val="nil"/>
              <w:bottom w:val="nil"/>
              <w:right w:val="nil"/>
            </w:tcBorders>
            <w:shd w:val="clear" w:color="auto" w:fill="FFFFFF" w:themeFill="background1"/>
          </w:tcPr>
          <w:p w14:paraId="20793B24" w14:textId="237616E1" w:rsidR="31A96136" w:rsidRDefault="31A96136" w:rsidP="31A96136">
            <w:pPr>
              <w:spacing w:line="240" w:lineRule="auto"/>
              <w:jc w:val="right"/>
              <w:rPr>
                <w:rFonts w:ascii="Calibri" w:eastAsia="Times New Roman" w:hAnsi="Calibri" w:cs="Calibri"/>
                <w:color w:val="000000" w:themeColor="text1"/>
                <w:lang w:eastAsia="en-GB"/>
              </w:rPr>
            </w:pPr>
            <w:r w:rsidRPr="31A96136">
              <w:rPr>
                <w:rFonts w:ascii="Calibri" w:eastAsia="Times New Roman" w:hAnsi="Calibri" w:cs="Calibri"/>
                <w:color w:val="000000" w:themeColor="text1"/>
                <w:lang w:eastAsia="en-GB"/>
              </w:rPr>
              <w:t>5,000</w:t>
            </w:r>
          </w:p>
        </w:tc>
        <w:tc>
          <w:tcPr>
            <w:tcW w:w="6765" w:type="dxa"/>
            <w:tcBorders>
              <w:top w:val="nil"/>
              <w:left w:val="nil"/>
              <w:bottom w:val="nil"/>
              <w:right w:val="nil"/>
            </w:tcBorders>
            <w:shd w:val="clear" w:color="auto" w:fill="FFFFFF" w:themeFill="background1"/>
          </w:tcPr>
          <w:p w14:paraId="527F9307" w14:textId="77777777" w:rsidR="31A96136" w:rsidRDefault="31A96136" w:rsidP="31A96136">
            <w:pPr>
              <w:spacing w:line="240" w:lineRule="auto"/>
              <w:jc w:val="left"/>
              <w:rPr>
                <w:rFonts w:ascii="Calibri" w:eastAsia="Times New Roman" w:hAnsi="Calibri" w:cs="Calibri"/>
                <w:color w:val="000000" w:themeColor="text1"/>
                <w:lang w:eastAsia="en-GB"/>
              </w:rPr>
            </w:pPr>
            <w:r w:rsidRPr="31A96136">
              <w:rPr>
                <w:rFonts w:ascii="Calibri" w:eastAsia="Times New Roman" w:hAnsi="Calibri" w:cs="Calibri"/>
                <w:color w:val="000000" w:themeColor="text1"/>
                <w:lang w:eastAsia="en-GB"/>
              </w:rPr>
              <w:t>Purchase of short-term and long-term investments</w:t>
            </w:r>
          </w:p>
        </w:tc>
        <w:tc>
          <w:tcPr>
            <w:tcW w:w="307" w:type="dxa"/>
            <w:tcBorders>
              <w:top w:val="nil"/>
              <w:left w:val="nil"/>
              <w:bottom w:val="nil"/>
              <w:right w:val="nil"/>
            </w:tcBorders>
            <w:shd w:val="clear" w:color="auto" w:fill="FFFFFF" w:themeFill="background1"/>
            <w:vAlign w:val="bottom"/>
          </w:tcPr>
          <w:p w14:paraId="5DED0550" w14:textId="77777777"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 </w:t>
            </w:r>
          </w:p>
        </w:tc>
        <w:tc>
          <w:tcPr>
            <w:tcW w:w="1710" w:type="dxa"/>
            <w:tcBorders>
              <w:top w:val="nil"/>
              <w:left w:val="nil"/>
              <w:bottom w:val="nil"/>
              <w:right w:val="nil"/>
            </w:tcBorders>
            <w:shd w:val="clear" w:color="auto" w:fill="FFE1E1"/>
            <w:vAlign w:val="bottom"/>
          </w:tcPr>
          <w:p w14:paraId="0A786A1B" w14:textId="77777777" w:rsidR="31A96136" w:rsidRDefault="31A96136" w:rsidP="31A96136">
            <w:pPr>
              <w:spacing w:line="240" w:lineRule="auto"/>
              <w:jc w:val="right"/>
              <w:rPr>
                <w:rFonts w:ascii="Calibri" w:eastAsia="Times New Roman" w:hAnsi="Calibri" w:cs="Calibri"/>
                <w:color w:val="000000" w:themeColor="text1"/>
                <w:lang w:eastAsia="en-GB"/>
              </w:rPr>
            </w:pPr>
            <w:r w:rsidRPr="31A96136">
              <w:rPr>
                <w:rFonts w:ascii="Calibri" w:eastAsia="Times New Roman" w:hAnsi="Calibri" w:cs="Calibri"/>
                <w:color w:val="000000" w:themeColor="text1"/>
                <w:lang w:eastAsia="en-GB"/>
              </w:rPr>
              <w:t>17,235</w:t>
            </w:r>
          </w:p>
        </w:tc>
      </w:tr>
      <w:tr w:rsidR="31A96136" w14:paraId="2F102CB9" w14:textId="77777777" w:rsidTr="31A96136">
        <w:trPr>
          <w:trHeight w:val="300"/>
        </w:trPr>
        <w:tc>
          <w:tcPr>
            <w:tcW w:w="1593" w:type="dxa"/>
            <w:tcBorders>
              <w:top w:val="nil"/>
              <w:left w:val="nil"/>
              <w:bottom w:val="nil"/>
              <w:right w:val="nil"/>
            </w:tcBorders>
            <w:shd w:val="clear" w:color="auto" w:fill="FFFFFF" w:themeFill="background1"/>
          </w:tcPr>
          <w:p w14:paraId="7109B8C8" w14:textId="6DFAA8BF" w:rsidR="31A96136" w:rsidRDefault="31A96136" w:rsidP="31A96136">
            <w:pPr>
              <w:spacing w:line="240" w:lineRule="auto"/>
              <w:jc w:val="right"/>
              <w:rPr>
                <w:rFonts w:ascii="Calibri" w:eastAsia="Times New Roman" w:hAnsi="Calibri" w:cs="Calibri"/>
                <w:color w:val="000000" w:themeColor="text1"/>
                <w:lang w:eastAsia="en-GB"/>
              </w:rPr>
            </w:pPr>
            <w:r w:rsidRPr="31A96136">
              <w:rPr>
                <w:rFonts w:ascii="Calibri" w:eastAsia="Times New Roman" w:hAnsi="Calibri" w:cs="Calibri"/>
                <w:color w:val="000000" w:themeColor="text1"/>
                <w:lang w:eastAsia="en-GB"/>
              </w:rPr>
              <w:t>(5,010)</w:t>
            </w:r>
          </w:p>
        </w:tc>
        <w:tc>
          <w:tcPr>
            <w:tcW w:w="6765" w:type="dxa"/>
            <w:tcBorders>
              <w:top w:val="nil"/>
              <w:left w:val="nil"/>
              <w:bottom w:val="nil"/>
              <w:right w:val="nil"/>
            </w:tcBorders>
            <w:shd w:val="clear" w:color="auto" w:fill="FFFFFF" w:themeFill="background1"/>
          </w:tcPr>
          <w:p w14:paraId="130D5E36" w14:textId="77777777" w:rsidR="31A96136" w:rsidRDefault="31A96136" w:rsidP="31A96136">
            <w:pPr>
              <w:spacing w:line="240" w:lineRule="auto"/>
              <w:jc w:val="left"/>
              <w:rPr>
                <w:rFonts w:ascii="Calibri" w:eastAsia="Times New Roman" w:hAnsi="Calibri" w:cs="Calibri"/>
                <w:color w:val="000000" w:themeColor="text1"/>
                <w:lang w:eastAsia="en-GB"/>
              </w:rPr>
            </w:pPr>
            <w:r w:rsidRPr="31A96136">
              <w:rPr>
                <w:rFonts w:ascii="Calibri" w:eastAsia="Times New Roman" w:hAnsi="Calibri" w:cs="Calibri"/>
                <w:color w:val="000000" w:themeColor="text1"/>
                <w:lang w:eastAsia="en-GB"/>
              </w:rPr>
              <w:t>Proceeds from short-term and long-term investments</w:t>
            </w:r>
          </w:p>
        </w:tc>
        <w:tc>
          <w:tcPr>
            <w:tcW w:w="307" w:type="dxa"/>
            <w:tcBorders>
              <w:top w:val="nil"/>
              <w:left w:val="nil"/>
              <w:bottom w:val="nil"/>
              <w:right w:val="nil"/>
            </w:tcBorders>
            <w:shd w:val="clear" w:color="auto" w:fill="FFFFFF" w:themeFill="background1"/>
            <w:vAlign w:val="bottom"/>
          </w:tcPr>
          <w:p w14:paraId="7E8EA430" w14:textId="77777777" w:rsidR="31A96136" w:rsidRDefault="31A96136" w:rsidP="31A96136">
            <w:pPr>
              <w:spacing w:line="240" w:lineRule="auto"/>
              <w:jc w:val="left"/>
              <w:rPr>
                <w:rFonts w:ascii="Calibri" w:eastAsia="Times New Roman" w:hAnsi="Calibri" w:cs="Calibri"/>
                <w:lang w:eastAsia="en-GB"/>
              </w:rPr>
            </w:pPr>
            <w:r w:rsidRPr="31A96136">
              <w:rPr>
                <w:rFonts w:ascii="Calibri" w:eastAsia="Times New Roman" w:hAnsi="Calibri" w:cs="Calibri"/>
                <w:lang w:eastAsia="en-GB"/>
              </w:rPr>
              <w:t> </w:t>
            </w:r>
          </w:p>
        </w:tc>
        <w:tc>
          <w:tcPr>
            <w:tcW w:w="1710" w:type="dxa"/>
            <w:tcBorders>
              <w:top w:val="nil"/>
              <w:left w:val="nil"/>
              <w:bottom w:val="nil"/>
              <w:right w:val="nil"/>
            </w:tcBorders>
            <w:shd w:val="clear" w:color="auto" w:fill="FFE1E1"/>
          </w:tcPr>
          <w:p w14:paraId="4C69BD47" w14:textId="77777777" w:rsidR="31A96136" w:rsidRDefault="31A96136" w:rsidP="31A96136">
            <w:pPr>
              <w:spacing w:line="240" w:lineRule="auto"/>
              <w:jc w:val="right"/>
              <w:rPr>
                <w:rFonts w:ascii="Calibri" w:eastAsia="Times New Roman" w:hAnsi="Calibri" w:cs="Calibri"/>
                <w:lang w:eastAsia="en-GB"/>
              </w:rPr>
            </w:pPr>
            <w:r w:rsidRPr="31A96136">
              <w:rPr>
                <w:rFonts w:ascii="Calibri" w:eastAsia="Times New Roman" w:hAnsi="Calibri" w:cs="Calibri"/>
                <w:lang w:eastAsia="en-GB"/>
              </w:rPr>
              <w:t>(19,226)</w:t>
            </w:r>
          </w:p>
        </w:tc>
      </w:tr>
      <w:tr w:rsidR="31A96136" w14:paraId="45E27022" w14:textId="77777777" w:rsidTr="31A96136">
        <w:trPr>
          <w:trHeight w:val="300"/>
        </w:trPr>
        <w:tc>
          <w:tcPr>
            <w:tcW w:w="1593" w:type="dxa"/>
            <w:tcBorders>
              <w:top w:val="single" w:sz="4" w:space="0" w:color="auto"/>
              <w:left w:val="nil"/>
              <w:bottom w:val="single" w:sz="4" w:space="0" w:color="auto"/>
              <w:right w:val="nil"/>
            </w:tcBorders>
            <w:shd w:val="clear" w:color="auto" w:fill="FFFFFF" w:themeFill="background1"/>
            <w:vAlign w:val="bottom"/>
          </w:tcPr>
          <w:p w14:paraId="2517A1C4" w14:textId="259D0026" w:rsidR="31A96136" w:rsidRDefault="31A96136" w:rsidP="31A96136">
            <w:pPr>
              <w:spacing w:line="240" w:lineRule="auto"/>
              <w:jc w:val="right"/>
              <w:rPr>
                <w:rFonts w:ascii="Calibri" w:eastAsia="Times New Roman" w:hAnsi="Calibri" w:cs="Calibri"/>
                <w:b/>
                <w:bCs/>
                <w:lang w:eastAsia="en-GB"/>
              </w:rPr>
            </w:pPr>
            <w:r w:rsidRPr="31A96136">
              <w:rPr>
                <w:rFonts w:ascii="Calibri" w:eastAsia="Times New Roman" w:hAnsi="Calibri" w:cs="Calibri"/>
                <w:b/>
                <w:bCs/>
                <w:lang w:eastAsia="en-GB"/>
              </w:rPr>
              <w:t>(2,295)</w:t>
            </w:r>
          </w:p>
        </w:tc>
        <w:tc>
          <w:tcPr>
            <w:tcW w:w="6765" w:type="dxa"/>
            <w:tcBorders>
              <w:top w:val="single" w:sz="4" w:space="0" w:color="auto"/>
              <w:left w:val="nil"/>
              <w:bottom w:val="single" w:sz="4" w:space="0" w:color="auto"/>
              <w:right w:val="nil"/>
            </w:tcBorders>
            <w:shd w:val="clear" w:color="auto" w:fill="FFFFFF" w:themeFill="background1"/>
            <w:vAlign w:val="bottom"/>
          </w:tcPr>
          <w:p w14:paraId="0B9B26A0" w14:textId="726FE931" w:rsidR="31A96136" w:rsidRDefault="31A96136" w:rsidP="31A96136">
            <w:pPr>
              <w:spacing w:line="240" w:lineRule="auto"/>
              <w:jc w:val="left"/>
              <w:rPr>
                <w:rFonts w:ascii="Calibri" w:eastAsia="Times New Roman" w:hAnsi="Calibri" w:cs="Calibri"/>
                <w:b/>
                <w:bCs/>
                <w:lang w:eastAsia="en-GB"/>
              </w:rPr>
            </w:pPr>
            <w:r w:rsidRPr="31A96136">
              <w:rPr>
                <w:rFonts w:ascii="Calibri" w:eastAsia="Times New Roman" w:hAnsi="Calibri" w:cs="Calibri"/>
                <w:b/>
                <w:bCs/>
                <w:lang w:eastAsia="en-GB"/>
              </w:rPr>
              <w:t>Net cash flows from investing activities</w:t>
            </w:r>
          </w:p>
        </w:tc>
        <w:tc>
          <w:tcPr>
            <w:tcW w:w="307" w:type="dxa"/>
            <w:tcBorders>
              <w:top w:val="single" w:sz="4" w:space="0" w:color="auto"/>
              <w:left w:val="nil"/>
              <w:bottom w:val="single" w:sz="4" w:space="0" w:color="auto"/>
              <w:right w:val="nil"/>
            </w:tcBorders>
            <w:shd w:val="clear" w:color="auto" w:fill="FFFFFF" w:themeFill="background1"/>
            <w:vAlign w:val="bottom"/>
          </w:tcPr>
          <w:p w14:paraId="07458F6B" w14:textId="77777777" w:rsidR="31A96136" w:rsidRDefault="31A96136" w:rsidP="31A96136">
            <w:pPr>
              <w:spacing w:line="240" w:lineRule="auto"/>
              <w:jc w:val="left"/>
              <w:rPr>
                <w:rFonts w:ascii="Calibri" w:eastAsia="Times New Roman" w:hAnsi="Calibri" w:cs="Calibri"/>
                <w:b/>
                <w:bCs/>
                <w:lang w:eastAsia="en-GB"/>
              </w:rPr>
            </w:pPr>
            <w:r w:rsidRPr="31A96136">
              <w:rPr>
                <w:rFonts w:ascii="Calibri" w:eastAsia="Times New Roman" w:hAnsi="Calibri" w:cs="Calibri"/>
                <w:b/>
                <w:bCs/>
                <w:lang w:eastAsia="en-GB"/>
              </w:rPr>
              <w:t> </w:t>
            </w:r>
          </w:p>
        </w:tc>
        <w:tc>
          <w:tcPr>
            <w:tcW w:w="1710" w:type="dxa"/>
            <w:tcBorders>
              <w:top w:val="single" w:sz="4" w:space="0" w:color="auto"/>
              <w:left w:val="nil"/>
              <w:bottom w:val="single" w:sz="4" w:space="0" w:color="auto"/>
              <w:right w:val="nil"/>
            </w:tcBorders>
            <w:shd w:val="clear" w:color="auto" w:fill="FFE1E1"/>
            <w:vAlign w:val="bottom"/>
          </w:tcPr>
          <w:p w14:paraId="0E0FC253" w14:textId="624F473A" w:rsidR="31A96136" w:rsidRDefault="31A96136" w:rsidP="31A96136">
            <w:pPr>
              <w:spacing w:line="240" w:lineRule="auto"/>
              <w:jc w:val="right"/>
              <w:rPr>
                <w:rFonts w:ascii="Calibri" w:eastAsia="Times New Roman" w:hAnsi="Calibri" w:cs="Calibri"/>
                <w:b/>
                <w:bCs/>
                <w:lang w:eastAsia="en-GB"/>
              </w:rPr>
            </w:pPr>
            <w:r w:rsidRPr="31A96136">
              <w:rPr>
                <w:rFonts w:ascii="Calibri" w:eastAsia="Times New Roman" w:hAnsi="Calibri" w:cs="Calibri"/>
                <w:b/>
                <w:bCs/>
                <w:lang w:eastAsia="en-GB"/>
              </w:rPr>
              <w:t>(1,472)</w:t>
            </w:r>
          </w:p>
        </w:tc>
      </w:tr>
    </w:tbl>
    <w:p w14:paraId="40838721" w14:textId="7D8D6B21" w:rsidR="31A96136" w:rsidRDefault="31A96136" w:rsidP="31A96136">
      <w:pPr>
        <w:pStyle w:val="VAHeadingLevel2"/>
      </w:pPr>
    </w:p>
    <w:p w14:paraId="5A164C9B" w14:textId="2EBF9A34" w:rsidR="003B50C8" w:rsidRPr="00AF00B3" w:rsidRDefault="003B50C8" w:rsidP="00B05542">
      <w:pPr>
        <w:pStyle w:val="VAHeadingLevel2"/>
      </w:pPr>
      <w:r w:rsidRPr="00AF00B3">
        <w:t>Note 4</w:t>
      </w:r>
      <w:r w:rsidR="00E23DFB">
        <w:t>2</w:t>
      </w:r>
      <w:r w:rsidRPr="00AF00B3">
        <w:t xml:space="preserve">. </w:t>
      </w:r>
      <w:r w:rsidR="00662476" w:rsidRPr="00AF00B3">
        <w:t>Long Term Borrowing</w:t>
      </w:r>
    </w:p>
    <w:p w14:paraId="5F7D78F8" w14:textId="589940E3" w:rsidR="00C30DC3" w:rsidRPr="00E063F4" w:rsidRDefault="00C30DC3" w:rsidP="002A1ADD">
      <w:pPr>
        <w:pStyle w:val="VAHeadingLevel2"/>
        <w:rPr>
          <w:rFonts w:eastAsiaTheme="minorHAnsi"/>
        </w:rPr>
      </w:pPr>
    </w:p>
    <w:tbl>
      <w:tblPr>
        <w:tblW w:w="5000" w:type="pct"/>
        <w:tblLook w:val="04A0" w:firstRow="1" w:lastRow="0" w:firstColumn="1" w:lastColumn="0" w:noHBand="0" w:noVBand="1"/>
      </w:tblPr>
      <w:tblGrid>
        <w:gridCol w:w="2579"/>
        <w:gridCol w:w="5219"/>
        <w:gridCol w:w="2577"/>
      </w:tblGrid>
      <w:tr w:rsidR="00C30DC3" w:rsidRPr="00C30DC3" w14:paraId="7D67A2F0" w14:textId="77777777" w:rsidTr="008956AC">
        <w:trPr>
          <w:divId w:val="1930307912"/>
          <w:trHeight w:val="290"/>
        </w:trPr>
        <w:tc>
          <w:tcPr>
            <w:tcW w:w="1243" w:type="pct"/>
            <w:tcBorders>
              <w:top w:val="nil"/>
              <w:left w:val="nil"/>
              <w:bottom w:val="nil"/>
              <w:right w:val="nil"/>
            </w:tcBorders>
            <w:shd w:val="clear" w:color="000000" w:fill="AB2328"/>
            <w:noWrap/>
            <w:hideMark/>
          </w:tcPr>
          <w:p w14:paraId="544F59C7" w14:textId="40BE4C2F"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2515" w:type="pct"/>
            <w:tcBorders>
              <w:top w:val="nil"/>
              <w:left w:val="nil"/>
              <w:bottom w:val="nil"/>
              <w:right w:val="nil"/>
            </w:tcBorders>
            <w:shd w:val="clear" w:color="000000" w:fill="AB2328"/>
            <w:noWrap/>
            <w:hideMark/>
          </w:tcPr>
          <w:p w14:paraId="03341571"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243" w:type="pct"/>
            <w:tcBorders>
              <w:top w:val="nil"/>
              <w:left w:val="nil"/>
              <w:bottom w:val="nil"/>
              <w:right w:val="nil"/>
            </w:tcBorders>
            <w:shd w:val="clear" w:color="000000" w:fill="AB2328"/>
            <w:noWrap/>
            <w:hideMark/>
          </w:tcPr>
          <w:p w14:paraId="002743FB"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12BB3C46" w14:textId="77777777" w:rsidTr="008956AC">
        <w:trPr>
          <w:divId w:val="1930307912"/>
          <w:trHeight w:val="290"/>
        </w:trPr>
        <w:tc>
          <w:tcPr>
            <w:tcW w:w="1243" w:type="pct"/>
            <w:tcBorders>
              <w:top w:val="nil"/>
              <w:left w:val="nil"/>
              <w:bottom w:val="nil"/>
              <w:right w:val="nil"/>
            </w:tcBorders>
            <w:shd w:val="clear" w:color="000000" w:fill="AB2328"/>
            <w:noWrap/>
            <w:hideMark/>
          </w:tcPr>
          <w:p w14:paraId="0BE2CF3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2515" w:type="pct"/>
            <w:tcBorders>
              <w:top w:val="nil"/>
              <w:left w:val="nil"/>
              <w:bottom w:val="nil"/>
              <w:right w:val="nil"/>
            </w:tcBorders>
            <w:shd w:val="clear" w:color="000000" w:fill="AB2328"/>
            <w:noWrap/>
            <w:hideMark/>
          </w:tcPr>
          <w:p w14:paraId="17342835"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243" w:type="pct"/>
            <w:tcBorders>
              <w:top w:val="nil"/>
              <w:left w:val="nil"/>
              <w:bottom w:val="nil"/>
              <w:right w:val="nil"/>
            </w:tcBorders>
            <w:shd w:val="clear" w:color="000000" w:fill="AB2328"/>
            <w:noWrap/>
            <w:hideMark/>
          </w:tcPr>
          <w:p w14:paraId="46F727B6"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04602F66" w14:textId="77777777" w:rsidTr="008956AC">
        <w:trPr>
          <w:divId w:val="1930307912"/>
          <w:trHeight w:val="290"/>
        </w:trPr>
        <w:tc>
          <w:tcPr>
            <w:tcW w:w="1243" w:type="pct"/>
            <w:tcBorders>
              <w:top w:val="nil"/>
              <w:left w:val="nil"/>
              <w:bottom w:val="nil"/>
              <w:right w:val="nil"/>
            </w:tcBorders>
            <w:shd w:val="clear" w:color="000000" w:fill="FFFFFF"/>
            <w:noWrap/>
            <w:hideMark/>
          </w:tcPr>
          <w:p w14:paraId="34040406"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(3,060)</w:t>
            </w:r>
          </w:p>
        </w:tc>
        <w:tc>
          <w:tcPr>
            <w:tcW w:w="2515" w:type="pct"/>
            <w:tcBorders>
              <w:top w:val="nil"/>
              <w:left w:val="nil"/>
              <w:bottom w:val="nil"/>
              <w:right w:val="nil"/>
            </w:tcBorders>
            <w:shd w:val="clear" w:color="000000" w:fill="FFFFFF"/>
            <w:hideMark/>
          </w:tcPr>
          <w:p w14:paraId="191B35AB"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PWLB Loan</w:t>
            </w:r>
          </w:p>
        </w:tc>
        <w:tc>
          <w:tcPr>
            <w:tcW w:w="1243" w:type="pct"/>
            <w:tcBorders>
              <w:top w:val="nil"/>
              <w:left w:val="nil"/>
              <w:bottom w:val="nil"/>
              <w:right w:val="nil"/>
            </w:tcBorders>
            <w:shd w:val="clear" w:color="000000" w:fill="FFE1E1"/>
            <w:noWrap/>
            <w:hideMark/>
          </w:tcPr>
          <w:p w14:paraId="43E6B2A5"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(2,977)</w:t>
            </w:r>
          </w:p>
        </w:tc>
      </w:tr>
      <w:tr w:rsidR="00C30DC3" w:rsidRPr="00C30DC3" w14:paraId="50239000" w14:textId="77777777" w:rsidTr="008956AC">
        <w:trPr>
          <w:divId w:val="1930307912"/>
          <w:trHeight w:val="290"/>
        </w:trPr>
        <w:tc>
          <w:tcPr>
            <w:tcW w:w="1243" w:type="pct"/>
            <w:tcBorders>
              <w:top w:val="single" w:sz="4" w:space="0" w:color="auto"/>
              <w:left w:val="nil"/>
              <w:bottom w:val="single" w:sz="4" w:space="0" w:color="auto"/>
              <w:right w:val="nil"/>
            </w:tcBorders>
            <w:shd w:val="clear" w:color="000000" w:fill="FFFFFF"/>
            <w:noWrap/>
            <w:hideMark/>
          </w:tcPr>
          <w:p w14:paraId="79070C28"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(3,060)</w:t>
            </w:r>
          </w:p>
        </w:tc>
        <w:tc>
          <w:tcPr>
            <w:tcW w:w="2515" w:type="pct"/>
            <w:tcBorders>
              <w:top w:val="single" w:sz="4" w:space="0" w:color="auto"/>
              <w:left w:val="nil"/>
              <w:bottom w:val="single" w:sz="4" w:space="0" w:color="auto"/>
              <w:right w:val="nil"/>
            </w:tcBorders>
            <w:shd w:val="clear" w:color="000000" w:fill="FFFFFF"/>
            <w:noWrap/>
            <w:hideMark/>
          </w:tcPr>
          <w:p w14:paraId="1E6A4BE6"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Total Long Term Borrowing</w:t>
            </w:r>
          </w:p>
        </w:tc>
        <w:tc>
          <w:tcPr>
            <w:tcW w:w="1243" w:type="pct"/>
            <w:tcBorders>
              <w:top w:val="single" w:sz="4" w:space="0" w:color="auto"/>
              <w:left w:val="nil"/>
              <w:bottom w:val="single" w:sz="4" w:space="0" w:color="auto"/>
              <w:right w:val="nil"/>
            </w:tcBorders>
            <w:shd w:val="clear" w:color="000000" w:fill="FFE1E1"/>
            <w:noWrap/>
            <w:hideMark/>
          </w:tcPr>
          <w:p w14:paraId="6EEE89A6"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(2,977)</w:t>
            </w:r>
          </w:p>
        </w:tc>
      </w:tr>
    </w:tbl>
    <w:p w14:paraId="22AD433B" w14:textId="7E13CC80" w:rsidR="00662476" w:rsidRDefault="00662476" w:rsidP="002A1ADD">
      <w:pPr>
        <w:pStyle w:val="VAHeadingLevel2"/>
      </w:pPr>
    </w:p>
    <w:p w14:paraId="4F9FB447" w14:textId="77777777" w:rsidR="00087EA3" w:rsidRDefault="00087EA3" w:rsidP="002A1ADD">
      <w:pPr>
        <w:pStyle w:val="VAHeadingLevel2"/>
      </w:pPr>
    </w:p>
    <w:p w14:paraId="25FA073E" w14:textId="77777777" w:rsidR="00087EA3" w:rsidRDefault="00087EA3" w:rsidP="002A1ADD">
      <w:pPr>
        <w:pStyle w:val="VAHeadingLevel2"/>
      </w:pPr>
    </w:p>
    <w:p w14:paraId="5B4647FC" w14:textId="77777777" w:rsidR="00087EA3" w:rsidRDefault="00087EA3" w:rsidP="002A1ADD">
      <w:pPr>
        <w:pStyle w:val="VAHeadingLevel2"/>
      </w:pPr>
    </w:p>
    <w:p w14:paraId="069901CD" w14:textId="77777777" w:rsidR="00087EA3" w:rsidRDefault="00087EA3" w:rsidP="002A1ADD">
      <w:pPr>
        <w:pStyle w:val="VAHeadingLevel2"/>
      </w:pPr>
    </w:p>
    <w:p w14:paraId="518F233B" w14:textId="77777777" w:rsidR="00087EA3" w:rsidRDefault="00087EA3" w:rsidP="002A1ADD">
      <w:pPr>
        <w:pStyle w:val="VAHeadingLevel2"/>
      </w:pPr>
    </w:p>
    <w:p w14:paraId="56572EF3" w14:textId="0D793FC5" w:rsidR="00B531BC" w:rsidRPr="00AF00B3" w:rsidRDefault="0026005A" w:rsidP="002A1ADD">
      <w:pPr>
        <w:pStyle w:val="VAHeadingLevel2"/>
      </w:pPr>
      <w:r w:rsidRPr="00AF00B3">
        <w:lastRenderedPageBreak/>
        <w:t>Note 4</w:t>
      </w:r>
      <w:r w:rsidR="00E23DFB">
        <w:t>3</w:t>
      </w:r>
      <w:r w:rsidRPr="00AF00B3">
        <w:t>. Other</w:t>
      </w:r>
      <w:r w:rsidR="00145782" w:rsidRPr="00AF00B3">
        <w:t xml:space="preserve"> Long Term Liabilities</w:t>
      </w:r>
    </w:p>
    <w:p w14:paraId="27E4488F" w14:textId="7F9B9B2A" w:rsidR="00394461" w:rsidRDefault="00394461" w:rsidP="00394461">
      <w:r w:rsidRPr="00394461">
        <w:t>The Authority has other long term liabilities as below, which relate to pension</w:t>
      </w:r>
      <w:r w:rsidR="00FA3D80">
        <w:t xml:space="preserve"> and lease</w:t>
      </w:r>
      <w:r w:rsidR="00D17FB4">
        <w:t>s</w:t>
      </w:r>
      <w:r w:rsidRPr="00394461">
        <w:t xml:space="preserve"> liabilities estimated to fall due over the longer term.</w:t>
      </w:r>
    </w:p>
    <w:p w14:paraId="79265595" w14:textId="77777777" w:rsidR="00FC3BA8" w:rsidRDefault="00FC3BA8" w:rsidP="00394461"/>
    <w:p w14:paraId="1086B0A0" w14:textId="24F24A29" w:rsidR="00C30DC3" w:rsidRPr="00667A20" w:rsidRDefault="00C30DC3" w:rsidP="00A6442F">
      <w:pPr>
        <w:rPr>
          <w:rFonts w:cstheme="minorBidi"/>
          <w:sz w:val="8"/>
          <w:szCs w:val="8"/>
        </w:rPr>
      </w:pPr>
    </w:p>
    <w:tbl>
      <w:tblPr>
        <w:tblW w:w="5000" w:type="pct"/>
        <w:tblLook w:val="04A0" w:firstRow="1" w:lastRow="0" w:firstColumn="1" w:lastColumn="0" w:noHBand="0" w:noVBand="1"/>
      </w:tblPr>
      <w:tblGrid>
        <w:gridCol w:w="2579"/>
        <w:gridCol w:w="5219"/>
        <w:gridCol w:w="2577"/>
      </w:tblGrid>
      <w:tr w:rsidR="00C30DC3" w:rsidRPr="00C30DC3" w14:paraId="508BD7A3" w14:textId="77777777" w:rsidTr="008956AC">
        <w:trPr>
          <w:divId w:val="1217623934"/>
          <w:trHeight w:val="290"/>
        </w:trPr>
        <w:tc>
          <w:tcPr>
            <w:tcW w:w="1243" w:type="pct"/>
            <w:tcBorders>
              <w:top w:val="nil"/>
              <w:left w:val="nil"/>
              <w:bottom w:val="nil"/>
              <w:right w:val="nil"/>
            </w:tcBorders>
            <w:shd w:val="clear" w:color="000000" w:fill="AB2328"/>
            <w:noWrap/>
            <w:hideMark/>
          </w:tcPr>
          <w:p w14:paraId="4BC03D8A" w14:textId="77444136"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2024</w:t>
            </w:r>
          </w:p>
        </w:tc>
        <w:tc>
          <w:tcPr>
            <w:tcW w:w="2515" w:type="pct"/>
            <w:tcBorders>
              <w:top w:val="nil"/>
              <w:left w:val="nil"/>
              <w:bottom w:val="nil"/>
              <w:right w:val="nil"/>
            </w:tcBorders>
            <w:shd w:val="clear" w:color="000000" w:fill="AB2328"/>
            <w:noWrap/>
            <w:hideMark/>
          </w:tcPr>
          <w:p w14:paraId="2905C55B"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243" w:type="pct"/>
            <w:tcBorders>
              <w:top w:val="nil"/>
              <w:left w:val="nil"/>
              <w:bottom w:val="nil"/>
              <w:right w:val="nil"/>
            </w:tcBorders>
            <w:shd w:val="clear" w:color="000000" w:fill="AB2328"/>
            <w:noWrap/>
            <w:hideMark/>
          </w:tcPr>
          <w:p w14:paraId="5D70EEF3"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31 March 2025</w:t>
            </w:r>
          </w:p>
        </w:tc>
      </w:tr>
      <w:tr w:rsidR="00C30DC3" w:rsidRPr="00C30DC3" w14:paraId="7094CA92" w14:textId="77777777" w:rsidTr="008956AC">
        <w:trPr>
          <w:divId w:val="1217623934"/>
          <w:trHeight w:val="290"/>
        </w:trPr>
        <w:tc>
          <w:tcPr>
            <w:tcW w:w="1243" w:type="pct"/>
            <w:tcBorders>
              <w:top w:val="nil"/>
              <w:left w:val="nil"/>
              <w:bottom w:val="nil"/>
              <w:right w:val="nil"/>
            </w:tcBorders>
            <w:shd w:val="clear" w:color="000000" w:fill="AB2328"/>
            <w:noWrap/>
            <w:hideMark/>
          </w:tcPr>
          <w:p w14:paraId="1FDC6F9E"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c>
          <w:tcPr>
            <w:tcW w:w="2515" w:type="pct"/>
            <w:tcBorders>
              <w:top w:val="nil"/>
              <w:left w:val="nil"/>
              <w:bottom w:val="nil"/>
              <w:right w:val="nil"/>
            </w:tcBorders>
            <w:shd w:val="clear" w:color="000000" w:fill="AB2328"/>
            <w:noWrap/>
            <w:hideMark/>
          </w:tcPr>
          <w:p w14:paraId="66B2CD59"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243" w:type="pct"/>
            <w:tcBorders>
              <w:top w:val="nil"/>
              <w:left w:val="nil"/>
              <w:bottom w:val="nil"/>
              <w:right w:val="nil"/>
            </w:tcBorders>
            <w:shd w:val="clear" w:color="000000" w:fill="AB2328"/>
            <w:noWrap/>
            <w:hideMark/>
          </w:tcPr>
          <w:p w14:paraId="747CBE13"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£000</w:t>
            </w:r>
          </w:p>
        </w:tc>
      </w:tr>
      <w:tr w:rsidR="00C30DC3" w:rsidRPr="00C30DC3" w14:paraId="41EE87BB" w14:textId="77777777" w:rsidTr="008956AC">
        <w:trPr>
          <w:divId w:val="1217623934"/>
          <w:trHeight w:val="290"/>
        </w:trPr>
        <w:tc>
          <w:tcPr>
            <w:tcW w:w="1243" w:type="pct"/>
            <w:tcBorders>
              <w:top w:val="nil"/>
              <w:left w:val="nil"/>
              <w:bottom w:val="nil"/>
              <w:right w:val="nil"/>
            </w:tcBorders>
            <w:shd w:val="clear" w:color="000000" w:fill="FFFFFF"/>
            <w:noWrap/>
            <w:hideMark/>
          </w:tcPr>
          <w:p w14:paraId="172C43FE"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(245,881)</w:t>
            </w:r>
          </w:p>
        </w:tc>
        <w:tc>
          <w:tcPr>
            <w:tcW w:w="2515" w:type="pct"/>
            <w:tcBorders>
              <w:top w:val="nil"/>
              <w:left w:val="nil"/>
              <w:bottom w:val="nil"/>
              <w:right w:val="nil"/>
            </w:tcBorders>
            <w:shd w:val="clear" w:color="000000" w:fill="FFFFFF"/>
            <w:hideMark/>
          </w:tcPr>
          <w:p w14:paraId="183931FB"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Pension Liabilities</w:t>
            </w:r>
          </w:p>
        </w:tc>
        <w:tc>
          <w:tcPr>
            <w:tcW w:w="1243" w:type="pct"/>
            <w:tcBorders>
              <w:top w:val="nil"/>
              <w:left w:val="nil"/>
              <w:bottom w:val="nil"/>
              <w:right w:val="nil"/>
            </w:tcBorders>
            <w:shd w:val="clear" w:color="000000" w:fill="FFE1E1"/>
            <w:noWrap/>
            <w:hideMark/>
          </w:tcPr>
          <w:p w14:paraId="653F2154"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(222,470)</w:t>
            </w:r>
          </w:p>
        </w:tc>
      </w:tr>
      <w:tr w:rsidR="00C71BA5" w:rsidRPr="00C30DC3" w14:paraId="05702E20" w14:textId="77777777" w:rsidTr="008956AC">
        <w:trPr>
          <w:divId w:val="1217623934"/>
          <w:trHeight w:val="290"/>
        </w:trPr>
        <w:tc>
          <w:tcPr>
            <w:tcW w:w="1243" w:type="pct"/>
            <w:tcBorders>
              <w:top w:val="nil"/>
              <w:left w:val="nil"/>
              <w:bottom w:val="nil"/>
              <w:right w:val="nil"/>
            </w:tcBorders>
            <w:shd w:val="clear" w:color="000000" w:fill="FFFFFF"/>
            <w:noWrap/>
          </w:tcPr>
          <w:p w14:paraId="37ECCCE8" w14:textId="4A854C42" w:rsidR="00C71BA5" w:rsidRPr="00C30DC3" w:rsidRDefault="00EC7CE2" w:rsidP="00C30DC3">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2515" w:type="pct"/>
            <w:tcBorders>
              <w:top w:val="nil"/>
              <w:left w:val="nil"/>
              <w:bottom w:val="nil"/>
              <w:right w:val="nil"/>
            </w:tcBorders>
            <w:shd w:val="clear" w:color="000000" w:fill="FFFFFF"/>
          </w:tcPr>
          <w:p w14:paraId="127DBFAB" w14:textId="5C35C222" w:rsidR="00C71BA5" w:rsidRPr="00C30DC3" w:rsidRDefault="00ED1463" w:rsidP="00C30DC3">
            <w:pPr>
              <w:spacing w:line="240" w:lineRule="auto"/>
              <w:jc w:val="left"/>
              <w:rPr>
                <w:rFonts w:ascii="Calibri" w:eastAsia="Times New Roman" w:hAnsi="Calibri" w:cs="Calibri"/>
                <w:color w:val="000000"/>
                <w:lang w:eastAsia="en-GB"/>
              </w:rPr>
            </w:pPr>
            <w:r>
              <w:rPr>
                <w:rFonts w:ascii="Calibri" w:eastAsia="Times New Roman" w:hAnsi="Calibri" w:cs="Calibri"/>
                <w:color w:val="000000"/>
                <w:lang w:eastAsia="en-GB"/>
              </w:rPr>
              <w:t>Long Term Lease Liabilities</w:t>
            </w:r>
          </w:p>
        </w:tc>
        <w:tc>
          <w:tcPr>
            <w:tcW w:w="1243" w:type="pct"/>
            <w:tcBorders>
              <w:top w:val="nil"/>
              <w:left w:val="nil"/>
              <w:bottom w:val="nil"/>
              <w:right w:val="nil"/>
            </w:tcBorders>
            <w:shd w:val="clear" w:color="000000" w:fill="FFE1E1"/>
            <w:noWrap/>
          </w:tcPr>
          <w:p w14:paraId="7D2EBF5C" w14:textId="48E6FD44" w:rsidR="00C71BA5" w:rsidRPr="00C30DC3" w:rsidRDefault="00ED1463" w:rsidP="00C30DC3">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(84)</w:t>
            </w:r>
          </w:p>
        </w:tc>
      </w:tr>
      <w:tr w:rsidR="00C30DC3" w:rsidRPr="00C30DC3" w14:paraId="600634BF" w14:textId="77777777" w:rsidTr="008956AC">
        <w:trPr>
          <w:divId w:val="1217623934"/>
          <w:trHeight w:val="290"/>
        </w:trPr>
        <w:tc>
          <w:tcPr>
            <w:tcW w:w="1243" w:type="pct"/>
            <w:tcBorders>
              <w:top w:val="single" w:sz="4" w:space="0" w:color="auto"/>
              <w:left w:val="nil"/>
              <w:bottom w:val="single" w:sz="4" w:space="0" w:color="auto"/>
              <w:right w:val="nil"/>
            </w:tcBorders>
            <w:shd w:val="clear" w:color="000000" w:fill="FFFFFF"/>
            <w:noWrap/>
            <w:hideMark/>
          </w:tcPr>
          <w:p w14:paraId="76D9E034" w14:textId="77777777"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(245,881)</w:t>
            </w:r>
          </w:p>
        </w:tc>
        <w:tc>
          <w:tcPr>
            <w:tcW w:w="2515" w:type="pct"/>
            <w:tcBorders>
              <w:top w:val="single" w:sz="4" w:space="0" w:color="auto"/>
              <w:left w:val="nil"/>
              <w:bottom w:val="single" w:sz="4" w:space="0" w:color="auto"/>
              <w:right w:val="nil"/>
            </w:tcBorders>
            <w:shd w:val="clear" w:color="000000" w:fill="FFFFFF"/>
            <w:noWrap/>
            <w:hideMark/>
          </w:tcPr>
          <w:p w14:paraId="1F7B31D7" w14:textId="77777777" w:rsidR="00C30DC3" w:rsidRPr="00C30DC3" w:rsidRDefault="00C30DC3" w:rsidP="00C30DC3">
            <w:pPr>
              <w:spacing w:line="240" w:lineRule="auto"/>
              <w:jc w:val="left"/>
              <w:rPr>
                <w:rFonts w:ascii="Calibri" w:eastAsia="Times New Roman" w:hAnsi="Calibri" w:cs="Calibri"/>
                <w:b/>
                <w:bCs/>
                <w:lang w:eastAsia="en-GB"/>
              </w:rPr>
            </w:pPr>
            <w:r w:rsidRPr="00C30DC3">
              <w:rPr>
                <w:rFonts w:ascii="Calibri" w:eastAsia="Times New Roman" w:hAnsi="Calibri" w:cs="Calibri"/>
                <w:b/>
                <w:bCs/>
                <w:lang w:eastAsia="en-GB"/>
              </w:rPr>
              <w:t>Total Long Term Liabilities</w:t>
            </w:r>
          </w:p>
        </w:tc>
        <w:tc>
          <w:tcPr>
            <w:tcW w:w="1243" w:type="pct"/>
            <w:tcBorders>
              <w:top w:val="single" w:sz="4" w:space="0" w:color="auto"/>
              <w:left w:val="nil"/>
              <w:bottom w:val="single" w:sz="4" w:space="0" w:color="auto"/>
              <w:right w:val="nil"/>
            </w:tcBorders>
            <w:shd w:val="clear" w:color="000000" w:fill="FFE1E1"/>
            <w:noWrap/>
            <w:hideMark/>
          </w:tcPr>
          <w:p w14:paraId="5433BDD3" w14:textId="49B98128" w:rsidR="00C30DC3" w:rsidRPr="00C30DC3" w:rsidRDefault="00C30DC3" w:rsidP="00C30DC3">
            <w:pPr>
              <w:spacing w:line="240" w:lineRule="auto"/>
              <w:jc w:val="right"/>
              <w:rPr>
                <w:rFonts w:ascii="Calibri" w:eastAsia="Times New Roman" w:hAnsi="Calibri" w:cs="Calibri"/>
                <w:b/>
                <w:bCs/>
                <w:lang w:eastAsia="en-GB"/>
              </w:rPr>
            </w:pPr>
            <w:r w:rsidRPr="00C30DC3">
              <w:rPr>
                <w:rFonts w:ascii="Calibri" w:eastAsia="Times New Roman" w:hAnsi="Calibri" w:cs="Calibri"/>
                <w:b/>
                <w:bCs/>
                <w:lang w:eastAsia="en-GB"/>
              </w:rPr>
              <w:t>(222,</w:t>
            </w:r>
            <w:r w:rsidR="00ED1463">
              <w:rPr>
                <w:rFonts w:ascii="Calibri" w:eastAsia="Times New Roman" w:hAnsi="Calibri" w:cs="Calibri"/>
                <w:b/>
                <w:bCs/>
                <w:lang w:eastAsia="en-GB"/>
              </w:rPr>
              <w:t>554</w:t>
            </w:r>
            <w:r w:rsidRPr="00C30DC3">
              <w:rPr>
                <w:rFonts w:ascii="Calibri" w:eastAsia="Times New Roman" w:hAnsi="Calibri" w:cs="Calibri"/>
                <w:b/>
                <w:bCs/>
                <w:lang w:eastAsia="en-GB"/>
              </w:rPr>
              <w:t>)</w:t>
            </w:r>
          </w:p>
        </w:tc>
      </w:tr>
    </w:tbl>
    <w:p w14:paraId="700BB787" w14:textId="77777777" w:rsidR="002E4240" w:rsidRDefault="002E4240">
      <w:pPr>
        <w:spacing w:after="160"/>
        <w:jc w:val="left"/>
        <w:rPr>
          <w:rFonts w:eastAsia="Calibri"/>
          <w:bCs/>
          <w:smallCaps/>
          <w:color w:val="AB2328"/>
          <w:sz w:val="32"/>
          <w:szCs w:val="24"/>
        </w:rPr>
      </w:pPr>
      <w:r>
        <w:rPr>
          <w:color w:val="AB2328"/>
        </w:rPr>
        <w:br w:type="page"/>
      </w:r>
    </w:p>
    <w:p w14:paraId="05CFAB8C" w14:textId="61E6D87A" w:rsidR="0079406E" w:rsidRPr="00B05542" w:rsidRDefault="00F2288A" w:rsidP="00B05542">
      <w:pPr>
        <w:pStyle w:val="VAHeading"/>
      </w:pPr>
      <w:r w:rsidRPr="00B05542">
        <w:lastRenderedPageBreak/>
        <w:t xml:space="preserve">Firefighters’ Pension Fund Account </w:t>
      </w:r>
    </w:p>
    <w:p w14:paraId="1D60128C" w14:textId="67344D67" w:rsidR="00690669" w:rsidRPr="00AF00B3" w:rsidRDefault="00F2288A" w:rsidP="002A1ADD">
      <w:pPr>
        <w:pStyle w:val="VAHeadingLevel2"/>
      </w:pPr>
      <w:r w:rsidRPr="00AF00B3">
        <w:t>For The Year Ended 31 March 202</w:t>
      </w:r>
      <w:r w:rsidR="006A6464" w:rsidRPr="00AF00B3">
        <w:t>5</w:t>
      </w:r>
    </w:p>
    <w:p w14:paraId="7DAD66D7" w14:textId="533F3763" w:rsidR="00C30DC3" w:rsidRDefault="00C30DC3" w:rsidP="00A6442F">
      <w:pPr>
        <w:rPr>
          <w:rFonts w:cstheme="minorBidi"/>
        </w:rPr>
      </w:pPr>
    </w:p>
    <w:tbl>
      <w:tblPr>
        <w:tblW w:w="5000" w:type="pct"/>
        <w:tblLook w:val="04A0" w:firstRow="1" w:lastRow="0" w:firstColumn="1" w:lastColumn="0" w:noHBand="0" w:noVBand="1"/>
      </w:tblPr>
      <w:tblGrid>
        <w:gridCol w:w="1715"/>
        <w:gridCol w:w="487"/>
        <w:gridCol w:w="5179"/>
        <w:gridCol w:w="1434"/>
        <w:gridCol w:w="1560"/>
      </w:tblGrid>
      <w:tr w:rsidR="005A4B21" w:rsidRPr="005A4B21" w14:paraId="4518B4EE" w14:textId="77777777" w:rsidTr="00DF4C47">
        <w:trPr>
          <w:trHeight w:val="300"/>
        </w:trPr>
        <w:tc>
          <w:tcPr>
            <w:tcW w:w="826" w:type="pct"/>
            <w:tcBorders>
              <w:top w:val="nil"/>
              <w:left w:val="nil"/>
              <w:bottom w:val="nil"/>
              <w:right w:val="nil"/>
            </w:tcBorders>
            <w:shd w:val="clear" w:color="000000" w:fill="AB2328"/>
            <w:noWrap/>
            <w:vAlign w:val="bottom"/>
            <w:hideMark/>
          </w:tcPr>
          <w:p w14:paraId="2A8B76B2"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2023/24</w:t>
            </w:r>
          </w:p>
        </w:tc>
        <w:tc>
          <w:tcPr>
            <w:tcW w:w="234" w:type="pct"/>
            <w:tcBorders>
              <w:top w:val="nil"/>
              <w:left w:val="nil"/>
              <w:bottom w:val="nil"/>
              <w:right w:val="nil"/>
            </w:tcBorders>
            <w:shd w:val="clear" w:color="000000" w:fill="AB2328"/>
            <w:noWrap/>
            <w:vAlign w:val="bottom"/>
            <w:hideMark/>
          </w:tcPr>
          <w:p w14:paraId="43556720"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 </w:t>
            </w:r>
          </w:p>
        </w:tc>
        <w:tc>
          <w:tcPr>
            <w:tcW w:w="2496" w:type="pct"/>
            <w:tcBorders>
              <w:top w:val="nil"/>
              <w:left w:val="nil"/>
              <w:bottom w:val="nil"/>
              <w:right w:val="nil"/>
            </w:tcBorders>
            <w:shd w:val="clear" w:color="000000" w:fill="AB2328"/>
            <w:noWrap/>
            <w:vAlign w:val="bottom"/>
            <w:hideMark/>
          </w:tcPr>
          <w:p w14:paraId="3E621602"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 </w:t>
            </w:r>
          </w:p>
        </w:tc>
        <w:tc>
          <w:tcPr>
            <w:tcW w:w="691" w:type="pct"/>
            <w:tcBorders>
              <w:top w:val="nil"/>
              <w:left w:val="nil"/>
              <w:bottom w:val="nil"/>
              <w:right w:val="nil"/>
            </w:tcBorders>
            <w:shd w:val="clear" w:color="000000" w:fill="AB2328"/>
            <w:noWrap/>
            <w:vAlign w:val="bottom"/>
            <w:hideMark/>
          </w:tcPr>
          <w:p w14:paraId="53F32D55"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 </w:t>
            </w:r>
          </w:p>
        </w:tc>
        <w:tc>
          <w:tcPr>
            <w:tcW w:w="752" w:type="pct"/>
            <w:tcBorders>
              <w:top w:val="nil"/>
              <w:left w:val="nil"/>
              <w:bottom w:val="nil"/>
              <w:right w:val="nil"/>
            </w:tcBorders>
            <w:shd w:val="clear" w:color="000000" w:fill="AB2328"/>
            <w:noWrap/>
            <w:vAlign w:val="bottom"/>
            <w:hideMark/>
          </w:tcPr>
          <w:p w14:paraId="331EF138"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2024/25</w:t>
            </w:r>
          </w:p>
        </w:tc>
      </w:tr>
      <w:tr w:rsidR="005A4B21" w:rsidRPr="005A4B21" w14:paraId="36F38BDA" w14:textId="77777777" w:rsidTr="00DF4C47">
        <w:trPr>
          <w:trHeight w:val="300"/>
        </w:trPr>
        <w:tc>
          <w:tcPr>
            <w:tcW w:w="826" w:type="pct"/>
            <w:tcBorders>
              <w:top w:val="nil"/>
              <w:left w:val="nil"/>
              <w:bottom w:val="nil"/>
              <w:right w:val="nil"/>
            </w:tcBorders>
            <w:shd w:val="clear" w:color="000000" w:fill="AB2328"/>
            <w:noWrap/>
            <w:vAlign w:val="bottom"/>
            <w:hideMark/>
          </w:tcPr>
          <w:p w14:paraId="5FE1E227"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£000</w:t>
            </w:r>
          </w:p>
        </w:tc>
        <w:tc>
          <w:tcPr>
            <w:tcW w:w="234" w:type="pct"/>
            <w:tcBorders>
              <w:top w:val="nil"/>
              <w:left w:val="nil"/>
              <w:bottom w:val="nil"/>
              <w:right w:val="nil"/>
            </w:tcBorders>
            <w:shd w:val="clear" w:color="000000" w:fill="AB2328"/>
            <w:noWrap/>
            <w:vAlign w:val="bottom"/>
            <w:hideMark/>
          </w:tcPr>
          <w:p w14:paraId="77ADEE3F" w14:textId="77777777" w:rsidR="005A4B21" w:rsidRPr="005A4B21" w:rsidRDefault="005A4B21" w:rsidP="005A4B21">
            <w:pPr>
              <w:spacing w:line="240" w:lineRule="auto"/>
              <w:jc w:val="lef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 </w:t>
            </w:r>
          </w:p>
        </w:tc>
        <w:tc>
          <w:tcPr>
            <w:tcW w:w="2496" w:type="pct"/>
            <w:tcBorders>
              <w:top w:val="nil"/>
              <w:left w:val="nil"/>
              <w:bottom w:val="nil"/>
              <w:right w:val="nil"/>
            </w:tcBorders>
            <w:shd w:val="clear" w:color="000000" w:fill="AB2328"/>
            <w:noWrap/>
            <w:vAlign w:val="bottom"/>
            <w:hideMark/>
          </w:tcPr>
          <w:p w14:paraId="6699DF4B" w14:textId="77777777" w:rsidR="005A4B21" w:rsidRPr="005A4B21" w:rsidRDefault="005A4B21" w:rsidP="005A4B21">
            <w:pPr>
              <w:spacing w:line="240" w:lineRule="auto"/>
              <w:jc w:val="lef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 </w:t>
            </w:r>
          </w:p>
        </w:tc>
        <w:tc>
          <w:tcPr>
            <w:tcW w:w="691" w:type="pct"/>
            <w:tcBorders>
              <w:top w:val="nil"/>
              <w:left w:val="nil"/>
              <w:bottom w:val="nil"/>
              <w:right w:val="nil"/>
            </w:tcBorders>
            <w:shd w:val="clear" w:color="000000" w:fill="AB2328"/>
            <w:noWrap/>
            <w:vAlign w:val="bottom"/>
            <w:hideMark/>
          </w:tcPr>
          <w:p w14:paraId="38183C8E"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Note</w:t>
            </w:r>
          </w:p>
        </w:tc>
        <w:tc>
          <w:tcPr>
            <w:tcW w:w="752" w:type="pct"/>
            <w:tcBorders>
              <w:top w:val="nil"/>
              <w:left w:val="nil"/>
              <w:bottom w:val="nil"/>
              <w:right w:val="nil"/>
            </w:tcBorders>
            <w:shd w:val="clear" w:color="000000" w:fill="AB2328"/>
            <w:noWrap/>
            <w:vAlign w:val="bottom"/>
            <w:hideMark/>
          </w:tcPr>
          <w:p w14:paraId="14D7D42D" w14:textId="77777777" w:rsidR="005A4B21" w:rsidRPr="005A4B21" w:rsidRDefault="005A4B21" w:rsidP="005A4B21">
            <w:pPr>
              <w:spacing w:line="240" w:lineRule="auto"/>
              <w:jc w:val="right"/>
              <w:rPr>
                <w:rFonts w:ascii="Calibri" w:eastAsia="Times New Roman" w:hAnsi="Calibri" w:cs="Calibri"/>
                <w:b/>
                <w:bCs/>
                <w:color w:val="FFFFFF"/>
                <w:lang w:eastAsia="en-GB"/>
              </w:rPr>
            </w:pPr>
            <w:r w:rsidRPr="005A4B21">
              <w:rPr>
                <w:rFonts w:ascii="Calibri" w:eastAsia="Times New Roman" w:hAnsi="Calibri" w:cs="Calibri"/>
                <w:b/>
                <w:bCs/>
                <w:color w:val="FFFFFF"/>
                <w:lang w:eastAsia="en-GB"/>
              </w:rPr>
              <w:t>£000</w:t>
            </w:r>
          </w:p>
        </w:tc>
      </w:tr>
      <w:tr w:rsidR="005A4B21" w:rsidRPr="005A4B21" w14:paraId="0DC8A744" w14:textId="77777777" w:rsidTr="00DF4C47">
        <w:trPr>
          <w:trHeight w:val="300"/>
        </w:trPr>
        <w:tc>
          <w:tcPr>
            <w:tcW w:w="826" w:type="pct"/>
            <w:tcBorders>
              <w:top w:val="nil"/>
              <w:left w:val="nil"/>
              <w:bottom w:val="nil"/>
              <w:right w:val="nil"/>
            </w:tcBorders>
            <w:shd w:val="clear" w:color="000000" w:fill="FFFFFF"/>
            <w:noWrap/>
            <w:hideMark/>
          </w:tcPr>
          <w:p w14:paraId="38490B4E"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65437265"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67887C55" w14:textId="77777777" w:rsidR="005A4B21" w:rsidRPr="005A4B21" w:rsidRDefault="005A4B21" w:rsidP="005A4B21">
            <w:pPr>
              <w:spacing w:line="240" w:lineRule="auto"/>
              <w:jc w:val="left"/>
              <w:rPr>
                <w:rFonts w:ascii="Calibri" w:eastAsia="Times New Roman" w:hAnsi="Calibri" w:cs="Calibri"/>
                <w:b/>
                <w:bCs/>
                <w:color w:val="000000"/>
                <w:u w:val="single"/>
                <w:lang w:eastAsia="en-GB"/>
              </w:rPr>
            </w:pPr>
            <w:r w:rsidRPr="005A4B21">
              <w:rPr>
                <w:rFonts w:ascii="Calibri" w:eastAsia="Times New Roman" w:hAnsi="Calibri" w:cs="Calibri"/>
                <w:b/>
                <w:bCs/>
                <w:color w:val="000000"/>
                <w:u w:val="single"/>
                <w:lang w:eastAsia="en-GB"/>
              </w:rPr>
              <w:t>Income to the Fund</w:t>
            </w:r>
          </w:p>
        </w:tc>
        <w:tc>
          <w:tcPr>
            <w:tcW w:w="691" w:type="pct"/>
            <w:tcBorders>
              <w:top w:val="nil"/>
              <w:left w:val="nil"/>
              <w:bottom w:val="nil"/>
              <w:right w:val="nil"/>
            </w:tcBorders>
            <w:shd w:val="clear" w:color="000000" w:fill="FFFFFF"/>
            <w:noWrap/>
            <w:hideMark/>
          </w:tcPr>
          <w:p w14:paraId="7A16BB71"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5521D3D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114A936E" w14:textId="77777777" w:rsidTr="00DF4C47">
        <w:trPr>
          <w:trHeight w:val="300"/>
        </w:trPr>
        <w:tc>
          <w:tcPr>
            <w:tcW w:w="826" w:type="pct"/>
            <w:tcBorders>
              <w:top w:val="nil"/>
              <w:left w:val="nil"/>
              <w:bottom w:val="nil"/>
              <w:right w:val="nil"/>
            </w:tcBorders>
            <w:shd w:val="clear" w:color="000000" w:fill="FFFFFF"/>
            <w:noWrap/>
            <w:hideMark/>
          </w:tcPr>
          <w:p w14:paraId="65C58C1B"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669CCEAF"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 </w:t>
            </w:r>
          </w:p>
        </w:tc>
        <w:tc>
          <w:tcPr>
            <w:tcW w:w="2496" w:type="pct"/>
            <w:tcBorders>
              <w:top w:val="nil"/>
              <w:left w:val="nil"/>
              <w:bottom w:val="nil"/>
              <w:right w:val="nil"/>
            </w:tcBorders>
            <w:shd w:val="clear" w:color="000000" w:fill="FFFFFF"/>
            <w:noWrap/>
            <w:hideMark/>
          </w:tcPr>
          <w:p w14:paraId="28B1F87A"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Contributions Receivable</w:t>
            </w:r>
          </w:p>
        </w:tc>
        <w:tc>
          <w:tcPr>
            <w:tcW w:w="691" w:type="pct"/>
            <w:tcBorders>
              <w:top w:val="nil"/>
              <w:left w:val="nil"/>
              <w:bottom w:val="nil"/>
              <w:right w:val="nil"/>
            </w:tcBorders>
            <w:shd w:val="clear" w:color="000000" w:fill="FFFFFF"/>
            <w:noWrap/>
            <w:hideMark/>
          </w:tcPr>
          <w:p w14:paraId="4E961F2F"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7037371F"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509C175C" w14:textId="77777777" w:rsidTr="00DF4C47">
        <w:trPr>
          <w:trHeight w:val="300"/>
        </w:trPr>
        <w:tc>
          <w:tcPr>
            <w:tcW w:w="826" w:type="pct"/>
            <w:tcBorders>
              <w:top w:val="nil"/>
              <w:left w:val="nil"/>
              <w:bottom w:val="nil"/>
              <w:right w:val="nil"/>
            </w:tcBorders>
            <w:shd w:val="clear" w:color="000000" w:fill="FFFFFF"/>
            <w:noWrap/>
            <w:hideMark/>
          </w:tcPr>
          <w:p w14:paraId="75069D7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19D44C35"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007C3C8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From Employer</w:t>
            </w:r>
          </w:p>
        </w:tc>
        <w:tc>
          <w:tcPr>
            <w:tcW w:w="691" w:type="pct"/>
            <w:tcBorders>
              <w:top w:val="nil"/>
              <w:left w:val="nil"/>
              <w:bottom w:val="nil"/>
              <w:right w:val="nil"/>
            </w:tcBorders>
            <w:shd w:val="clear" w:color="000000" w:fill="FFFFFF"/>
            <w:noWrap/>
            <w:hideMark/>
          </w:tcPr>
          <w:p w14:paraId="392B1ED9"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464B44D2"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5FD414FE" w14:textId="77777777" w:rsidTr="00DF4C47">
        <w:trPr>
          <w:trHeight w:val="300"/>
        </w:trPr>
        <w:tc>
          <w:tcPr>
            <w:tcW w:w="826" w:type="pct"/>
            <w:tcBorders>
              <w:top w:val="nil"/>
              <w:left w:val="nil"/>
              <w:bottom w:val="nil"/>
              <w:right w:val="nil"/>
            </w:tcBorders>
            <w:shd w:val="clear" w:color="000000" w:fill="FFFFFF"/>
            <w:noWrap/>
            <w:hideMark/>
          </w:tcPr>
          <w:p w14:paraId="0F3913EB"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(3,253)</w:t>
            </w:r>
          </w:p>
        </w:tc>
        <w:tc>
          <w:tcPr>
            <w:tcW w:w="234" w:type="pct"/>
            <w:tcBorders>
              <w:top w:val="nil"/>
              <w:left w:val="nil"/>
              <w:bottom w:val="nil"/>
              <w:right w:val="nil"/>
            </w:tcBorders>
            <w:shd w:val="clear" w:color="000000" w:fill="FFFFFF"/>
            <w:noWrap/>
            <w:hideMark/>
          </w:tcPr>
          <w:p w14:paraId="1BBDDCA4"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5DC630E1"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Normal Contributions</w:t>
            </w:r>
          </w:p>
        </w:tc>
        <w:tc>
          <w:tcPr>
            <w:tcW w:w="691" w:type="pct"/>
            <w:tcBorders>
              <w:top w:val="nil"/>
              <w:left w:val="nil"/>
              <w:bottom w:val="nil"/>
              <w:right w:val="nil"/>
            </w:tcBorders>
            <w:shd w:val="clear" w:color="000000" w:fill="FFFFFF"/>
            <w:noWrap/>
            <w:hideMark/>
          </w:tcPr>
          <w:p w14:paraId="174E1583"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xml:space="preserve">                      7 </w:t>
            </w:r>
          </w:p>
        </w:tc>
        <w:tc>
          <w:tcPr>
            <w:tcW w:w="752" w:type="pct"/>
            <w:tcBorders>
              <w:top w:val="nil"/>
              <w:left w:val="nil"/>
              <w:bottom w:val="nil"/>
              <w:right w:val="nil"/>
            </w:tcBorders>
            <w:shd w:val="clear" w:color="000000" w:fill="FFE1E1"/>
            <w:noWrap/>
            <w:hideMark/>
          </w:tcPr>
          <w:p w14:paraId="299BFA0A"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(4,754)</w:t>
            </w:r>
          </w:p>
        </w:tc>
      </w:tr>
      <w:tr w:rsidR="005A4B21" w:rsidRPr="005A4B21" w14:paraId="306968E0" w14:textId="77777777" w:rsidTr="00DF4C47">
        <w:trPr>
          <w:trHeight w:val="300"/>
        </w:trPr>
        <w:tc>
          <w:tcPr>
            <w:tcW w:w="826" w:type="pct"/>
            <w:tcBorders>
              <w:top w:val="nil"/>
              <w:left w:val="nil"/>
              <w:bottom w:val="nil"/>
              <w:right w:val="nil"/>
            </w:tcBorders>
            <w:shd w:val="clear" w:color="000000" w:fill="FFFFFF"/>
            <w:noWrap/>
            <w:hideMark/>
          </w:tcPr>
          <w:p w14:paraId="6636396D"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(1,457)</w:t>
            </w:r>
          </w:p>
        </w:tc>
        <w:tc>
          <w:tcPr>
            <w:tcW w:w="234" w:type="pct"/>
            <w:tcBorders>
              <w:top w:val="nil"/>
              <w:left w:val="nil"/>
              <w:bottom w:val="nil"/>
              <w:right w:val="nil"/>
            </w:tcBorders>
            <w:shd w:val="clear" w:color="000000" w:fill="FFFFFF"/>
            <w:noWrap/>
            <w:hideMark/>
          </w:tcPr>
          <w:p w14:paraId="4945ECAE"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1A95A023"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From Members</w:t>
            </w:r>
          </w:p>
        </w:tc>
        <w:tc>
          <w:tcPr>
            <w:tcW w:w="691" w:type="pct"/>
            <w:tcBorders>
              <w:top w:val="nil"/>
              <w:left w:val="nil"/>
              <w:bottom w:val="nil"/>
              <w:right w:val="nil"/>
            </w:tcBorders>
            <w:shd w:val="clear" w:color="000000" w:fill="FFFFFF"/>
            <w:noWrap/>
            <w:hideMark/>
          </w:tcPr>
          <w:p w14:paraId="792D18C8"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xml:space="preserve">                      9 </w:t>
            </w:r>
          </w:p>
        </w:tc>
        <w:tc>
          <w:tcPr>
            <w:tcW w:w="752" w:type="pct"/>
            <w:tcBorders>
              <w:top w:val="nil"/>
              <w:left w:val="nil"/>
              <w:bottom w:val="nil"/>
              <w:right w:val="nil"/>
            </w:tcBorders>
            <w:shd w:val="clear" w:color="000000" w:fill="FFE1E1"/>
            <w:noWrap/>
            <w:hideMark/>
          </w:tcPr>
          <w:p w14:paraId="521CA817"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(1,657)</w:t>
            </w:r>
          </w:p>
        </w:tc>
      </w:tr>
      <w:tr w:rsidR="005A4B21" w:rsidRPr="005A4B21" w14:paraId="42DE0BE9" w14:textId="77777777" w:rsidTr="00DF4C47">
        <w:trPr>
          <w:trHeight w:val="300"/>
        </w:trPr>
        <w:tc>
          <w:tcPr>
            <w:tcW w:w="826" w:type="pct"/>
            <w:tcBorders>
              <w:top w:val="nil"/>
              <w:left w:val="nil"/>
              <w:bottom w:val="nil"/>
              <w:right w:val="nil"/>
            </w:tcBorders>
            <w:shd w:val="clear" w:color="000000" w:fill="FFFFFF"/>
            <w:noWrap/>
            <w:hideMark/>
          </w:tcPr>
          <w:p w14:paraId="56E93024"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4AE8BBF4"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5D7F688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691" w:type="pct"/>
            <w:tcBorders>
              <w:top w:val="nil"/>
              <w:left w:val="nil"/>
              <w:bottom w:val="nil"/>
              <w:right w:val="nil"/>
            </w:tcBorders>
            <w:shd w:val="clear" w:color="000000" w:fill="FFFFFF"/>
            <w:noWrap/>
            <w:hideMark/>
          </w:tcPr>
          <w:p w14:paraId="7BDA5B5C"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02EFC17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5A9C1FB3" w14:textId="77777777" w:rsidTr="00DF4C47">
        <w:trPr>
          <w:trHeight w:val="300"/>
        </w:trPr>
        <w:tc>
          <w:tcPr>
            <w:tcW w:w="826" w:type="pct"/>
            <w:tcBorders>
              <w:top w:val="nil"/>
              <w:left w:val="nil"/>
              <w:bottom w:val="nil"/>
              <w:right w:val="nil"/>
            </w:tcBorders>
            <w:shd w:val="clear" w:color="000000" w:fill="FFFFFF"/>
            <w:noWrap/>
            <w:hideMark/>
          </w:tcPr>
          <w:p w14:paraId="5B7BB207"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336992DB" w14:textId="24B89483" w:rsidR="005A4B21" w:rsidRPr="005A4B21" w:rsidRDefault="005A4B21" w:rsidP="005A4B21">
            <w:pPr>
              <w:spacing w:line="240" w:lineRule="auto"/>
              <w:jc w:val="left"/>
              <w:rPr>
                <w:rFonts w:ascii="Calibri" w:eastAsia="Times New Roman" w:hAnsi="Calibri" w:cs="Calibri"/>
                <w:b/>
                <w:bCs/>
                <w:color w:val="000000"/>
                <w:u w:val="single"/>
                <w:lang w:eastAsia="en-GB"/>
              </w:rPr>
            </w:pPr>
          </w:p>
        </w:tc>
        <w:tc>
          <w:tcPr>
            <w:tcW w:w="2496" w:type="pct"/>
            <w:tcBorders>
              <w:top w:val="nil"/>
              <w:left w:val="nil"/>
              <w:bottom w:val="nil"/>
              <w:right w:val="nil"/>
            </w:tcBorders>
            <w:shd w:val="clear" w:color="000000" w:fill="FFFFFF"/>
            <w:noWrap/>
            <w:hideMark/>
          </w:tcPr>
          <w:p w14:paraId="7433AD01"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Transfers in</w:t>
            </w:r>
          </w:p>
        </w:tc>
        <w:tc>
          <w:tcPr>
            <w:tcW w:w="691" w:type="pct"/>
            <w:tcBorders>
              <w:top w:val="nil"/>
              <w:left w:val="nil"/>
              <w:bottom w:val="nil"/>
              <w:right w:val="nil"/>
            </w:tcBorders>
            <w:shd w:val="clear" w:color="000000" w:fill="FFFFFF"/>
            <w:noWrap/>
            <w:hideMark/>
          </w:tcPr>
          <w:p w14:paraId="7D80EA35"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55A5F45B"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0DFF1C3D" w14:textId="77777777" w:rsidTr="00DF4C47">
        <w:trPr>
          <w:trHeight w:val="300"/>
        </w:trPr>
        <w:tc>
          <w:tcPr>
            <w:tcW w:w="826" w:type="pct"/>
            <w:tcBorders>
              <w:top w:val="nil"/>
              <w:left w:val="nil"/>
              <w:bottom w:val="nil"/>
              <w:right w:val="nil"/>
            </w:tcBorders>
            <w:shd w:val="clear" w:color="000000" w:fill="FFFFFF"/>
            <w:noWrap/>
            <w:hideMark/>
          </w:tcPr>
          <w:p w14:paraId="3278EB4C"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(10)</w:t>
            </w:r>
          </w:p>
        </w:tc>
        <w:tc>
          <w:tcPr>
            <w:tcW w:w="234" w:type="pct"/>
            <w:tcBorders>
              <w:top w:val="nil"/>
              <w:left w:val="nil"/>
              <w:bottom w:val="nil"/>
              <w:right w:val="nil"/>
            </w:tcBorders>
            <w:shd w:val="clear" w:color="000000" w:fill="FFFFFF"/>
            <w:noWrap/>
            <w:hideMark/>
          </w:tcPr>
          <w:p w14:paraId="63E79135"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45BA8CD9"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Individual transfers in from other schemes</w:t>
            </w:r>
          </w:p>
        </w:tc>
        <w:tc>
          <w:tcPr>
            <w:tcW w:w="691" w:type="pct"/>
            <w:tcBorders>
              <w:top w:val="nil"/>
              <w:left w:val="nil"/>
              <w:bottom w:val="nil"/>
              <w:right w:val="nil"/>
            </w:tcBorders>
            <w:shd w:val="clear" w:color="000000" w:fill="FFFFFF"/>
            <w:noWrap/>
            <w:hideMark/>
          </w:tcPr>
          <w:p w14:paraId="20BA3E92"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23FF236F"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(243)</w:t>
            </w:r>
          </w:p>
        </w:tc>
      </w:tr>
      <w:tr w:rsidR="005A4B21" w:rsidRPr="005A4B21" w14:paraId="51557815" w14:textId="77777777" w:rsidTr="00DF4C47">
        <w:trPr>
          <w:trHeight w:val="300"/>
        </w:trPr>
        <w:tc>
          <w:tcPr>
            <w:tcW w:w="826" w:type="pct"/>
            <w:tcBorders>
              <w:top w:val="nil"/>
              <w:left w:val="nil"/>
              <w:bottom w:val="nil"/>
              <w:right w:val="nil"/>
            </w:tcBorders>
            <w:shd w:val="clear" w:color="000000" w:fill="FFFFFF"/>
            <w:noWrap/>
            <w:hideMark/>
          </w:tcPr>
          <w:p w14:paraId="0EEB0B82"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(5)</w:t>
            </w:r>
          </w:p>
        </w:tc>
        <w:tc>
          <w:tcPr>
            <w:tcW w:w="234" w:type="pct"/>
            <w:tcBorders>
              <w:top w:val="nil"/>
              <w:left w:val="nil"/>
              <w:bottom w:val="nil"/>
              <w:right w:val="nil"/>
            </w:tcBorders>
            <w:shd w:val="clear" w:color="000000" w:fill="FFFFFF"/>
            <w:noWrap/>
            <w:hideMark/>
          </w:tcPr>
          <w:p w14:paraId="6A25284E"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2E882D60"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Other income</w:t>
            </w:r>
          </w:p>
        </w:tc>
        <w:tc>
          <w:tcPr>
            <w:tcW w:w="691" w:type="pct"/>
            <w:tcBorders>
              <w:top w:val="nil"/>
              <w:left w:val="nil"/>
              <w:bottom w:val="nil"/>
              <w:right w:val="nil"/>
            </w:tcBorders>
            <w:shd w:val="clear" w:color="000000" w:fill="FFFFFF"/>
            <w:noWrap/>
            <w:hideMark/>
          </w:tcPr>
          <w:p w14:paraId="39418B13"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22813185"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(3)</w:t>
            </w:r>
          </w:p>
        </w:tc>
      </w:tr>
      <w:tr w:rsidR="005A4B21" w:rsidRPr="005A4B21" w14:paraId="78B3DD38" w14:textId="77777777" w:rsidTr="00DF4C47">
        <w:trPr>
          <w:trHeight w:val="300"/>
        </w:trPr>
        <w:tc>
          <w:tcPr>
            <w:tcW w:w="826" w:type="pct"/>
            <w:tcBorders>
              <w:top w:val="nil"/>
              <w:left w:val="nil"/>
              <w:bottom w:val="nil"/>
              <w:right w:val="nil"/>
            </w:tcBorders>
            <w:shd w:val="clear" w:color="000000" w:fill="FFFFFF"/>
            <w:noWrap/>
            <w:hideMark/>
          </w:tcPr>
          <w:p w14:paraId="56ECA361"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4F44B3B4"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19AED6B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691" w:type="pct"/>
            <w:tcBorders>
              <w:top w:val="nil"/>
              <w:left w:val="nil"/>
              <w:bottom w:val="nil"/>
              <w:right w:val="nil"/>
            </w:tcBorders>
            <w:shd w:val="clear" w:color="000000" w:fill="FFFFFF"/>
            <w:noWrap/>
            <w:hideMark/>
          </w:tcPr>
          <w:p w14:paraId="636FC12F"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5153035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24806124" w14:textId="77777777" w:rsidTr="00DF4C47">
        <w:trPr>
          <w:trHeight w:val="300"/>
        </w:trPr>
        <w:tc>
          <w:tcPr>
            <w:tcW w:w="826" w:type="pct"/>
            <w:tcBorders>
              <w:top w:val="nil"/>
              <w:left w:val="nil"/>
              <w:bottom w:val="nil"/>
              <w:right w:val="nil"/>
            </w:tcBorders>
            <w:shd w:val="clear" w:color="000000" w:fill="FFFFFF"/>
            <w:noWrap/>
            <w:hideMark/>
          </w:tcPr>
          <w:p w14:paraId="273AAB8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10D30907"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0B0E00C0" w14:textId="77777777" w:rsidR="005A4B21" w:rsidRPr="005A4B21" w:rsidRDefault="005A4B21" w:rsidP="005A4B21">
            <w:pPr>
              <w:spacing w:line="240" w:lineRule="auto"/>
              <w:jc w:val="left"/>
              <w:rPr>
                <w:rFonts w:ascii="Calibri" w:eastAsia="Times New Roman" w:hAnsi="Calibri" w:cs="Calibri"/>
                <w:b/>
                <w:bCs/>
                <w:color w:val="000000"/>
                <w:u w:val="single"/>
                <w:lang w:eastAsia="en-GB"/>
              </w:rPr>
            </w:pPr>
            <w:r w:rsidRPr="005A4B21">
              <w:rPr>
                <w:rFonts w:ascii="Calibri" w:eastAsia="Times New Roman" w:hAnsi="Calibri" w:cs="Calibri"/>
                <w:b/>
                <w:bCs/>
                <w:color w:val="000000"/>
                <w:u w:val="single"/>
                <w:lang w:eastAsia="en-GB"/>
              </w:rPr>
              <w:t>Expenditure by the Fund</w:t>
            </w:r>
          </w:p>
        </w:tc>
        <w:tc>
          <w:tcPr>
            <w:tcW w:w="691" w:type="pct"/>
            <w:tcBorders>
              <w:top w:val="nil"/>
              <w:left w:val="nil"/>
              <w:bottom w:val="nil"/>
              <w:right w:val="nil"/>
            </w:tcBorders>
            <w:shd w:val="clear" w:color="000000" w:fill="FFFFFF"/>
            <w:noWrap/>
            <w:hideMark/>
          </w:tcPr>
          <w:p w14:paraId="333F89DC"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27989B09"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748AF31C" w14:textId="77777777" w:rsidTr="00DF4C47">
        <w:trPr>
          <w:trHeight w:val="300"/>
        </w:trPr>
        <w:tc>
          <w:tcPr>
            <w:tcW w:w="826" w:type="pct"/>
            <w:tcBorders>
              <w:top w:val="nil"/>
              <w:left w:val="nil"/>
              <w:bottom w:val="nil"/>
              <w:right w:val="nil"/>
            </w:tcBorders>
            <w:shd w:val="clear" w:color="000000" w:fill="FFFFFF"/>
            <w:noWrap/>
            <w:hideMark/>
          </w:tcPr>
          <w:p w14:paraId="6C1B76BF"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74A760F7"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543FCD01"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Benefits Payable</w:t>
            </w:r>
          </w:p>
        </w:tc>
        <w:tc>
          <w:tcPr>
            <w:tcW w:w="691" w:type="pct"/>
            <w:tcBorders>
              <w:top w:val="nil"/>
              <w:left w:val="nil"/>
              <w:bottom w:val="nil"/>
              <w:right w:val="nil"/>
            </w:tcBorders>
            <w:shd w:val="clear" w:color="000000" w:fill="FFFFFF"/>
            <w:noWrap/>
            <w:hideMark/>
          </w:tcPr>
          <w:p w14:paraId="2EA88125"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116F43DB"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7F0FB36F" w14:textId="77777777" w:rsidTr="00DF4C47">
        <w:trPr>
          <w:trHeight w:val="300"/>
        </w:trPr>
        <w:tc>
          <w:tcPr>
            <w:tcW w:w="826" w:type="pct"/>
            <w:tcBorders>
              <w:top w:val="nil"/>
              <w:left w:val="nil"/>
              <w:bottom w:val="nil"/>
              <w:right w:val="nil"/>
            </w:tcBorders>
            <w:shd w:val="clear" w:color="000000" w:fill="FFFFFF"/>
            <w:noWrap/>
            <w:hideMark/>
          </w:tcPr>
          <w:p w14:paraId="119D6F1D"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8,833</w:t>
            </w:r>
          </w:p>
        </w:tc>
        <w:tc>
          <w:tcPr>
            <w:tcW w:w="234" w:type="pct"/>
            <w:tcBorders>
              <w:top w:val="nil"/>
              <w:left w:val="nil"/>
              <w:bottom w:val="nil"/>
              <w:right w:val="nil"/>
            </w:tcBorders>
            <w:shd w:val="clear" w:color="000000" w:fill="FFFFFF"/>
            <w:noWrap/>
            <w:hideMark/>
          </w:tcPr>
          <w:p w14:paraId="5FBC5B6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580BCDF8"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Pensions including ill health</w:t>
            </w:r>
          </w:p>
        </w:tc>
        <w:tc>
          <w:tcPr>
            <w:tcW w:w="691" w:type="pct"/>
            <w:tcBorders>
              <w:top w:val="nil"/>
              <w:left w:val="nil"/>
              <w:bottom w:val="nil"/>
              <w:right w:val="nil"/>
            </w:tcBorders>
            <w:shd w:val="clear" w:color="000000" w:fill="FFFFFF"/>
            <w:noWrap/>
            <w:hideMark/>
          </w:tcPr>
          <w:p w14:paraId="57E9827A"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343F64ED"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9,666</w:t>
            </w:r>
          </w:p>
        </w:tc>
      </w:tr>
      <w:tr w:rsidR="005A4B21" w:rsidRPr="005A4B21" w14:paraId="317F1A83" w14:textId="77777777" w:rsidTr="00DF4C47">
        <w:trPr>
          <w:trHeight w:val="300"/>
        </w:trPr>
        <w:tc>
          <w:tcPr>
            <w:tcW w:w="826" w:type="pct"/>
            <w:tcBorders>
              <w:top w:val="nil"/>
              <w:left w:val="nil"/>
              <w:bottom w:val="nil"/>
              <w:right w:val="nil"/>
            </w:tcBorders>
            <w:shd w:val="clear" w:color="000000" w:fill="FFFFFF"/>
            <w:noWrap/>
            <w:hideMark/>
          </w:tcPr>
          <w:p w14:paraId="18639347"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1,623</w:t>
            </w:r>
          </w:p>
        </w:tc>
        <w:tc>
          <w:tcPr>
            <w:tcW w:w="234" w:type="pct"/>
            <w:tcBorders>
              <w:top w:val="nil"/>
              <w:left w:val="nil"/>
              <w:bottom w:val="nil"/>
              <w:right w:val="nil"/>
            </w:tcBorders>
            <w:shd w:val="clear" w:color="000000" w:fill="FFFFFF"/>
            <w:noWrap/>
            <w:hideMark/>
          </w:tcPr>
          <w:p w14:paraId="3F15B84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3F4B391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Commutations and lump sum retirement benefits</w:t>
            </w:r>
          </w:p>
        </w:tc>
        <w:tc>
          <w:tcPr>
            <w:tcW w:w="691" w:type="pct"/>
            <w:tcBorders>
              <w:top w:val="nil"/>
              <w:left w:val="nil"/>
              <w:bottom w:val="nil"/>
              <w:right w:val="nil"/>
            </w:tcBorders>
            <w:shd w:val="clear" w:color="000000" w:fill="FFFFFF"/>
            <w:noWrap/>
            <w:hideMark/>
          </w:tcPr>
          <w:p w14:paraId="43D9CACC"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1545CABB"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2,600</w:t>
            </w:r>
          </w:p>
        </w:tc>
      </w:tr>
      <w:tr w:rsidR="005A4B21" w:rsidRPr="005A4B21" w14:paraId="6F6253D9" w14:textId="77777777" w:rsidTr="00DF4C47">
        <w:trPr>
          <w:trHeight w:val="300"/>
        </w:trPr>
        <w:tc>
          <w:tcPr>
            <w:tcW w:w="826" w:type="pct"/>
            <w:tcBorders>
              <w:top w:val="nil"/>
              <w:left w:val="nil"/>
              <w:bottom w:val="nil"/>
              <w:right w:val="nil"/>
            </w:tcBorders>
            <w:shd w:val="clear" w:color="000000" w:fill="FFFFFF"/>
            <w:noWrap/>
            <w:hideMark/>
          </w:tcPr>
          <w:p w14:paraId="7428DE5E"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(426)</w:t>
            </w:r>
          </w:p>
        </w:tc>
        <w:tc>
          <w:tcPr>
            <w:tcW w:w="234" w:type="pct"/>
            <w:tcBorders>
              <w:top w:val="nil"/>
              <w:left w:val="nil"/>
              <w:bottom w:val="nil"/>
              <w:right w:val="nil"/>
            </w:tcBorders>
            <w:shd w:val="clear" w:color="000000" w:fill="FFFFFF"/>
            <w:noWrap/>
            <w:hideMark/>
          </w:tcPr>
          <w:p w14:paraId="5EE7A0A0"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770A0A4A"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Less Injury</w:t>
            </w:r>
          </w:p>
        </w:tc>
        <w:tc>
          <w:tcPr>
            <w:tcW w:w="691" w:type="pct"/>
            <w:tcBorders>
              <w:top w:val="nil"/>
              <w:left w:val="nil"/>
              <w:bottom w:val="nil"/>
              <w:right w:val="nil"/>
            </w:tcBorders>
            <w:shd w:val="clear" w:color="000000" w:fill="FFFFFF"/>
            <w:noWrap/>
            <w:hideMark/>
          </w:tcPr>
          <w:p w14:paraId="5739B5DD"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5C02B839"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(455)</w:t>
            </w:r>
          </w:p>
        </w:tc>
      </w:tr>
      <w:tr w:rsidR="005A4B21" w:rsidRPr="005A4B21" w14:paraId="6F2EF952" w14:textId="77777777" w:rsidTr="00DF4C47">
        <w:trPr>
          <w:trHeight w:val="300"/>
        </w:trPr>
        <w:tc>
          <w:tcPr>
            <w:tcW w:w="826" w:type="pct"/>
            <w:tcBorders>
              <w:top w:val="nil"/>
              <w:left w:val="nil"/>
              <w:bottom w:val="nil"/>
              <w:right w:val="nil"/>
            </w:tcBorders>
            <w:shd w:val="clear" w:color="000000" w:fill="FFFFFF"/>
            <w:noWrap/>
            <w:hideMark/>
          </w:tcPr>
          <w:p w14:paraId="2A379050"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34" w:type="pct"/>
            <w:tcBorders>
              <w:top w:val="nil"/>
              <w:left w:val="nil"/>
              <w:bottom w:val="nil"/>
              <w:right w:val="nil"/>
            </w:tcBorders>
            <w:shd w:val="clear" w:color="000000" w:fill="FFFFFF"/>
            <w:noWrap/>
            <w:hideMark/>
          </w:tcPr>
          <w:p w14:paraId="30A816DE" w14:textId="58261E4F" w:rsidR="005A4B21" w:rsidRPr="005A4B21" w:rsidRDefault="005A4B21" w:rsidP="005A4B21">
            <w:pPr>
              <w:spacing w:line="240" w:lineRule="auto"/>
              <w:jc w:val="left"/>
              <w:rPr>
                <w:rFonts w:ascii="Calibri" w:eastAsia="Times New Roman" w:hAnsi="Calibri" w:cs="Calibri"/>
                <w:b/>
                <w:bCs/>
                <w:color w:val="000000"/>
                <w:u w:val="single"/>
                <w:lang w:eastAsia="en-GB"/>
              </w:rPr>
            </w:pPr>
          </w:p>
        </w:tc>
        <w:tc>
          <w:tcPr>
            <w:tcW w:w="2496" w:type="pct"/>
            <w:tcBorders>
              <w:top w:val="nil"/>
              <w:left w:val="nil"/>
              <w:bottom w:val="nil"/>
              <w:right w:val="nil"/>
            </w:tcBorders>
            <w:shd w:val="clear" w:color="000000" w:fill="FFFFFF"/>
            <w:noWrap/>
            <w:hideMark/>
          </w:tcPr>
          <w:p w14:paraId="3B821944"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Payments to and on account of leavers</w:t>
            </w:r>
          </w:p>
        </w:tc>
        <w:tc>
          <w:tcPr>
            <w:tcW w:w="691" w:type="pct"/>
            <w:tcBorders>
              <w:top w:val="nil"/>
              <w:left w:val="nil"/>
              <w:bottom w:val="nil"/>
              <w:right w:val="nil"/>
            </w:tcBorders>
            <w:shd w:val="clear" w:color="000000" w:fill="FFFFFF"/>
            <w:noWrap/>
            <w:hideMark/>
          </w:tcPr>
          <w:p w14:paraId="09101EA6"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4A746AB8"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r>
      <w:tr w:rsidR="005A4B21" w:rsidRPr="005A4B21" w14:paraId="5559B73B" w14:textId="77777777" w:rsidTr="00DF4C47">
        <w:trPr>
          <w:trHeight w:val="300"/>
        </w:trPr>
        <w:tc>
          <w:tcPr>
            <w:tcW w:w="826" w:type="pct"/>
            <w:tcBorders>
              <w:top w:val="nil"/>
              <w:left w:val="nil"/>
              <w:bottom w:val="nil"/>
              <w:right w:val="nil"/>
            </w:tcBorders>
            <w:shd w:val="clear" w:color="000000" w:fill="FFFFFF"/>
            <w:noWrap/>
            <w:hideMark/>
          </w:tcPr>
          <w:p w14:paraId="781FAEE1"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w:t>
            </w:r>
          </w:p>
        </w:tc>
        <w:tc>
          <w:tcPr>
            <w:tcW w:w="234" w:type="pct"/>
            <w:tcBorders>
              <w:top w:val="nil"/>
              <w:left w:val="nil"/>
              <w:bottom w:val="nil"/>
              <w:right w:val="nil"/>
            </w:tcBorders>
            <w:shd w:val="clear" w:color="000000" w:fill="FFFFFF"/>
            <w:noWrap/>
            <w:hideMark/>
          </w:tcPr>
          <w:p w14:paraId="7284E3BF"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6F2219E2"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Individual transfers out to other schemes</w:t>
            </w:r>
          </w:p>
        </w:tc>
        <w:tc>
          <w:tcPr>
            <w:tcW w:w="691" w:type="pct"/>
            <w:tcBorders>
              <w:top w:val="nil"/>
              <w:left w:val="nil"/>
              <w:bottom w:val="nil"/>
              <w:right w:val="nil"/>
            </w:tcBorders>
            <w:shd w:val="clear" w:color="000000" w:fill="FFFFFF"/>
            <w:noWrap/>
            <w:hideMark/>
          </w:tcPr>
          <w:p w14:paraId="0A47EAEA"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752" w:type="pct"/>
            <w:tcBorders>
              <w:top w:val="nil"/>
              <w:left w:val="nil"/>
              <w:bottom w:val="nil"/>
              <w:right w:val="nil"/>
            </w:tcBorders>
            <w:shd w:val="clear" w:color="000000" w:fill="FFE1E1"/>
            <w:noWrap/>
            <w:hideMark/>
          </w:tcPr>
          <w:p w14:paraId="040BD792"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3</w:t>
            </w:r>
          </w:p>
        </w:tc>
      </w:tr>
      <w:tr w:rsidR="005A4B21" w:rsidRPr="005A4B21" w14:paraId="336425F0" w14:textId="77777777" w:rsidTr="00DF4C47">
        <w:trPr>
          <w:trHeight w:val="300"/>
        </w:trPr>
        <w:tc>
          <w:tcPr>
            <w:tcW w:w="826" w:type="pct"/>
            <w:tcBorders>
              <w:top w:val="single" w:sz="4" w:space="0" w:color="auto"/>
              <w:left w:val="nil"/>
              <w:bottom w:val="single" w:sz="4" w:space="0" w:color="auto"/>
              <w:right w:val="nil"/>
            </w:tcBorders>
            <w:shd w:val="clear" w:color="000000" w:fill="FFFFFF"/>
            <w:noWrap/>
            <w:hideMark/>
          </w:tcPr>
          <w:p w14:paraId="6DD73F4D"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5,305</w:t>
            </w:r>
          </w:p>
        </w:tc>
        <w:tc>
          <w:tcPr>
            <w:tcW w:w="234" w:type="pct"/>
            <w:tcBorders>
              <w:top w:val="single" w:sz="4" w:space="0" w:color="auto"/>
              <w:left w:val="nil"/>
              <w:bottom w:val="single" w:sz="4" w:space="0" w:color="auto"/>
              <w:right w:val="nil"/>
            </w:tcBorders>
            <w:shd w:val="clear" w:color="000000" w:fill="FFFFFF"/>
            <w:noWrap/>
            <w:hideMark/>
          </w:tcPr>
          <w:p w14:paraId="75A46A40"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 </w:t>
            </w:r>
          </w:p>
        </w:tc>
        <w:tc>
          <w:tcPr>
            <w:tcW w:w="2496" w:type="pct"/>
            <w:tcBorders>
              <w:top w:val="single" w:sz="4" w:space="0" w:color="auto"/>
              <w:left w:val="nil"/>
              <w:bottom w:val="single" w:sz="4" w:space="0" w:color="auto"/>
              <w:right w:val="nil"/>
            </w:tcBorders>
            <w:shd w:val="clear" w:color="000000" w:fill="FFFFFF"/>
            <w:noWrap/>
            <w:hideMark/>
          </w:tcPr>
          <w:p w14:paraId="3F8D0E10"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Net amount payable for the year</w:t>
            </w:r>
          </w:p>
        </w:tc>
        <w:tc>
          <w:tcPr>
            <w:tcW w:w="691" w:type="pct"/>
            <w:tcBorders>
              <w:top w:val="single" w:sz="4" w:space="0" w:color="auto"/>
              <w:left w:val="nil"/>
              <w:bottom w:val="single" w:sz="4" w:space="0" w:color="auto"/>
              <w:right w:val="nil"/>
            </w:tcBorders>
            <w:shd w:val="clear" w:color="000000" w:fill="FFFFFF"/>
            <w:noWrap/>
            <w:hideMark/>
          </w:tcPr>
          <w:p w14:paraId="21615C8C"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 </w:t>
            </w:r>
          </w:p>
        </w:tc>
        <w:tc>
          <w:tcPr>
            <w:tcW w:w="752" w:type="pct"/>
            <w:tcBorders>
              <w:top w:val="single" w:sz="4" w:space="0" w:color="auto"/>
              <w:left w:val="nil"/>
              <w:bottom w:val="single" w:sz="4" w:space="0" w:color="auto"/>
              <w:right w:val="nil"/>
            </w:tcBorders>
            <w:shd w:val="clear" w:color="000000" w:fill="FFE1E1"/>
            <w:noWrap/>
            <w:hideMark/>
          </w:tcPr>
          <w:p w14:paraId="2F282D71"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5,158</w:t>
            </w:r>
          </w:p>
        </w:tc>
      </w:tr>
      <w:tr w:rsidR="005A4B21" w:rsidRPr="005A4B21" w14:paraId="4DF81FDA" w14:textId="77777777" w:rsidTr="00DF4C47">
        <w:trPr>
          <w:trHeight w:val="300"/>
        </w:trPr>
        <w:tc>
          <w:tcPr>
            <w:tcW w:w="826" w:type="pct"/>
            <w:tcBorders>
              <w:top w:val="nil"/>
              <w:left w:val="nil"/>
              <w:bottom w:val="nil"/>
              <w:right w:val="nil"/>
            </w:tcBorders>
            <w:shd w:val="clear" w:color="000000" w:fill="FFFFFF"/>
            <w:noWrap/>
            <w:hideMark/>
          </w:tcPr>
          <w:p w14:paraId="24103285"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w:t>
            </w:r>
          </w:p>
        </w:tc>
        <w:tc>
          <w:tcPr>
            <w:tcW w:w="234" w:type="pct"/>
            <w:tcBorders>
              <w:top w:val="nil"/>
              <w:left w:val="nil"/>
              <w:bottom w:val="nil"/>
              <w:right w:val="nil"/>
            </w:tcBorders>
            <w:shd w:val="clear" w:color="000000" w:fill="FFFFFF"/>
            <w:noWrap/>
            <w:hideMark/>
          </w:tcPr>
          <w:p w14:paraId="1C6ED2FD"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 </w:t>
            </w:r>
          </w:p>
        </w:tc>
        <w:tc>
          <w:tcPr>
            <w:tcW w:w="2496" w:type="pct"/>
            <w:tcBorders>
              <w:top w:val="nil"/>
              <w:left w:val="nil"/>
              <w:bottom w:val="nil"/>
              <w:right w:val="nil"/>
            </w:tcBorders>
            <w:shd w:val="clear" w:color="000000" w:fill="FFFFFF"/>
            <w:noWrap/>
            <w:hideMark/>
          </w:tcPr>
          <w:p w14:paraId="62A0F000"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Refund to be received from HMRC</w:t>
            </w:r>
          </w:p>
        </w:tc>
        <w:tc>
          <w:tcPr>
            <w:tcW w:w="691" w:type="pct"/>
            <w:tcBorders>
              <w:top w:val="nil"/>
              <w:left w:val="nil"/>
              <w:bottom w:val="nil"/>
              <w:right w:val="nil"/>
            </w:tcBorders>
            <w:shd w:val="clear" w:color="000000" w:fill="FFFFFF"/>
            <w:noWrap/>
            <w:hideMark/>
          </w:tcPr>
          <w:p w14:paraId="532423C3"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 </w:t>
            </w:r>
          </w:p>
        </w:tc>
        <w:tc>
          <w:tcPr>
            <w:tcW w:w="752" w:type="pct"/>
            <w:tcBorders>
              <w:top w:val="nil"/>
              <w:left w:val="nil"/>
              <w:bottom w:val="nil"/>
              <w:right w:val="nil"/>
            </w:tcBorders>
            <w:shd w:val="clear" w:color="000000" w:fill="FFE1E1"/>
            <w:noWrap/>
            <w:hideMark/>
          </w:tcPr>
          <w:p w14:paraId="2C7CE208" w14:textId="77777777" w:rsidR="005A4B21" w:rsidRPr="005A4B21" w:rsidRDefault="005A4B21" w:rsidP="005A4B21">
            <w:pPr>
              <w:spacing w:line="240" w:lineRule="auto"/>
              <w:jc w:val="righ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w:t>
            </w:r>
          </w:p>
        </w:tc>
      </w:tr>
      <w:tr w:rsidR="005A4B21" w:rsidRPr="005A4B21" w14:paraId="0252D290" w14:textId="77777777" w:rsidTr="00DF4C47">
        <w:trPr>
          <w:trHeight w:val="300"/>
        </w:trPr>
        <w:tc>
          <w:tcPr>
            <w:tcW w:w="826" w:type="pct"/>
            <w:tcBorders>
              <w:top w:val="nil"/>
              <w:left w:val="nil"/>
              <w:bottom w:val="nil"/>
              <w:right w:val="nil"/>
            </w:tcBorders>
            <w:shd w:val="clear" w:color="000000" w:fill="FFFFFF"/>
            <w:noWrap/>
            <w:hideMark/>
          </w:tcPr>
          <w:p w14:paraId="42EACAF5"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(5,305)</w:t>
            </w:r>
          </w:p>
        </w:tc>
        <w:tc>
          <w:tcPr>
            <w:tcW w:w="234" w:type="pct"/>
            <w:tcBorders>
              <w:top w:val="nil"/>
              <w:left w:val="nil"/>
              <w:bottom w:val="nil"/>
              <w:right w:val="nil"/>
            </w:tcBorders>
            <w:shd w:val="clear" w:color="000000" w:fill="FFFFFF"/>
            <w:noWrap/>
            <w:hideMark/>
          </w:tcPr>
          <w:p w14:paraId="4478EDE6" w14:textId="77777777" w:rsidR="005A4B21" w:rsidRPr="005A4B21" w:rsidRDefault="005A4B21" w:rsidP="005A4B21">
            <w:pPr>
              <w:spacing w:line="240" w:lineRule="auto"/>
              <w:jc w:val="left"/>
              <w:rPr>
                <w:rFonts w:ascii="Calibri" w:eastAsia="Times New Roman" w:hAnsi="Calibri" w:cs="Calibri"/>
                <w:color w:val="000000"/>
                <w:lang w:eastAsia="en-GB"/>
              </w:rPr>
            </w:pPr>
            <w:r w:rsidRPr="005A4B21">
              <w:rPr>
                <w:rFonts w:ascii="Calibri" w:eastAsia="Times New Roman" w:hAnsi="Calibri" w:cs="Calibri"/>
                <w:color w:val="000000"/>
                <w:lang w:eastAsia="en-GB"/>
              </w:rPr>
              <w:t> </w:t>
            </w:r>
          </w:p>
        </w:tc>
        <w:tc>
          <w:tcPr>
            <w:tcW w:w="2496" w:type="pct"/>
            <w:tcBorders>
              <w:top w:val="nil"/>
              <w:left w:val="nil"/>
              <w:bottom w:val="nil"/>
              <w:right w:val="nil"/>
            </w:tcBorders>
            <w:shd w:val="clear" w:color="000000" w:fill="FFFFFF"/>
            <w:noWrap/>
            <w:hideMark/>
          </w:tcPr>
          <w:p w14:paraId="6E4B62AC" w14:textId="77777777" w:rsidR="005A4B21" w:rsidRPr="005A4B21" w:rsidRDefault="005A4B21" w:rsidP="005A4B21">
            <w:pPr>
              <w:spacing w:line="240" w:lineRule="auto"/>
              <w:jc w:val="left"/>
              <w:rPr>
                <w:rFonts w:ascii="Calibri" w:eastAsia="Times New Roman" w:hAnsi="Calibri" w:cs="Calibri"/>
                <w:b/>
                <w:bCs/>
                <w:color w:val="000000"/>
                <w:lang w:eastAsia="en-GB"/>
              </w:rPr>
            </w:pPr>
            <w:r w:rsidRPr="005A4B21">
              <w:rPr>
                <w:rFonts w:ascii="Calibri" w:eastAsia="Times New Roman" w:hAnsi="Calibri" w:cs="Calibri"/>
                <w:b/>
                <w:bCs/>
                <w:color w:val="000000"/>
                <w:lang w:eastAsia="en-GB"/>
              </w:rPr>
              <w:t>Top up grant receivable from Central Government</w:t>
            </w:r>
          </w:p>
        </w:tc>
        <w:tc>
          <w:tcPr>
            <w:tcW w:w="691" w:type="pct"/>
            <w:tcBorders>
              <w:top w:val="nil"/>
              <w:left w:val="nil"/>
              <w:bottom w:val="nil"/>
              <w:right w:val="nil"/>
            </w:tcBorders>
            <w:shd w:val="clear" w:color="000000" w:fill="FFFFFF"/>
            <w:noWrap/>
            <w:hideMark/>
          </w:tcPr>
          <w:p w14:paraId="5D1563AF"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 xml:space="preserve">                    10 </w:t>
            </w:r>
          </w:p>
        </w:tc>
        <w:tc>
          <w:tcPr>
            <w:tcW w:w="752" w:type="pct"/>
            <w:tcBorders>
              <w:top w:val="nil"/>
              <w:left w:val="nil"/>
              <w:bottom w:val="nil"/>
              <w:right w:val="nil"/>
            </w:tcBorders>
            <w:shd w:val="clear" w:color="000000" w:fill="FFE1E1"/>
            <w:noWrap/>
            <w:hideMark/>
          </w:tcPr>
          <w:p w14:paraId="189E0C84" w14:textId="77777777" w:rsidR="005A4B21" w:rsidRPr="005A4B21" w:rsidRDefault="005A4B21" w:rsidP="005A4B21">
            <w:pPr>
              <w:spacing w:line="240" w:lineRule="auto"/>
              <w:jc w:val="right"/>
              <w:rPr>
                <w:rFonts w:ascii="Calibri" w:eastAsia="Times New Roman" w:hAnsi="Calibri" w:cs="Calibri"/>
                <w:color w:val="000000"/>
                <w:lang w:eastAsia="en-GB"/>
              </w:rPr>
            </w:pPr>
            <w:r w:rsidRPr="005A4B21">
              <w:rPr>
                <w:rFonts w:ascii="Calibri" w:eastAsia="Times New Roman" w:hAnsi="Calibri" w:cs="Calibri"/>
                <w:color w:val="000000"/>
                <w:lang w:eastAsia="en-GB"/>
              </w:rPr>
              <w:t>(5,158)</w:t>
            </w:r>
          </w:p>
        </w:tc>
      </w:tr>
      <w:tr w:rsidR="005A4B21" w:rsidRPr="005A4B21" w14:paraId="7D5BB611" w14:textId="77777777" w:rsidTr="00DF4C47">
        <w:trPr>
          <w:trHeight w:val="300"/>
        </w:trPr>
        <w:tc>
          <w:tcPr>
            <w:tcW w:w="826" w:type="pct"/>
            <w:tcBorders>
              <w:top w:val="single" w:sz="4" w:space="0" w:color="auto"/>
              <w:left w:val="nil"/>
              <w:bottom w:val="single" w:sz="4" w:space="0" w:color="auto"/>
              <w:right w:val="nil"/>
            </w:tcBorders>
            <w:shd w:val="clear" w:color="000000" w:fill="FFFFFF"/>
            <w:noWrap/>
            <w:hideMark/>
          </w:tcPr>
          <w:p w14:paraId="3E64910A" w14:textId="77777777" w:rsidR="005A4B21" w:rsidRPr="005A4B21" w:rsidRDefault="005A4B21" w:rsidP="005A4B21">
            <w:pPr>
              <w:spacing w:line="240" w:lineRule="auto"/>
              <w:jc w:val="right"/>
              <w:rPr>
                <w:rFonts w:ascii="Calibri" w:eastAsia="Times New Roman" w:hAnsi="Calibri" w:cs="Calibri"/>
                <w:b/>
                <w:bCs/>
                <w:lang w:eastAsia="en-GB"/>
              </w:rPr>
            </w:pPr>
            <w:r w:rsidRPr="005A4B21">
              <w:rPr>
                <w:rFonts w:ascii="Calibri" w:eastAsia="Times New Roman" w:hAnsi="Calibri" w:cs="Calibri"/>
                <w:b/>
                <w:bCs/>
                <w:lang w:eastAsia="en-GB"/>
              </w:rPr>
              <w:t>-</w:t>
            </w:r>
          </w:p>
        </w:tc>
        <w:tc>
          <w:tcPr>
            <w:tcW w:w="234" w:type="pct"/>
            <w:tcBorders>
              <w:top w:val="single" w:sz="4" w:space="0" w:color="auto"/>
              <w:left w:val="nil"/>
              <w:bottom w:val="single" w:sz="4" w:space="0" w:color="auto"/>
              <w:right w:val="nil"/>
            </w:tcBorders>
            <w:shd w:val="clear" w:color="000000" w:fill="FFFFFF"/>
            <w:noWrap/>
            <w:hideMark/>
          </w:tcPr>
          <w:p w14:paraId="331D055A" w14:textId="77777777" w:rsidR="005A4B21" w:rsidRPr="005A4B21" w:rsidRDefault="005A4B21" w:rsidP="005A4B21">
            <w:pPr>
              <w:spacing w:line="240" w:lineRule="auto"/>
              <w:jc w:val="left"/>
              <w:rPr>
                <w:rFonts w:ascii="Calibri" w:eastAsia="Times New Roman" w:hAnsi="Calibri" w:cs="Calibri"/>
                <w:b/>
                <w:bCs/>
                <w:lang w:eastAsia="en-GB"/>
              </w:rPr>
            </w:pPr>
            <w:r w:rsidRPr="005A4B21">
              <w:rPr>
                <w:rFonts w:ascii="Calibri" w:eastAsia="Times New Roman" w:hAnsi="Calibri" w:cs="Calibri"/>
                <w:b/>
                <w:bCs/>
                <w:lang w:eastAsia="en-GB"/>
              </w:rPr>
              <w:t> </w:t>
            </w:r>
          </w:p>
        </w:tc>
        <w:tc>
          <w:tcPr>
            <w:tcW w:w="2496" w:type="pct"/>
            <w:tcBorders>
              <w:top w:val="single" w:sz="4" w:space="0" w:color="auto"/>
              <w:left w:val="nil"/>
              <w:bottom w:val="single" w:sz="4" w:space="0" w:color="auto"/>
              <w:right w:val="nil"/>
            </w:tcBorders>
            <w:shd w:val="clear" w:color="000000" w:fill="FFFFFF"/>
            <w:noWrap/>
            <w:hideMark/>
          </w:tcPr>
          <w:p w14:paraId="7B631A92" w14:textId="77777777" w:rsidR="005A4B21" w:rsidRPr="005A4B21" w:rsidRDefault="005A4B21" w:rsidP="005A4B21">
            <w:pPr>
              <w:spacing w:line="240" w:lineRule="auto"/>
              <w:jc w:val="left"/>
              <w:rPr>
                <w:rFonts w:ascii="Calibri" w:eastAsia="Times New Roman" w:hAnsi="Calibri" w:cs="Calibri"/>
                <w:b/>
                <w:bCs/>
                <w:lang w:eastAsia="en-GB"/>
              </w:rPr>
            </w:pPr>
            <w:r w:rsidRPr="005A4B21">
              <w:rPr>
                <w:rFonts w:ascii="Calibri" w:eastAsia="Times New Roman" w:hAnsi="Calibri" w:cs="Calibri"/>
                <w:b/>
                <w:bCs/>
                <w:lang w:eastAsia="en-GB"/>
              </w:rPr>
              <w:t>Net Fund position for year</w:t>
            </w:r>
          </w:p>
        </w:tc>
        <w:tc>
          <w:tcPr>
            <w:tcW w:w="691" w:type="pct"/>
            <w:tcBorders>
              <w:top w:val="single" w:sz="4" w:space="0" w:color="auto"/>
              <w:left w:val="nil"/>
              <w:bottom w:val="single" w:sz="4" w:space="0" w:color="auto"/>
              <w:right w:val="nil"/>
            </w:tcBorders>
            <w:shd w:val="clear" w:color="000000" w:fill="FFFFFF"/>
            <w:noWrap/>
            <w:hideMark/>
          </w:tcPr>
          <w:p w14:paraId="23FF3AD1" w14:textId="77777777" w:rsidR="005A4B21" w:rsidRPr="005A4B21" w:rsidRDefault="005A4B21" w:rsidP="005A4B21">
            <w:pPr>
              <w:spacing w:line="240" w:lineRule="auto"/>
              <w:jc w:val="left"/>
              <w:rPr>
                <w:rFonts w:ascii="Calibri" w:eastAsia="Times New Roman" w:hAnsi="Calibri" w:cs="Calibri"/>
                <w:b/>
                <w:bCs/>
                <w:lang w:eastAsia="en-GB"/>
              </w:rPr>
            </w:pPr>
            <w:r w:rsidRPr="005A4B21">
              <w:rPr>
                <w:rFonts w:ascii="Calibri" w:eastAsia="Times New Roman" w:hAnsi="Calibri" w:cs="Calibri"/>
                <w:b/>
                <w:bCs/>
                <w:lang w:eastAsia="en-GB"/>
              </w:rPr>
              <w:t> </w:t>
            </w:r>
          </w:p>
        </w:tc>
        <w:tc>
          <w:tcPr>
            <w:tcW w:w="752" w:type="pct"/>
            <w:tcBorders>
              <w:top w:val="single" w:sz="4" w:space="0" w:color="auto"/>
              <w:left w:val="nil"/>
              <w:bottom w:val="single" w:sz="4" w:space="0" w:color="auto"/>
              <w:right w:val="nil"/>
            </w:tcBorders>
            <w:shd w:val="clear" w:color="000000" w:fill="FFE1E1"/>
            <w:noWrap/>
            <w:hideMark/>
          </w:tcPr>
          <w:p w14:paraId="11802D6F" w14:textId="77777777" w:rsidR="005A4B21" w:rsidRPr="005A4B21" w:rsidRDefault="005A4B21" w:rsidP="005A4B21">
            <w:pPr>
              <w:spacing w:line="240" w:lineRule="auto"/>
              <w:jc w:val="right"/>
              <w:rPr>
                <w:rFonts w:ascii="Calibri" w:eastAsia="Times New Roman" w:hAnsi="Calibri" w:cs="Calibri"/>
                <w:b/>
                <w:bCs/>
                <w:lang w:eastAsia="en-GB"/>
              </w:rPr>
            </w:pPr>
            <w:r w:rsidRPr="005A4B21">
              <w:rPr>
                <w:rFonts w:ascii="Calibri" w:eastAsia="Times New Roman" w:hAnsi="Calibri" w:cs="Calibri"/>
                <w:b/>
                <w:bCs/>
                <w:lang w:eastAsia="en-GB"/>
              </w:rPr>
              <w:t>-</w:t>
            </w:r>
          </w:p>
        </w:tc>
      </w:tr>
    </w:tbl>
    <w:p w14:paraId="3E5A5B07" w14:textId="77777777" w:rsidR="00667A20" w:rsidRDefault="00667A20" w:rsidP="00A6442F"/>
    <w:p w14:paraId="170A34A2" w14:textId="77777777" w:rsidR="00744C01" w:rsidRDefault="00744C01">
      <w:pPr>
        <w:spacing w:after="160"/>
        <w:jc w:val="left"/>
        <w:rPr>
          <w:rFonts w:eastAsia="Times New Roman" w:cs="Times New Roman"/>
          <w:bCs/>
          <w:color w:val="AB2328"/>
        </w:rPr>
      </w:pPr>
      <w:r>
        <w:rPr>
          <w:color w:val="AB2328"/>
        </w:rPr>
        <w:br w:type="page"/>
      </w:r>
    </w:p>
    <w:p w14:paraId="59B86A22" w14:textId="5453344C" w:rsidR="0079406E" w:rsidRPr="00AF00B3" w:rsidRDefault="00EC3836" w:rsidP="00B05542">
      <w:pPr>
        <w:pStyle w:val="VAHeadingLevel2"/>
      </w:pPr>
      <w:r w:rsidRPr="00AF00B3">
        <w:lastRenderedPageBreak/>
        <w:t>N</w:t>
      </w:r>
      <w:r w:rsidR="0079406E" w:rsidRPr="00AF00B3">
        <w:t xml:space="preserve">OTES TO FIREFIGHTERS’ PENSION FUND ACCOUNT </w:t>
      </w:r>
    </w:p>
    <w:p w14:paraId="12CC8EB8" w14:textId="649A1978" w:rsidR="00292E31" w:rsidRPr="00B05542" w:rsidRDefault="00292E31" w:rsidP="00B05542">
      <w:pPr>
        <w:pStyle w:val="VAHeadingLevel3"/>
      </w:pPr>
      <w:r w:rsidRPr="00B05542">
        <w:t>Notes to the Firefighters Pension Fund Statement</w:t>
      </w:r>
      <w:r w:rsidRPr="00B05542">
        <w:tab/>
      </w:r>
      <w:r w:rsidRPr="00B05542">
        <w:tab/>
      </w:r>
      <w:r w:rsidRPr="00B05542">
        <w:tab/>
      </w:r>
      <w:r w:rsidRPr="00B05542">
        <w:tab/>
      </w:r>
      <w:r w:rsidRPr="00B05542">
        <w:tab/>
      </w:r>
      <w:r w:rsidRPr="00B05542">
        <w:tab/>
      </w:r>
      <w:r w:rsidRPr="00B05542">
        <w:tab/>
      </w:r>
    </w:p>
    <w:p w14:paraId="4C8BDFB1" w14:textId="77777777" w:rsidR="00292E31" w:rsidRPr="00ED2A06" w:rsidRDefault="00292E31" w:rsidP="00A6442F">
      <w:r w:rsidRPr="00ED2A06">
        <w:rPr>
          <w:b/>
        </w:rPr>
        <w:t>1.   </w:t>
      </w:r>
      <w:r w:rsidRPr="00ED2A06">
        <w:t>This statement has been prepared in accordance with the Code of Practice on Local Authority Accounting in Great Britain.</w:t>
      </w:r>
      <w:r w:rsidRPr="00ED2A06">
        <w:tab/>
      </w:r>
      <w:r w:rsidRPr="00ED2A06">
        <w:tab/>
      </w:r>
      <w:r w:rsidRPr="00ED2A06">
        <w:tab/>
      </w:r>
      <w:r w:rsidRPr="00ED2A06">
        <w:tab/>
      </w:r>
      <w:r w:rsidRPr="00ED2A06">
        <w:tab/>
      </w:r>
      <w:r w:rsidRPr="00ED2A06">
        <w:tab/>
      </w:r>
      <w:r w:rsidRPr="00ED2A06">
        <w:tab/>
      </w:r>
      <w:r w:rsidRPr="00ED2A06">
        <w:tab/>
      </w:r>
      <w:r w:rsidRPr="00ED2A06">
        <w:tab/>
      </w:r>
    </w:p>
    <w:p w14:paraId="2D1161A5" w14:textId="73860F34" w:rsidR="00292E31" w:rsidRPr="00630B95" w:rsidRDefault="00292E31" w:rsidP="00A6442F">
      <w:r w:rsidRPr="00ED2A06">
        <w:rPr>
          <w:b/>
        </w:rPr>
        <w:t>2</w:t>
      </w:r>
      <w:r w:rsidRPr="00630B95">
        <w:t>.  </w:t>
      </w:r>
      <w:r w:rsidR="00EC3836" w:rsidRPr="00630B95">
        <w:t>Three pension schemes operate within the Fund, the 1992 scheme, the 2006 scheme, and the 2015 scheme. However, the 1992 scheme and the 2006 scheme closed to future accrual on 31 March 2022.</w:t>
      </w:r>
      <w:r w:rsidRPr="00630B95">
        <w:tab/>
      </w:r>
    </w:p>
    <w:p w14:paraId="0EDBB057" w14:textId="77777777" w:rsidR="00292E31" w:rsidRPr="00630B95" w:rsidRDefault="00292E31" w:rsidP="00A6442F">
      <w:r w:rsidRPr="00630B95">
        <w:rPr>
          <w:b/>
        </w:rPr>
        <w:t>3.   </w:t>
      </w:r>
      <w:r w:rsidRPr="00630B95">
        <w:t>The Fund is administered and managed according to the statutory requirements set out in the 1992, 2006, and 2015 scheme legislation.</w:t>
      </w:r>
      <w:r w:rsidRPr="00630B95">
        <w:tab/>
      </w:r>
      <w:r w:rsidRPr="00630B95">
        <w:tab/>
      </w:r>
      <w:r w:rsidRPr="00630B95">
        <w:tab/>
      </w:r>
      <w:r w:rsidRPr="00630B95">
        <w:tab/>
      </w:r>
      <w:r w:rsidRPr="00630B95">
        <w:tab/>
      </w:r>
    </w:p>
    <w:p w14:paraId="1D08B254" w14:textId="1670B0BE" w:rsidR="00292E31" w:rsidRPr="00630B95" w:rsidRDefault="00292E31" w:rsidP="00A6442F">
      <w:r w:rsidRPr="00630B95">
        <w:rPr>
          <w:b/>
        </w:rPr>
        <w:t>4.   </w:t>
      </w:r>
      <w:r w:rsidRPr="00630B95">
        <w:t>The Firefighters Pension Schemes are unfunded and as such have no investment assets.  They are funded through employee and employer contributions and Government grant.</w:t>
      </w:r>
      <w:r w:rsidRPr="00630B95">
        <w:tab/>
      </w:r>
      <w:r w:rsidRPr="00630B95">
        <w:tab/>
      </w:r>
    </w:p>
    <w:p w14:paraId="71AE073F" w14:textId="77777777" w:rsidR="00292E31" w:rsidRPr="00630B95" w:rsidRDefault="00292E31" w:rsidP="00A6442F">
      <w:r w:rsidRPr="00630B95">
        <w:rPr>
          <w:b/>
        </w:rPr>
        <w:t>5.   </w:t>
      </w:r>
      <w:r w:rsidRPr="00630B95">
        <w:t xml:space="preserve">All firefighter pension related benefits are charged to the Firefighters Pension Fund Account with the exception of costs relating to non-member retirement on ill health grounds and all costs relating to injury pensions, which are charged to the Fire Service Operating Account (revenue). </w:t>
      </w:r>
    </w:p>
    <w:p w14:paraId="3C58E7B6" w14:textId="77777777" w:rsidR="00292E31" w:rsidRPr="00630B95" w:rsidRDefault="00292E31" w:rsidP="00A6442F">
      <w:r w:rsidRPr="00630B95">
        <w:rPr>
          <w:b/>
        </w:rPr>
        <w:t>6. </w:t>
      </w:r>
      <w:r w:rsidRPr="00630B95">
        <w:t> The Fund Account captures income and liabilities relevant to the period shown and therefore does not take account of liabilities to pay pensions and other benefits after the period end.</w:t>
      </w:r>
      <w:r w:rsidRPr="00630B95">
        <w:tab/>
      </w:r>
    </w:p>
    <w:p w14:paraId="612EDA4F" w14:textId="271DF873" w:rsidR="00292E31" w:rsidRPr="00630B95" w:rsidRDefault="00292E31" w:rsidP="00A6442F">
      <w:r w:rsidRPr="00630B95">
        <w:rPr>
          <w:b/>
        </w:rPr>
        <w:t>7.</w:t>
      </w:r>
      <w:r w:rsidRPr="00630B95">
        <w:t>   </w:t>
      </w:r>
      <w:r w:rsidR="00EC3836" w:rsidRPr="00630B95">
        <w:t>Normal Employer contributions for 2015 scheme are 28.8% of pensionable pay.</w:t>
      </w:r>
      <w:r w:rsidRPr="00630B95">
        <w:tab/>
      </w:r>
      <w:r w:rsidRPr="00630B95">
        <w:tab/>
      </w:r>
      <w:r w:rsidRPr="00630B95">
        <w:tab/>
      </w:r>
      <w:r w:rsidRPr="00630B95">
        <w:tab/>
      </w:r>
    </w:p>
    <w:p w14:paraId="5D79FB1D" w14:textId="03FCB423" w:rsidR="00292E31" w:rsidRPr="00630B95" w:rsidRDefault="00292E31" w:rsidP="00A6442F">
      <w:r w:rsidRPr="00630B95">
        <w:rPr>
          <w:b/>
        </w:rPr>
        <w:t>8.</w:t>
      </w:r>
      <w:r w:rsidRPr="00630B95">
        <w:t xml:space="preserve">   For any retirement on ill health grounds the Fire Service is required to make a payment to the Pension Fund from its revenue account. </w:t>
      </w:r>
      <w:r w:rsidR="009C0334">
        <w:t xml:space="preserve"> </w:t>
      </w:r>
      <w:r w:rsidRPr="00630B95">
        <w:t xml:space="preserve">This is payable over 3 years. </w:t>
      </w:r>
      <w:r w:rsidR="009C0334">
        <w:t xml:space="preserve"> </w:t>
      </w:r>
      <w:r w:rsidRPr="00630B95">
        <w:t>There were 0 retirements of scheme members on ill health grounds</w:t>
      </w:r>
      <w:r w:rsidR="00FC2753">
        <w:t xml:space="preserve"> in 2024/25</w:t>
      </w:r>
      <w:r w:rsidR="00EC3836" w:rsidRPr="00630B95">
        <w:t>.</w:t>
      </w:r>
    </w:p>
    <w:p w14:paraId="4C0F3ACD" w14:textId="1E92DAD2" w:rsidR="00E86912" w:rsidRDefault="00292E31" w:rsidP="00A6442F">
      <w:r w:rsidRPr="00630B95">
        <w:rPr>
          <w:b/>
        </w:rPr>
        <w:t>9.</w:t>
      </w:r>
      <w:r w:rsidRPr="00630B95">
        <w:t>   </w:t>
      </w:r>
      <w:r w:rsidR="00A65DE7" w:rsidRPr="00A65DE7">
        <w:t>Members contributions for the 2015 scheme</w:t>
      </w:r>
      <w:r w:rsidR="00FC2753">
        <w:t xml:space="preserve"> have</w:t>
      </w:r>
      <w:r w:rsidR="00A65DE7" w:rsidRPr="00A65DE7">
        <w:t xml:space="preserve"> banded contributions, as set out below:</w:t>
      </w:r>
    </w:p>
    <w:p w14:paraId="1E3DDE23" w14:textId="2221F200" w:rsidR="00C30DC3" w:rsidRDefault="00C30DC3" w:rsidP="00A6442F">
      <w:pPr>
        <w:rPr>
          <w:rFonts w:cstheme="minorBidi"/>
        </w:rPr>
      </w:pPr>
    </w:p>
    <w:tbl>
      <w:tblPr>
        <w:tblW w:w="9888" w:type="dxa"/>
        <w:tblLook w:val="04A0" w:firstRow="1" w:lastRow="0" w:firstColumn="1" w:lastColumn="0" w:noHBand="0" w:noVBand="1"/>
      </w:tblPr>
      <w:tblGrid>
        <w:gridCol w:w="6614"/>
        <w:gridCol w:w="266"/>
        <w:gridCol w:w="266"/>
        <w:gridCol w:w="1316"/>
        <w:gridCol w:w="1516"/>
      </w:tblGrid>
      <w:tr w:rsidR="00C30DC3" w:rsidRPr="00C30DC3" w14:paraId="39EE97A8" w14:textId="77777777" w:rsidTr="00C30DC3">
        <w:trPr>
          <w:divId w:val="111900303"/>
          <w:trHeight w:val="290"/>
        </w:trPr>
        <w:tc>
          <w:tcPr>
            <w:tcW w:w="7056" w:type="dxa"/>
            <w:gridSpan w:val="3"/>
            <w:tcBorders>
              <w:top w:val="nil"/>
              <w:left w:val="nil"/>
              <w:bottom w:val="nil"/>
              <w:right w:val="nil"/>
            </w:tcBorders>
            <w:shd w:val="clear" w:color="000000" w:fill="AB2328"/>
            <w:noWrap/>
            <w:vAlign w:val="bottom"/>
            <w:hideMark/>
          </w:tcPr>
          <w:p w14:paraId="7A3CC2EE" w14:textId="0EA9AC26"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2015 scheme members</w:t>
            </w:r>
          </w:p>
        </w:tc>
        <w:tc>
          <w:tcPr>
            <w:tcW w:w="1316" w:type="dxa"/>
            <w:tcBorders>
              <w:top w:val="nil"/>
              <w:left w:val="nil"/>
              <w:bottom w:val="nil"/>
              <w:right w:val="nil"/>
            </w:tcBorders>
            <w:shd w:val="clear" w:color="000000" w:fill="AB2328"/>
            <w:noWrap/>
            <w:vAlign w:val="bottom"/>
            <w:hideMark/>
          </w:tcPr>
          <w:p w14:paraId="080F1F92"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516" w:type="dxa"/>
            <w:tcBorders>
              <w:top w:val="nil"/>
              <w:left w:val="nil"/>
              <w:bottom w:val="nil"/>
              <w:right w:val="nil"/>
            </w:tcBorders>
            <w:shd w:val="clear" w:color="000000" w:fill="AB2328"/>
            <w:noWrap/>
            <w:vAlign w:val="bottom"/>
            <w:hideMark/>
          </w:tcPr>
          <w:p w14:paraId="473AE84C"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FPS 2015</w:t>
            </w:r>
          </w:p>
        </w:tc>
      </w:tr>
      <w:tr w:rsidR="00C30DC3" w:rsidRPr="00C30DC3" w14:paraId="6DFCE602" w14:textId="77777777" w:rsidTr="00C30DC3">
        <w:trPr>
          <w:divId w:val="111900303"/>
          <w:trHeight w:val="290"/>
        </w:trPr>
        <w:tc>
          <w:tcPr>
            <w:tcW w:w="6614" w:type="dxa"/>
            <w:tcBorders>
              <w:top w:val="nil"/>
              <w:left w:val="nil"/>
              <w:bottom w:val="nil"/>
              <w:right w:val="nil"/>
            </w:tcBorders>
            <w:shd w:val="clear" w:color="000000" w:fill="AB2328"/>
            <w:noWrap/>
            <w:vAlign w:val="bottom"/>
            <w:hideMark/>
          </w:tcPr>
          <w:p w14:paraId="113CDF07"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Pensionable Pay</w:t>
            </w:r>
          </w:p>
        </w:tc>
        <w:tc>
          <w:tcPr>
            <w:tcW w:w="221" w:type="dxa"/>
            <w:tcBorders>
              <w:top w:val="nil"/>
              <w:left w:val="nil"/>
              <w:bottom w:val="nil"/>
              <w:right w:val="nil"/>
            </w:tcBorders>
            <w:shd w:val="clear" w:color="000000" w:fill="AB2328"/>
            <w:noWrap/>
            <w:vAlign w:val="bottom"/>
            <w:hideMark/>
          </w:tcPr>
          <w:p w14:paraId="6744BE99"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221" w:type="dxa"/>
            <w:tcBorders>
              <w:top w:val="nil"/>
              <w:left w:val="nil"/>
              <w:bottom w:val="nil"/>
              <w:right w:val="nil"/>
            </w:tcBorders>
            <w:shd w:val="clear" w:color="000000" w:fill="AB2328"/>
            <w:noWrap/>
            <w:vAlign w:val="bottom"/>
            <w:hideMark/>
          </w:tcPr>
          <w:p w14:paraId="5350D01E"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316" w:type="dxa"/>
            <w:tcBorders>
              <w:top w:val="nil"/>
              <w:left w:val="nil"/>
              <w:bottom w:val="nil"/>
              <w:right w:val="nil"/>
            </w:tcBorders>
            <w:shd w:val="clear" w:color="000000" w:fill="AB2328"/>
            <w:noWrap/>
            <w:vAlign w:val="bottom"/>
            <w:hideMark/>
          </w:tcPr>
          <w:p w14:paraId="5E4CF540" w14:textId="77777777" w:rsidR="00C30DC3" w:rsidRPr="00C30DC3" w:rsidRDefault="00C30DC3" w:rsidP="00C30DC3">
            <w:pPr>
              <w:spacing w:line="240" w:lineRule="auto"/>
              <w:jc w:val="lef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 </w:t>
            </w:r>
          </w:p>
        </w:tc>
        <w:tc>
          <w:tcPr>
            <w:tcW w:w="1516" w:type="dxa"/>
            <w:tcBorders>
              <w:top w:val="nil"/>
              <w:left w:val="nil"/>
              <w:bottom w:val="nil"/>
              <w:right w:val="nil"/>
            </w:tcBorders>
            <w:shd w:val="clear" w:color="000000" w:fill="AB2328"/>
            <w:noWrap/>
            <w:vAlign w:val="bottom"/>
            <w:hideMark/>
          </w:tcPr>
          <w:p w14:paraId="496976BC" w14:textId="77777777" w:rsidR="00C30DC3" w:rsidRPr="00C30DC3" w:rsidRDefault="00C30DC3" w:rsidP="00C30DC3">
            <w:pPr>
              <w:spacing w:line="240" w:lineRule="auto"/>
              <w:jc w:val="right"/>
              <w:rPr>
                <w:rFonts w:ascii="Calibri" w:eastAsia="Times New Roman" w:hAnsi="Calibri" w:cs="Calibri"/>
                <w:b/>
                <w:bCs/>
                <w:color w:val="FFFFFF"/>
                <w:lang w:eastAsia="en-GB"/>
              </w:rPr>
            </w:pPr>
            <w:r w:rsidRPr="00C30DC3">
              <w:rPr>
                <w:rFonts w:ascii="Calibri" w:eastAsia="Times New Roman" w:hAnsi="Calibri" w:cs="Calibri"/>
                <w:b/>
                <w:bCs/>
                <w:color w:val="FFFFFF"/>
                <w:lang w:eastAsia="en-GB"/>
              </w:rPr>
              <w:t>%</w:t>
            </w:r>
          </w:p>
        </w:tc>
      </w:tr>
      <w:tr w:rsidR="00C30DC3" w:rsidRPr="00C30DC3" w14:paraId="58B85AE5" w14:textId="77777777" w:rsidTr="00C30DC3">
        <w:trPr>
          <w:divId w:val="111900303"/>
          <w:trHeight w:val="290"/>
        </w:trPr>
        <w:tc>
          <w:tcPr>
            <w:tcW w:w="6614" w:type="dxa"/>
            <w:tcBorders>
              <w:top w:val="nil"/>
              <w:left w:val="nil"/>
              <w:bottom w:val="nil"/>
              <w:right w:val="nil"/>
            </w:tcBorders>
            <w:shd w:val="clear" w:color="000000" w:fill="FFFFFF"/>
            <w:noWrap/>
            <w:vAlign w:val="bottom"/>
            <w:hideMark/>
          </w:tcPr>
          <w:p w14:paraId="1A10C128"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Up to £27,818</w:t>
            </w:r>
          </w:p>
        </w:tc>
        <w:tc>
          <w:tcPr>
            <w:tcW w:w="221" w:type="dxa"/>
            <w:tcBorders>
              <w:top w:val="nil"/>
              <w:left w:val="nil"/>
              <w:bottom w:val="nil"/>
              <w:right w:val="nil"/>
            </w:tcBorders>
            <w:shd w:val="clear" w:color="000000" w:fill="FFFFFF"/>
            <w:noWrap/>
            <w:vAlign w:val="bottom"/>
            <w:hideMark/>
          </w:tcPr>
          <w:p w14:paraId="0FCEDAB3"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221" w:type="dxa"/>
            <w:tcBorders>
              <w:top w:val="nil"/>
              <w:left w:val="nil"/>
              <w:bottom w:val="nil"/>
              <w:right w:val="nil"/>
            </w:tcBorders>
            <w:shd w:val="clear" w:color="000000" w:fill="FFFFFF"/>
            <w:noWrap/>
            <w:vAlign w:val="bottom"/>
            <w:hideMark/>
          </w:tcPr>
          <w:p w14:paraId="0DA8BD3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1D701664"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7017B645"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11.0</w:t>
            </w:r>
          </w:p>
        </w:tc>
      </w:tr>
      <w:tr w:rsidR="00C30DC3" w:rsidRPr="00C30DC3" w14:paraId="2A2A0A30"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3383D75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£27,819 to £51,515</w:t>
            </w:r>
          </w:p>
        </w:tc>
        <w:tc>
          <w:tcPr>
            <w:tcW w:w="221" w:type="dxa"/>
            <w:tcBorders>
              <w:top w:val="nil"/>
              <w:left w:val="nil"/>
              <w:bottom w:val="nil"/>
              <w:right w:val="nil"/>
            </w:tcBorders>
            <w:shd w:val="clear" w:color="000000" w:fill="FFFFFF"/>
            <w:noWrap/>
            <w:vAlign w:val="bottom"/>
            <w:hideMark/>
          </w:tcPr>
          <w:p w14:paraId="63E8D768"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769C9076"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6F5EFD58"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12.9</w:t>
            </w:r>
          </w:p>
        </w:tc>
      </w:tr>
      <w:tr w:rsidR="00C30DC3" w:rsidRPr="00C30DC3" w14:paraId="0F763BD3"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29D59899"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£51,516 to £142,500</w:t>
            </w:r>
          </w:p>
        </w:tc>
        <w:tc>
          <w:tcPr>
            <w:tcW w:w="221" w:type="dxa"/>
            <w:tcBorders>
              <w:top w:val="nil"/>
              <w:left w:val="nil"/>
              <w:bottom w:val="nil"/>
              <w:right w:val="nil"/>
            </w:tcBorders>
            <w:shd w:val="clear" w:color="000000" w:fill="FFFFFF"/>
            <w:noWrap/>
            <w:vAlign w:val="bottom"/>
            <w:hideMark/>
          </w:tcPr>
          <w:p w14:paraId="024BF22A"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3695DACC"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2DF79E07"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13.5</w:t>
            </w:r>
          </w:p>
        </w:tc>
      </w:tr>
      <w:tr w:rsidR="00C30DC3" w:rsidRPr="00C30DC3" w14:paraId="5A4CE168" w14:textId="77777777" w:rsidTr="00C30DC3">
        <w:trPr>
          <w:divId w:val="111900303"/>
          <w:trHeight w:val="290"/>
        </w:trPr>
        <w:tc>
          <w:tcPr>
            <w:tcW w:w="6835" w:type="dxa"/>
            <w:gridSpan w:val="2"/>
            <w:tcBorders>
              <w:top w:val="nil"/>
              <w:left w:val="nil"/>
              <w:bottom w:val="nil"/>
              <w:right w:val="nil"/>
            </w:tcBorders>
            <w:shd w:val="clear" w:color="000000" w:fill="FFFFFF"/>
            <w:noWrap/>
            <w:vAlign w:val="bottom"/>
            <w:hideMark/>
          </w:tcPr>
          <w:p w14:paraId="45E1D9DB"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£142,501 or more</w:t>
            </w:r>
          </w:p>
        </w:tc>
        <w:tc>
          <w:tcPr>
            <w:tcW w:w="221" w:type="dxa"/>
            <w:tcBorders>
              <w:top w:val="nil"/>
              <w:left w:val="nil"/>
              <w:bottom w:val="nil"/>
              <w:right w:val="nil"/>
            </w:tcBorders>
            <w:shd w:val="clear" w:color="000000" w:fill="FFFFFF"/>
            <w:noWrap/>
            <w:vAlign w:val="bottom"/>
            <w:hideMark/>
          </w:tcPr>
          <w:p w14:paraId="046F75FD"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316" w:type="dxa"/>
            <w:tcBorders>
              <w:top w:val="nil"/>
              <w:left w:val="nil"/>
              <w:bottom w:val="nil"/>
              <w:right w:val="nil"/>
            </w:tcBorders>
            <w:shd w:val="clear" w:color="000000" w:fill="FFFFFF"/>
            <w:noWrap/>
            <w:vAlign w:val="bottom"/>
            <w:hideMark/>
          </w:tcPr>
          <w:p w14:paraId="430E0CB4" w14:textId="77777777" w:rsidR="00C30DC3" w:rsidRPr="00C30DC3" w:rsidRDefault="00C30DC3" w:rsidP="00C30DC3">
            <w:pPr>
              <w:spacing w:line="240" w:lineRule="auto"/>
              <w:jc w:val="left"/>
              <w:rPr>
                <w:rFonts w:ascii="Calibri" w:eastAsia="Times New Roman" w:hAnsi="Calibri" w:cs="Calibri"/>
                <w:color w:val="000000"/>
                <w:lang w:eastAsia="en-GB"/>
              </w:rPr>
            </w:pPr>
            <w:r w:rsidRPr="00C30DC3">
              <w:rPr>
                <w:rFonts w:ascii="Calibri" w:eastAsia="Times New Roman" w:hAnsi="Calibri" w:cs="Calibri"/>
                <w:color w:val="000000"/>
                <w:lang w:eastAsia="en-GB"/>
              </w:rPr>
              <w:t> </w:t>
            </w:r>
          </w:p>
        </w:tc>
        <w:tc>
          <w:tcPr>
            <w:tcW w:w="1516" w:type="dxa"/>
            <w:tcBorders>
              <w:top w:val="nil"/>
              <w:left w:val="nil"/>
              <w:bottom w:val="nil"/>
              <w:right w:val="nil"/>
            </w:tcBorders>
            <w:shd w:val="clear" w:color="000000" w:fill="FFFFFF"/>
            <w:noWrap/>
            <w:vAlign w:val="bottom"/>
            <w:hideMark/>
          </w:tcPr>
          <w:p w14:paraId="0D0A2C29" w14:textId="77777777" w:rsidR="00C30DC3" w:rsidRPr="00C30DC3" w:rsidRDefault="00C30DC3" w:rsidP="00C30DC3">
            <w:pPr>
              <w:spacing w:line="240" w:lineRule="auto"/>
              <w:jc w:val="right"/>
              <w:rPr>
                <w:rFonts w:ascii="Calibri" w:eastAsia="Times New Roman" w:hAnsi="Calibri" w:cs="Calibri"/>
                <w:color w:val="000000"/>
                <w:lang w:eastAsia="en-GB"/>
              </w:rPr>
            </w:pPr>
            <w:r w:rsidRPr="00C30DC3">
              <w:rPr>
                <w:rFonts w:ascii="Calibri" w:eastAsia="Times New Roman" w:hAnsi="Calibri" w:cs="Calibri"/>
                <w:color w:val="000000"/>
                <w:lang w:eastAsia="en-GB"/>
              </w:rPr>
              <w:t>14.5</w:t>
            </w:r>
          </w:p>
        </w:tc>
      </w:tr>
    </w:tbl>
    <w:p w14:paraId="19408E3A" w14:textId="0906ECBA" w:rsidR="00576415" w:rsidRDefault="00576415" w:rsidP="00A6442F">
      <w:pPr>
        <w:rPr>
          <w:sz w:val="10"/>
          <w:szCs w:val="10"/>
        </w:rPr>
      </w:pPr>
    </w:p>
    <w:p w14:paraId="701361AA" w14:textId="77777777" w:rsidR="004E2172" w:rsidRPr="000E709E" w:rsidRDefault="004E2172" w:rsidP="00A6442F">
      <w:pPr>
        <w:rPr>
          <w:sz w:val="10"/>
          <w:szCs w:val="10"/>
        </w:rPr>
      </w:pPr>
    </w:p>
    <w:p w14:paraId="1BE0128B" w14:textId="125E2DC8" w:rsidR="00A52772" w:rsidRPr="00AF00B3" w:rsidRDefault="4DECC09F" w:rsidP="6C31340A">
      <w:r w:rsidRPr="6C31340A">
        <w:rPr>
          <w:b/>
          <w:bCs/>
        </w:rPr>
        <w:t>10</w:t>
      </w:r>
      <w:r w:rsidR="36FAD26A">
        <w:t xml:space="preserve">. These accounts have been prepared on an </w:t>
      </w:r>
      <w:proofErr w:type="gramStart"/>
      <w:r w:rsidR="36FAD26A">
        <w:t>accruals</w:t>
      </w:r>
      <w:proofErr w:type="gramEnd"/>
      <w:r w:rsidR="36FAD26A">
        <w:t xml:space="preserve"> basis. </w:t>
      </w:r>
    </w:p>
    <w:p w14:paraId="3FB23994" w14:textId="0E32249A" w:rsidR="00A52772" w:rsidRPr="00AF00B3" w:rsidRDefault="00EA2E94" w:rsidP="6C31340A">
      <w:r>
        <w:br w:type="page"/>
      </w:r>
    </w:p>
    <w:p w14:paraId="1DA6D4EF" w14:textId="5DDDE1AB" w:rsidR="00A52772" w:rsidRPr="00AF00B3" w:rsidRDefault="5DAE19FE" w:rsidP="6C31340A">
      <w:pPr>
        <w:pStyle w:val="VAHeadingLevel2"/>
        <w:rPr>
          <w:b/>
          <w:sz w:val="36"/>
          <w:szCs w:val="36"/>
        </w:rPr>
      </w:pPr>
      <w:r w:rsidRPr="6C31340A">
        <w:rPr>
          <w:b/>
          <w:sz w:val="36"/>
          <w:szCs w:val="36"/>
        </w:rPr>
        <w:lastRenderedPageBreak/>
        <w:t>G</w:t>
      </w:r>
      <w:r w:rsidR="3ACFDA71" w:rsidRPr="6C31340A">
        <w:rPr>
          <w:b/>
          <w:sz w:val="36"/>
          <w:szCs w:val="36"/>
        </w:rPr>
        <w:t xml:space="preserve">lossary Of Terms </w:t>
      </w:r>
    </w:p>
    <w:p w14:paraId="2443968A" w14:textId="77777777" w:rsidR="00A52772" w:rsidRPr="00267106" w:rsidRDefault="00A52772" w:rsidP="00A6442F"/>
    <w:p w14:paraId="4FF2EB12" w14:textId="77777777" w:rsidR="00A52772" w:rsidRPr="00AF00B3" w:rsidRDefault="00A52772" w:rsidP="002A1ADD">
      <w:pPr>
        <w:pStyle w:val="VAHeadingLevel2"/>
      </w:pPr>
      <w:r w:rsidRPr="00AF00B3">
        <w:t xml:space="preserve">1 Accounting period </w:t>
      </w:r>
    </w:p>
    <w:p w14:paraId="341593A1" w14:textId="77777777" w:rsidR="00A52772" w:rsidRPr="00267106" w:rsidRDefault="00A52772" w:rsidP="00A6442F">
      <w:r w:rsidRPr="00267106">
        <w:t xml:space="preserve">The length of time covered by the accounts, normally a period of twelve months commencing on 1 April. The end of the accounting period is the Balance Sheet date. </w:t>
      </w:r>
    </w:p>
    <w:p w14:paraId="3ACD68AC" w14:textId="77777777" w:rsidR="00A52772" w:rsidRPr="00267106" w:rsidRDefault="00A52772" w:rsidP="00A6442F"/>
    <w:p w14:paraId="75355883" w14:textId="77777777" w:rsidR="00A52772" w:rsidRPr="00AF00B3" w:rsidRDefault="00A52772" w:rsidP="002A1ADD">
      <w:pPr>
        <w:pStyle w:val="VAHeadingLevel2"/>
      </w:pPr>
      <w:r w:rsidRPr="00AF00B3">
        <w:t xml:space="preserve">2 Accruals </w:t>
      </w:r>
    </w:p>
    <w:p w14:paraId="5BAC762F" w14:textId="77777777" w:rsidR="00A52772" w:rsidRPr="00267106" w:rsidRDefault="00A52772" w:rsidP="00A6442F">
      <w:r w:rsidRPr="00267106">
        <w:t xml:space="preserve">Sums included in the final accounts to recognise revenue and capital </w:t>
      </w:r>
      <w:proofErr w:type="gramStart"/>
      <w:r w:rsidRPr="00267106">
        <w:t>income</w:t>
      </w:r>
      <w:proofErr w:type="gramEnd"/>
      <w:r w:rsidRPr="00267106">
        <w:t xml:space="preserve"> and expenditure earned or incurred in the financial year, but for which actual payment had not been received or made as at 31 March. </w:t>
      </w:r>
    </w:p>
    <w:p w14:paraId="023EE250" w14:textId="77777777" w:rsidR="00A52772" w:rsidRPr="00267106" w:rsidRDefault="00A52772" w:rsidP="00A6442F"/>
    <w:p w14:paraId="417CC67E" w14:textId="77777777" w:rsidR="00A52772" w:rsidRPr="00AF00B3" w:rsidRDefault="00A52772" w:rsidP="002A1ADD">
      <w:pPr>
        <w:pStyle w:val="VAHeadingLevel2"/>
      </w:pPr>
      <w:r w:rsidRPr="00AF00B3">
        <w:t xml:space="preserve">3 Actuarial gains and losses </w:t>
      </w:r>
    </w:p>
    <w:p w14:paraId="6E733621" w14:textId="77777777" w:rsidR="00A52772" w:rsidRPr="00267106" w:rsidRDefault="00A52772" w:rsidP="00A6442F">
      <w:r w:rsidRPr="00267106">
        <w:t xml:space="preserve">For defined benefit schemes, the changes in actuarial deficits or surpluses arise because: </w:t>
      </w:r>
    </w:p>
    <w:p w14:paraId="54F08DCB" w14:textId="77777777" w:rsidR="00A52772" w:rsidRPr="00267106" w:rsidRDefault="00A52772" w:rsidP="00A6442F">
      <w:r w:rsidRPr="00267106">
        <w:t xml:space="preserve">events have not coincided with the actuarial assumptions made for the last valuation (experience gains or losses) or the actuarial assumptions have changed. </w:t>
      </w:r>
    </w:p>
    <w:p w14:paraId="2B7C7DB0" w14:textId="77777777" w:rsidR="00A52772" w:rsidRPr="00267106" w:rsidRDefault="00A52772" w:rsidP="00A6442F"/>
    <w:p w14:paraId="61EE93B7" w14:textId="77777777" w:rsidR="00A52772" w:rsidRPr="00AF00B3" w:rsidRDefault="00A52772" w:rsidP="002A1ADD">
      <w:pPr>
        <w:pStyle w:val="VAHeadingLevel2"/>
      </w:pPr>
      <w:r w:rsidRPr="00AF00B3">
        <w:t xml:space="preserve">4 Asset </w:t>
      </w:r>
    </w:p>
    <w:p w14:paraId="288F2219" w14:textId="77777777" w:rsidR="00A52772" w:rsidRPr="00267106" w:rsidRDefault="00A52772" w:rsidP="00A6442F">
      <w:r w:rsidRPr="00267106">
        <w:t xml:space="preserve">An item having value to the authority in monetary terms. Assets are categorised as either current or fixed: </w:t>
      </w:r>
    </w:p>
    <w:p w14:paraId="161BE8BC" w14:textId="77777777" w:rsidR="00A52772" w:rsidRPr="00267106" w:rsidRDefault="00A52772" w:rsidP="00A6442F">
      <w:r w:rsidRPr="00267106">
        <w:t>A current asset will be consumed or cease to have material value within the next financial year (e.g. cash and stock</w:t>
      </w:r>
      <w:proofErr w:type="gramStart"/>
      <w:r w:rsidRPr="00267106">
        <w:t>);</w:t>
      </w:r>
      <w:proofErr w:type="gramEnd"/>
      <w:r w:rsidRPr="00267106">
        <w:t xml:space="preserve"> </w:t>
      </w:r>
    </w:p>
    <w:p w14:paraId="47BC2AFF" w14:textId="77777777" w:rsidR="00A52772" w:rsidRPr="00267106" w:rsidRDefault="00A52772" w:rsidP="00A6442F"/>
    <w:p w14:paraId="18CA430B" w14:textId="77777777" w:rsidR="00A52772" w:rsidRPr="00267106" w:rsidRDefault="00A52772" w:rsidP="00A6442F">
      <w:r w:rsidRPr="00267106">
        <w:t>A fixed asset provides benefits to the Authority and to the services it provides for a period of more than one year and may be tangible e.g. a community building, or intangible, e.g. computer software licences.</w:t>
      </w:r>
    </w:p>
    <w:p w14:paraId="227ABEA3" w14:textId="77777777" w:rsidR="00A52772" w:rsidRPr="00267106" w:rsidRDefault="00A52772" w:rsidP="00A6442F">
      <w:r w:rsidRPr="00267106">
        <w:t xml:space="preserve"> </w:t>
      </w:r>
    </w:p>
    <w:p w14:paraId="59F02B2F" w14:textId="77777777" w:rsidR="00A52772" w:rsidRPr="00AF00B3" w:rsidRDefault="00A52772" w:rsidP="002A1ADD">
      <w:pPr>
        <w:pStyle w:val="VAHeadingLevel2"/>
      </w:pPr>
      <w:r w:rsidRPr="00AF00B3">
        <w:t xml:space="preserve">5 Audit of accounts </w:t>
      </w:r>
    </w:p>
    <w:p w14:paraId="6B836C49" w14:textId="77777777" w:rsidR="00A52772" w:rsidRPr="00B40348" w:rsidRDefault="00A52772" w:rsidP="00A6442F">
      <w:r w:rsidRPr="00B40348">
        <w:t xml:space="preserve">An external audit is an independent examination of the financial records prepared by an organisation. The main objective of an external audit is to verify that the accounting records for a company provide a true and accurate picture of the organisation’s finances and that statements are prepared in accordance </w:t>
      </w:r>
      <w:proofErr w:type="gramStart"/>
      <w:r w:rsidRPr="00B40348">
        <w:t>to</w:t>
      </w:r>
      <w:proofErr w:type="gramEnd"/>
      <w:r w:rsidRPr="00B40348">
        <w:t xml:space="preserve"> the set laws and accounting standards. External audits also add value by identifying areas where efficiency in the business can be improved and where controls and processes may be made more effectiv</w:t>
      </w:r>
      <w:r>
        <w:t>e.</w:t>
      </w:r>
    </w:p>
    <w:p w14:paraId="2BDE114D" w14:textId="77777777" w:rsidR="00A52772" w:rsidRPr="00267106" w:rsidRDefault="00A52772" w:rsidP="00A6442F"/>
    <w:p w14:paraId="014A764B" w14:textId="77777777" w:rsidR="00A52772" w:rsidRPr="00AF00B3" w:rsidRDefault="00A52772" w:rsidP="002A1ADD">
      <w:pPr>
        <w:pStyle w:val="VAHeadingLevel2"/>
      </w:pPr>
      <w:r w:rsidRPr="00AF00B3">
        <w:t xml:space="preserve">6 Balance sheet </w:t>
      </w:r>
    </w:p>
    <w:p w14:paraId="041B62E6" w14:textId="77777777" w:rsidR="00A52772" w:rsidRPr="00267106" w:rsidRDefault="00A52772" w:rsidP="00A6442F">
      <w:r w:rsidRPr="00267106">
        <w:t xml:space="preserve">A statement of the recorded assets, liabilities and other balances at the end of the accounting period. </w:t>
      </w:r>
    </w:p>
    <w:p w14:paraId="29ADB363" w14:textId="77777777" w:rsidR="00A52772" w:rsidRPr="00267106" w:rsidRDefault="00A52772" w:rsidP="00A6442F"/>
    <w:p w14:paraId="07C7A40A" w14:textId="77777777" w:rsidR="00A52772" w:rsidRPr="00AF00B3" w:rsidRDefault="00A52772" w:rsidP="002A1ADD">
      <w:pPr>
        <w:pStyle w:val="VAHeadingLevel2"/>
      </w:pPr>
      <w:r w:rsidRPr="00AF00B3">
        <w:t xml:space="preserve">7 Budget </w:t>
      </w:r>
    </w:p>
    <w:p w14:paraId="65648D01" w14:textId="77777777" w:rsidR="00A52772" w:rsidRPr="00267106" w:rsidRDefault="00A52772" w:rsidP="00A6442F">
      <w:r w:rsidRPr="00267106">
        <w:t xml:space="preserve">The forecast of net revenue and capital expenditure over the accounting period. </w:t>
      </w:r>
    </w:p>
    <w:p w14:paraId="5D8242D4" w14:textId="77777777" w:rsidR="00A52772" w:rsidRPr="00267106" w:rsidRDefault="00A52772" w:rsidP="00A6442F"/>
    <w:p w14:paraId="67BC05E7" w14:textId="77777777" w:rsidR="001D1C78" w:rsidRPr="00AF00B3" w:rsidRDefault="00A52772" w:rsidP="002A1ADD">
      <w:pPr>
        <w:pStyle w:val="VAHeadingLevel2"/>
      </w:pPr>
      <w:r w:rsidRPr="00AF00B3">
        <w:t>8 Capital expenditure</w:t>
      </w:r>
    </w:p>
    <w:p w14:paraId="717191B7" w14:textId="77777777" w:rsidR="00A52772" w:rsidRPr="00267106" w:rsidRDefault="00A52772" w:rsidP="00A6442F">
      <w:pPr>
        <w:rPr>
          <w:sz w:val="18"/>
          <w:szCs w:val="18"/>
        </w:rPr>
      </w:pPr>
      <w:r w:rsidRPr="00267106">
        <w:t>Expenditure on the acquisition of a fixed asset, which will be used in providing services beyond the current accounting period, or expenditure which adds to and not merely maintains the value of an existing fixed asset.</w:t>
      </w:r>
    </w:p>
    <w:p w14:paraId="2CF006BA" w14:textId="333B55DF" w:rsidR="00A52772" w:rsidRDefault="00A52772" w:rsidP="00A6442F"/>
    <w:p w14:paraId="0F3EE11E" w14:textId="77777777" w:rsidR="00A52772" w:rsidRPr="00AF00B3" w:rsidRDefault="00A52772" w:rsidP="002A1ADD">
      <w:pPr>
        <w:pStyle w:val="VAHeadingLevel2"/>
      </w:pPr>
      <w:r w:rsidRPr="00AF00B3">
        <w:t xml:space="preserve">9 Capital financing </w:t>
      </w:r>
    </w:p>
    <w:p w14:paraId="444D0480" w14:textId="7F3367E8" w:rsidR="00A52772" w:rsidRDefault="00A52772" w:rsidP="00A6442F">
      <w:r w:rsidRPr="00267106">
        <w:t xml:space="preserve">Funds raised to pay for capital expenditure. There are various methods of financing capital expenditure including borrowing, leasing, direct revenue financing, usable capital receipts, capital grants, capital contributions, revenue reserves and earmarked reserves. </w:t>
      </w:r>
    </w:p>
    <w:p w14:paraId="72262969" w14:textId="77777777" w:rsidR="00ED2A06" w:rsidRPr="00267106" w:rsidRDefault="00ED2A06" w:rsidP="00A6442F"/>
    <w:p w14:paraId="59B277B1" w14:textId="77777777" w:rsidR="00A52772" w:rsidRPr="00AF00B3" w:rsidRDefault="00A52772" w:rsidP="002A1ADD">
      <w:pPr>
        <w:pStyle w:val="VAHeadingLevel2"/>
      </w:pPr>
      <w:r w:rsidRPr="00AF00B3">
        <w:t xml:space="preserve">10 Capital programme </w:t>
      </w:r>
    </w:p>
    <w:p w14:paraId="45A85519" w14:textId="6F610F75" w:rsidR="00A52772" w:rsidRPr="00AF00B3" w:rsidRDefault="3644E9F4" w:rsidP="6C31340A">
      <w:r>
        <w:t xml:space="preserve">The capital schemes the Authority intends to carry out over a specific period of time. </w:t>
      </w:r>
    </w:p>
    <w:p w14:paraId="552AA067" w14:textId="7BEAA2CD" w:rsidR="00A52772" w:rsidRPr="00AF00B3" w:rsidRDefault="00A52772" w:rsidP="6C31340A">
      <w:r>
        <w:br w:type="page"/>
      </w:r>
    </w:p>
    <w:p w14:paraId="6E7EA9D8" w14:textId="0F154CD4" w:rsidR="00A52772" w:rsidRPr="00AF00B3" w:rsidRDefault="3644E9F4" w:rsidP="6C31340A">
      <w:pPr>
        <w:pStyle w:val="VAHeadingLevel2"/>
      </w:pPr>
      <w:r>
        <w:lastRenderedPageBreak/>
        <w:t xml:space="preserve">11 Capital receipt </w:t>
      </w:r>
    </w:p>
    <w:p w14:paraId="1174532B" w14:textId="77777777" w:rsidR="00A52772" w:rsidRPr="00267106" w:rsidRDefault="00A52772" w:rsidP="00A6442F">
      <w:r w:rsidRPr="00267106">
        <w:t xml:space="preserve">The proceeds from the disposal of land or other fixed assets. Proportions of capital receipts can be used to finance new capital expenditure, within rules set down by the government but they cannot be used to finance revenue expenditure. </w:t>
      </w:r>
    </w:p>
    <w:p w14:paraId="36A75850" w14:textId="77777777" w:rsidR="00A52772" w:rsidRPr="00267106" w:rsidRDefault="00A52772" w:rsidP="00A6442F"/>
    <w:p w14:paraId="3CDA2DAE" w14:textId="78FDC56C" w:rsidR="00A52772" w:rsidRPr="00AF00B3" w:rsidRDefault="00A52772" w:rsidP="002A1ADD">
      <w:pPr>
        <w:pStyle w:val="VAHeadingLevel2"/>
      </w:pPr>
      <w:r w:rsidRPr="00AF00B3">
        <w:t xml:space="preserve">12 CIPFA </w:t>
      </w:r>
    </w:p>
    <w:p w14:paraId="19175124" w14:textId="77777777" w:rsidR="00A52772" w:rsidRPr="00267106" w:rsidRDefault="00A52772" w:rsidP="00A6442F">
      <w:r w:rsidRPr="00267106">
        <w:t xml:space="preserve">The Chartered Institute of Public Finance and Accountancy. </w:t>
      </w:r>
    </w:p>
    <w:p w14:paraId="2E909F41" w14:textId="77777777" w:rsidR="00A52772" w:rsidRPr="00267106" w:rsidRDefault="00A52772" w:rsidP="00A6442F"/>
    <w:p w14:paraId="7D3A5DE5" w14:textId="77777777" w:rsidR="00A52772" w:rsidRPr="00AF00B3" w:rsidRDefault="00A52772" w:rsidP="002A1ADD">
      <w:pPr>
        <w:pStyle w:val="VAHeadingLevel2"/>
      </w:pPr>
      <w:r w:rsidRPr="00AF00B3">
        <w:t xml:space="preserve">13 Collection fund </w:t>
      </w:r>
    </w:p>
    <w:p w14:paraId="4EA03CEC" w14:textId="77777777" w:rsidR="00A52772" w:rsidRPr="00267106" w:rsidRDefault="00A52772" w:rsidP="00A6442F">
      <w:r w:rsidRPr="00267106">
        <w:t>A separate fund that records the income and expenditure relating to Council Tax and non-domestic rates.</w:t>
      </w:r>
    </w:p>
    <w:p w14:paraId="744E0931" w14:textId="77777777" w:rsidR="00A52772" w:rsidRPr="00267106" w:rsidRDefault="00A52772" w:rsidP="00A6442F">
      <w:r w:rsidRPr="00267106">
        <w:t xml:space="preserve"> </w:t>
      </w:r>
    </w:p>
    <w:p w14:paraId="70C3865F" w14:textId="77777777" w:rsidR="00A52772" w:rsidRPr="00AF00B3" w:rsidRDefault="00A52772" w:rsidP="002A1ADD">
      <w:pPr>
        <w:pStyle w:val="VAHeadingLevel2"/>
      </w:pPr>
      <w:r w:rsidRPr="00AF00B3">
        <w:t xml:space="preserve">14 Consistency </w:t>
      </w:r>
    </w:p>
    <w:p w14:paraId="5C05849F" w14:textId="77777777" w:rsidR="00A52772" w:rsidRPr="00267106" w:rsidRDefault="00A52772" w:rsidP="00A6442F">
      <w:r w:rsidRPr="00267106">
        <w:t xml:space="preserve">The concept that the accounting treatment of like items within an accounting period and from one period to the next is the same. </w:t>
      </w:r>
    </w:p>
    <w:p w14:paraId="5ABDC125" w14:textId="77777777" w:rsidR="00A52772" w:rsidRPr="00267106" w:rsidRDefault="00A52772" w:rsidP="00A6442F"/>
    <w:p w14:paraId="3CA78C2C" w14:textId="77777777" w:rsidR="00A52772" w:rsidRPr="00AF00B3" w:rsidRDefault="00A52772" w:rsidP="002A1ADD">
      <w:pPr>
        <w:pStyle w:val="VAHeadingLevel2"/>
      </w:pPr>
      <w:r w:rsidRPr="00AF00B3">
        <w:t xml:space="preserve">15 Contingent asset </w:t>
      </w:r>
    </w:p>
    <w:p w14:paraId="188F98FA" w14:textId="77777777" w:rsidR="00A52772" w:rsidRPr="00267106" w:rsidRDefault="00A52772" w:rsidP="00A6442F">
      <w:r w:rsidRPr="00267106">
        <w:t xml:space="preserve">A contingent asset is a possible asset arising from past events whose existence will be confirmed only by the occurrence of one or more uncertain future events not wholly within the Authority’s accounts. </w:t>
      </w:r>
    </w:p>
    <w:p w14:paraId="57EC61C6" w14:textId="77777777" w:rsidR="00A52772" w:rsidRPr="00267106" w:rsidRDefault="00A52772" w:rsidP="00A6442F"/>
    <w:p w14:paraId="226FC731" w14:textId="77777777" w:rsidR="00A52772" w:rsidRPr="00AF00B3" w:rsidRDefault="00A52772" w:rsidP="002A1ADD">
      <w:pPr>
        <w:pStyle w:val="VAHeadingLevel2"/>
      </w:pPr>
      <w:r w:rsidRPr="00AF00B3">
        <w:t xml:space="preserve">16 Contingent liability </w:t>
      </w:r>
    </w:p>
    <w:p w14:paraId="76955219" w14:textId="77777777" w:rsidR="00A52772" w:rsidRPr="00267106" w:rsidRDefault="00A52772" w:rsidP="00A6442F">
      <w:r w:rsidRPr="00267106">
        <w:t xml:space="preserve">A contingent liability is either: a possible obligation arising from past events whose existence will be confirmed only by the occurrence of one or more uncertain future events not wholly within the Authority’s control; or a present obligation arising from past events where it is not probable that a transfer of economic benefits will be required, or the amount of the obligation cannot be measured with sufficient reliability. </w:t>
      </w:r>
    </w:p>
    <w:p w14:paraId="597B6D69" w14:textId="77777777" w:rsidR="00A52772" w:rsidRPr="00267106" w:rsidRDefault="00A52772" w:rsidP="00A6442F"/>
    <w:p w14:paraId="6F21375F" w14:textId="77777777" w:rsidR="00A52772" w:rsidRPr="00AF00B3" w:rsidRDefault="00A52772" w:rsidP="002A1ADD">
      <w:pPr>
        <w:pStyle w:val="VAHeadingLevel2"/>
      </w:pPr>
      <w:r w:rsidRPr="00AF00B3">
        <w:t xml:space="preserve">17 Creditor </w:t>
      </w:r>
    </w:p>
    <w:p w14:paraId="5816DC57" w14:textId="7F97D26F" w:rsidR="00ED2A06" w:rsidRPr="00ED2A06" w:rsidRDefault="00A52772" w:rsidP="00A6442F">
      <w:pPr>
        <w:rPr>
          <w:sz w:val="18"/>
          <w:szCs w:val="18"/>
        </w:rPr>
      </w:pPr>
      <w:r w:rsidRPr="00267106">
        <w:t xml:space="preserve">Amount owed by the Authority for work done, goods </w:t>
      </w:r>
      <w:proofErr w:type="gramStart"/>
      <w:r w:rsidRPr="00267106">
        <w:t>received</w:t>
      </w:r>
      <w:proofErr w:type="gramEnd"/>
      <w:r w:rsidRPr="00267106">
        <w:t xml:space="preserve"> or services rendered within the accounting period, but for which payment has not been made by the end of that accounting period.</w:t>
      </w:r>
    </w:p>
    <w:p w14:paraId="796AFC06" w14:textId="77777777" w:rsidR="00ED2A06" w:rsidRPr="00267106" w:rsidRDefault="00ED2A06" w:rsidP="00A6442F"/>
    <w:p w14:paraId="74BE1B8A" w14:textId="77777777" w:rsidR="00A52772" w:rsidRPr="00AF00B3" w:rsidRDefault="00A52772" w:rsidP="002A1ADD">
      <w:pPr>
        <w:pStyle w:val="VAHeadingLevel2"/>
      </w:pPr>
      <w:r w:rsidRPr="00AF00B3">
        <w:t xml:space="preserve">18 Current service cost (pensions) </w:t>
      </w:r>
    </w:p>
    <w:p w14:paraId="76D0F946" w14:textId="5FB9DE09" w:rsidR="00A52772" w:rsidRPr="00267106" w:rsidRDefault="00A52772" w:rsidP="00A6442F">
      <w:r w:rsidRPr="00267106">
        <w:t xml:space="preserve">The increase in the present value of a defined benefits pension scheme’s liabilities, expected to arise from employee service in the current period. </w:t>
      </w:r>
    </w:p>
    <w:p w14:paraId="1AB664A7" w14:textId="77777777" w:rsidR="006671E1" w:rsidRDefault="006671E1" w:rsidP="00A6442F"/>
    <w:p w14:paraId="49F7FA93" w14:textId="3A8BA7F0" w:rsidR="00A52772" w:rsidRPr="00AF00B3" w:rsidRDefault="00A52772" w:rsidP="002A1ADD">
      <w:pPr>
        <w:pStyle w:val="VAHeadingLevel2"/>
      </w:pPr>
      <w:r w:rsidRPr="00AF00B3">
        <w:t xml:space="preserve">19 Debtor </w:t>
      </w:r>
    </w:p>
    <w:p w14:paraId="14F2E9C1" w14:textId="7887EC83" w:rsidR="00ED2A06" w:rsidRDefault="00A52772" w:rsidP="00A6442F">
      <w:r w:rsidRPr="00267106">
        <w:t xml:space="preserve">Amount owed to the Authority for works done, goods </w:t>
      </w:r>
      <w:proofErr w:type="gramStart"/>
      <w:r w:rsidRPr="00267106">
        <w:t>received</w:t>
      </w:r>
      <w:proofErr w:type="gramEnd"/>
      <w:r w:rsidRPr="00267106">
        <w:t xml:space="preserve"> or services rendered within the accounting period, but for which payment has not been received by the end of that accounting period. </w:t>
      </w:r>
    </w:p>
    <w:p w14:paraId="1189575A" w14:textId="77777777" w:rsidR="001D1C78" w:rsidRDefault="001D1C78" w:rsidP="00A6442F"/>
    <w:p w14:paraId="7B2B186E" w14:textId="4CC74D72" w:rsidR="00A52772" w:rsidRPr="00AF00B3" w:rsidRDefault="00A52772" w:rsidP="002A1ADD">
      <w:pPr>
        <w:pStyle w:val="VAHeadingLevel2"/>
      </w:pPr>
      <w:r w:rsidRPr="00AF00B3">
        <w:t xml:space="preserve">20 Deferred charges </w:t>
      </w:r>
    </w:p>
    <w:p w14:paraId="41B96CB3" w14:textId="77777777" w:rsidR="00A52772" w:rsidRPr="00267106" w:rsidRDefault="00A52772" w:rsidP="00A6442F">
      <w:r w:rsidRPr="00267106">
        <w:t xml:space="preserve">Expenditure which can be properly deferred (i.e. treated as capital in nature), but which does not result in, or remain matched with, a tangible asset. Examples of deferred charges are grants of a capital nature to voluntary organisations. </w:t>
      </w:r>
    </w:p>
    <w:p w14:paraId="018BDFCE" w14:textId="77777777" w:rsidR="00A52772" w:rsidRPr="00267106" w:rsidRDefault="00A52772" w:rsidP="00A6442F"/>
    <w:p w14:paraId="6E158DF7" w14:textId="77777777" w:rsidR="00A52772" w:rsidRPr="00AF00B3" w:rsidRDefault="00A52772" w:rsidP="002A1ADD">
      <w:pPr>
        <w:pStyle w:val="VAHeadingLevel2"/>
      </w:pPr>
      <w:r w:rsidRPr="00AF00B3">
        <w:t xml:space="preserve">21 Defined benefit pension </w:t>
      </w:r>
      <w:proofErr w:type="gramStart"/>
      <w:r w:rsidRPr="00AF00B3">
        <w:t>scheme</w:t>
      </w:r>
      <w:proofErr w:type="gramEnd"/>
      <w:r w:rsidRPr="00AF00B3">
        <w:t xml:space="preserve"> </w:t>
      </w:r>
    </w:p>
    <w:p w14:paraId="1FF103A7" w14:textId="2B95C615" w:rsidR="00A52772" w:rsidRPr="00AF00B3" w:rsidRDefault="3644E9F4" w:rsidP="6C31340A">
      <w:r>
        <w:t xml:space="preserve">Pension schemes in which the benefits received by the participants are independent of the contributions paid and are not directly related to the investments of the scheme. </w:t>
      </w:r>
    </w:p>
    <w:p w14:paraId="0069B4B7" w14:textId="47835B67" w:rsidR="00A52772" w:rsidRPr="00AF00B3" w:rsidRDefault="00A52772" w:rsidP="6C31340A"/>
    <w:p w14:paraId="4DCFA603" w14:textId="1B555F4A" w:rsidR="00A52772" w:rsidRPr="00AF00B3" w:rsidRDefault="3644E9F4" w:rsidP="002A1ADD">
      <w:pPr>
        <w:pStyle w:val="VAHeadingLevel2"/>
      </w:pPr>
      <w:r>
        <w:t>22</w:t>
      </w:r>
      <w:r w:rsidR="4F6BB654">
        <w:t xml:space="preserve"> </w:t>
      </w:r>
      <w:r>
        <w:t xml:space="preserve">Depreciation </w:t>
      </w:r>
    </w:p>
    <w:p w14:paraId="69165173" w14:textId="4E209016" w:rsidR="00A52772" w:rsidRPr="00AF00B3" w:rsidRDefault="3644E9F4" w:rsidP="6C31340A">
      <w:r>
        <w:t xml:space="preserve">The measure of the cost of wearing out, consumption, or other reduction, in the useful economic life of the Authority’s fixed assets during the accounting period, whether from use, the passage of time or obsolescence through technical or other changes. </w:t>
      </w:r>
    </w:p>
    <w:p w14:paraId="12AAA8DD" w14:textId="3BFF243F" w:rsidR="00A52772" w:rsidRPr="00AF00B3" w:rsidRDefault="00A52772" w:rsidP="6C31340A">
      <w:r>
        <w:br w:type="page"/>
      </w:r>
    </w:p>
    <w:p w14:paraId="2F54CB56" w14:textId="25C3BF67" w:rsidR="00A52772" w:rsidRPr="00AF00B3" w:rsidRDefault="3644E9F4" w:rsidP="6C31340A">
      <w:pPr>
        <w:pStyle w:val="VAHeadingLevel2"/>
      </w:pPr>
      <w:r>
        <w:lastRenderedPageBreak/>
        <w:t xml:space="preserve">23 Discretionary benefits (pensions) </w:t>
      </w:r>
    </w:p>
    <w:p w14:paraId="7DF2A2E9" w14:textId="77777777" w:rsidR="00A52772" w:rsidRPr="00267106" w:rsidRDefault="00A52772" w:rsidP="00A6442F">
      <w:r w:rsidRPr="00267106">
        <w:t xml:space="preserve">Retirement benefits which the employer has no legal, contractual or constructive obligation to award and are awarded under the Authority’s discretionary powers such as the Local Government (Discretionary Payments) Regulations 1996. </w:t>
      </w:r>
    </w:p>
    <w:p w14:paraId="4F150B7C" w14:textId="49373013" w:rsidR="006671E1" w:rsidRDefault="006671E1" w:rsidP="00A6442F"/>
    <w:p w14:paraId="7981009E" w14:textId="62401290" w:rsidR="00A52772" w:rsidRPr="00AF00B3" w:rsidRDefault="00A52772" w:rsidP="002A1ADD">
      <w:pPr>
        <w:pStyle w:val="VAHeadingLevel2"/>
      </w:pPr>
      <w:r w:rsidRPr="00AF00B3">
        <w:t xml:space="preserve">24 Equity </w:t>
      </w:r>
    </w:p>
    <w:p w14:paraId="650194F3" w14:textId="77777777" w:rsidR="00A52772" w:rsidRPr="00267106" w:rsidRDefault="00A52772" w:rsidP="00A6442F">
      <w:r w:rsidRPr="00267106">
        <w:t xml:space="preserve">The Authority’s value of total assets </w:t>
      </w:r>
      <w:proofErr w:type="gramStart"/>
      <w:r w:rsidRPr="00267106">
        <w:t>less</w:t>
      </w:r>
      <w:proofErr w:type="gramEnd"/>
      <w:r w:rsidRPr="00267106">
        <w:t xml:space="preserve"> total liabilities. </w:t>
      </w:r>
    </w:p>
    <w:p w14:paraId="08BC0952" w14:textId="77777777" w:rsidR="00A52772" w:rsidRPr="00267106" w:rsidRDefault="00A52772" w:rsidP="00A6442F"/>
    <w:p w14:paraId="30BE3681" w14:textId="77777777" w:rsidR="00A52772" w:rsidRPr="00AF00B3" w:rsidRDefault="00A52772" w:rsidP="002A1ADD">
      <w:pPr>
        <w:pStyle w:val="VAHeadingLevel2"/>
      </w:pPr>
      <w:r w:rsidRPr="00AF00B3">
        <w:t xml:space="preserve">25 Events after the balance sheet date </w:t>
      </w:r>
    </w:p>
    <w:p w14:paraId="35AFD76E" w14:textId="77777777" w:rsidR="00A52772" w:rsidRPr="00267106" w:rsidRDefault="00A52772" w:rsidP="00A6442F">
      <w:r w:rsidRPr="00267106">
        <w:t xml:space="preserve">Events after the Balance Sheet date are those events, favourable or unfavourable, that occur between the Balance Sheet date and the date when the Statement of Accounts is authorised for issue. </w:t>
      </w:r>
    </w:p>
    <w:p w14:paraId="35E87718" w14:textId="77777777" w:rsidR="00A52772" w:rsidRPr="00267106" w:rsidRDefault="00A52772" w:rsidP="00A6442F"/>
    <w:p w14:paraId="322DAF48" w14:textId="77777777" w:rsidR="00A52772" w:rsidRPr="00AF00B3" w:rsidRDefault="00A52772" w:rsidP="002A1ADD">
      <w:pPr>
        <w:pStyle w:val="VAHeadingLevel2"/>
      </w:pPr>
      <w:r w:rsidRPr="00AF00B3">
        <w:t xml:space="preserve">26 Exceptional items </w:t>
      </w:r>
    </w:p>
    <w:p w14:paraId="25D8E8A3" w14:textId="77777777" w:rsidR="00A52772" w:rsidRPr="00267106" w:rsidRDefault="00A52772" w:rsidP="00A6442F">
      <w:pPr>
        <w:rPr>
          <w:sz w:val="18"/>
          <w:szCs w:val="18"/>
        </w:rPr>
      </w:pPr>
      <w:r w:rsidRPr="00267106">
        <w:t xml:space="preserve">Material items which derive from events or transactions that fall within the ordinary activities of the </w:t>
      </w:r>
      <w:proofErr w:type="gramStart"/>
      <w:r w:rsidRPr="00267106">
        <w:t>Authority</w:t>
      </w:r>
      <w:proofErr w:type="gramEnd"/>
      <w:r w:rsidRPr="00267106">
        <w:t xml:space="preserve"> and which need to be disclosed separately by virtue of their size or incidence to give fair presentation of the accounts.</w:t>
      </w:r>
    </w:p>
    <w:p w14:paraId="0D618C0F" w14:textId="77777777" w:rsidR="00A52772" w:rsidRPr="00267106" w:rsidRDefault="00A52772" w:rsidP="00A6442F"/>
    <w:p w14:paraId="7246E2EE" w14:textId="77777777" w:rsidR="00A52772" w:rsidRPr="00AF00B3" w:rsidRDefault="00A52772" w:rsidP="002A1ADD">
      <w:pPr>
        <w:pStyle w:val="VAHeadingLevel2"/>
      </w:pPr>
      <w:r w:rsidRPr="00AF00B3">
        <w:t xml:space="preserve">27 Expected </w:t>
      </w:r>
      <w:proofErr w:type="gramStart"/>
      <w:r w:rsidRPr="00AF00B3">
        <w:t>return</w:t>
      </w:r>
      <w:proofErr w:type="gramEnd"/>
      <w:r w:rsidRPr="00AF00B3">
        <w:t xml:space="preserve"> on pension assets </w:t>
      </w:r>
    </w:p>
    <w:p w14:paraId="5D756ED6" w14:textId="77777777" w:rsidR="00A52772" w:rsidRPr="00267106" w:rsidRDefault="00A52772" w:rsidP="00A6442F">
      <w:r w:rsidRPr="00267106">
        <w:t xml:space="preserve">For a funded defined benefit scheme, this is the average rate of return, including both income and changes in fair value but net of scheme expenses, which is expected over the remaining life of the related obligation on the actual assets held by the scheme. </w:t>
      </w:r>
    </w:p>
    <w:p w14:paraId="28FF837B" w14:textId="77777777" w:rsidR="001D1C78" w:rsidRPr="00267106" w:rsidRDefault="001D1C78" w:rsidP="00A6442F"/>
    <w:p w14:paraId="4D8BA299" w14:textId="77777777" w:rsidR="00A52772" w:rsidRPr="00AF00B3" w:rsidRDefault="00A52772" w:rsidP="002A1ADD">
      <w:pPr>
        <w:pStyle w:val="VAHeadingLevel2"/>
      </w:pPr>
      <w:r w:rsidRPr="00AF00B3">
        <w:t xml:space="preserve">28 Extraordinary items </w:t>
      </w:r>
    </w:p>
    <w:p w14:paraId="1F46EDDF" w14:textId="77777777" w:rsidR="00A52772" w:rsidRPr="00267106" w:rsidRDefault="00A52772" w:rsidP="00A6442F">
      <w:r w:rsidRPr="00267106">
        <w:t xml:space="preserve">Material items, possessing a high degree of abnormality, which derive from events or transactions that fall outside the ordinary activities of the </w:t>
      </w:r>
      <w:proofErr w:type="gramStart"/>
      <w:r w:rsidRPr="00267106">
        <w:t>Authority</w:t>
      </w:r>
      <w:proofErr w:type="gramEnd"/>
      <w:r w:rsidRPr="00267106">
        <w:t xml:space="preserve"> and which are not expected to recur. They do not include exceptional items, nor do they include prior period items merely because they relate to a prior period.</w:t>
      </w:r>
    </w:p>
    <w:p w14:paraId="7F20511C" w14:textId="77777777" w:rsidR="00A52772" w:rsidRPr="00267106" w:rsidRDefault="00A52772" w:rsidP="00A6442F">
      <w:r w:rsidRPr="00267106">
        <w:t xml:space="preserve"> </w:t>
      </w:r>
    </w:p>
    <w:p w14:paraId="15D4A75B" w14:textId="6D63BD94" w:rsidR="00A52772" w:rsidRPr="00AF00B3" w:rsidRDefault="00A52772" w:rsidP="002A1ADD">
      <w:pPr>
        <w:pStyle w:val="VAHeadingLevel2"/>
      </w:pPr>
      <w:r w:rsidRPr="00AF00B3">
        <w:t xml:space="preserve">29 Fair value </w:t>
      </w:r>
    </w:p>
    <w:p w14:paraId="1A2519D0" w14:textId="77777777" w:rsidR="00A52772" w:rsidRPr="00267106" w:rsidRDefault="00A52772" w:rsidP="00A6442F">
      <w:r w:rsidRPr="00267106">
        <w:t xml:space="preserve">The fair value of an asset is the price at which it could be exchanged in an arm’s length transaction less, where applicable, any grants receivable towards the purchase or use of the asset. </w:t>
      </w:r>
    </w:p>
    <w:p w14:paraId="1C5C0C8B" w14:textId="77777777" w:rsidR="00A52772" w:rsidRPr="00267106" w:rsidRDefault="00A52772" w:rsidP="00A6442F"/>
    <w:p w14:paraId="1259EB05" w14:textId="77777777" w:rsidR="00A52772" w:rsidRPr="00AF00B3" w:rsidRDefault="00A52772" w:rsidP="002A1ADD">
      <w:pPr>
        <w:pStyle w:val="VAHeadingLevel2"/>
      </w:pPr>
      <w:r w:rsidRPr="00AF00B3">
        <w:t xml:space="preserve">30 Government grants </w:t>
      </w:r>
    </w:p>
    <w:p w14:paraId="0D59421A" w14:textId="77777777" w:rsidR="00A52772" w:rsidRPr="00267106" w:rsidRDefault="00A52772" w:rsidP="00A6442F">
      <w:r w:rsidRPr="00267106">
        <w:t xml:space="preserve">Grants made by the government towards either revenue or capital expenditure in return for past or future compliance with certain conditions relating to the activities of the Authority. These grants may be specific to a particular scheme or may support the revenue spend of the Authority in general. </w:t>
      </w:r>
    </w:p>
    <w:p w14:paraId="3449AA86" w14:textId="77777777" w:rsidR="00A52772" w:rsidRPr="00267106" w:rsidRDefault="00A52772" w:rsidP="00A6442F"/>
    <w:p w14:paraId="091FB0AC" w14:textId="77777777" w:rsidR="00A52772" w:rsidRPr="00AF00B3" w:rsidRDefault="00A52772" w:rsidP="002A1ADD">
      <w:pPr>
        <w:pStyle w:val="VAHeadingLevel2"/>
      </w:pPr>
      <w:r w:rsidRPr="00AF00B3">
        <w:t xml:space="preserve">31 Impairment </w:t>
      </w:r>
    </w:p>
    <w:p w14:paraId="0DD02A16" w14:textId="77777777" w:rsidR="00A52772" w:rsidRPr="00267106" w:rsidRDefault="00A52772" w:rsidP="00A6442F">
      <w:r w:rsidRPr="00267106">
        <w:t xml:space="preserve">A reduction in the value of a fixed asset to below </w:t>
      </w:r>
      <w:proofErr w:type="gramStart"/>
      <w:r w:rsidRPr="00267106">
        <w:t>its</w:t>
      </w:r>
      <w:proofErr w:type="gramEnd"/>
      <w:r w:rsidRPr="00267106">
        <w:t xml:space="preserve"> carrying amount on the Balance Sheet. </w:t>
      </w:r>
    </w:p>
    <w:p w14:paraId="05EB369B" w14:textId="77777777" w:rsidR="00A52772" w:rsidRPr="00267106" w:rsidRDefault="00A52772" w:rsidP="00A6442F"/>
    <w:p w14:paraId="2B9A9D05" w14:textId="77777777" w:rsidR="00A52772" w:rsidRPr="00AF00B3" w:rsidRDefault="00A52772" w:rsidP="002A1ADD">
      <w:pPr>
        <w:pStyle w:val="VAHeadingLevel2"/>
      </w:pPr>
      <w:r w:rsidRPr="00AF00B3">
        <w:t xml:space="preserve">32 Income and expenditure account </w:t>
      </w:r>
    </w:p>
    <w:p w14:paraId="7699D58A" w14:textId="77777777" w:rsidR="00A52772" w:rsidRPr="00267106" w:rsidRDefault="00A52772" w:rsidP="00A6442F">
      <w:r w:rsidRPr="00267106">
        <w:t xml:space="preserve">The revenue account of the Authority that reports the net cost for the year of the functions for which it is responsible and demonstrates how that cost has been financed from precepts, grants and other income. </w:t>
      </w:r>
    </w:p>
    <w:p w14:paraId="06A20D2B" w14:textId="77777777" w:rsidR="00A52772" w:rsidRPr="00267106" w:rsidRDefault="00A52772" w:rsidP="00A6442F"/>
    <w:p w14:paraId="11DFCBD1" w14:textId="77777777" w:rsidR="00A52772" w:rsidRPr="00AF00B3" w:rsidRDefault="00A52772" w:rsidP="002A1ADD">
      <w:pPr>
        <w:pStyle w:val="VAHeadingLevel2"/>
      </w:pPr>
      <w:r w:rsidRPr="00AF00B3">
        <w:t xml:space="preserve">33 Interest cost (pensions) </w:t>
      </w:r>
    </w:p>
    <w:p w14:paraId="72AEC796" w14:textId="17391959" w:rsidR="00A52772" w:rsidRPr="00AF00B3" w:rsidRDefault="3644E9F4" w:rsidP="6C31340A">
      <w:r>
        <w:t xml:space="preserve">For a defined benefit scheme, the expected increase during the period of the present value of the scheme liabilities because the benefits are one period closer to settlement. </w:t>
      </w:r>
    </w:p>
    <w:p w14:paraId="7DAC38F2" w14:textId="7DB72043" w:rsidR="00A52772" w:rsidRPr="00AF00B3" w:rsidRDefault="00A52772" w:rsidP="6C31340A">
      <w:r>
        <w:br w:type="page"/>
      </w:r>
    </w:p>
    <w:p w14:paraId="20C76A13" w14:textId="4743BE55" w:rsidR="00A52772" w:rsidRPr="00AF00B3" w:rsidRDefault="3644E9F4" w:rsidP="6C31340A">
      <w:pPr>
        <w:pStyle w:val="VAHeadingLevel2"/>
      </w:pPr>
      <w:r>
        <w:lastRenderedPageBreak/>
        <w:t xml:space="preserve">34 Investments (pension fund) </w:t>
      </w:r>
    </w:p>
    <w:p w14:paraId="4E59E300" w14:textId="77777777" w:rsidR="00A52772" w:rsidRPr="00267106" w:rsidRDefault="3644E9F4" w:rsidP="00A6442F">
      <w:r>
        <w:t xml:space="preserve">The investments of the Pension Fund will be accounted for in the statements of that fund. However, authorities are also required to disclose, as part of the disclosure requirements relating to retirement benefits, the attributable share of the pension scheme assets associated with their underlying obligations. </w:t>
      </w:r>
    </w:p>
    <w:p w14:paraId="60B81A46" w14:textId="33B65B92" w:rsidR="6C31340A" w:rsidRDefault="6C31340A" w:rsidP="6C31340A">
      <w:pPr>
        <w:pStyle w:val="VAHeadingLevel2"/>
      </w:pPr>
    </w:p>
    <w:p w14:paraId="1460837B" w14:textId="77777777" w:rsidR="00A52772" w:rsidRPr="00AF00B3" w:rsidRDefault="00A52772" w:rsidP="002A1ADD">
      <w:pPr>
        <w:pStyle w:val="VAHeadingLevel2"/>
      </w:pPr>
      <w:r w:rsidRPr="00AF00B3">
        <w:t xml:space="preserve">35 Liability </w:t>
      </w:r>
    </w:p>
    <w:p w14:paraId="122E4898" w14:textId="75666079" w:rsidR="00A52772" w:rsidRDefault="00A52772" w:rsidP="00A6442F">
      <w:r w:rsidRPr="00267106">
        <w:t xml:space="preserve">A liability is where the Authority owes payment to an individual or another organisation.  A current liability is an amount which will become payable or could be called in within the next accounting period, e.g. creditors or cash overdrawn. </w:t>
      </w:r>
    </w:p>
    <w:p w14:paraId="738FE648" w14:textId="77777777" w:rsidR="006671E1" w:rsidRPr="00267106" w:rsidRDefault="006671E1" w:rsidP="00A6442F"/>
    <w:p w14:paraId="14A3B68E" w14:textId="77777777" w:rsidR="00A52772" w:rsidRDefault="00A52772" w:rsidP="00A6442F">
      <w:r w:rsidRPr="00267106">
        <w:t xml:space="preserve">A deferred liability is an amount which by arrangement is payable beyond the next year at some point in the future or to be paid off by an annual sum over a period of time. </w:t>
      </w:r>
    </w:p>
    <w:p w14:paraId="7FF3A145" w14:textId="77777777" w:rsidR="00A90388" w:rsidRPr="00267106" w:rsidRDefault="00A90388" w:rsidP="00A6442F"/>
    <w:p w14:paraId="5D1E51A8" w14:textId="77777777" w:rsidR="00A52772" w:rsidRPr="00AF00B3" w:rsidRDefault="00A52772" w:rsidP="002A1ADD">
      <w:pPr>
        <w:pStyle w:val="VAHeadingLevel2"/>
      </w:pPr>
      <w:r w:rsidRPr="00AF00B3">
        <w:t xml:space="preserve">36 Liquid resources </w:t>
      </w:r>
    </w:p>
    <w:p w14:paraId="0C20B0CE" w14:textId="35A59AB1" w:rsidR="00A52772" w:rsidRDefault="00A52772" w:rsidP="00A6442F">
      <w:r w:rsidRPr="00267106">
        <w:t xml:space="preserve">Current asset investments that are readily disposable by the Authority without disrupting its business and are either: readily convertible to known amounts of cash at or close to the carrying amount; or traded in an active market. </w:t>
      </w:r>
    </w:p>
    <w:p w14:paraId="5D2B8E00" w14:textId="77777777" w:rsidR="00A52772" w:rsidRPr="00267106" w:rsidRDefault="00A52772" w:rsidP="00A6442F"/>
    <w:p w14:paraId="6AF3748F" w14:textId="77777777" w:rsidR="00A52772" w:rsidRPr="00AF00B3" w:rsidRDefault="00A52772" w:rsidP="002A1ADD">
      <w:pPr>
        <w:pStyle w:val="VAHeadingLevel2"/>
      </w:pPr>
      <w:r w:rsidRPr="00AF00B3">
        <w:t xml:space="preserve">37 Long term </w:t>
      </w:r>
      <w:proofErr w:type="gramStart"/>
      <w:r w:rsidRPr="00AF00B3">
        <w:t>contract</w:t>
      </w:r>
      <w:proofErr w:type="gramEnd"/>
      <w:r w:rsidRPr="00AF00B3">
        <w:t xml:space="preserve"> </w:t>
      </w:r>
    </w:p>
    <w:p w14:paraId="504626DE" w14:textId="77777777" w:rsidR="00A52772" w:rsidRPr="00267106" w:rsidRDefault="00A52772" w:rsidP="00A6442F">
      <w:r w:rsidRPr="00267106">
        <w:t xml:space="preserve">A contract entered into for the design, manufacture or construction of a single substantial asset or the provision of a service (or a combination of assets or services which together constitute a single project), where the time taken to substantially complete the contract is such that the contract activity falls into more than one accounting period. </w:t>
      </w:r>
    </w:p>
    <w:p w14:paraId="2E4DFF72" w14:textId="77777777" w:rsidR="00A52772" w:rsidRPr="00267106" w:rsidRDefault="00A52772" w:rsidP="00A6442F"/>
    <w:p w14:paraId="014D885E" w14:textId="77777777" w:rsidR="00A52772" w:rsidRPr="00AF00B3" w:rsidRDefault="00A52772" w:rsidP="002A1ADD">
      <w:pPr>
        <w:pStyle w:val="VAHeadingLevel2"/>
      </w:pPr>
      <w:r w:rsidRPr="00AF00B3">
        <w:t xml:space="preserve">38 Materiality </w:t>
      </w:r>
    </w:p>
    <w:p w14:paraId="27E6C558" w14:textId="77777777" w:rsidR="00A52772" w:rsidRPr="00267106" w:rsidRDefault="00A52772" w:rsidP="00A6442F">
      <w:r w:rsidRPr="00267106">
        <w:t xml:space="preserve">The concept that the Statement of Accounts should include all amounts which, if omitted, or mis-stated, could be expected to lead to a distortion of the financial statements and ultimately mislead a user of the accounts. </w:t>
      </w:r>
    </w:p>
    <w:p w14:paraId="7DEB0C34" w14:textId="77777777" w:rsidR="00A52772" w:rsidRDefault="00A52772" w:rsidP="00A6442F"/>
    <w:p w14:paraId="3D4015C9" w14:textId="77777777" w:rsidR="00A52772" w:rsidRPr="00AF00B3" w:rsidRDefault="00A52772" w:rsidP="002A1ADD">
      <w:pPr>
        <w:pStyle w:val="VAHeadingLevel2"/>
      </w:pPr>
      <w:r w:rsidRPr="00AF00B3">
        <w:t xml:space="preserve">39 Minimum Revenue Provision (MRP) </w:t>
      </w:r>
    </w:p>
    <w:p w14:paraId="6B6E69F9" w14:textId="77777777" w:rsidR="00A52772" w:rsidRPr="00267106" w:rsidRDefault="00A52772" w:rsidP="00A6442F">
      <w:r w:rsidRPr="00267106">
        <w:t xml:space="preserve">The minimum amount which must be charged to the revenue account each year in order to provide for the repayment of loans and other amounts borrowed by the Authority. </w:t>
      </w:r>
    </w:p>
    <w:p w14:paraId="05E4603C" w14:textId="77777777" w:rsidR="00A52772" w:rsidRPr="00267106" w:rsidRDefault="00A52772" w:rsidP="00A6442F"/>
    <w:p w14:paraId="254C8B21" w14:textId="77777777" w:rsidR="00A52772" w:rsidRPr="00AF00B3" w:rsidRDefault="00A52772" w:rsidP="002A1ADD">
      <w:pPr>
        <w:pStyle w:val="VAHeadingLevel2"/>
      </w:pPr>
      <w:r w:rsidRPr="00AF00B3">
        <w:t xml:space="preserve">40 Net book value </w:t>
      </w:r>
    </w:p>
    <w:p w14:paraId="14DF5FCE" w14:textId="77777777" w:rsidR="00A52772" w:rsidRPr="00267106" w:rsidRDefault="00A52772" w:rsidP="00A6442F">
      <w:r w:rsidRPr="00267106">
        <w:t xml:space="preserve">The amount at which fixed assets are included in the Balance Sheet, i.e. their historical costs or </w:t>
      </w:r>
      <w:r>
        <w:t xml:space="preserve">fair </w:t>
      </w:r>
      <w:r w:rsidRPr="00267106">
        <w:t xml:space="preserve">value less the cumulative amounts provided for depreciation. </w:t>
      </w:r>
    </w:p>
    <w:p w14:paraId="586B1157" w14:textId="77777777" w:rsidR="00A52772" w:rsidRPr="00267106" w:rsidRDefault="00A52772" w:rsidP="00A6442F"/>
    <w:p w14:paraId="1E851697" w14:textId="77777777" w:rsidR="00A52772" w:rsidRPr="00AF00B3" w:rsidRDefault="00A52772" w:rsidP="002A1ADD">
      <w:pPr>
        <w:pStyle w:val="VAHeadingLevel2"/>
      </w:pPr>
      <w:r w:rsidRPr="00AF00B3">
        <w:t xml:space="preserve">41 Net debt </w:t>
      </w:r>
    </w:p>
    <w:p w14:paraId="5B0E8B6A" w14:textId="77777777" w:rsidR="00A52772" w:rsidRPr="00267106" w:rsidRDefault="00A52772" w:rsidP="00A6442F">
      <w:r w:rsidRPr="00267106">
        <w:t>The Authority’s borrowings less cash and liquid resources.</w:t>
      </w:r>
    </w:p>
    <w:p w14:paraId="58074E87" w14:textId="77777777" w:rsidR="00A52772" w:rsidRPr="00267106" w:rsidRDefault="00A52772" w:rsidP="00A6442F">
      <w:r w:rsidRPr="00267106">
        <w:t xml:space="preserve"> </w:t>
      </w:r>
    </w:p>
    <w:p w14:paraId="2B5C75E6" w14:textId="153604D6" w:rsidR="00A52772" w:rsidRPr="00AF00B3" w:rsidRDefault="00A52772" w:rsidP="002A1ADD">
      <w:pPr>
        <w:pStyle w:val="VAHeadingLevel2"/>
      </w:pPr>
      <w:r w:rsidRPr="00AF00B3">
        <w:t xml:space="preserve">42 </w:t>
      </w:r>
      <w:proofErr w:type="gramStart"/>
      <w:r w:rsidRPr="00AF00B3">
        <w:t>Non-domestic</w:t>
      </w:r>
      <w:proofErr w:type="gramEnd"/>
      <w:r w:rsidRPr="00AF00B3">
        <w:t xml:space="preserve"> rates (NDR) </w:t>
      </w:r>
    </w:p>
    <w:p w14:paraId="1523BEC4" w14:textId="77777777" w:rsidR="00A52772" w:rsidRPr="00267106" w:rsidRDefault="00A52772" w:rsidP="00A6442F">
      <w:r w:rsidRPr="00267106">
        <w:t xml:space="preserve">The Non-Domestic Rate is a levy on businesses, based on a national rate in the pound set by the government and multiplied by the assessed rateable value of the premises they occupy. </w:t>
      </w:r>
    </w:p>
    <w:p w14:paraId="175A2040" w14:textId="77777777" w:rsidR="00A52772" w:rsidRPr="00267106" w:rsidRDefault="00A52772" w:rsidP="00A6442F"/>
    <w:p w14:paraId="7793EFD1" w14:textId="77777777" w:rsidR="00A52772" w:rsidRPr="00AF00B3" w:rsidRDefault="00A52772" w:rsidP="002A1ADD">
      <w:pPr>
        <w:pStyle w:val="VAHeadingLevel2"/>
      </w:pPr>
      <w:r w:rsidRPr="00AF00B3">
        <w:t xml:space="preserve">43 Non-operational assets </w:t>
      </w:r>
    </w:p>
    <w:p w14:paraId="7ABD4BA0" w14:textId="77777777" w:rsidR="00A52772" w:rsidRPr="00267106" w:rsidRDefault="00A52772" w:rsidP="00A6442F">
      <w:r w:rsidRPr="00267106">
        <w:t xml:space="preserve">Fixed assets held by the Authority but not directly occupied, used or consumed in the delivery of services. Examples are investment properties, assets under construction or assets surplus to requirements pending sale or redevelopment. </w:t>
      </w:r>
    </w:p>
    <w:p w14:paraId="4B0B2EC3" w14:textId="77777777" w:rsidR="00A52772" w:rsidRPr="00267106" w:rsidRDefault="00A52772" w:rsidP="00A6442F"/>
    <w:p w14:paraId="070DDAF7" w14:textId="23B78DBC" w:rsidR="00A52772" w:rsidRPr="00AF00B3" w:rsidRDefault="00A52772" w:rsidP="002A1ADD">
      <w:pPr>
        <w:pStyle w:val="VAHeadingLevel2"/>
      </w:pPr>
      <w:r w:rsidRPr="00AF00B3">
        <w:t xml:space="preserve">44 Operating lease </w:t>
      </w:r>
    </w:p>
    <w:p w14:paraId="2D6ACB79" w14:textId="77777777" w:rsidR="005C5BAC" w:rsidRDefault="00A52772" w:rsidP="005C5BAC">
      <w:r w:rsidRPr="00267106">
        <w:t>A lease where the ownership of the fixed</w:t>
      </w:r>
      <w:r>
        <w:t xml:space="preserve"> asset remains with the lessor.</w:t>
      </w:r>
    </w:p>
    <w:p w14:paraId="00D1FF0A" w14:textId="77777777" w:rsidR="005C5BAC" w:rsidRDefault="005C5BAC">
      <w:pPr>
        <w:spacing w:after="160"/>
        <w:jc w:val="left"/>
      </w:pPr>
      <w:r>
        <w:br w:type="page"/>
      </w:r>
    </w:p>
    <w:p w14:paraId="72608879" w14:textId="750CA2E4" w:rsidR="00A52772" w:rsidRPr="005C5BAC" w:rsidRDefault="00A52772" w:rsidP="005C5BAC">
      <w:pPr>
        <w:pStyle w:val="VAHeadingLevel2"/>
      </w:pPr>
      <w:r w:rsidRPr="00AF00B3">
        <w:lastRenderedPageBreak/>
        <w:t xml:space="preserve">45 Operational assets </w:t>
      </w:r>
    </w:p>
    <w:p w14:paraId="1A3A4B57" w14:textId="61E199A5" w:rsidR="00A52772" w:rsidRPr="00267106" w:rsidRDefault="3644E9F4" w:rsidP="00A6442F">
      <w:r>
        <w:t xml:space="preserve">Fixed assets held and occupied, used or consumed by the Authority in the pursuit of its strategy and in the direct delivery of those services for which it has either a statutory or discretionary responsibility. </w:t>
      </w:r>
    </w:p>
    <w:p w14:paraId="031619B6" w14:textId="058E6BDE" w:rsidR="6C31340A" w:rsidRDefault="6C31340A"/>
    <w:p w14:paraId="068F6CC3" w14:textId="501E5F3E" w:rsidR="00A90388" w:rsidRDefault="3644E9F4" w:rsidP="6C31340A">
      <w:pPr>
        <w:pStyle w:val="VAHeadingLevel2"/>
      </w:pPr>
      <w:r>
        <w:t xml:space="preserve">46 Past service cost (pensions) </w:t>
      </w:r>
    </w:p>
    <w:p w14:paraId="37BA1F4A" w14:textId="1B26D3FC" w:rsidR="1B88F057" w:rsidRDefault="1B88F057" w:rsidP="6C31340A">
      <w:pPr>
        <w:rPr>
          <w:b/>
          <w:bCs/>
        </w:rPr>
      </w:pPr>
      <w:r>
        <w:t>For a defined benefit pension scheme, the increase in the present value of the scheme liabilities related to employee service in prior periods arising in the current period as a result of the introduction of, or improvement to retirement benefits.</w:t>
      </w:r>
    </w:p>
    <w:p w14:paraId="428D22CC" w14:textId="79219000" w:rsidR="6C31340A" w:rsidRDefault="6C31340A"/>
    <w:p w14:paraId="0C0FB3FB" w14:textId="49D1895C" w:rsidR="00A52772" w:rsidRPr="00AF00B3" w:rsidRDefault="00A52772" w:rsidP="002A1ADD">
      <w:pPr>
        <w:pStyle w:val="VAHeadingLevel2"/>
      </w:pPr>
      <w:r w:rsidRPr="00AF00B3">
        <w:t xml:space="preserve">47 Pension scheme liabilities </w:t>
      </w:r>
    </w:p>
    <w:p w14:paraId="0EC684B0" w14:textId="474C1C41" w:rsidR="006671E1" w:rsidRDefault="00A52772" w:rsidP="00A6442F">
      <w:r w:rsidRPr="00267106">
        <w:t xml:space="preserve">The liabilities of a defined benefit pension scheme for outgoings due after the valuation date. Scheme liabilities measured during the projected unit method reflect the benefits that the employer is committed to provide for service up to the valuation date. </w:t>
      </w:r>
    </w:p>
    <w:p w14:paraId="598A6913" w14:textId="77777777" w:rsidR="00A90388" w:rsidRDefault="00A90388" w:rsidP="00A6442F"/>
    <w:p w14:paraId="10514886" w14:textId="728260BF" w:rsidR="00A52772" w:rsidRPr="00AF00B3" w:rsidRDefault="00A52772" w:rsidP="002A1ADD">
      <w:pPr>
        <w:pStyle w:val="VAHeadingLevel2"/>
      </w:pPr>
      <w:r w:rsidRPr="00AF00B3">
        <w:t xml:space="preserve">48 Precept </w:t>
      </w:r>
    </w:p>
    <w:p w14:paraId="5C54AF55" w14:textId="77777777" w:rsidR="00A52772" w:rsidRPr="00267106" w:rsidRDefault="00A52772" w:rsidP="00A6442F">
      <w:r w:rsidRPr="00267106">
        <w:t xml:space="preserve">The levy made by precepting authorities to billing authorities, requiring the latter to collect income from Council Tax on their behalf. </w:t>
      </w:r>
    </w:p>
    <w:p w14:paraId="7CD62A14" w14:textId="77777777" w:rsidR="00A52772" w:rsidRPr="00267106" w:rsidRDefault="00A52772" w:rsidP="00A6442F"/>
    <w:p w14:paraId="3F1930AF" w14:textId="77777777" w:rsidR="00A52772" w:rsidRPr="00AF00B3" w:rsidRDefault="00A52772" w:rsidP="002A1ADD">
      <w:pPr>
        <w:pStyle w:val="VAHeadingLevel2"/>
      </w:pPr>
      <w:r w:rsidRPr="00AF00B3">
        <w:t xml:space="preserve">49 Prior year adjustment </w:t>
      </w:r>
    </w:p>
    <w:p w14:paraId="38ECC475" w14:textId="77777777" w:rsidR="00A52772" w:rsidRPr="00267106" w:rsidRDefault="00A52772" w:rsidP="00A6442F">
      <w:r w:rsidRPr="00267106">
        <w:t xml:space="preserve">Material adjustments applicable to previous years arising from changes in accounting </w:t>
      </w:r>
      <w:r w:rsidR="007F07C2" w:rsidRPr="00267106">
        <w:t>policies</w:t>
      </w:r>
      <w:r w:rsidRPr="00267106">
        <w:t xml:space="preserve"> or from the correction of fundamental errors. This does not include normal recurring corrections or adjustments of accounting estimates made in prior years. </w:t>
      </w:r>
    </w:p>
    <w:p w14:paraId="6E397F6A" w14:textId="77777777" w:rsidR="00A52772" w:rsidRPr="00267106" w:rsidRDefault="00A52772" w:rsidP="00A6442F"/>
    <w:p w14:paraId="2ED9E737" w14:textId="77777777" w:rsidR="00A52772" w:rsidRPr="00AF00B3" w:rsidRDefault="00A52772" w:rsidP="002A1ADD">
      <w:pPr>
        <w:pStyle w:val="VAHeadingLevel2"/>
      </w:pPr>
      <w:r w:rsidRPr="00AF00B3">
        <w:t xml:space="preserve">50 Provision </w:t>
      </w:r>
    </w:p>
    <w:p w14:paraId="14120D46" w14:textId="77777777" w:rsidR="00A52772" w:rsidRPr="00267106" w:rsidRDefault="00A52772" w:rsidP="00A6442F">
      <w:r w:rsidRPr="00267106">
        <w:t xml:space="preserve">An amount put aside in the accounts for future liabilities or losses which are certain or very likely to occur but the amounts or dates of when they will arise are uncertain. </w:t>
      </w:r>
    </w:p>
    <w:p w14:paraId="139405C8" w14:textId="77777777" w:rsidR="00A52772" w:rsidRPr="00267106" w:rsidRDefault="00A52772" w:rsidP="00A6442F"/>
    <w:p w14:paraId="30AE8AD8" w14:textId="77777777" w:rsidR="00A52772" w:rsidRPr="00AF00B3" w:rsidRDefault="00A52772" w:rsidP="002A1ADD">
      <w:pPr>
        <w:pStyle w:val="VAHeadingLevel2"/>
      </w:pPr>
      <w:r w:rsidRPr="00AF00B3">
        <w:t xml:space="preserve">51 Public Works Loan Board (PWLB) </w:t>
      </w:r>
    </w:p>
    <w:p w14:paraId="3BEA9890" w14:textId="77777777" w:rsidR="00A52772" w:rsidRPr="00267106" w:rsidRDefault="00A52772" w:rsidP="00A6442F">
      <w:r w:rsidRPr="00267106">
        <w:t xml:space="preserve">A Central Government Agency, which provides loans for one year and above to authorities at interest rates only slightly higher than those at which the government can borrow itself. </w:t>
      </w:r>
    </w:p>
    <w:p w14:paraId="31EB925F" w14:textId="77777777" w:rsidR="00A52772" w:rsidRPr="00267106" w:rsidRDefault="00A52772" w:rsidP="00A6442F"/>
    <w:p w14:paraId="355B19FC" w14:textId="77777777" w:rsidR="00A52772" w:rsidRPr="00AF00B3" w:rsidRDefault="00A52772" w:rsidP="002A1ADD">
      <w:pPr>
        <w:pStyle w:val="VAHeadingLevel2"/>
      </w:pPr>
      <w:r w:rsidRPr="00AF00B3">
        <w:t xml:space="preserve">52 Rateable </w:t>
      </w:r>
      <w:proofErr w:type="gramStart"/>
      <w:r w:rsidRPr="00AF00B3">
        <w:t>value</w:t>
      </w:r>
      <w:proofErr w:type="gramEnd"/>
      <w:r w:rsidRPr="00AF00B3">
        <w:t xml:space="preserve"> </w:t>
      </w:r>
    </w:p>
    <w:p w14:paraId="49083CD5" w14:textId="77777777" w:rsidR="00A52772" w:rsidRPr="00267106" w:rsidRDefault="00A52772" w:rsidP="00A6442F">
      <w:r w:rsidRPr="00267106">
        <w:t xml:space="preserve">The annual assumed rental of a hereditament, which is used for NDR purposes. </w:t>
      </w:r>
    </w:p>
    <w:p w14:paraId="5C128C20" w14:textId="77777777" w:rsidR="00A52772" w:rsidRPr="00267106" w:rsidRDefault="00A52772" w:rsidP="00A6442F"/>
    <w:p w14:paraId="4E9682D0" w14:textId="77777777" w:rsidR="00A52772" w:rsidRPr="00AF00B3" w:rsidRDefault="00A52772" w:rsidP="002A1ADD">
      <w:pPr>
        <w:pStyle w:val="VAHeadingLevel2"/>
      </w:pPr>
      <w:r w:rsidRPr="00AF00B3">
        <w:t xml:space="preserve">53 Related parties </w:t>
      </w:r>
    </w:p>
    <w:p w14:paraId="53518057" w14:textId="77777777" w:rsidR="00A52772" w:rsidRPr="00267106" w:rsidRDefault="00A52772" w:rsidP="00A6442F">
      <w:pPr>
        <w:rPr>
          <w:sz w:val="18"/>
          <w:szCs w:val="18"/>
        </w:rPr>
      </w:pPr>
      <w:r w:rsidRPr="00267106">
        <w:t xml:space="preserve">There is a detailed definition of related parties in IAS 24. For the Authority’s purposes related parties are deemed to include the Authority’s members, the Chief Executive, its </w:t>
      </w:r>
      <w:proofErr w:type="gramStart"/>
      <w:r w:rsidRPr="00267106">
        <w:t>Directors</w:t>
      </w:r>
      <w:proofErr w:type="gramEnd"/>
      <w:r w:rsidRPr="00267106">
        <w:t xml:space="preserve"> and their close family and household members.</w:t>
      </w:r>
    </w:p>
    <w:p w14:paraId="78B55EA5" w14:textId="77777777" w:rsidR="00A52772" w:rsidRPr="00267106" w:rsidRDefault="00A52772" w:rsidP="00A6442F"/>
    <w:p w14:paraId="60FCE65C" w14:textId="77777777" w:rsidR="00A52772" w:rsidRPr="00AF00B3" w:rsidRDefault="00A52772" w:rsidP="002A1ADD">
      <w:pPr>
        <w:pStyle w:val="VAHeadingLevel2"/>
      </w:pPr>
      <w:r w:rsidRPr="00AF00B3">
        <w:t xml:space="preserve">54 Related party transactions </w:t>
      </w:r>
    </w:p>
    <w:p w14:paraId="611E5287" w14:textId="77777777" w:rsidR="00A52772" w:rsidRPr="00267106" w:rsidRDefault="00A52772" w:rsidP="00A6442F">
      <w:r w:rsidRPr="00267106">
        <w:t xml:space="preserve">The Code requires the disclosure of any material transactions between the Authority and related parties to ensure that stakeholders are aware when these transactions occur and the amount and implications of such. </w:t>
      </w:r>
    </w:p>
    <w:p w14:paraId="6350EF97" w14:textId="77777777" w:rsidR="00A52772" w:rsidRPr="00267106" w:rsidRDefault="00A52772" w:rsidP="00A6442F"/>
    <w:p w14:paraId="330458EF" w14:textId="77777777" w:rsidR="00A52772" w:rsidRPr="00AF00B3" w:rsidRDefault="00A52772" w:rsidP="002A1ADD">
      <w:pPr>
        <w:pStyle w:val="VAHeadingLevel2"/>
      </w:pPr>
      <w:r w:rsidRPr="00AF00B3">
        <w:t xml:space="preserve">55 Remuneration </w:t>
      </w:r>
    </w:p>
    <w:p w14:paraId="6046E397" w14:textId="2D2A98DF" w:rsidR="00A52772" w:rsidRPr="00AF00B3" w:rsidRDefault="3644E9F4" w:rsidP="6C31340A">
      <w:r>
        <w:t xml:space="preserve">All sums paid to or receivable by an employee and sums due by way of expenses allowances (as far as those sums are chargeable to UK income tax) and the money value of any other benefits. Received other than in cash. Pension contributions payable by the employer are excluded. </w:t>
      </w:r>
    </w:p>
    <w:p w14:paraId="30512187" w14:textId="2EBC7898" w:rsidR="00A52772" w:rsidRPr="00AF00B3" w:rsidRDefault="00A52772" w:rsidP="6C31340A">
      <w:r>
        <w:br w:type="page"/>
      </w:r>
    </w:p>
    <w:p w14:paraId="23988C5F" w14:textId="4450D29B" w:rsidR="00A52772" w:rsidRPr="00AF00B3" w:rsidRDefault="3644E9F4" w:rsidP="6C31340A">
      <w:pPr>
        <w:pStyle w:val="VAHeadingLevel2"/>
      </w:pPr>
      <w:r>
        <w:lastRenderedPageBreak/>
        <w:t xml:space="preserve">56 Reserves </w:t>
      </w:r>
    </w:p>
    <w:p w14:paraId="7A01ECCC" w14:textId="77777777" w:rsidR="00A52772" w:rsidRPr="00267106" w:rsidRDefault="00A52772" w:rsidP="00A6442F">
      <w:r w:rsidRPr="00267106">
        <w:t xml:space="preserve">The accumulation of surpluses, deficits and appropriations over past years. Reserves of a revenue nature are available and can be spent or earmarked at the discretion of the Authority. Some capital reserves such as the fixed asset restatement account cannot be used to meet current expenditure. </w:t>
      </w:r>
    </w:p>
    <w:p w14:paraId="36E645C5" w14:textId="77777777" w:rsidR="00A52772" w:rsidRPr="00267106" w:rsidRDefault="00A52772" w:rsidP="00A6442F"/>
    <w:p w14:paraId="3B0F738E" w14:textId="77777777" w:rsidR="00A52772" w:rsidRPr="00AF00B3" w:rsidRDefault="00A52772" w:rsidP="002A1ADD">
      <w:pPr>
        <w:pStyle w:val="VAHeadingLevel2"/>
      </w:pPr>
      <w:r w:rsidRPr="00AF00B3">
        <w:t xml:space="preserve">57 </w:t>
      </w:r>
      <w:r w:rsidRPr="002A1ADD">
        <w:t>Residual</w:t>
      </w:r>
      <w:r w:rsidRPr="00AF00B3">
        <w:t xml:space="preserve"> value </w:t>
      </w:r>
    </w:p>
    <w:p w14:paraId="1815F5F1" w14:textId="77777777" w:rsidR="00A52772" w:rsidRDefault="00A52772" w:rsidP="00A6442F">
      <w:r w:rsidRPr="00267106">
        <w:t xml:space="preserve">The net realisable value of an asset at the end of its useful life. </w:t>
      </w:r>
    </w:p>
    <w:p w14:paraId="1DB80F7F" w14:textId="77777777" w:rsidR="000324EE" w:rsidRDefault="000324EE" w:rsidP="00A6442F"/>
    <w:p w14:paraId="258C411B" w14:textId="77777777" w:rsidR="00A52772" w:rsidRPr="00AF00B3" w:rsidRDefault="00A52772" w:rsidP="002A1ADD">
      <w:pPr>
        <w:pStyle w:val="VAHeadingLevel2"/>
      </w:pPr>
      <w:r w:rsidRPr="00AF00B3">
        <w:t xml:space="preserve">58 Retirement benefits </w:t>
      </w:r>
    </w:p>
    <w:p w14:paraId="44FDE97D" w14:textId="6DC117D3" w:rsidR="00A52772" w:rsidRDefault="00A52772" w:rsidP="00A6442F">
      <w:r w:rsidRPr="00267106">
        <w:t xml:space="preserve">All forms of consideration given by an employer in exchange for services rendered by employees that are payable after the completion of employment. </w:t>
      </w:r>
    </w:p>
    <w:p w14:paraId="5BF3432A" w14:textId="77777777" w:rsidR="00A52772" w:rsidRPr="00267106" w:rsidRDefault="00A52772" w:rsidP="00A6442F"/>
    <w:p w14:paraId="1E648B89" w14:textId="77777777" w:rsidR="00A52772" w:rsidRPr="00AF00B3" w:rsidRDefault="00A52772" w:rsidP="002A1ADD">
      <w:pPr>
        <w:pStyle w:val="VAHeadingLevel2"/>
      </w:pPr>
      <w:r w:rsidRPr="00AF00B3">
        <w:t xml:space="preserve">59 Revenue expenditure </w:t>
      </w:r>
    </w:p>
    <w:p w14:paraId="32A8A6FB" w14:textId="77777777" w:rsidR="00A52772" w:rsidRPr="00267106" w:rsidRDefault="00A52772" w:rsidP="00A6442F">
      <w:r w:rsidRPr="00267106">
        <w:t xml:space="preserve">The day-to-day expenses of providing services. </w:t>
      </w:r>
    </w:p>
    <w:p w14:paraId="0B1AB9DD" w14:textId="77777777" w:rsidR="00A52772" w:rsidRPr="00267106" w:rsidRDefault="00A52772" w:rsidP="00A6442F"/>
    <w:p w14:paraId="1B58FC20" w14:textId="77777777" w:rsidR="00A52772" w:rsidRPr="00AF00B3" w:rsidRDefault="00A52772" w:rsidP="002A1ADD">
      <w:pPr>
        <w:pStyle w:val="VAHeadingLevel2"/>
      </w:pPr>
      <w:r w:rsidRPr="00AF00B3">
        <w:t xml:space="preserve">60 Revenue support grant </w:t>
      </w:r>
    </w:p>
    <w:p w14:paraId="38271682" w14:textId="77777777" w:rsidR="00A52772" w:rsidRPr="00267106" w:rsidRDefault="00A52772" w:rsidP="00A6442F">
      <w:r w:rsidRPr="00267106">
        <w:t xml:space="preserve">A grant paid by Central Government to authorities, contributing towards the general costs of their services. </w:t>
      </w:r>
    </w:p>
    <w:p w14:paraId="4E97389E" w14:textId="77777777" w:rsidR="00A52772" w:rsidRDefault="00A52772" w:rsidP="00A6442F"/>
    <w:p w14:paraId="1A63D281" w14:textId="70DD0CCE" w:rsidR="00A52772" w:rsidRPr="00AF00B3" w:rsidRDefault="00A52772" w:rsidP="002A1ADD">
      <w:pPr>
        <w:pStyle w:val="VAHeadingLevel2"/>
      </w:pPr>
      <w:r w:rsidRPr="00AF00B3">
        <w:t xml:space="preserve">61 Stocks </w:t>
      </w:r>
    </w:p>
    <w:p w14:paraId="4ECF8B5B" w14:textId="23BBE27B" w:rsidR="00A52772" w:rsidRDefault="00A52772" w:rsidP="00A6442F">
      <w:r w:rsidRPr="00267106">
        <w:t xml:space="preserve">Items of raw materials and stores an authority has procured and holds in expectation of future use. Examples are consumable stores, raw materials and products and services in intermediate stages of completion. </w:t>
      </w:r>
    </w:p>
    <w:p w14:paraId="79EC40A7" w14:textId="77777777" w:rsidR="001D1C78" w:rsidRPr="00267106" w:rsidRDefault="001D1C78" w:rsidP="00A6442F"/>
    <w:p w14:paraId="0B21FD54" w14:textId="77777777" w:rsidR="00A52772" w:rsidRPr="00AF00B3" w:rsidRDefault="00A52772" w:rsidP="002A1ADD">
      <w:pPr>
        <w:pStyle w:val="VAHeadingLevel2"/>
      </w:pPr>
      <w:r w:rsidRPr="00AF00B3">
        <w:t xml:space="preserve">62 Temporary borrowing </w:t>
      </w:r>
    </w:p>
    <w:p w14:paraId="4BC276AE" w14:textId="77777777" w:rsidR="00A52772" w:rsidRPr="00267106" w:rsidRDefault="00A52772" w:rsidP="00A6442F">
      <w:r w:rsidRPr="00267106">
        <w:t xml:space="preserve">Money borrowed for a period of less than one year. </w:t>
      </w:r>
    </w:p>
    <w:p w14:paraId="7E4FC760" w14:textId="77777777" w:rsidR="00A52772" w:rsidRPr="00267106" w:rsidRDefault="00A52772" w:rsidP="00A6442F"/>
    <w:p w14:paraId="55A0A9BB" w14:textId="77777777" w:rsidR="00A52772" w:rsidRPr="00AF00B3" w:rsidRDefault="00A52772" w:rsidP="002A1ADD">
      <w:pPr>
        <w:pStyle w:val="VAHeadingLevel2"/>
      </w:pPr>
      <w:r w:rsidRPr="00AF00B3">
        <w:t xml:space="preserve">63 Useful economic life (UEL) </w:t>
      </w:r>
    </w:p>
    <w:p w14:paraId="7A7CE0C9" w14:textId="77777777" w:rsidR="00A52772" w:rsidRDefault="00A52772" w:rsidP="00A6442F">
      <w:r w:rsidRPr="00267106">
        <w:t>The period over which the Authority will derive benefits form the use of a fixed asset</w:t>
      </w:r>
    </w:p>
    <w:p w14:paraId="23C8801F" w14:textId="6A39E89A" w:rsidR="00B4212F" w:rsidRDefault="00B4212F" w:rsidP="00A6442F"/>
    <w:p w14:paraId="0D8C9888" w14:textId="65C45951" w:rsidR="00F2288A" w:rsidRDefault="00F2288A">
      <w:pPr>
        <w:spacing w:after="160"/>
        <w:jc w:val="left"/>
      </w:pPr>
      <w:r>
        <w:br w:type="page"/>
      </w:r>
    </w:p>
    <w:p w14:paraId="66FDBEEC" w14:textId="77777777" w:rsidR="00F2288A" w:rsidRPr="002A1ADD" w:rsidRDefault="00F2288A" w:rsidP="002A1ADD">
      <w:pPr>
        <w:pStyle w:val="ChapterHeading"/>
      </w:pPr>
      <w:r w:rsidRPr="002A1ADD">
        <w:lastRenderedPageBreak/>
        <w:t>Annual Governance Statement - NCFRA</w:t>
      </w:r>
    </w:p>
    <w:p w14:paraId="2F923F13" w14:textId="77777777" w:rsidR="00DC0056" w:rsidRDefault="00DC0056" w:rsidP="00857AD4">
      <w:pPr>
        <w:pStyle w:val="Default"/>
        <w:rPr>
          <w:rFonts w:asciiTheme="minorHAnsi" w:hAnsiTheme="minorHAnsi" w:cstheme="minorHAnsi"/>
          <w:b/>
          <w:color w:val="auto"/>
          <w:sz w:val="22"/>
          <w:szCs w:val="22"/>
        </w:rPr>
      </w:pPr>
    </w:p>
    <w:p w14:paraId="188A967E" w14:textId="77777777" w:rsidR="00DC0056" w:rsidRPr="00DC0056" w:rsidRDefault="00DC0056" w:rsidP="00DC0056">
      <w:r w:rsidRPr="00DC0056">
        <w:t>Following a review of the organisation’s governance arrangements, it is the opinion of the PFCC that the current framework is appropriate, effective, and fit for purpose in the context of public sector standards and expectations.  The governance structure provides clear accountability, transparency, and oversight, ensuring that public resources are managed responsibly and in line with statutory, regulatory, and policy requirements.  However, there are always ways to improve further, and some specific actions are identified later in this document.</w:t>
      </w:r>
    </w:p>
    <w:p w14:paraId="17BC2A68" w14:textId="77777777" w:rsidR="00DC0056" w:rsidRPr="00DC0056" w:rsidRDefault="00DC0056" w:rsidP="00DC0056"/>
    <w:p w14:paraId="28B387F6" w14:textId="77777777" w:rsidR="00DC0056" w:rsidRPr="00DC0056" w:rsidRDefault="00DC0056" w:rsidP="00DC0056">
      <w:r w:rsidRPr="00DC0056">
        <w:t>The roles and responsibilities of the governing body, executive leadership, and supporting committees are well-defined, with appropriate reporting lines and decision-making processes in place. Risk management, financial stewardship, and performance monitoring are embedded within governance processes, supporting the delivery of public value and safeguarding the public interest.</w:t>
      </w:r>
    </w:p>
    <w:p w14:paraId="0A73BA58" w14:textId="77777777" w:rsidR="00DC0056" w:rsidRPr="00DC0056" w:rsidRDefault="00DC0056" w:rsidP="00DC0056"/>
    <w:p w14:paraId="14C06A82" w14:textId="77777777" w:rsidR="00DC0056" w:rsidRPr="00DC0056" w:rsidRDefault="00DC0056" w:rsidP="00DC0056">
      <w:r w:rsidRPr="00DC0056">
        <w:t>The organisation demonstrates a strong commitment to integrity, openness, and continuous improvement, with regular reviews ensuring governance arrangements remain effective and responsive to changing demands and priorities.  In the past financial year, the two corporations sole have maintained the governance arrangements and strategies in place and driven forward performance improvements.</w:t>
      </w:r>
    </w:p>
    <w:p w14:paraId="34C2BAF8" w14:textId="77777777" w:rsidR="00DC0056" w:rsidRPr="00DC0056" w:rsidRDefault="00DC0056" w:rsidP="00DC0056"/>
    <w:p w14:paraId="2D8B8959" w14:textId="77777777" w:rsidR="00DC0056" w:rsidRPr="00DC0056" w:rsidRDefault="00DC0056" w:rsidP="00DC0056">
      <w:r w:rsidRPr="00DC0056">
        <w:t>The Police and Crime Act 2017 enabled Police and Crime Commissioners to become responsible for the governance of fire and rescue authorities, subject to the approval of a business case by the Home Secretary.  The aim of this legislation was to “enable fire and police services to work more closely together and develop the role of our elected and accountable Police and Crime Commissioners”.  Northamptonshire Commissioner Fire and Rescue Authority (NCFRA) was created on 1</w:t>
      </w:r>
      <w:r w:rsidRPr="00DC0056">
        <w:rPr>
          <w:vertAlign w:val="superscript"/>
        </w:rPr>
        <w:t>st</w:t>
      </w:r>
      <w:r w:rsidRPr="00DC0056">
        <w:t xml:space="preserve"> January 2019.  The Police, Fire and Crime Commissioner also acts as NCFRA.</w:t>
      </w:r>
    </w:p>
    <w:p w14:paraId="5D20D939" w14:textId="77777777" w:rsidR="00DC0056" w:rsidRPr="00DC0056" w:rsidRDefault="00DC0056" w:rsidP="00DC0056"/>
    <w:p w14:paraId="503A3AE5" w14:textId="77777777" w:rsidR="00DC0056" w:rsidRPr="00DC0056" w:rsidRDefault="00DC0056" w:rsidP="002A1ADD">
      <w:pPr>
        <w:pStyle w:val="VAHeadingLevel2"/>
      </w:pPr>
      <w:r w:rsidRPr="000B093C">
        <w:t xml:space="preserve">The CIPFA/SOLACE Framework of Good Governance </w:t>
      </w:r>
    </w:p>
    <w:p w14:paraId="64F23F34" w14:textId="77777777" w:rsidR="00DC0056" w:rsidRPr="00DC0056" w:rsidRDefault="00DC0056" w:rsidP="00DC0056">
      <w:r w:rsidRPr="00DC0056">
        <w:t>In 2007, CIPFA developed with the Society of Local Authority Chief Executives (Solace) a framework – “</w:t>
      </w:r>
      <w:r w:rsidRPr="00DC0056">
        <w:rPr>
          <w:i/>
        </w:rPr>
        <w:t>Delivering good governance in local government</w:t>
      </w:r>
      <w:r w:rsidRPr="00921D3B">
        <w:rPr>
          <w:i/>
        </w:rPr>
        <w:t xml:space="preserve">”.  </w:t>
      </w:r>
      <w:r w:rsidRPr="00921D3B">
        <w:t>This was subsequently reviewed with an updated edition was published in April 2016, and most recently an addendum published May 2025.</w:t>
      </w:r>
    </w:p>
    <w:p w14:paraId="3C6F89D4" w14:textId="77777777" w:rsidR="00DC0056" w:rsidRPr="00DC0056" w:rsidRDefault="00DC0056" w:rsidP="00DC0056"/>
    <w:p w14:paraId="1E075EFD" w14:textId="77777777" w:rsidR="00DC0056" w:rsidRPr="00DC0056" w:rsidRDefault="00DC0056" w:rsidP="00DC0056">
      <w:r w:rsidRPr="00DC0056">
        <w:t>This framework recognises that no two organisations are the same and as such allows an organisation to test its governance structures against a set of principles which are:</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229"/>
      </w:tblGrid>
      <w:tr w:rsidR="00DC0056" w:rsidRPr="00DC0056" w14:paraId="6D75E9B2" w14:textId="77777777">
        <w:tc>
          <w:tcPr>
            <w:tcW w:w="1990" w:type="dxa"/>
          </w:tcPr>
          <w:p w14:paraId="1BD3C2A4" w14:textId="77777777" w:rsidR="00DC0056" w:rsidRPr="00202655" w:rsidRDefault="00DC0056">
            <w:pPr>
              <w:pStyle w:val="RedBullet"/>
              <w:rPr>
                <w:b/>
              </w:rPr>
            </w:pPr>
            <w:r w:rsidRPr="00202655">
              <w:rPr>
                <w:b/>
                <w:sz w:val="22"/>
                <w:szCs w:val="22"/>
              </w:rPr>
              <w:t xml:space="preserve">Principle A: </w:t>
            </w:r>
          </w:p>
        </w:tc>
        <w:tc>
          <w:tcPr>
            <w:tcW w:w="7229" w:type="dxa"/>
          </w:tcPr>
          <w:p w14:paraId="25DEBFEF" w14:textId="77777777" w:rsidR="00DC0056" w:rsidRPr="00DC0056" w:rsidRDefault="00DC0056" w:rsidP="00DC0056">
            <w:r w:rsidRPr="00DC0056">
              <w:t>Behaving with integrity, demonstrating strong commitment to ethical values and respecting the rule of law</w:t>
            </w:r>
          </w:p>
        </w:tc>
      </w:tr>
      <w:tr w:rsidR="00DC0056" w:rsidRPr="00DC0056" w14:paraId="4035AE56" w14:textId="77777777">
        <w:tc>
          <w:tcPr>
            <w:tcW w:w="1990" w:type="dxa"/>
          </w:tcPr>
          <w:p w14:paraId="5F934281" w14:textId="77777777" w:rsidR="00DC0056" w:rsidRPr="00202655" w:rsidRDefault="00DC0056">
            <w:pPr>
              <w:pStyle w:val="RedBullet"/>
              <w:rPr>
                <w:b/>
              </w:rPr>
            </w:pPr>
            <w:r w:rsidRPr="00202655">
              <w:rPr>
                <w:b/>
                <w:sz w:val="22"/>
                <w:szCs w:val="22"/>
              </w:rPr>
              <w:t xml:space="preserve">Principle B: </w:t>
            </w:r>
          </w:p>
        </w:tc>
        <w:tc>
          <w:tcPr>
            <w:tcW w:w="7229" w:type="dxa"/>
          </w:tcPr>
          <w:p w14:paraId="2F6B3DFC" w14:textId="77777777" w:rsidR="00DC0056" w:rsidRPr="00DC0056" w:rsidRDefault="00DC0056" w:rsidP="00DC0056">
            <w:r w:rsidRPr="00DC0056">
              <w:t>Ensuring openness and comprehensive stakeholder engagement</w:t>
            </w:r>
          </w:p>
        </w:tc>
      </w:tr>
      <w:tr w:rsidR="00DC0056" w:rsidRPr="00DC0056" w14:paraId="1F1FE273" w14:textId="77777777">
        <w:tc>
          <w:tcPr>
            <w:tcW w:w="1990" w:type="dxa"/>
          </w:tcPr>
          <w:p w14:paraId="666DDF26" w14:textId="77777777" w:rsidR="00DC0056" w:rsidRPr="00202655" w:rsidRDefault="00DC0056">
            <w:pPr>
              <w:pStyle w:val="RedBullet"/>
              <w:rPr>
                <w:b/>
              </w:rPr>
            </w:pPr>
            <w:r w:rsidRPr="00202655">
              <w:rPr>
                <w:b/>
                <w:sz w:val="22"/>
                <w:szCs w:val="22"/>
              </w:rPr>
              <w:t xml:space="preserve">Principle C: </w:t>
            </w:r>
          </w:p>
        </w:tc>
        <w:tc>
          <w:tcPr>
            <w:tcW w:w="7229" w:type="dxa"/>
          </w:tcPr>
          <w:p w14:paraId="2016A0B4" w14:textId="77777777" w:rsidR="00DC0056" w:rsidRPr="00DC0056" w:rsidRDefault="00DC0056" w:rsidP="00DC0056">
            <w:r w:rsidRPr="00DC0056">
              <w:t>Defining outcomes in terms of sustainable, economic, social and environmental outcomes</w:t>
            </w:r>
          </w:p>
        </w:tc>
      </w:tr>
      <w:tr w:rsidR="00DC0056" w:rsidRPr="00DC0056" w14:paraId="42ADE655" w14:textId="77777777">
        <w:tc>
          <w:tcPr>
            <w:tcW w:w="1990" w:type="dxa"/>
          </w:tcPr>
          <w:p w14:paraId="253F0D14" w14:textId="77777777" w:rsidR="00DC0056" w:rsidRPr="00202655" w:rsidRDefault="00DC0056">
            <w:pPr>
              <w:pStyle w:val="RedBullet"/>
              <w:rPr>
                <w:b/>
              </w:rPr>
            </w:pPr>
            <w:r w:rsidRPr="00202655">
              <w:rPr>
                <w:b/>
                <w:sz w:val="22"/>
                <w:szCs w:val="22"/>
              </w:rPr>
              <w:t xml:space="preserve">Principle D: </w:t>
            </w:r>
          </w:p>
        </w:tc>
        <w:tc>
          <w:tcPr>
            <w:tcW w:w="7229" w:type="dxa"/>
          </w:tcPr>
          <w:p w14:paraId="7EE56DB0" w14:textId="77777777" w:rsidR="00DC0056" w:rsidRPr="00DC0056" w:rsidRDefault="00DC0056" w:rsidP="00DC0056">
            <w:r w:rsidRPr="00DC0056">
              <w:t>Determining the interventions necessary to optimise the achievement of intended outcomes</w:t>
            </w:r>
          </w:p>
        </w:tc>
      </w:tr>
      <w:tr w:rsidR="00DC0056" w:rsidRPr="00DC0056" w14:paraId="5B109668" w14:textId="77777777">
        <w:tc>
          <w:tcPr>
            <w:tcW w:w="1990" w:type="dxa"/>
          </w:tcPr>
          <w:p w14:paraId="246A2C36" w14:textId="77777777" w:rsidR="00DC0056" w:rsidRPr="00202655" w:rsidRDefault="00DC0056">
            <w:pPr>
              <w:pStyle w:val="RedBullet"/>
              <w:rPr>
                <w:b/>
              </w:rPr>
            </w:pPr>
            <w:r w:rsidRPr="00202655">
              <w:rPr>
                <w:b/>
                <w:sz w:val="22"/>
                <w:szCs w:val="22"/>
              </w:rPr>
              <w:t xml:space="preserve">Principle E: </w:t>
            </w:r>
          </w:p>
        </w:tc>
        <w:tc>
          <w:tcPr>
            <w:tcW w:w="7229" w:type="dxa"/>
          </w:tcPr>
          <w:p w14:paraId="182EEB96" w14:textId="77777777" w:rsidR="00DC0056" w:rsidRPr="00DC0056" w:rsidRDefault="00DC0056" w:rsidP="00DC0056">
            <w:r w:rsidRPr="00DC0056">
              <w:t>Developing Capacity and Capability</w:t>
            </w:r>
          </w:p>
        </w:tc>
      </w:tr>
      <w:tr w:rsidR="00DC0056" w:rsidRPr="00DC0056" w14:paraId="7B9935FD" w14:textId="77777777">
        <w:tc>
          <w:tcPr>
            <w:tcW w:w="1990" w:type="dxa"/>
          </w:tcPr>
          <w:p w14:paraId="26670779" w14:textId="77777777" w:rsidR="00DC0056" w:rsidRPr="00202655" w:rsidRDefault="00DC0056">
            <w:pPr>
              <w:pStyle w:val="RedBullet"/>
              <w:rPr>
                <w:b/>
              </w:rPr>
            </w:pPr>
            <w:r w:rsidRPr="00202655">
              <w:rPr>
                <w:b/>
                <w:sz w:val="22"/>
                <w:szCs w:val="22"/>
              </w:rPr>
              <w:t xml:space="preserve">Principle F: </w:t>
            </w:r>
          </w:p>
        </w:tc>
        <w:tc>
          <w:tcPr>
            <w:tcW w:w="7229" w:type="dxa"/>
          </w:tcPr>
          <w:p w14:paraId="599671D1" w14:textId="77777777" w:rsidR="00DC0056" w:rsidRPr="00DC0056" w:rsidRDefault="00DC0056" w:rsidP="00DC0056">
            <w:pPr>
              <w:rPr>
                <w:b/>
              </w:rPr>
            </w:pPr>
            <w:r w:rsidRPr="00DC0056">
              <w:t>Managing Risks and Performance</w:t>
            </w:r>
          </w:p>
        </w:tc>
      </w:tr>
      <w:tr w:rsidR="00DC0056" w:rsidRPr="00DC0056" w14:paraId="740BBFCB" w14:textId="77777777">
        <w:tc>
          <w:tcPr>
            <w:tcW w:w="1990" w:type="dxa"/>
          </w:tcPr>
          <w:p w14:paraId="3FB92DA9" w14:textId="77777777" w:rsidR="00DC0056" w:rsidRPr="00202655" w:rsidRDefault="00DC0056">
            <w:pPr>
              <w:pStyle w:val="RedBullet"/>
              <w:rPr>
                <w:b/>
              </w:rPr>
            </w:pPr>
            <w:r w:rsidRPr="00202655">
              <w:rPr>
                <w:b/>
                <w:sz w:val="22"/>
                <w:szCs w:val="22"/>
              </w:rPr>
              <w:t xml:space="preserve">Principle G: </w:t>
            </w:r>
          </w:p>
        </w:tc>
        <w:tc>
          <w:tcPr>
            <w:tcW w:w="7229" w:type="dxa"/>
          </w:tcPr>
          <w:p w14:paraId="3E1984E3" w14:textId="3B1515E6" w:rsidR="00DC0056" w:rsidRPr="00DC0056" w:rsidRDefault="00DC0056" w:rsidP="00DC0056">
            <w:pPr>
              <w:rPr>
                <w:b/>
              </w:rPr>
            </w:pPr>
            <w:r w:rsidRPr="00DC0056">
              <w:t>Implementing good practices in transparency, reporting and accountability</w:t>
            </w:r>
          </w:p>
        </w:tc>
      </w:tr>
    </w:tbl>
    <w:p w14:paraId="4BF50291" w14:textId="675F581B" w:rsidR="00DC0056" w:rsidRPr="00DC0056" w:rsidRDefault="00DC0056" w:rsidP="002A1ADD">
      <w:pPr>
        <w:pStyle w:val="VAHeadingLevel2"/>
      </w:pPr>
    </w:p>
    <w:p w14:paraId="032D7230" w14:textId="52738380" w:rsidR="00DC0056" w:rsidRPr="00DC0056" w:rsidRDefault="00DC0056" w:rsidP="6C31340A">
      <w:r>
        <w:br w:type="page"/>
      </w:r>
    </w:p>
    <w:p w14:paraId="35A21733" w14:textId="77073E73" w:rsidR="00DC0056" w:rsidRPr="00DC0056" w:rsidRDefault="13C7AB7C" w:rsidP="002A1ADD">
      <w:pPr>
        <w:pStyle w:val="VAHeadingLevel2"/>
      </w:pPr>
      <w:r>
        <w:lastRenderedPageBreak/>
        <w:t>What is Governance?</w:t>
      </w:r>
    </w:p>
    <w:p w14:paraId="2660C4EA" w14:textId="77777777" w:rsidR="00DC0056" w:rsidRPr="00DC0056" w:rsidRDefault="00DC0056" w:rsidP="00DC0056">
      <w:r w:rsidRPr="00DC0056">
        <w:t>Governance as defined in the 2016 framework is:</w:t>
      </w:r>
    </w:p>
    <w:p w14:paraId="696F1721" w14:textId="77777777" w:rsidR="00DC0056" w:rsidRPr="00DC0056" w:rsidRDefault="00DC0056" w:rsidP="00857AD4">
      <w:pPr>
        <w:pStyle w:val="VAHeadingLevel3"/>
        <w:rPr>
          <w:bCs w:val="0"/>
        </w:rPr>
      </w:pPr>
      <w:r w:rsidRPr="00932AC8">
        <w:t xml:space="preserve">“Governance </w:t>
      </w:r>
      <w:r w:rsidRPr="00DC0056">
        <w:rPr>
          <w:bCs w:val="0"/>
        </w:rPr>
        <w:t>comprises the arrangements put in place to ensure that the intended outcomes for stakeholders are defined and delivered.”</w:t>
      </w:r>
    </w:p>
    <w:p w14:paraId="65D729D3" w14:textId="77777777" w:rsidR="00DC0056" w:rsidRPr="00932AC8" w:rsidRDefault="00DC0056" w:rsidP="00857AD4">
      <w:pPr>
        <w:pStyle w:val="VAHeadingLevel3"/>
      </w:pPr>
    </w:p>
    <w:p w14:paraId="0A6C5F85" w14:textId="77777777" w:rsidR="00DC0056" w:rsidRPr="00DC0056" w:rsidRDefault="00DC0056" w:rsidP="00DC0056">
      <w:r w:rsidRPr="00DC0056">
        <w:t>Good governance is not only about rules, policies and procedures but should also incorporate a spirit of good governance as an integral part of the culture of the organisation, its values and the expected behaviours.</w:t>
      </w:r>
    </w:p>
    <w:p w14:paraId="7A9918F3" w14:textId="77777777" w:rsidR="00DC0056" w:rsidRPr="00DC0056" w:rsidRDefault="00DC0056" w:rsidP="00DC0056">
      <w:r w:rsidRPr="00DC0056">
        <w:t>Senior leaders have a significant responsibility not only to ensure that good governance arrangements are properly codified and documented but also that the proper culture exists so that the concept of good governance, including transparency and openness, is effectively conveyed throughout their organisation.</w:t>
      </w:r>
    </w:p>
    <w:p w14:paraId="5E5F25DA" w14:textId="77777777" w:rsidR="00DC0056" w:rsidRPr="00DC0056" w:rsidRDefault="00DC0056" w:rsidP="00DC0056"/>
    <w:p w14:paraId="033BF48A" w14:textId="77777777" w:rsidR="00DC0056" w:rsidRPr="00DC0056" w:rsidRDefault="00DC0056" w:rsidP="00DC0056">
      <w:r w:rsidRPr="00DC0056">
        <w:t>This statement explains how the Police, Fire and Crime Commissioner (PFCC) and Chief Fire Officer has complied with the CIPFA/SOLACE framework and also meets the requirements of the Accounts and Audit Regulations in relation to the publication of an Annual Governance Statement.</w:t>
      </w:r>
    </w:p>
    <w:p w14:paraId="2E210B88" w14:textId="77777777" w:rsidR="00DC0056" w:rsidRPr="00DC0056" w:rsidRDefault="00DC0056" w:rsidP="00DC0056"/>
    <w:p w14:paraId="44C41921" w14:textId="77777777" w:rsidR="00DC0056" w:rsidRPr="00DC0056" w:rsidRDefault="00DC0056" w:rsidP="002A1ADD">
      <w:pPr>
        <w:pStyle w:val="VAHeadingLevel2"/>
      </w:pPr>
      <w:r w:rsidRPr="00934F0A">
        <w:t>The Annual Governance Statement</w:t>
      </w:r>
    </w:p>
    <w:p w14:paraId="3204E4BA" w14:textId="77777777" w:rsidR="00DC0056" w:rsidRPr="00DC0056" w:rsidRDefault="00DC0056" w:rsidP="00DC0056">
      <w:r w:rsidRPr="00DC0056">
        <w:t>It is a requirement on each public body to prepare an annual governance statement.  This is intended to provide an assessment of how effectively it has complied with its own governance arrangements and the principles set out in the framework.</w:t>
      </w:r>
    </w:p>
    <w:p w14:paraId="00C76FF7" w14:textId="77777777" w:rsidR="00DC0056" w:rsidRPr="00DC0056" w:rsidRDefault="00DC0056" w:rsidP="00DC0056"/>
    <w:p w14:paraId="7E1F19A3" w14:textId="77777777" w:rsidR="00DC0056" w:rsidRPr="00DC0056" w:rsidRDefault="00DC0056" w:rsidP="00DC0056">
      <w:r w:rsidRPr="00DC0056">
        <w:t>This governance statement provides a high-level overview.  It comments on the effectiveness of governance arrangements over the past year and makes proposals to improve processes, or mitigate issues or risks identified.</w:t>
      </w:r>
    </w:p>
    <w:p w14:paraId="0A278A4A" w14:textId="77777777" w:rsidR="00DC0056" w:rsidRPr="00DC0056" w:rsidRDefault="00DC0056" w:rsidP="00DC0056"/>
    <w:p w14:paraId="29F0F281" w14:textId="77777777" w:rsidR="00DC0056" w:rsidRPr="00DC0056" w:rsidRDefault="00DC0056" w:rsidP="002A1ADD">
      <w:pPr>
        <w:pStyle w:val="VAHeadingLevel2"/>
      </w:pPr>
      <w:r w:rsidRPr="00297F46">
        <w:t>The Purpose of the Governance Framework</w:t>
      </w:r>
    </w:p>
    <w:p w14:paraId="1B940C7E" w14:textId="77777777" w:rsidR="00DC0056" w:rsidRPr="00DC0056" w:rsidRDefault="00DC0056" w:rsidP="00DC0056">
      <w:r w:rsidRPr="00DC0056">
        <w:t>The Corporate Governance Framework comprises the systems and processes, and culture and values, by which NCFRA is directed and controlled and its activities through which it accounts to, engages with, and leads the community.  It enables the Authority (the PFCC) to monitor the achievement of its strategic objectives and to consider whether those objectives have led to the delivery of appropriate, value-for-money services.</w:t>
      </w:r>
    </w:p>
    <w:p w14:paraId="19AFF825" w14:textId="77777777" w:rsidR="00DC0056" w:rsidRPr="00DC0056" w:rsidRDefault="00DC0056" w:rsidP="00DC0056"/>
    <w:p w14:paraId="0ECF6A07" w14:textId="77777777" w:rsidR="00DC0056" w:rsidRPr="00DC0056" w:rsidRDefault="00DC0056" w:rsidP="00DC0056">
      <w:r w:rsidRPr="00DC0056">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PFCC’s policies, aims and objectives, to evaluate the likelihood of those risks being realised and the impact and to manage them efficiently, effectively and economically.</w:t>
      </w:r>
    </w:p>
    <w:p w14:paraId="46234611" w14:textId="77777777" w:rsidR="00DC0056" w:rsidRPr="00DC0056" w:rsidRDefault="00DC0056" w:rsidP="00DC0056"/>
    <w:p w14:paraId="5243C481" w14:textId="77777777" w:rsidR="00DC0056" w:rsidRPr="00DC0056" w:rsidRDefault="00DC0056" w:rsidP="00DC0056">
      <w:r w:rsidRPr="00DC0056">
        <w:t>The PFCC, CC and NCFRA Joint Corporate Governance Framework was reviewed during the year and an updated version was published in March 2025, incorporating changes required to ensure compliance with new procurement legislation.</w:t>
      </w:r>
    </w:p>
    <w:p w14:paraId="0CD669E6" w14:textId="77777777" w:rsidR="00DC0056" w:rsidRPr="00DC0056" w:rsidRDefault="00DC0056" w:rsidP="00DC0056"/>
    <w:p w14:paraId="18A958A6" w14:textId="77777777" w:rsidR="00DC0056" w:rsidRPr="00DC0056" w:rsidRDefault="00DC0056" w:rsidP="002A1ADD">
      <w:pPr>
        <w:pStyle w:val="VAHeadingLevel2"/>
      </w:pPr>
      <w:r w:rsidRPr="00BF79BB">
        <w:t>The Governance Framework</w:t>
      </w:r>
    </w:p>
    <w:p w14:paraId="33BAA5B5" w14:textId="77777777" w:rsidR="00DC0056" w:rsidRPr="00DC0056" w:rsidRDefault="00DC0056" w:rsidP="00DC0056">
      <w:r w:rsidRPr="00DC0056">
        <w:t>The Police, Reform and Social Responsibility Act 2011 brought in the responsibility for local authorities to create a Police and Crime Panel.  This panel is made up of local elected councillors and independent members with the responsibility to scrutinise and support the work of the Police and Crime Commissioner.</w:t>
      </w:r>
    </w:p>
    <w:p w14:paraId="1A73DC95" w14:textId="77777777" w:rsidR="00DC0056" w:rsidRPr="00DC0056" w:rsidRDefault="00DC0056" w:rsidP="00DC0056"/>
    <w:p w14:paraId="69E21313" w14:textId="77777777" w:rsidR="00DC0056" w:rsidRPr="00DC0056" w:rsidRDefault="00DC0056" w:rsidP="00DC0056">
      <w:r w:rsidRPr="00DC0056">
        <w:t>The Policing and Crime Act 2017 amended Section 28 (Powers of Police and Crime Panels) of the Police Reform and Social Responsibility Act 2011 to include the responsibilities of the new Fire and Rescue Authority.  The functions of the Panel are set out in legislation and the Panel must also review or scrutinise decisions made, or other actions taken by the PFCC in connection with the discharge of their functions in relation to Policing and Fire and Rescue.  The Panel is referred to as the Police, Fire and Crime Panel (PFCP).</w:t>
      </w:r>
    </w:p>
    <w:p w14:paraId="21029CAA" w14:textId="77777777" w:rsidR="00DC0056" w:rsidRPr="00DC0056" w:rsidRDefault="00DC0056" w:rsidP="00DC0056"/>
    <w:p w14:paraId="7C40FAA6" w14:textId="77777777" w:rsidR="00DC0056" w:rsidRPr="00DC0056" w:rsidRDefault="00DC0056" w:rsidP="002A1ADD">
      <w:pPr>
        <w:pStyle w:val="VAHeadingLevel2"/>
      </w:pPr>
      <w:r w:rsidRPr="001D6CAA">
        <w:lastRenderedPageBreak/>
        <w:t>The PFCC’s Governance Arrangements</w:t>
      </w:r>
    </w:p>
    <w:p w14:paraId="63DCAACA" w14:textId="77777777" w:rsidR="00DC0056" w:rsidRPr="00DC0056" w:rsidRDefault="00DC0056" w:rsidP="00DC0056">
      <w:r w:rsidRPr="00DC0056">
        <w:t>The Authority continued to seek confirmation that appropriate management and reporting arrangements were in place to gain assurance that the approach to corporate governance was both adequate and effective in practice.  These arrangements included:</w:t>
      </w:r>
    </w:p>
    <w:p w14:paraId="2390E439" w14:textId="6784D112" w:rsidR="00DC0056" w:rsidRPr="00DC0056" w:rsidRDefault="00DC0056" w:rsidP="00857AD4">
      <w:pPr>
        <w:pStyle w:val="Firebullet"/>
        <w:numPr>
          <w:ilvl w:val="0"/>
          <w:numId w:val="4"/>
        </w:numPr>
        <w:ind w:left="709" w:hanging="284"/>
      </w:pPr>
      <w:r w:rsidRPr="00E37BC1">
        <w:t xml:space="preserve">An </w:t>
      </w:r>
      <w:r w:rsidRPr="00DC0056">
        <w:t>Accountability Board forward plan seeking timely updates and assurances at appropriate times during the year.  Minutes are publicly available on the PFCC’s website</w:t>
      </w:r>
    </w:p>
    <w:p w14:paraId="08901436" w14:textId="6BD512BF" w:rsidR="00DC0056" w:rsidRPr="00DC0056" w:rsidRDefault="00DC0056" w:rsidP="00857AD4">
      <w:pPr>
        <w:pStyle w:val="Firebullet"/>
        <w:numPr>
          <w:ilvl w:val="0"/>
          <w:numId w:val="4"/>
        </w:numPr>
        <w:ind w:left="709" w:hanging="284"/>
      </w:pPr>
      <w:r w:rsidRPr="00E37BC1">
        <w:t xml:space="preserve">Regular dialogue between the PFCC and Chief </w:t>
      </w:r>
      <w:r w:rsidRPr="00DC0056">
        <w:t>Fire Officer, and meetings held between key officers of the Service and Office of the Police, Fire and Crime Commissioner (OPFCC)</w:t>
      </w:r>
    </w:p>
    <w:p w14:paraId="1A640342" w14:textId="683D150E" w:rsidR="00DC0056" w:rsidRPr="00DC0056" w:rsidRDefault="00DC0056" w:rsidP="00857AD4">
      <w:pPr>
        <w:pStyle w:val="Firebullet"/>
        <w:numPr>
          <w:ilvl w:val="0"/>
          <w:numId w:val="4"/>
        </w:numPr>
        <w:ind w:left="709" w:hanging="284"/>
      </w:pPr>
      <w:r w:rsidRPr="00A763EC">
        <w:t xml:space="preserve">The terms of reference of the Joint Independent Audit Committee (JIAC) includes NCFRA.  Four meetings of the Committee took place in the year and notes of the meetings are published on the OPFCC website.  </w:t>
      </w:r>
      <w:proofErr w:type="gramStart"/>
      <w:r w:rsidRPr="00A763EC">
        <w:t>Additional  workshops</w:t>
      </w:r>
      <w:proofErr w:type="gramEnd"/>
      <w:r w:rsidRPr="00A763EC">
        <w:t xml:space="preserve"> with a specific focus were also held.  The </w:t>
      </w:r>
      <w:proofErr w:type="gramStart"/>
      <w:r w:rsidRPr="00A763EC">
        <w:t>JIAC  provides</w:t>
      </w:r>
      <w:proofErr w:type="gramEnd"/>
      <w:r w:rsidRPr="00A763EC">
        <w:t xml:space="preserve"> independent assurance to the </w:t>
      </w:r>
      <w:r w:rsidRPr="00DC0056">
        <w:t>PFCC as NCFRA</w:t>
      </w:r>
    </w:p>
    <w:p w14:paraId="09DDB1D4" w14:textId="0A5DBB0B" w:rsidR="00DC0056" w:rsidRPr="00DC0056" w:rsidRDefault="00DC0056" w:rsidP="00857AD4">
      <w:pPr>
        <w:pStyle w:val="Firebullet"/>
        <w:numPr>
          <w:ilvl w:val="0"/>
          <w:numId w:val="4"/>
        </w:numPr>
        <w:ind w:left="709" w:hanging="284"/>
      </w:pPr>
      <w:r w:rsidRPr="004673EA">
        <w:t>A joint Assistant Chief Officer leads the Enabling Services function and provides strategic leadership of joint support services across Fire and Policing</w:t>
      </w:r>
    </w:p>
    <w:p w14:paraId="18FBC3FF" w14:textId="48DD3943" w:rsidR="00DC0056" w:rsidRPr="00DC0056" w:rsidRDefault="00DC0056" w:rsidP="00857AD4">
      <w:pPr>
        <w:pStyle w:val="Firebullet"/>
        <w:numPr>
          <w:ilvl w:val="0"/>
          <w:numId w:val="4"/>
        </w:numPr>
        <w:ind w:left="709" w:hanging="284"/>
      </w:pPr>
      <w:r w:rsidRPr="004673EA">
        <w:t>A collaboration agreement is in place in line with the Home Office Financial Management Code of Practice. The agreement was reviewed during the year and an updated version approved in April 2025</w:t>
      </w:r>
    </w:p>
    <w:p w14:paraId="0D9AC709" w14:textId="69EA95E1" w:rsidR="00DC0056" w:rsidRPr="00DC0056" w:rsidRDefault="00DC0056" w:rsidP="00857AD4">
      <w:pPr>
        <w:pStyle w:val="Firebullet"/>
        <w:numPr>
          <w:ilvl w:val="0"/>
          <w:numId w:val="4"/>
        </w:numPr>
        <w:ind w:left="709" w:hanging="284"/>
      </w:pPr>
      <w:r w:rsidRPr="004D52B1">
        <w:t>Fire and Rescue Service have a number of meetings established at strategic and operational levels.  Where appropriate, members of the OPFCC attend to provide scrutiny and challenge</w:t>
      </w:r>
    </w:p>
    <w:p w14:paraId="05D25CFE" w14:textId="77777777" w:rsidR="00DC0056" w:rsidRPr="00DC0056" w:rsidRDefault="00DC0056" w:rsidP="00DC0056"/>
    <w:p w14:paraId="72464301" w14:textId="77777777" w:rsidR="00DC0056" w:rsidRPr="00DC0056" w:rsidRDefault="00DC0056" w:rsidP="00DC0056">
      <w:r w:rsidRPr="00DC0056">
        <w:t>In the full year to 31</w:t>
      </w:r>
      <w:r w:rsidRPr="00DC0056">
        <w:rPr>
          <w:vertAlign w:val="superscript"/>
        </w:rPr>
        <w:t>st</w:t>
      </w:r>
      <w:r w:rsidRPr="00DC0056">
        <w:t xml:space="preserve"> March 2025, the PFCC has sought to ensure that appropriate management and reporting arrangements are in place to give assurance that the approach to corporate governance was both adequate and effective in practice. </w:t>
      </w:r>
    </w:p>
    <w:p w14:paraId="0C856930" w14:textId="77777777" w:rsidR="00DC0056" w:rsidRPr="00DC0056" w:rsidRDefault="00DC0056" w:rsidP="00DC0056"/>
    <w:p w14:paraId="75211899" w14:textId="77777777" w:rsidR="00DC0056" w:rsidRPr="00DC0056" w:rsidRDefault="00DC0056" w:rsidP="00DC0056">
      <w:r w:rsidRPr="00DC0056">
        <w:t>The system of internal control is based on a system of financial, contractual, management and administrative controls and is reviewed by both internal and external audit.</w:t>
      </w:r>
    </w:p>
    <w:p w14:paraId="11B98E56" w14:textId="77777777" w:rsidR="00DC0056" w:rsidRPr="00DC0056" w:rsidRDefault="00DC0056" w:rsidP="00DC0056"/>
    <w:p w14:paraId="16962A53" w14:textId="77777777" w:rsidR="00DC0056" w:rsidRPr="00DC0056" w:rsidRDefault="00DC0056" w:rsidP="002A1ADD">
      <w:pPr>
        <w:pStyle w:val="VAHeadingLevel2"/>
      </w:pPr>
      <w:r w:rsidRPr="00017D57">
        <w:t>Compliance with the seven principles set out in the CIPFA/SOLACE Framework</w:t>
      </w:r>
    </w:p>
    <w:p w14:paraId="19E264A8" w14:textId="77777777" w:rsidR="00DC0056" w:rsidRPr="00017D57" w:rsidRDefault="00DC0056" w:rsidP="002A1ADD">
      <w:pPr>
        <w:pStyle w:val="VAHeadingLevel2"/>
      </w:pPr>
    </w:p>
    <w:p w14:paraId="1D3C44D8" w14:textId="77777777" w:rsidR="00DC0056" w:rsidRPr="00DC0056" w:rsidRDefault="00DC0056" w:rsidP="00857AD4">
      <w:pPr>
        <w:pStyle w:val="VAHeadingLevel3"/>
        <w:rPr>
          <w:bCs w:val="0"/>
        </w:rPr>
      </w:pPr>
      <w:r w:rsidRPr="00017D57">
        <w:rPr>
          <w:b/>
        </w:rPr>
        <w:t>Principle A:</w:t>
      </w:r>
      <w:r w:rsidRPr="00DC0056">
        <w:rPr>
          <w:bCs w:val="0"/>
        </w:rPr>
        <w:t xml:space="preserve"> Behaving with integrity, demonstrating strong commitment to ethical values and respecting the rule of law</w:t>
      </w:r>
    </w:p>
    <w:p w14:paraId="2C29D4B5" w14:textId="77777777" w:rsidR="00DC0056" w:rsidRPr="00DC0056" w:rsidRDefault="00DC0056" w:rsidP="00DC0056">
      <w:r w:rsidRPr="00DC0056">
        <w:t>The Corporate Governance Framework provides guidance on expected behaviours to ensure integrity and builds on the clear statements made by the PFCC and the Chief Fire Officer.  The OPFCC has its own whistleblowing policy and associated policies in relation to complaints.</w:t>
      </w:r>
    </w:p>
    <w:p w14:paraId="5BD1ED1B" w14:textId="77777777" w:rsidR="00DC0056" w:rsidRPr="00DC0056" w:rsidRDefault="00DC0056" w:rsidP="00DC0056"/>
    <w:p w14:paraId="1F821E58" w14:textId="77777777" w:rsidR="00DC0056" w:rsidRPr="00DC0056" w:rsidRDefault="00DC0056" w:rsidP="00DC0056">
      <w:r w:rsidRPr="00DC0056">
        <w:t>For 2024/25, related party disclosures have been undertaken for all key staff in the OPFCC, Fire Service and JIAC members.  Additionally, the PFCC and all members of OPFCC staff complete a declaration of business interests which were received and reviewed by the two s151 officers and any disclosures required included within the Statement of Accounts.</w:t>
      </w:r>
    </w:p>
    <w:p w14:paraId="5DD2E145" w14:textId="77777777" w:rsidR="00DC0056" w:rsidRPr="00DC0056" w:rsidRDefault="00DC0056" w:rsidP="00DC0056"/>
    <w:p w14:paraId="7E1902F5" w14:textId="77777777" w:rsidR="00DC0056" w:rsidRPr="00DC0056" w:rsidRDefault="00DC0056" w:rsidP="00DC0056">
      <w:r w:rsidRPr="00DC0056">
        <w:t>The OPFCC has a well-resourced Customer Service Team to deal with complaints and other issues with a remit to identify and report any unethical behaviours.</w:t>
      </w:r>
    </w:p>
    <w:p w14:paraId="20936A9D" w14:textId="77777777" w:rsidR="00DC0056" w:rsidRPr="00DC0056" w:rsidRDefault="00DC0056" w:rsidP="00DC0056"/>
    <w:p w14:paraId="526DDB61" w14:textId="77777777" w:rsidR="00DC0056" w:rsidRPr="00DC0056" w:rsidRDefault="00DC0056" w:rsidP="00DC0056">
      <w:r w:rsidRPr="00DC0056">
        <w:t xml:space="preserve">The statutory roles of Monitoring Officer and Chief Finance Officer to NCFRA are held by the post holders in the OPFCC which provides consistency and continuity.  Further details under </w:t>
      </w:r>
      <w:proofErr w:type="gramStart"/>
      <w:r w:rsidRPr="00DC0056">
        <w:t>Principle</w:t>
      </w:r>
      <w:proofErr w:type="gramEnd"/>
      <w:r w:rsidRPr="00DC0056">
        <w:t xml:space="preserve"> E below.</w:t>
      </w:r>
    </w:p>
    <w:p w14:paraId="5B8609FA" w14:textId="77777777" w:rsidR="00DC0056" w:rsidRPr="00DC0056" w:rsidRDefault="00DC0056" w:rsidP="00DC0056"/>
    <w:p w14:paraId="4039B1AF" w14:textId="77777777" w:rsidR="00DC0056" w:rsidRPr="00DC0056" w:rsidRDefault="00DC0056" w:rsidP="00857AD4">
      <w:pPr>
        <w:pStyle w:val="VAHeadingLevel3"/>
        <w:rPr>
          <w:bCs w:val="0"/>
        </w:rPr>
      </w:pPr>
      <w:r w:rsidRPr="00FC049F">
        <w:rPr>
          <w:b/>
        </w:rPr>
        <w:t>Principle B:</w:t>
      </w:r>
      <w:r w:rsidRPr="00DC0056">
        <w:rPr>
          <w:bCs w:val="0"/>
        </w:rPr>
        <w:t xml:space="preserve"> Ensuring openness and comprehensive stakeholder engagement</w:t>
      </w:r>
    </w:p>
    <w:p w14:paraId="006255B4" w14:textId="77777777" w:rsidR="00DC0056" w:rsidRPr="00DC0056" w:rsidRDefault="00DC0056" w:rsidP="00DC0056">
      <w:r w:rsidRPr="00DC0056">
        <w:t xml:space="preserve">The Commissioner’s purpose is set out in statute.  The vision for Northamptonshire policing is set out in the Police, Fire and Crime Plan, which we call ‘Safe and Sound’ and sets out the strategic direction of the PFCC’s activities.  It was informed by ‘the Big Conversation’, a significant programme of consultation and engagement in the heart of </w:t>
      </w:r>
      <w:r w:rsidRPr="00DC0056">
        <w:lastRenderedPageBreak/>
        <w:t>communities and strongly supported by partners.  It works in synergy with both police and fire operational plans, and the PFCC provides an update at each Police, Fire and Crime Panel meeting.</w:t>
      </w:r>
    </w:p>
    <w:p w14:paraId="577E86AC" w14:textId="77777777" w:rsidR="00DC0056" w:rsidRPr="00DC0056" w:rsidRDefault="00DC0056" w:rsidP="00DC0056">
      <w:pPr>
        <w:rPr>
          <w:highlight w:val="yellow"/>
        </w:rPr>
      </w:pPr>
    </w:p>
    <w:p w14:paraId="2C015BBD" w14:textId="77777777" w:rsidR="00DC0056" w:rsidRPr="00DC0056" w:rsidRDefault="00DC0056" w:rsidP="00DC0056">
      <w:r w:rsidRPr="00DC0056">
        <w:t>The OPFCC and OCC have both invested in fit-for-purpose communications and engagement resources, with additional capacity built in for the Commissioner from 2025/26.  Newsletters and press releases are produced regularly to ensure the work of the OPFCC and OCC are clearly understood by the public, and to encourage feedback and engagement.</w:t>
      </w:r>
    </w:p>
    <w:p w14:paraId="4B292F10" w14:textId="77777777" w:rsidR="00DC0056" w:rsidRPr="00DC0056" w:rsidRDefault="00DC0056" w:rsidP="00DC0056">
      <w:pPr>
        <w:rPr>
          <w:highlight w:val="yellow"/>
        </w:rPr>
      </w:pPr>
    </w:p>
    <w:p w14:paraId="05FF44A5" w14:textId="77777777" w:rsidR="00DC0056" w:rsidRPr="00DC0056" w:rsidRDefault="00DC0056" w:rsidP="00DC0056">
      <w:r w:rsidRPr="00DC0056">
        <w:t>The OPFCC website is used to publish a wide range of policy and information, making this easily accessible to the public.  All agendas, unrestricted papers and meetings of the JIAC are open to the public and unrestricted papers are available online.  The minutes of the Accountability Board are also published to transparently demonstrate the PFCC holding the Chief Fire Officer to account.</w:t>
      </w:r>
    </w:p>
    <w:p w14:paraId="2CF91A86" w14:textId="77777777" w:rsidR="00DC0056" w:rsidRPr="00DC0056" w:rsidRDefault="00DC0056" w:rsidP="00DC0056"/>
    <w:p w14:paraId="6B7B6370" w14:textId="77777777" w:rsidR="00DC0056" w:rsidRPr="00DC0056" w:rsidRDefault="00DC0056" w:rsidP="00DC0056">
      <w:r w:rsidRPr="00DC0056">
        <w:t>Decisions made by the PFCC are published on the website, together with consultations and details of future public events and public surveys.  The OPFCC undertakes regular council taxpayer and customer survey activities, ensuring that these can be used to inform council tax levels, service delivery and to evaluate commissioned services.  The PFCC undertakes public consultation to inform setting the Fire precept, with results shared by the Police, Fire and Crime Panel and the full report published on the OPFCC website.</w:t>
      </w:r>
    </w:p>
    <w:p w14:paraId="77A2BAF1" w14:textId="77777777" w:rsidR="00DC0056" w:rsidRPr="00DC0056" w:rsidRDefault="00DC0056" w:rsidP="00DC0056"/>
    <w:p w14:paraId="38EAA81C" w14:textId="77777777" w:rsidR="00DC0056" w:rsidRPr="00DC0056" w:rsidRDefault="00DC0056" w:rsidP="00857AD4">
      <w:pPr>
        <w:pStyle w:val="VAHeadingLevel3"/>
        <w:rPr>
          <w:bCs w:val="0"/>
        </w:rPr>
      </w:pPr>
      <w:r w:rsidRPr="00527307">
        <w:rPr>
          <w:b/>
        </w:rPr>
        <w:t>Principle C:</w:t>
      </w:r>
      <w:r w:rsidRPr="00DC0056">
        <w:rPr>
          <w:bCs w:val="0"/>
        </w:rPr>
        <w:t xml:space="preserve"> Defining outcomes in terms of sustainable, economic, social and environmental outcomes.</w:t>
      </w:r>
    </w:p>
    <w:p w14:paraId="1D401E0E" w14:textId="77777777" w:rsidR="00DC0056" w:rsidRPr="00DC0056" w:rsidRDefault="00DC0056" w:rsidP="00DC0056">
      <w:r w:rsidRPr="00DC0056">
        <w:t>For the budget and precept, the Police, Fire and Crime Plan was informed by significant public engagement and used to direct the resources for the NCFRA through the Revenue and Capital budgets.  It informs where resources are most needed and targets investment to priority areas.  This clearly lays out expectations to deliver on social value and sustainability priorities, with strategies, policies and procurement tailored with this in mind.</w:t>
      </w:r>
    </w:p>
    <w:p w14:paraId="3FCDB76F" w14:textId="77777777" w:rsidR="00DC0056" w:rsidRPr="00DC0056" w:rsidRDefault="00DC0056" w:rsidP="00DC0056"/>
    <w:p w14:paraId="5202E794" w14:textId="77777777" w:rsidR="00DC0056" w:rsidRPr="00DC0056" w:rsidRDefault="00DC0056" w:rsidP="00DC0056">
      <w:r w:rsidRPr="00DC0056">
        <w:t>As in previous years, budgets were prepared on zero-based budget principles, the Chief Fire Officer was fully involved in the preparation of the budgets.  The budget, council tax levels and Medium Term Financial Plan (MTFP), alongside the Reserves, Capital and Treasury Management Strategies were considered by the PFCC in proposing and setting the level of precept.</w:t>
      </w:r>
    </w:p>
    <w:p w14:paraId="547AF2D4" w14:textId="77777777" w:rsidR="00DC0056" w:rsidRPr="00DC0056" w:rsidRDefault="00DC0056" w:rsidP="00DC0056"/>
    <w:p w14:paraId="0BC29599" w14:textId="77777777" w:rsidR="00DC0056" w:rsidRPr="00DC0056" w:rsidRDefault="00DC0056" w:rsidP="00DC0056">
      <w:r w:rsidRPr="00DC0056">
        <w:t>Whilst still one of the lowest funded authorities nationally, and although future efficiencies are required, it is now in a much more stable and resilient position.  The NCFRA revenue budget has increased significantly since the governance transfer and reserves are currently deemed adequate.</w:t>
      </w:r>
    </w:p>
    <w:p w14:paraId="42F1B53F" w14:textId="77777777" w:rsidR="00DC0056" w:rsidRPr="00DC0056" w:rsidRDefault="00DC0056" w:rsidP="00DC0056"/>
    <w:p w14:paraId="4DC3013C" w14:textId="77777777" w:rsidR="00DC0056" w:rsidRPr="00DC0056" w:rsidRDefault="00DC0056" w:rsidP="00857AD4">
      <w:pPr>
        <w:pStyle w:val="VAHeadingLevel3"/>
        <w:rPr>
          <w:bCs w:val="0"/>
        </w:rPr>
      </w:pPr>
      <w:r w:rsidRPr="009A5975">
        <w:rPr>
          <w:b/>
        </w:rPr>
        <w:t>Principle D:</w:t>
      </w:r>
      <w:r w:rsidRPr="00DC0056">
        <w:rPr>
          <w:bCs w:val="0"/>
        </w:rPr>
        <w:t xml:space="preserve"> Determining the interventions necessary to optimise the achievement of intended outcomes.</w:t>
      </w:r>
    </w:p>
    <w:p w14:paraId="4D134259" w14:textId="77777777" w:rsidR="00DC0056" w:rsidRPr="00DC0056" w:rsidRDefault="00DC0056" w:rsidP="00DC0056">
      <w:r w:rsidRPr="00DC0056">
        <w:t>A detailed Medium Term Financial Plan (MTFP) is regularly reviewed and includes scenarios to reflect the uncertainties we face in terms of funding and the local/national factors.  Budgets are monitored throughout the year to give clear indications of pressures and opportunities, directly feeding decision-making.  Robust internal controls ensure that data quality is high and there is assurance around the reliability of reporting and forecasting, supported by the internal audit regime.</w:t>
      </w:r>
    </w:p>
    <w:p w14:paraId="76E52B38" w14:textId="77777777" w:rsidR="00DC0056" w:rsidRPr="00DC0056" w:rsidRDefault="00DC0056" w:rsidP="00DC0056"/>
    <w:p w14:paraId="50B7E9D8" w14:textId="77777777" w:rsidR="00DC0056" w:rsidRPr="00DC0056" w:rsidRDefault="00DC0056" w:rsidP="00DC0056">
      <w:r w:rsidRPr="00DC0056">
        <w:t xml:space="preserve">The NCFRA Capital Programme has continued to develop and includes essential operational requirements, together with some transformative requirements for the service.  It is supported by asset </w:t>
      </w:r>
      <w:proofErr w:type="gramStart"/>
      <w:r w:rsidRPr="00DC0056">
        <w:t>strategies</w:t>
      </w:r>
      <w:proofErr w:type="gramEnd"/>
      <w:r w:rsidRPr="00DC0056">
        <w:t xml:space="preserve"> and these reflect the desired direction of travel for joint working between Fire and Police, building capacity or reducing costs to be reinvested in operational services. </w:t>
      </w:r>
    </w:p>
    <w:p w14:paraId="3A92EFE4" w14:textId="77777777" w:rsidR="00DC0056" w:rsidRPr="00DC0056" w:rsidRDefault="00DC0056" w:rsidP="00DC0056"/>
    <w:p w14:paraId="3209D14D" w14:textId="77777777" w:rsidR="00DC0056" w:rsidRPr="00DC0056" w:rsidRDefault="00DC0056" w:rsidP="00DC0056">
      <w:r w:rsidRPr="00DC0056">
        <w:t xml:space="preserve">There are regular updates to the PFCC on the costs and delivery of the capital programme, particularly in relation to large scale building projects which have been affected by delays and </w:t>
      </w:r>
      <w:proofErr w:type="gramStart"/>
      <w:r w:rsidRPr="00DC0056">
        <w:t>inflationary, and</w:t>
      </w:r>
      <w:proofErr w:type="gramEnd"/>
      <w:r w:rsidRPr="00DC0056">
        <w:t xml:space="preserve"> have been refreshed to reflect the priorities of the Police, Fire and Crime Plan and operational risks.</w:t>
      </w:r>
    </w:p>
    <w:p w14:paraId="3DAF37C9" w14:textId="77777777" w:rsidR="00DC0056" w:rsidRPr="00DC0056" w:rsidRDefault="00DC0056" w:rsidP="00DC0056"/>
    <w:p w14:paraId="05FBF86F" w14:textId="77777777" w:rsidR="00DC0056" w:rsidRPr="00DC0056" w:rsidRDefault="00DC0056" w:rsidP="00DC0056">
      <w:r w:rsidRPr="00DC0056">
        <w:lastRenderedPageBreak/>
        <w:t xml:space="preserve">Joint Heads of Department are in place for all support functions, overseen by Assistant Chief Officer for Enabling Services.  Joint systems are in place between Fire and Police, and NCFRA are receiving the benefits of extra resilience and professional expertise from the joint arrangements. </w:t>
      </w:r>
    </w:p>
    <w:p w14:paraId="2E7668B5" w14:textId="77777777" w:rsidR="00DC0056" w:rsidRPr="00DC0056" w:rsidRDefault="00DC0056" w:rsidP="00DC0056"/>
    <w:p w14:paraId="0F9BABF1" w14:textId="77777777" w:rsidR="00DC0056" w:rsidRPr="00DC0056" w:rsidRDefault="00DC0056" w:rsidP="00DC0056">
      <w:r w:rsidRPr="00DC0056">
        <w:t>Accountability Boards and Problem-Solving Boards take place with Chief Officers and the Commissioner, focussing on key areas not only to hold the Chief Fire Officer to account but also to recognise good practice and to determine actions intended to address emerging issues.</w:t>
      </w:r>
    </w:p>
    <w:p w14:paraId="621FFB44" w14:textId="77777777" w:rsidR="00DC0056" w:rsidRPr="00DC0056" w:rsidRDefault="00DC0056" w:rsidP="00DC0056"/>
    <w:p w14:paraId="7FF73AD0" w14:textId="77777777" w:rsidR="00DC0056" w:rsidRPr="00DC0056" w:rsidRDefault="00DC0056" w:rsidP="00DC0056">
      <w:r w:rsidRPr="00DC0056">
        <w:t>Sufficient resources are made available to ensure effective monitoring and forecasting of demand, so that operational resources are allocated in the best possible way to achieve outcomes and best serve the public.</w:t>
      </w:r>
    </w:p>
    <w:p w14:paraId="4A9838F8" w14:textId="77777777" w:rsidR="00DC0056" w:rsidRPr="00DC0056" w:rsidRDefault="00DC0056" w:rsidP="00DC0056"/>
    <w:p w14:paraId="4CCE623A" w14:textId="77777777" w:rsidR="00DC0056" w:rsidRPr="00DC0056" w:rsidRDefault="00DC0056" w:rsidP="00DC0056">
      <w:r w:rsidRPr="00DC0056">
        <w:t xml:space="preserve">The third HMICFRS Inspection took place in Mar/Apr 2024 and was published in Summer 2024.  The Chief Fire Officer is taking steps to address the recommendations it set out.  The JIAC receive regular updates throughout the year on the progress of HMICFRS recommendations and the PFCC requires regular reports to the Accountability Board.  </w:t>
      </w:r>
    </w:p>
    <w:p w14:paraId="249B26A2" w14:textId="77777777" w:rsidR="00DC0056" w:rsidRPr="00DC0056" w:rsidRDefault="00DC0056" w:rsidP="00DC0056"/>
    <w:p w14:paraId="6F25ED57" w14:textId="77777777" w:rsidR="00DC0056" w:rsidRPr="00DC0056" w:rsidRDefault="00DC0056" w:rsidP="00857AD4">
      <w:pPr>
        <w:pStyle w:val="VAHeadingLevel3"/>
        <w:rPr>
          <w:bCs w:val="0"/>
        </w:rPr>
      </w:pPr>
      <w:r w:rsidRPr="007907A4">
        <w:rPr>
          <w:b/>
        </w:rPr>
        <w:t>Principle E:</w:t>
      </w:r>
      <w:r w:rsidRPr="00DC0056">
        <w:rPr>
          <w:bCs w:val="0"/>
        </w:rPr>
        <w:t xml:space="preserve"> Developing Capacity and Capability.</w:t>
      </w:r>
    </w:p>
    <w:p w14:paraId="1D0F104E" w14:textId="77777777" w:rsidR="00DC0056" w:rsidRPr="00DC0056" w:rsidRDefault="00DC0056" w:rsidP="00DC0056">
      <w:r w:rsidRPr="00DC0056">
        <w:t>The OPFCC, OCC and Fire are all supported by the Human Resources Department in Enabling Services, ensuring there is consistency and parity across organisations, that effective policies/procedures are in place and that recruitment, training and wellbeing arrangements are optimised.  A People and Culture Board provides effective oversight.</w:t>
      </w:r>
    </w:p>
    <w:p w14:paraId="65F130D0" w14:textId="77777777" w:rsidR="00DC0056" w:rsidRPr="00DC0056" w:rsidRDefault="00DC0056" w:rsidP="00DC0056"/>
    <w:p w14:paraId="70EA8968" w14:textId="77777777" w:rsidR="00DC0056" w:rsidRPr="00DC0056" w:rsidRDefault="00DC0056" w:rsidP="00DC0056">
      <w:r w:rsidRPr="00DC0056">
        <w:t>Whilst significant strides have been made in managing staffing resources since the governance transfer, the links between risk, resources and appliance availability continues to be refined, under the Your Future Service project and in line with the Community Risk Management Plan (CRMP).</w:t>
      </w:r>
    </w:p>
    <w:p w14:paraId="70A63F8F" w14:textId="77777777" w:rsidR="00DC0056" w:rsidRPr="00DC0056" w:rsidRDefault="00DC0056" w:rsidP="00DC0056"/>
    <w:p w14:paraId="34E136A1" w14:textId="77777777" w:rsidR="00DC0056" w:rsidRPr="00DC0056" w:rsidRDefault="00DC0056" w:rsidP="00DC0056">
      <w:r w:rsidRPr="00DC0056">
        <w:t>Throughout 2024/25, the Monitoring Officer continued in their role in the OPFCC.  The Chief Finance Officer post had been undertaken on an interim basis since December 2023 and permanently appointed in October 2024.</w:t>
      </w:r>
    </w:p>
    <w:p w14:paraId="3EF984B2" w14:textId="77777777" w:rsidR="00DC0056" w:rsidRPr="00DC0056" w:rsidRDefault="00DC0056" w:rsidP="00DC0056"/>
    <w:p w14:paraId="05648213" w14:textId="77777777" w:rsidR="00DC0056" w:rsidRPr="00DC0056" w:rsidRDefault="00DC0056" w:rsidP="00DC0056">
      <w:r w:rsidRPr="00DC0056">
        <w:t>The commitment to increasing wholetime firefighters supports wellbeing of the workforce whilst increasing capacity and resilience for the public of Northamptonshire.</w:t>
      </w:r>
    </w:p>
    <w:p w14:paraId="7BDECB78" w14:textId="77777777" w:rsidR="00DC0056" w:rsidRPr="00DC0056" w:rsidRDefault="00DC0056" w:rsidP="00DC0056"/>
    <w:p w14:paraId="2D30C01E" w14:textId="77777777" w:rsidR="00DC0056" w:rsidRPr="00DC0056" w:rsidRDefault="00DC0056" w:rsidP="00DC0056">
      <w:r w:rsidRPr="00DC0056">
        <w:t xml:space="preserve">NCFRA has training capacity, skills and knowledge and there are options to review these to maximise the benefit from these resources of NCFRA.  </w:t>
      </w:r>
      <w:bookmarkStart w:id="12" w:name="_Hlk164344589"/>
      <w:r w:rsidRPr="00DC0056">
        <w:t>Training budgets have been enhanced for 2025/26.</w:t>
      </w:r>
    </w:p>
    <w:p w14:paraId="42470CC0" w14:textId="77777777" w:rsidR="00DC0056" w:rsidRPr="00DC0056" w:rsidRDefault="00DC0056" w:rsidP="00DC0056"/>
    <w:p w14:paraId="3AC0F106" w14:textId="77777777" w:rsidR="00DC0056" w:rsidRPr="00DC0056" w:rsidRDefault="00DC0056" w:rsidP="00DC0056">
      <w:r w:rsidRPr="00DC0056">
        <w:t xml:space="preserve">The Joint Commercial Team is working well across Fire and Police, and a commercial strategy is in place which is intended to consider all opportunities available to both services. </w:t>
      </w:r>
      <w:bookmarkEnd w:id="12"/>
    </w:p>
    <w:p w14:paraId="16EB53C4" w14:textId="77777777" w:rsidR="00DC0056" w:rsidRPr="00DC0056" w:rsidRDefault="00DC0056" w:rsidP="00DC0056"/>
    <w:p w14:paraId="5CF93ED9" w14:textId="77777777" w:rsidR="00DC0056" w:rsidRDefault="00DC0056" w:rsidP="00DC0056">
      <w:r w:rsidRPr="00DC0056">
        <w:t>Simon Tuhill undertook the role of Interim Chief Fire Officer from 18</w:t>
      </w:r>
      <w:r w:rsidRPr="00DC0056">
        <w:rPr>
          <w:vertAlign w:val="superscript"/>
        </w:rPr>
        <w:t>th</w:t>
      </w:r>
      <w:r w:rsidRPr="00DC0056">
        <w:t xml:space="preserve"> July 2023 to 15</w:t>
      </w:r>
      <w:r w:rsidRPr="00DC0056">
        <w:rPr>
          <w:vertAlign w:val="superscript"/>
        </w:rPr>
        <w:t>th</w:t>
      </w:r>
      <w:r w:rsidRPr="00DC0056">
        <w:t xml:space="preserve"> May 2024.  Nikki Watson commenced as Chief Fire Officer on a permanent basis from 16</w:t>
      </w:r>
      <w:r w:rsidRPr="00DC0056">
        <w:rPr>
          <w:vertAlign w:val="superscript"/>
        </w:rPr>
        <w:t>th</w:t>
      </w:r>
      <w:r w:rsidRPr="00DC0056">
        <w:t xml:space="preserve"> May 2024 and Simon Tuhill reverted to his substantive role is as Deputy Chief Fire Officer.</w:t>
      </w:r>
    </w:p>
    <w:p w14:paraId="3F8E211A" w14:textId="77777777" w:rsidR="001C5AC5" w:rsidRDefault="001C5AC5" w:rsidP="00DC0056"/>
    <w:p w14:paraId="49E14BBB" w14:textId="7ADB4864" w:rsidR="001C5AC5" w:rsidRDefault="001C5AC5" w:rsidP="00DC0056">
      <w:r>
        <w:t>The latest HMICFRS inspection raised concerns that improvements are still needed in the area of people and culture, making sure that leaders and staff do all they can to promote the right values</w:t>
      </w:r>
      <w:r w:rsidRPr="00E26D26">
        <w:t>,</w:t>
      </w:r>
      <w:r>
        <w:t xml:space="preserve"> and to improve diversity.</w:t>
      </w:r>
      <w:r w:rsidR="000266E8">
        <w:t xml:space="preserve">  There is governance in place to manage these improvements and </w:t>
      </w:r>
      <w:r w:rsidR="00E91B25">
        <w:t xml:space="preserve">a great deal of traction is being seen to </w:t>
      </w:r>
      <w:r w:rsidR="00EB2DB0">
        <w:t>put the service in a better place.</w:t>
      </w:r>
    </w:p>
    <w:p w14:paraId="1D72040A" w14:textId="77777777" w:rsidR="000C54E1" w:rsidRDefault="000C54E1" w:rsidP="00DC0056"/>
    <w:p w14:paraId="54F0D010" w14:textId="36D51C39" w:rsidR="000C54E1" w:rsidRPr="00DC0056" w:rsidRDefault="000C54E1" w:rsidP="000C54E1">
      <w:r>
        <w:t>In September 2025, HMICFRS closed the cause for concern</w:t>
      </w:r>
      <w:r w:rsidR="00B26B98">
        <w:t xml:space="preserve">, citing </w:t>
      </w:r>
      <w:r>
        <w:t xml:space="preserve">considerable progress </w:t>
      </w:r>
      <w:r w:rsidRPr="00025F81">
        <w:t>against four of the five</w:t>
      </w:r>
      <w:r>
        <w:t xml:space="preserve"> recommendatio</w:t>
      </w:r>
      <w:r w:rsidR="00B26B98">
        <w:t>ns</w:t>
      </w:r>
      <w:r>
        <w:t>.</w:t>
      </w:r>
      <w:r w:rsidR="00B26B98">
        <w:rPr>
          <w:rFonts w:cs="Calibri"/>
        </w:rPr>
        <w:t xml:space="preserve">  </w:t>
      </w:r>
      <w:r>
        <w:t xml:space="preserve">There was one area where </w:t>
      </w:r>
      <w:r w:rsidR="009C54DF">
        <w:t>improvements are still required</w:t>
      </w:r>
      <w:r>
        <w:t>, which is to show how EDI objectives and positive action</w:t>
      </w:r>
      <w:r w:rsidR="009C54DF">
        <w:t xml:space="preserve"> are monitored and evaluated.</w:t>
      </w:r>
    </w:p>
    <w:p w14:paraId="60ECF0F5" w14:textId="77777777" w:rsidR="00DC0056" w:rsidRPr="00DC0056" w:rsidRDefault="00DC0056" w:rsidP="00DC0056"/>
    <w:p w14:paraId="7CE4D6F2" w14:textId="77777777" w:rsidR="00DC0056" w:rsidRPr="00DC0056" w:rsidRDefault="00DC0056" w:rsidP="00857AD4">
      <w:pPr>
        <w:pStyle w:val="VAHeadingLevel3"/>
        <w:rPr>
          <w:bCs w:val="0"/>
        </w:rPr>
      </w:pPr>
      <w:r w:rsidRPr="00540A48">
        <w:rPr>
          <w:b/>
        </w:rPr>
        <w:t>Principle F:</w:t>
      </w:r>
      <w:r w:rsidRPr="00DC0056">
        <w:rPr>
          <w:bCs w:val="0"/>
        </w:rPr>
        <w:t xml:space="preserve"> Managing Risks and Performance</w:t>
      </w:r>
    </w:p>
    <w:p w14:paraId="7216E9FD" w14:textId="77777777" w:rsidR="00DC0056" w:rsidRPr="00DC0056" w:rsidRDefault="00DC0056" w:rsidP="00DC0056">
      <w:r w:rsidRPr="00DC0056">
        <w:t xml:space="preserve">During 2024/25, the OPFCC continued to demonstrate a commitment to transparency, sharing information and briefings with the Force, the Police, Fire and Crime Panel and the JIAC.  The PFCC meets regularly with the CC, the </w:t>
      </w:r>
      <w:r w:rsidRPr="00DC0056">
        <w:lastRenderedPageBreak/>
        <w:t xml:space="preserve">Chair and Vice Chair of the Panel and holds regular briefings for councillors and attends numerous engagement events.  </w:t>
      </w:r>
    </w:p>
    <w:p w14:paraId="741B7449" w14:textId="77777777" w:rsidR="00DC0056" w:rsidRPr="00DC0056" w:rsidRDefault="00DC0056" w:rsidP="00DC0056"/>
    <w:p w14:paraId="5C490B94" w14:textId="1409AF11" w:rsidR="00DC0056" w:rsidRPr="00DC0056" w:rsidRDefault="00DC0056" w:rsidP="00DC0056">
      <w:r w:rsidRPr="00DC0056">
        <w:t xml:space="preserve">Performance forms a significant part of the </w:t>
      </w:r>
      <w:r w:rsidR="00D43EB7">
        <w:t xml:space="preserve">Fire SLT Meetings and </w:t>
      </w:r>
      <w:r w:rsidRPr="00DC0056">
        <w:t>Accountability Board</w:t>
      </w:r>
      <w:r w:rsidR="008049A0">
        <w:t>,</w:t>
      </w:r>
      <w:r w:rsidRPr="00DC0056">
        <w:t xml:space="preserve"> and a representative of the OPFCC attends the regular performance meetings to discuss performance at a more operational level and identify the issues and challenges.  The OPFCC employs an analyst who collates key information for the </w:t>
      </w:r>
      <w:r w:rsidR="002C6CF3">
        <w:t xml:space="preserve">OPFCC </w:t>
      </w:r>
      <w:r w:rsidRPr="00DC0056">
        <w:t>Senior Leadership Team to consider, and highlights areas for further scrutiny.</w:t>
      </w:r>
    </w:p>
    <w:p w14:paraId="794E1EBA" w14:textId="77777777" w:rsidR="00DC0056" w:rsidRPr="00DC0056" w:rsidRDefault="00DC0056" w:rsidP="00DC0056">
      <w:pPr>
        <w:rPr>
          <w:highlight w:val="yellow"/>
        </w:rPr>
      </w:pPr>
    </w:p>
    <w:p w14:paraId="44FDD056" w14:textId="77777777" w:rsidR="00DC0056" w:rsidRPr="00DC0056" w:rsidRDefault="00DC0056" w:rsidP="00DC0056">
      <w:r w:rsidRPr="00DC0056">
        <w:t xml:space="preserve">NCFRA and OPFCC have risk management policies that are consistent with policing, and manage and record risks in the same manner, through the same system.  The risk registers are considered at the Senior Leadership and JIAC meetings.  </w:t>
      </w:r>
    </w:p>
    <w:p w14:paraId="582E5C5E" w14:textId="77777777" w:rsidR="00DC0056" w:rsidRPr="00DC0056" w:rsidRDefault="00DC0056" w:rsidP="00DC0056"/>
    <w:p w14:paraId="059A55EC" w14:textId="77777777" w:rsidR="00DC0056" w:rsidRDefault="00DC0056" w:rsidP="00DC0056">
      <w:r w:rsidRPr="00DC0056">
        <w:t>During 2024/25, Forvis Mazars continued as internal auditors for the NCFRA and OPFCC/Policing, along with the other PCCs in the East Midlands.  Regular review and planning meetings took place with Service and OPFCC officers (both locally and regionally) to update on progress.  Mazars attended each JIAC meeting to routinely report and give assurance on the adequacy and effectiveness of internal control.  In addition, they contribute to the JIAC forward plan and agenda setting to inform and highlight national and regional themes, considerations and practices.</w:t>
      </w:r>
    </w:p>
    <w:p w14:paraId="38C5C332" w14:textId="77777777" w:rsidR="003320CD" w:rsidRDefault="003320CD" w:rsidP="00DC0056"/>
    <w:p w14:paraId="63E9CC6F" w14:textId="45911D40" w:rsidR="003320CD" w:rsidRDefault="003320CD" w:rsidP="00DC0056">
      <w:r>
        <w:t xml:space="preserve">Only one high </w:t>
      </w:r>
      <w:r w:rsidR="005E382C">
        <w:t>priority recommendation w</w:t>
      </w:r>
      <w:r w:rsidR="006F187D">
        <w:t>as</w:t>
      </w:r>
      <w:r w:rsidR="005E382C">
        <w:t xml:space="preserve"> made </w:t>
      </w:r>
      <w:r w:rsidR="00AB31BB">
        <w:t xml:space="preserve">across the whole year, which was quickly remedied by the Service.  This </w:t>
      </w:r>
      <w:r w:rsidR="004F3BB1">
        <w:t xml:space="preserve">was as part of the Safeguarding audit and highlighted </w:t>
      </w:r>
      <w:r w:rsidR="00DB0D5B">
        <w:t>that a number of DBS check</w:t>
      </w:r>
      <w:r w:rsidR="00B54C57">
        <w:t>s</w:t>
      </w:r>
      <w:r w:rsidR="00DB0D5B">
        <w:t xml:space="preserve"> on firefighters and staff were outstanding</w:t>
      </w:r>
      <w:r w:rsidR="001F4BE2">
        <w:t xml:space="preserve">.  </w:t>
      </w:r>
      <w:r w:rsidR="00AF541A">
        <w:t>This matter was resolved by the Service before production of this statement</w:t>
      </w:r>
      <w:r w:rsidR="00B54C57">
        <w:t>.</w:t>
      </w:r>
    </w:p>
    <w:p w14:paraId="79EAD05C" w14:textId="77777777" w:rsidR="00DE0844" w:rsidRDefault="00DE0844" w:rsidP="00DC0056"/>
    <w:p w14:paraId="1A4AE19A" w14:textId="2523E9EC" w:rsidR="00133116" w:rsidRDefault="00DE0844" w:rsidP="00133116">
      <w:r>
        <w:t xml:space="preserve">The findings of </w:t>
      </w:r>
      <w:r w:rsidR="00790AAA" w:rsidRPr="00C00FEC">
        <w:t xml:space="preserve">His Majesty’s Inspection of Constabulary and Fire and Rescue Services </w:t>
      </w:r>
      <w:r w:rsidR="00790AAA">
        <w:t>(</w:t>
      </w:r>
      <w:r>
        <w:t>HMICFRS</w:t>
      </w:r>
      <w:r w:rsidR="00790AAA">
        <w:t>)</w:t>
      </w:r>
      <w:r>
        <w:t xml:space="preserve"> inspections are </w:t>
      </w:r>
      <w:r w:rsidR="0002777F">
        <w:t xml:space="preserve">regularly reviewed </w:t>
      </w:r>
      <w:r w:rsidR="006362A5">
        <w:t xml:space="preserve">with oversight by Fire SLT and the PFCC.  Updates are </w:t>
      </w:r>
      <w:r w:rsidR="002E4DF7">
        <w:t xml:space="preserve">built in the JIAC workplan across the year.  </w:t>
      </w:r>
      <w:r w:rsidR="00133116" w:rsidRPr="00C00FEC">
        <w:t xml:space="preserve">The </w:t>
      </w:r>
      <w:r w:rsidR="00133116">
        <w:t>third</w:t>
      </w:r>
      <w:r w:rsidR="00133116" w:rsidRPr="00C00FEC">
        <w:t xml:space="preserve"> full inspection of the </w:t>
      </w:r>
      <w:r w:rsidR="00790AAA">
        <w:t>S</w:t>
      </w:r>
      <w:r w:rsidR="00133116" w:rsidRPr="00E26D26">
        <w:t>ervice</w:t>
      </w:r>
      <w:r w:rsidR="00133116" w:rsidRPr="00C00FEC">
        <w:t xml:space="preserve"> was carried out </w:t>
      </w:r>
      <w:r w:rsidR="00133116">
        <w:t xml:space="preserve">between March and April 2024.  </w:t>
      </w:r>
      <w:r w:rsidR="00133116" w:rsidRPr="00E26D26">
        <w:t>The inspectors said that there was</w:t>
      </w:r>
      <w:r w:rsidR="00133116">
        <w:t xml:space="preserve"> “there are some good foundations in place and sound financial planning” – and that it is important that the Service now moves ahead with those plans.</w:t>
      </w:r>
    </w:p>
    <w:p w14:paraId="1D768C93" w14:textId="77777777" w:rsidR="00133116" w:rsidRDefault="00133116" w:rsidP="00133116"/>
    <w:p w14:paraId="67FB9C6C" w14:textId="4E30AE67" w:rsidR="00133116" w:rsidRPr="00894A1F" w:rsidRDefault="00133116" w:rsidP="00133116">
      <w:pPr>
        <w:rPr>
          <w:rFonts w:eastAsia="Times New Roman"/>
        </w:rPr>
      </w:pPr>
      <w:r>
        <w:t>However, the Inspectors said that there is more work needed to ensure firefighters and staff across the Service do more to prevent fires and other risks.</w:t>
      </w:r>
      <w:r w:rsidR="001B3995">
        <w:t xml:space="preserve"> </w:t>
      </w:r>
      <w:r>
        <w:t xml:space="preserve"> They also said that improvements are still needed in the area of people and culture, making sure that leaders and staff do all they can to promote the right values</w:t>
      </w:r>
      <w:r w:rsidRPr="00E26D26">
        <w:t>,</w:t>
      </w:r>
      <w:r>
        <w:t xml:space="preserve"> and to improve diversity.</w:t>
      </w:r>
    </w:p>
    <w:p w14:paraId="3110B2FB" w14:textId="3AACBDD7" w:rsidR="00DE0844" w:rsidRDefault="00DE0844" w:rsidP="00DC0056"/>
    <w:p w14:paraId="4CF3502C" w14:textId="2A8F4366" w:rsidR="009671F7" w:rsidRPr="00DC0056" w:rsidRDefault="009671F7" w:rsidP="00DC0056">
      <w:r>
        <w:t>Actions resulting from these recommendations are included below.</w:t>
      </w:r>
    </w:p>
    <w:p w14:paraId="0CDEF510" w14:textId="77777777" w:rsidR="00DC0056" w:rsidRPr="00DC0056" w:rsidRDefault="00DC0056" w:rsidP="00DC0056">
      <w:pPr>
        <w:rPr>
          <w:highlight w:val="yellow"/>
        </w:rPr>
      </w:pPr>
    </w:p>
    <w:p w14:paraId="606C0E5F" w14:textId="77777777" w:rsidR="00DC0056" w:rsidRPr="00DC0056" w:rsidRDefault="00DC0056" w:rsidP="00DC0056">
      <w:r w:rsidRPr="00DC0056">
        <w:t>The Joint Independent Audit Committee (JIAC) have responsibility for reviewing the risk, control and governance processes to ensure internal control systems are effective and that policies and practices are appropriate.  The Chair and four members continued in their roles during the year.  JIAC members were offered and some attended CIPFA, Public Sector Audit Appointments (PSAA) or other events.  Additionally, audit and other circulars are shared with JIAC members and senior officers where provided.</w:t>
      </w:r>
    </w:p>
    <w:p w14:paraId="2C704F1E" w14:textId="77777777" w:rsidR="00DC0056" w:rsidRPr="00DC0056" w:rsidRDefault="00DC0056" w:rsidP="00DC0056">
      <w:pPr>
        <w:rPr>
          <w:highlight w:val="yellow"/>
        </w:rPr>
      </w:pPr>
    </w:p>
    <w:p w14:paraId="6B980E5C" w14:textId="77777777" w:rsidR="00DC0056" w:rsidRPr="00DC0056" w:rsidRDefault="00DC0056" w:rsidP="00857AD4">
      <w:pPr>
        <w:pStyle w:val="VAHeadingLevel3"/>
        <w:rPr>
          <w:bCs w:val="0"/>
        </w:rPr>
      </w:pPr>
      <w:r w:rsidRPr="00FA682B">
        <w:rPr>
          <w:b/>
        </w:rPr>
        <w:t>Principle G:</w:t>
      </w:r>
      <w:r w:rsidRPr="00DC0056">
        <w:rPr>
          <w:bCs w:val="0"/>
        </w:rPr>
        <w:t xml:space="preserve"> Implementing good practices in transparency, reporting and accountability. </w:t>
      </w:r>
    </w:p>
    <w:p w14:paraId="436BBECE" w14:textId="77777777" w:rsidR="00DC0056" w:rsidRPr="00DC0056" w:rsidRDefault="00DC0056" w:rsidP="00DC0056">
      <w:r w:rsidRPr="00DC0056">
        <w:t>The Police, Fire and Crime Plan was developed following significant amounts of engagement and thorough consultations with local communities.  OPFCC staff are in place to lead on each area of priority.</w:t>
      </w:r>
    </w:p>
    <w:p w14:paraId="1783C785" w14:textId="77777777" w:rsidR="00DC0056" w:rsidRPr="00DC0056" w:rsidRDefault="00DC0056" w:rsidP="00DC0056"/>
    <w:p w14:paraId="3589F543" w14:textId="77777777" w:rsidR="00DC0056" w:rsidRPr="00DC0056" w:rsidRDefault="00DC0056" w:rsidP="00DC0056">
      <w:r w:rsidRPr="00DC0056">
        <w:t>External governance is managed through a system of assurance that includes attendance at meetings by OPFCC staff to fully understand activities and associated risks.  There is a monthly robust, formal Accountability Board meeting regularly between the PFCC and Chief Fire Officer and this is supported by regular informal meetings.  The Commissioner provides regular updates to the Police, Fire and Crime Panel as well as to elected Members, officials and members of the local community.  This includes an annual report by the Joint Independent Audit Committee (JIAC) that sets out their terms of reference, the work completed over the year and their opinion on the controls in place.</w:t>
      </w:r>
    </w:p>
    <w:p w14:paraId="0892CACF" w14:textId="77777777" w:rsidR="00DC0056" w:rsidRPr="00DC0056" w:rsidRDefault="00DC0056" w:rsidP="00DC0056"/>
    <w:p w14:paraId="027B14E9" w14:textId="77777777" w:rsidR="00DC0056" w:rsidRPr="00DC0056" w:rsidRDefault="00DC0056" w:rsidP="00DC0056">
      <w:bookmarkStart w:id="13" w:name="_Hlk167269424"/>
      <w:r w:rsidRPr="00DC0056">
        <w:lastRenderedPageBreak/>
        <w:t>The OPFCC website contains a substantial amount of information to an appropriate level of transparency for the public to access information about the OPFCC, NCFRA and its activity.  This includes timely publishing of key decisions, grants issued and papers for the Joint Independent Audit Committee (JIAC).</w:t>
      </w:r>
    </w:p>
    <w:p w14:paraId="46DDDA7A" w14:textId="77777777" w:rsidR="00DC0056" w:rsidRPr="00DC0056" w:rsidRDefault="00DC0056" w:rsidP="00DC0056"/>
    <w:bookmarkEnd w:id="13"/>
    <w:p w14:paraId="48135E21" w14:textId="77777777" w:rsidR="00DC0056" w:rsidRPr="00DC0056" w:rsidRDefault="00DC0056" w:rsidP="00DC0056">
      <w:r w:rsidRPr="00DC0056">
        <w:t>In line with the Accounts and Audit Regulations, the Statements of Accounts for the OPFCC, Group and OCC were placed on the OPFCC website by the required deadline.  All previously outstanding financial statements were published in line with the audit backstop with associated external audit reports.</w:t>
      </w:r>
    </w:p>
    <w:p w14:paraId="748657A6" w14:textId="77777777" w:rsidR="00FD67D1" w:rsidRPr="00DC0056" w:rsidRDefault="00FD67D1" w:rsidP="00DC0056"/>
    <w:p w14:paraId="17C261D3" w14:textId="77777777" w:rsidR="00DC0056" w:rsidRPr="00DC0056" w:rsidRDefault="00DC0056" w:rsidP="002A1ADD">
      <w:pPr>
        <w:pStyle w:val="VAHeadingLevel2"/>
      </w:pPr>
      <w:r w:rsidRPr="00151676">
        <w:t>Internal Audit and Internal Audit Review of Effectiveness</w:t>
      </w:r>
    </w:p>
    <w:p w14:paraId="172F8FCE" w14:textId="77777777" w:rsidR="00DC0056" w:rsidRPr="00DC0056" w:rsidRDefault="00DC0056" w:rsidP="00DC0056">
      <w:r w:rsidRPr="00DC0056">
        <w:t xml:space="preserve">The PFCC has the responsibility for conducting, at least annually, a review of the effectiveness of the governance framework, including the system of internal control.  The review of effectiveness is informed by the work of the JIAC, internal and external auditors, HMICFRS, statutory officers and senior managers within the Authority who have responsibility for the development and maintenance of the governance environment. </w:t>
      </w:r>
    </w:p>
    <w:p w14:paraId="16AC9580" w14:textId="77777777" w:rsidR="00DC0056" w:rsidRPr="00DC0056" w:rsidRDefault="00DC0056" w:rsidP="00DC0056"/>
    <w:p w14:paraId="75F003CC" w14:textId="5301BF8C" w:rsidR="00DC0056" w:rsidRPr="00507573" w:rsidRDefault="00DC0056" w:rsidP="00DC0056">
      <w:r w:rsidRPr="00DC0056">
        <w:t xml:space="preserve">The agreed Internal Audit Plan for 2024/25 was informed by statutory officers, approved by the PFCC and considered by JIAC in March 2024.  The plan </w:t>
      </w:r>
      <w:proofErr w:type="gramStart"/>
      <w:r w:rsidRPr="00DC0056">
        <w:t>covered  identified</w:t>
      </w:r>
      <w:proofErr w:type="gramEnd"/>
      <w:r w:rsidRPr="00DC0056">
        <w:t xml:space="preserve"> areas of risk and internal control.  </w:t>
      </w:r>
      <w:bookmarkStart w:id="14" w:name="_Hlk167270113"/>
      <w:r w:rsidRPr="00DC0056">
        <w:t xml:space="preserve">At the date of the reviewing the draft annual internal </w:t>
      </w:r>
      <w:r w:rsidRPr="00507573">
        <w:t xml:space="preserve">auditor report </w:t>
      </w:r>
      <w:r w:rsidR="009126C3">
        <w:t>in June 2025</w:t>
      </w:r>
      <w:r w:rsidRPr="00507573">
        <w:t xml:space="preserve">, </w:t>
      </w:r>
      <w:r w:rsidR="00DE252D">
        <w:t>one</w:t>
      </w:r>
      <w:r w:rsidR="00857AD4" w:rsidRPr="00507573">
        <w:t xml:space="preserve"> audit report remain</w:t>
      </w:r>
      <w:r w:rsidR="009126C3">
        <w:t>ed</w:t>
      </w:r>
      <w:r w:rsidR="00857AD4" w:rsidRPr="00507573">
        <w:t xml:space="preserve"> in draft form with </w:t>
      </w:r>
      <w:r w:rsidR="009126C3">
        <w:t xml:space="preserve">the </w:t>
      </w:r>
      <w:r w:rsidR="00857AD4" w:rsidRPr="00507573">
        <w:t>final version imminent.</w:t>
      </w:r>
      <w:r w:rsidRPr="00507573">
        <w:t xml:space="preserve">  The assessment of internal controls for th</w:t>
      </w:r>
      <w:r w:rsidR="009126C3">
        <w:t>is</w:t>
      </w:r>
      <w:r w:rsidRPr="00507573">
        <w:t xml:space="preserve"> audit and overall is not expected to change when </w:t>
      </w:r>
      <w:r w:rsidR="009126C3">
        <w:t>they</w:t>
      </w:r>
      <w:r w:rsidRPr="00507573">
        <w:t xml:space="preserve"> are finalised.</w:t>
      </w:r>
    </w:p>
    <w:p w14:paraId="13CEA113" w14:textId="77777777" w:rsidR="00DC0056" w:rsidRPr="00DC0056" w:rsidRDefault="00DC0056" w:rsidP="00DC0056"/>
    <w:bookmarkEnd w:id="14"/>
    <w:p w14:paraId="79060208" w14:textId="77777777" w:rsidR="00DC0056" w:rsidRPr="00DC0056" w:rsidRDefault="00DC0056" w:rsidP="00DC0056">
      <w:r w:rsidRPr="00DC0056">
        <w:t xml:space="preserve">Fire </w:t>
      </w:r>
      <w:proofErr w:type="gramStart"/>
      <w:r w:rsidRPr="00DC0056">
        <w:t>provide</w:t>
      </w:r>
      <w:proofErr w:type="gramEnd"/>
      <w:r w:rsidRPr="00DC0056">
        <w:t xml:space="preserve"> an annual update for the PFCC on the progress of audit recommendations and the PFCC asks for updates on specific audits as appropriate.  Furthermore, the JIAC received updates on internal audit reports and management implementation of recommendations during the year. </w:t>
      </w:r>
    </w:p>
    <w:p w14:paraId="7688EC95" w14:textId="77777777" w:rsidR="00DC0056" w:rsidRPr="00DC0056" w:rsidRDefault="00DC0056" w:rsidP="00DC0056">
      <w:pPr>
        <w:rPr>
          <w:noProof/>
          <w:lang w:eastAsia="en-GB"/>
        </w:rPr>
      </w:pPr>
    </w:p>
    <w:p w14:paraId="7DE8FDBF" w14:textId="77777777" w:rsidR="00DC0056" w:rsidRPr="00DC0056" w:rsidRDefault="00DC0056" w:rsidP="00DC0056">
      <w:pPr>
        <w:rPr>
          <w:noProof/>
          <w:lang w:eastAsia="en-GB"/>
        </w:rPr>
      </w:pPr>
      <w:r w:rsidRPr="00DC0056">
        <w:rPr>
          <w:noProof/>
          <w:lang w:eastAsia="en-GB"/>
        </w:rPr>
        <w:t>NCFRA contracted with Forvis Mazars from 2023/24 to provide the service to both Fire and Policing.  This enables a comprehensive and holistic internal audit plan to be delivered across all services and also provides efficiencies for both Fire and Police.</w:t>
      </w:r>
    </w:p>
    <w:p w14:paraId="6E5B7EB2" w14:textId="2312A175" w:rsidR="00DC0056" w:rsidRPr="00DC0056" w:rsidRDefault="00DC0056" w:rsidP="00DC0056">
      <w:pPr>
        <w:jc w:val="left"/>
        <w:rPr>
          <w:noProof/>
          <w:lang w:eastAsia="en-GB"/>
        </w:rPr>
      </w:pPr>
    </w:p>
    <w:p w14:paraId="0EE78CD0" w14:textId="028F4C6D" w:rsidR="00DC0056" w:rsidRPr="00DC0056" w:rsidRDefault="13C7AB7C" w:rsidP="00DC0056">
      <w:pPr>
        <w:rPr>
          <w:noProof/>
          <w:lang w:eastAsia="en-GB"/>
        </w:rPr>
      </w:pPr>
      <w:r w:rsidRPr="6C31340A">
        <w:rPr>
          <w:noProof/>
          <w:lang w:eastAsia="en-GB"/>
        </w:rPr>
        <w:t xml:space="preserve">The results from the internal audit programmes are as follows: </w:t>
      </w:r>
    </w:p>
    <w:tbl>
      <w:tblPr>
        <w:tblW w:w="5880" w:type="dxa"/>
        <w:tblLook w:val="04A0" w:firstRow="1" w:lastRow="0" w:firstColumn="1" w:lastColumn="0" w:noHBand="0" w:noVBand="1"/>
      </w:tblPr>
      <w:tblGrid>
        <w:gridCol w:w="3600"/>
        <w:gridCol w:w="1140"/>
        <w:gridCol w:w="1140"/>
      </w:tblGrid>
      <w:tr w:rsidR="00243404" w:rsidRPr="00243404" w14:paraId="2A2E273F" w14:textId="77777777" w:rsidTr="00243404">
        <w:trPr>
          <w:trHeight w:val="300"/>
        </w:trPr>
        <w:tc>
          <w:tcPr>
            <w:tcW w:w="3600" w:type="dxa"/>
            <w:vMerge w:val="restart"/>
            <w:tcBorders>
              <w:top w:val="single" w:sz="4" w:space="0" w:color="auto"/>
              <w:left w:val="single" w:sz="4" w:space="0" w:color="auto"/>
              <w:bottom w:val="single" w:sz="4" w:space="0" w:color="000000"/>
              <w:right w:val="nil"/>
            </w:tcBorders>
            <w:shd w:val="clear" w:color="000000" w:fill="C00000"/>
            <w:vAlign w:val="center"/>
            <w:hideMark/>
          </w:tcPr>
          <w:p w14:paraId="1BC9DD14"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Audit Area</w:t>
            </w:r>
          </w:p>
        </w:tc>
        <w:tc>
          <w:tcPr>
            <w:tcW w:w="1140" w:type="dxa"/>
            <w:tcBorders>
              <w:top w:val="single" w:sz="4" w:space="0" w:color="auto"/>
              <w:left w:val="nil"/>
              <w:bottom w:val="nil"/>
              <w:right w:val="nil"/>
            </w:tcBorders>
            <w:shd w:val="clear" w:color="000000" w:fill="C00000"/>
            <w:vAlign w:val="center"/>
            <w:hideMark/>
          </w:tcPr>
          <w:p w14:paraId="2A3303D6"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 </w:t>
            </w:r>
          </w:p>
        </w:tc>
        <w:tc>
          <w:tcPr>
            <w:tcW w:w="1140" w:type="dxa"/>
            <w:tcBorders>
              <w:top w:val="single" w:sz="4" w:space="0" w:color="auto"/>
              <w:left w:val="nil"/>
              <w:bottom w:val="nil"/>
              <w:right w:val="single" w:sz="4" w:space="0" w:color="auto"/>
            </w:tcBorders>
            <w:shd w:val="clear" w:color="000000" w:fill="C00000"/>
            <w:vAlign w:val="center"/>
            <w:hideMark/>
          </w:tcPr>
          <w:p w14:paraId="0226EBBB"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 </w:t>
            </w:r>
          </w:p>
        </w:tc>
      </w:tr>
      <w:tr w:rsidR="00243404" w:rsidRPr="00243404" w14:paraId="14400AEB" w14:textId="77777777" w:rsidTr="00243404">
        <w:trPr>
          <w:trHeight w:val="300"/>
        </w:trPr>
        <w:tc>
          <w:tcPr>
            <w:tcW w:w="3600" w:type="dxa"/>
            <w:vMerge/>
            <w:tcBorders>
              <w:top w:val="single" w:sz="4" w:space="0" w:color="auto"/>
              <w:left w:val="single" w:sz="4" w:space="0" w:color="auto"/>
              <w:bottom w:val="single" w:sz="4" w:space="0" w:color="000000"/>
              <w:right w:val="nil"/>
            </w:tcBorders>
            <w:vAlign w:val="center"/>
            <w:hideMark/>
          </w:tcPr>
          <w:p w14:paraId="47A46C36" w14:textId="77777777" w:rsidR="00243404" w:rsidRPr="00243404" w:rsidRDefault="00243404" w:rsidP="00243404">
            <w:pPr>
              <w:spacing w:line="240" w:lineRule="auto"/>
              <w:jc w:val="left"/>
              <w:rPr>
                <w:rFonts w:ascii="Calibri" w:eastAsia="Times New Roman" w:hAnsi="Calibri" w:cs="Calibri"/>
                <w:b/>
                <w:bCs/>
                <w:color w:val="FFFFFF"/>
                <w:sz w:val="20"/>
                <w:szCs w:val="20"/>
                <w:lang w:eastAsia="en-GB"/>
              </w:rPr>
            </w:pPr>
          </w:p>
        </w:tc>
        <w:tc>
          <w:tcPr>
            <w:tcW w:w="1140" w:type="dxa"/>
            <w:tcBorders>
              <w:top w:val="nil"/>
              <w:left w:val="nil"/>
              <w:bottom w:val="nil"/>
              <w:right w:val="nil"/>
            </w:tcBorders>
            <w:shd w:val="clear" w:color="000000" w:fill="C00000"/>
            <w:vAlign w:val="center"/>
            <w:hideMark/>
          </w:tcPr>
          <w:p w14:paraId="09D839AC"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2023/24</w:t>
            </w:r>
          </w:p>
        </w:tc>
        <w:tc>
          <w:tcPr>
            <w:tcW w:w="1140" w:type="dxa"/>
            <w:tcBorders>
              <w:top w:val="nil"/>
              <w:left w:val="nil"/>
              <w:bottom w:val="nil"/>
              <w:right w:val="single" w:sz="4" w:space="0" w:color="auto"/>
            </w:tcBorders>
            <w:shd w:val="clear" w:color="000000" w:fill="C00000"/>
            <w:vAlign w:val="center"/>
            <w:hideMark/>
          </w:tcPr>
          <w:p w14:paraId="47293E18"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2024/25</w:t>
            </w:r>
          </w:p>
        </w:tc>
      </w:tr>
      <w:tr w:rsidR="00243404" w:rsidRPr="00243404" w14:paraId="7EE3A196" w14:textId="77777777" w:rsidTr="00243404">
        <w:trPr>
          <w:trHeight w:val="300"/>
        </w:trPr>
        <w:tc>
          <w:tcPr>
            <w:tcW w:w="3600" w:type="dxa"/>
            <w:vMerge/>
            <w:tcBorders>
              <w:top w:val="single" w:sz="4" w:space="0" w:color="auto"/>
              <w:left w:val="single" w:sz="4" w:space="0" w:color="auto"/>
              <w:bottom w:val="single" w:sz="4" w:space="0" w:color="000000"/>
              <w:right w:val="nil"/>
            </w:tcBorders>
            <w:vAlign w:val="center"/>
            <w:hideMark/>
          </w:tcPr>
          <w:p w14:paraId="77EF97EF" w14:textId="77777777" w:rsidR="00243404" w:rsidRPr="00243404" w:rsidRDefault="00243404" w:rsidP="00243404">
            <w:pPr>
              <w:spacing w:line="240" w:lineRule="auto"/>
              <w:jc w:val="left"/>
              <w:rPr>
                <w:rFonts w:ascii="Calibri" w:eastAsia="Times New Roman" w:hAnsi="Calibri" w:cs="Calibri"/>
                <w:b/>
                <w:bCs/>
                <w:color w:val="FFFFFF"/>
                <w:sz w:val="20"/>
                <w:szCs w:val="20"/>
                <w:lang w:eastAsia="en-GB"/>
              </w:rPr>
            </w:pPr>
          </w:p>
        </w:tc>
        <w:tc>
          <w:tcPr>
            <w:tcW w:w="1140" w:type="dxa"/>
            <w:tcBorders>
              <w:top w:val="nil"/>
              <w:left w:val="nil"/>
              <w:bottom w:val="single" w:sz="4" w:space="0" w:color="auto"/>
              <w:right w:val="nil"/>
            </w:tcBorders>
            <w:shd w:val="clear" w:color="000000" w:fill="C00000"/>
            <w:vAlign w:val="center"/>
            <w:hideMark/>
          </w:tcPr>
          <w:p w14:paraId="3DA49F5D"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 </w:t>
            </w:r>
          </w:p>
        </w:tc>
        <w:tc>
          <w:tcPr>
            <w:tcW w:w="1140" w:type="dxa"/>
            <w:tcBorders>
              <w:top w:val="nil"/>
              <w:left w:val="nil"/>
              <w:bottom w:val="single" w:sz="4" w:space="0" w:color="auto"/>
              <w:right w:val="single" w:sz="4" w:space="0" w:color="auto"/>
            </w:tcBorders>
            <w:shd w:val="clear" w:color="000000" w:fill="C00000"/>
            <w:vAlign w:val="center"/>
            <w:hideMark/>
          </w:tcPr>
          <w:p w14:paraId="6F829038" w14:textId="77777777" w:rsidR="00243404" w:rsidRPr="00243404" w:rsidRDefault="00243404" w:rsidP="00243404">
            <w:pPr>
              <w:spacing w:line="240" w:lineRule="auto"/>
              <w:jc w:val="center"/>
              <w:rPr>
                <w:rFonts w:ascii="Calibri" w:eastAsia="Times New Roman" w:hAnsi="Calibri" w:cs="Calibri"/>
                <w:b/>
                <w:bCs/>
                <w:color w:val="FFFFFF"/>
                <w:sz w:val="20"/>
                <w:szCs w:val="20"/>
                <w:lang w:eastAsia="en-GB"/>
              </w:rPr>
            </w:pPr>
            <w:r w:rsidRPr="00243404">
              <w:rPr>
                <w:rFonts w:ascii="Calibri" w:eastAsia="Times New Roman" w:hAnsi="Calibri" w:cs="Calibri"/>
                <w:b/>
                <w:bCs/>
                <w:color w:val="FFFFFF"/>
                <w:sz w:val="20"/>
                <w:szCs w:val="20"/>
                <w:lang w:eastAsia="en-GB"/>
              </w:rPr>
              <w:t> </w:t>
            </w:r>
          </w:p>
        </w:tc>
      </w:tr>
      <w:tr w:rsidR="00243404" w:rsidRPr="00243404" w14:paraId="354C1ACE"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7DBAF166"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Annual IA Report/Governance Statement</w:t>
            </w:r>
          </w:p>
        </w:tc>
        <w:tc>
          <w:tcPr>
            <w:tcW w:w="1140" w:type="dxa"/>
            <w:tcBorders>
              <w:top w:val="nil"/>
              <w:left w:val="nil"/>
              <w:bottom w:val="single" w:sz="4" w:space="0" w:color="auto"/>
              <w:right w:val="single" w:sz="4" w:space="0" w:color="auto"/>
            </w:tcBorders>
            <w:shd w:val="clear" w:color="000000" w:fill="92D050"/>
            <w:noWrap/>
            <w:vAlign w:val="center"/>
            <w:hideMark/>
          </w:tcPr>
          <w:p w14:paraId="07CBC447"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92D050"/>
            <w:noWrap/>
            <w:vAlign w:val="center"/>
            <w:hideMark/>
          </w:tcPr>
          <w:p w14:paraId="2F3592C3"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5A0CB287"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43AD341E" w14:textId="1576EC2F"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Core Financials</w:t>
            </w:r>
            <w:r w:rsidR="00214339">
              <w:rPr>
                <w:rFonts w:ascii="Calibri" w:eastAsia="Times New Roman" w:hAnsi="Calibri" w:cs="Calibri"/>
                <w:color w:val="000000"/>
                <w:sz w:val="20"/>
                <w:szCs w:val="20"/>
                <w:lang w:eastAsia="en-GB"/>
              </w:rPr>
              <w:t>*</w:t>
            </w:r>
          </w:p>
        </w:tc>
        <w:tc>
          <w:tcPr>
            <w:tcW w:w="1140" w:type="dxa"/>
            <w:tcBorders>
              <w:top w:val="nil"/>
              <w:left w:val="nil"/>
              <w:bottom w:val="single" w:sz="4" w:space="0" w:color="auto"/>
              <w:right w:val="single" w:sz="4" w:space="0" w:color="auto"/>
            </w:tcBorders>
            <w:shd w:val="clear" w:color="000000" w:fill="92D050"/>
            <w:noWrap/>
            <w:vAlign w:val="center"/>
            <w:hideMark/>
          </w:tcPr>
          <w:p w14:paraId="66B53039"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92D050"/>
            <w:noWrap/>
            <w:vAlign w:val="center"/>
            <w:hideMark/>
          </w:tcPr>
          <w:p w14:paraId="5007E5EE"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54872CE8"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3429C16E"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Payroll</w:t>
            </w:r>
          </w:p>
        </w:tc>
        <w:tc>
          <w:tcPr>
            <w:tcW w:w="1140" w:type="dxa"/>
            <w:tcBorders>
              <w:top w:val="nil"/>
              <w:left w:val="nil"/>
              <w:bottom w:val="single" w:sz="4" w:space="0" w:color="auto"/>
              <w:right w:val="single" w:sz="4" w:space="0" w:color="auto"/>
            </w:tcBorders>
            <w:shd w:val="clear" w:color="000000" w:fill="92D050"/>
            <w:noWrap/>
            <w:vAlign w:val="center"/>
            <w:hideMark/>
          </w:tcPr>
          <w:p w14:paraId="40EE7160"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00B050"/>
            <w:vAlign w:val="center"/>
            <w:hideMark/>
          </w:tcPr>
          <w:p w14:paraId="1680569B" w14:textId="77777777" w:rsidR="00243404" w:rsidRPr="00243404" w:rsidRDefault="00243404" w:rsidP="00243404">
            <w:pPr>
              <w:spacing w:line="240" w:lineRule="auto"/>
              <w:jc w:val="center"/>
              <w:rPr>
                <w:rFonts w:ascii="Calibri" w:eastAsia="Times New Roman" w:hAnsi="Calibri" w:cs="Calibri"/>
                <w:sz w:val="20"/>
                <w:szCs w:val="20"/>
                <w:lang w:eastAsia="en-GB"/>
              </w:rPr>
            </w:pPr>
            <w:r w:rsidRPr="00243404">
              <w:rPr>
                <w:rFonts w:ascii="Calibri" w:eastAsia="Times New Roman" w:hAnsi="Calibri" w:cs="Calibri"/>
                <w:sz w:val="20"/>
                <w:szCs w:val="20"/>
                <w:lang w:eastAsia="en-GB"/>
              </w:rPr>
              <w:t xml:space="preserve">Substantial </w:t>
            </w:r>
          </w:p>
        </w:tc>
      </w:tr>
      <w:tr w:rsidR="00243404" w:rsidRPr="00243404" w14:paraId="1E598B55"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60D2ADC0"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New Systems Assurance</w:t>
            </w:r>
          </w:p>
        </w:tc>
        <w:tc>
          <w:tcPr>
            <w:tcW w:w="1140" w:type="dxa"/>
            <w:tcBorders>
              <w:top w:val="nil"/>
              <w:left w:val="nil"/>
              <w:bottom w:val="single" w:sz="4" w:space="0" w:color="auto"/>
              <w:right w:val="single" w:sz="4" w:space="0" w:color="auto"/>
            </w:tcBorders>
            <w:shd w:val="clear" w:color="000000" w:fill="92D050"/>
            <w:noWrap/>
            <w:vAlign w:val="center"/>
            <w:hideMark/>
          </w:tcPr>
          <w:p w14:paraId="0D60870E"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D0CECE"/>
            <w:vAlign w:val="center"/>
            <w:hideMark/>
          </w:tcPr>
          <w:p w14:paraId="4B29D191"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21515CCE" w14:textId="77777777" w:rsidTr="00243404">
        <w:trPr>
          <w:trHeight w:val="300"/>
        </w:trPr>
        <w:tc>
          <w:tcPr>
            <w:tcW w:w="3600" w:type="dxa"/>
            <w:tcBorders>
              <w:top w:val="nil"/>
              <w:left w:val="single" w:sz="4" w:space="0" w:color="auto"/>
              <w:bottom w:val="single" w:sz="4" w:space="0" w:color="auto"/>
              <w:right w:val="single" w:sz="4" w:space="0" w:color="auto"/>
            </w:tcBorders>
            <w:noWrap/>
            <w:vAlign w:val="center"/>
            <w:hideMark/>
          </w:tcPr>
          <w:p w14:paraId="6C4305AE" w14:textId="1CE5AF0B"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IT Identity Access Management</w:t>
            </w:r>
            <w:r w:rsidR="00B07300">
              <w:rPr>
                <w:rFonts w:ascii="Calibri" w:eastAsia="Times New Roman" w:hAnsi="Calibri" w:cs="Calibri"/>
                <w:color w:val="000000"/>
                <w:sz w:val="20"/>
                <w:szCs w:val="20"/>
                <w:lang w:eastAsia="en-GB"/>
              </w:rPr>
              <w:t>*</w:t>
            </w:r>
          </w:p>
        </w:tc>
        <w:tc>
          <w:tcPr>
            <w:tcW w:w="1140" w:type="dxa"/>
            <w:tcBorders>
              <w:top w:val="nil"/>
              <w:left w:val="nil"/>
              <w:bottom w:val="single" w:sz="4" w:space="0" w:color="auto"/>
              <w:right w:val="single" w:sz="4" w:space="0" w:color="auto"/>
            </w:tcBorders>
            <w:shd w:val="clear" w:color="000000" w:fill="FFC000"/>
            <w:noWrap/>
            <w:vAlign w:val="center"/>
            <w:hideMark/>
          </w:tcPr>
          <w:p w14:paraId="623DE131" w14:textId="77777777" w:rsidR="00243404" w:rsidRPr="00243404" w:rsidRDefault="00243404" w:rsidP="00243404">
            <w:pPr>
              <w:spacing w:line="240" w:lineRule="auto"/>
              <w:jc w:val="center"/>
              <w:rPr>
                <w:rFonts w:ascii="Calibri" w:eastAsia="Times New Roman" w:hAnsi="Calibri" w:cs="Calibri"/>
                <w:sz w:val="20"/>
                <w:szCs w:val="20"/>
                <w:lang w:eastAsia="en-GB"/>
              </w:rPr>
            </w:pPr>
            <w:r w:rsidRPr="00243404">
              <w:rPr>
                <w:rFonts w:ascii="Calibri" w:eastAsia="Times New Roman" w:hAnsi="Calibri" w:cs="Calibri"/>
                <w:sz w:val="20"/>
                <w:szCs w:val="20"/>
                <w:lang w:eastAsia="en-GB"/>
              </w:rPr>
              <w:t>Limited</w:t>
            </w:r>
          </w:p>
        </w:tc>
        <w:tc>
          <w:tcPr>
            <w:tcW w:w="1140" w:type="dxa"/>
            <w:tcBorders>
              <w:top w:val="nil"/>
              <w:left w:val="nil"/>
              <w:bottom w:val="single" w:sz="4" w:space="0" w:color="auto"/>
              <w:right w:val="single" w:sz="4" w:space="0" w:color="auto"/>
            </w:tcBorders>
            <w:shd w:val="clear" w:color="000000" w:fill="D0CECE"/>
            <w:vAlign w:val="center"/>
            <w:hideMark/>
          </w:tcPr>
          <w:p w14:paraId="7AF4EDBD"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0AA2D05D"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4962091A" w14:textId="3278EA13"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IT Asset Management</w:t>
            </w:r>
            <w:r w:rsidR="00B07300">
              <w:rPr>
                <w:rFonts w:ascii="Calibri" w:eastAsia="Times New Roman" w:hAnsi="Calibri" w:cs="Calibri"/>
                <w:color w:val="000000"/>
                <w:sz w:val="20"/>
                <w:szCs w:val="20"/>
                <w:lang w:eastAsia="en-GB"/>
              </w:rPr>
              <w:t>*</w:t>
            </w:r>
          </w:p>
        </w:tc>
        <w:tc>
          <w:tcPr>
            <w:tcW w:w="1140" w:type="dxa"/>
            <w:tcBorders>
              <w:top w:val="nil"/>
              <w:left w:val="nil"/>
              <w:bottom w:val="single" w:sz="4" w:space="0" w:color="auto"/>
              <w:right w:val="single" w:sz="4" w:space="0" w:color="auto"/>
            </w:tcBorders>
            <w:shd w:val="clear" w:color="000000" w:fill="92D050"/>
            <w:noWrap/>
            <w:vAlign w:val="center"/>
            <w:hideMark/>
          </w:tcPr>
          <w:p w14:paraId="5104021C"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D0CECE"/>
            <w:vAlign w:val="center"/>
            <w:hideMark/>
          </w:tcPr>
          <w:p w14:paraId="21D1D9F2"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4D45FEE5"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23204326"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Risk Management</w:t>
            </w:r>
          </w:p>
        </w:tc>
        <w:tc>
          <w:tcPr>
            <w:tcW w:w="1140" w:type="dxa"/>
            <w:tcBorders>
              <w:top w:val="nil"/>
              <w:left w:val="nil"/>
              <w:bottom w:val="single" w:sz="4" w:space="0" w:color="auto"/>
              <w:right w:val="single" w:sz="4" w:space="0" w:color="auto"/>
            </w:tcBorders>
            <w:shd w:val="clear" w:color="000000" w:fill="92D050"/>
            <w:noWrap/>
            <w:vAlign w:val="center"/>
            <w:hideMark/>
          </w:tcPr>
          <w:p w14:paraId="27BCC799"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D0CECE"/>
            <w:vAlign w:val="center"/>
            <w:hideMark/>
          </w:tcPr>
          <w:p w14:paraId="1041F44E"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30E1429A"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115077A1"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EDI Plan (prev. People and Culture)</w:t>
            </w:r>
          </w:p>
        </w:tc>
        <w:tc>
          <w:tcPr>
            <w:tcW w:w="1140" w:type="dxa"/>
            <w:tcBorders>
              <w:top w:val="nil"/>
              <w:left w:val="nil"/>
              <w:bottom w:val="single" w:sz="4" w:space="0" w:color="auto"/>
              <w:right w:val="single" w:sz="4" w:space="0" w:color="auto"/>
            </w:tcBorders>
            <w:shd w:val="clear" w:color="000000" w:fill="92D050"/>
            <w:noWrap/>
            <w:vAlign w:val="center"/>
            <w:hideMark/>
          </w:tcPr>
          <w:p w14:paraId="570A0632"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c>
          <w:tcPr>
            <w:tcW w:w="1140" w:type="dxa"/>
            <w:tcBorders>
              <w:top w:val="nil"/>
              <w:left w:val="nil"/>
              <w:bottom w:val="single" w:sz="4" w:space="0" w:color="auto"/>
              <w:right w:val="single" w:sz="4" w:space="0" w:color="auto"/>
            </w:tcBorders>
            <w:shd w:val="clear" w:color="000000" w:fill="D0CECE"/>
            <w:vAlign w:val="center"/>
            <w:hideMark/>
          </w:tcPr>
          <w:p w14:paraId="369C9A89"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31CE5C4C"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4CC4D6B3"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Grievance Policy &amp; Procedure</w:t>
            </w:r>
          </w:p>
        </w:tc>
        <w:tc>
          <w:tcPr>
            <w:tcW w:w="1140" w:type="dxa"/>
            <w:tcBorders>
              <w:top w:val="nil"/>
              <w:left w:val="nil"/>
              <w:bottom w:val="single" w:sz="4" w:space="0" w:color="auto"/>
              <w:right w:val="single" w:sz="4" w:space="0" w:color="auto"/>
            </w:tcBorders>
            <w:shd w:val="clear" w:color="000000" w:fill="00B050"/>
            <w:vAlign w:val="center"/>
            <w:hideMark/>
          </w:tcPr>
          <w:p w14:paraId="366D792E" w14:textId="77777777" w:rsidR="00243404" w:rsidRPr="00243404" w:rsidRDefault="00243404" w:rsidP="00243404">
            <w:pPr>
              <w:spacing w:line="240" w:lineRule="auto"/>
              <w:jc w:val="center"/>
              <w:rPr>
                <w:rFonts w:ascii="Calibri" w:eastAsia="Times New Roman" w:hAnsi="Calibri" w:cs="Calibri"/>
                <w:sz w:val="20"/>
                <w:szCs w:val="20"/>
                <w:lang w:eastAsia="en-GB"/>
              </w:rPr>
            </w:pPr>
            <w:r w:rsidRPr="00243404">
              <w:rPr>
                <w:rFonts w:ascii="Calibri" w:eastAsia="Times New Roman" w:hAnsi="Calibri" w:cs="Calibri"/>
                <w:sz w:val="20"/>
                <w:szCs w:val="20"/>
                <w:lang w:eastAsia="en-GB"/>
              </w:rPr>
              <w:t xml:space="preserve">Substantial </w:t>
            </w:r>
          </w:p>
        </w:tc>
        <w:tc>
          <w:tcPr>
            <w:tcW w:w="1140" w:type="dxa"/>
            <w:tcBorders>
              <w:top w:val="nil"/>
              <w:left w:val="nil"/>
              <w:bottom w:val="single" w:sz="4" w:space="0" w:color="auto"/>
              <w:right w:val="single" w:sz="4" w:space="0" w:color="auto"/>
            </w:tcBorders>
            <w:shd w:val="clear" w:color="000000" w:fill="D0CECE"/>
            <w:vAlign w:val="center"/>
            <w:hideMark/>
          </w:tcPr>
          <w:p w14:paraId="20CE9F9F"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r>
      <w:tr w:rsidR="00243404" w:rsidRPr="00243404" w14:paraId="2528356E"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54B798AA"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Governance*</w:t>
            </w:r>
          </w:p>
        </w:tc>
        <w:tc>
          <w:tcPr>
            <w:tcW w:w="1140" w:type="dxa"/>
            <w:tcBorders>
              <w:top w:val="nil"/>
              <w:left w:val="nil"/>
              <w:bottom w:val="single" w:sz="4" w:space="0" w:color="auto"/>
              <w:right w:val="single" w:sz="4" w:space="0" w:color="auto"/>
            </w:tcBorders>
            <w:shd w:val="clear" w:color="000000" w:fill="D0CECE"/>
            <w:vAlign w:val="center"/>
            <w:hideMark/>
          </w:tcPr>
          <w:p w14:paraId="22688F6C"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92D050"/>
            <w:noWrap/>
            <w:vAlign w:val="center"/>
            <w:hideMark/>
          </w:tcPr>
          <w:p w14:paraId="2052D7A9"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71144210"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129677EF" w14:textId="63B8B3C4"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Asset Management</w:t>
            </w:r>
            <w:r w:rsidR="00B07300">
              <w:rPr>
                <w:rFonts w:ascii="Calibri" w:eastAsia="Times New Roman" w:hAnsi="Calibri" w:cs="Calibri"/>
                <w:color w:val="000000"/>
                <w:sz w:val="20"/>
                <w:szCs w:val="20"/>
                <w:lang w:eastAsia="en-GB"/>
              </w:rPr>
              <w:t>*</w:t>
            </w:r>
          </w:p>
        </w:tc>
        <w:tc>
          <w:tcPr>
            <w:tcW w:w="1140" w:type="dxa"/>
            <w:tcBorders>
              <w:top w:val="nil"/>
              <w:left w:val="nil"/>
              <w:bottom w:val="single" w:sz="4" w:space="0" w:color="auto"/>
              <w:right w:val="single" w:sz="4" w:space="0" w:color="auto"/>
            </w:tcBorders>
            <w:shd w:val="clear" w:color="000000" w:fill="D0CECE"/>
            <w:vAlign w:val="center"/>
            <w:hideMark/>
          </w:tcPr>
          <w:p w14:paraId="3183BD6E"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92D050"/>
            <w:noWrap/>
            <w:vAlign w:val="center"/>
            <w:hideMark/>
          </w:tcPr>
          <w:p w14:paraId="2606E1E1"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355FECCC"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31374B09"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Estates Management*</w:t>
            </w:r>
          </w:p>
        </w:tc>
        <w:tc>
          <w:tcPr>
            <w:tcW w:w="1140" w:type="dxa"/>
            <w:tcBorders>
              <w:top w:val="nil"/>
              <w:left w:val="nil"/>
              <w:bottom w:val="single" w:sz="4" w:space="0" w:color="auto"/>
              <w:right w:val="single" w:sz="4" w:space="0" w:color="auto"/>
            </w:tcBorders>
            <w:shd w:val="clear" w:color="000000" w:fill="D0CECE"/>
            <w:vAlign w:val="center"/>
            <w:hideMark/>
          </w:tcPr>
          <w:p w14:paraId="31466F6A"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92D050"/>
            <w:noWrap/>
            <w:vAlign w:val="center"/>
            <w:hideMark/>
          </w:tcPr>
          <w:p w14:paraId="762CF27F"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055837A0"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3C0C0EEC"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IT Governance*</w:t>
            </w:r>
          </w:p>
        </w:tc>
        <w:tc>
          <w:tcPr>
            <w:tcW w:w="1140" w:type="dxa"/>
            <w:tcBorders>
              <w:top w:val="nil"/>
              <w:left w:val="nil"/>
              <w:bottom w:val="single" w:sz="4" w:space="0" w:color="auto"/>
              <w:right w:val="single" w:sz="4" w:space="0" w:color="auto"/>
            </w:tcBorders>
            <w:shd w:val="clear" w:color="000000" w:fill="D0CECE"/>
            <w:vAlign w:val="center"/>
            <w:hideMark/>
          </w:tcPr>
          <w:p w14:paraId="35A55225"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92D050"/>
            <w:noWrap/>
            <w:vAlign w:val="center"/>
            <w:hideMark/>
          </w:tcPr>
          <w:p w14:paraId="224D2A30"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7D4FD505"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245AB3D8" w14:textId="3FD55060"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Succession Planning &amp; Promotions</w:t>
            </w:r>
          </w:p>
        </w:tc>
        <w:tc>
          <w:tcPr>
            <w:tcW w:w="1140" w:type="dxa"/>
            <w:tcBorders>
              <w:top w:val="nil"/>
              <w:left w:val="nil"/>
              <w:bottom w:val="single" w:sz="4" w:space="0" w:color="auto"/>
              <w:right w:val="single" w:sz="4" w:space="0" w:color="auto"/>
            </w:tcBorders>
            <w:shd w:val="clear" w:color="000000" w:fill="D0CECE"/>
            <w:vAlign w:val="center"/>
            <w:hideMark/>
          </w:tcPr>
          <w:p w14:paraId="46B21A38"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92D050"/>
            <w:noWrap/>
            <w:vAlign w:val="center"/>
            <w:hideMark/>
          </w:tcPr>
          <w:p w14:paraId="39A4AB63" w14:textId="77777777" w:rsidR="00243404" w:rsidRPr="00243404" w:rsidRDefault="00243404" w:rsidP="00243404">
            <w:pPr>
              <w:spacing w:line="240" w:lineRule="auto"/>
              <w:jc w:val="center"/>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Moderate</w:t>
            </w:r>
          </w:p>
        </w:tc>
      </w:tr>
      <w:tr w:rsidR="00243404" w:rsidRPr="00243404" w14:paraId="2FE02444" w14:textId="77777777" w:rsidTr="00243404">
        <w:trPr>
          <w:trHeight w:val="300"/>
        </w:trPr>
        <w:tc>
          <w:tcPr>
            <w:tcW w:w="3600" w:type="dxa"/>
            <w:tcBorders>
              <w:top w:val="nil"/>
              <w:left w:val="single" w:sz="4" w:space="0" w:color="auto"/>
              <w:bottom w:val="single" w:sz="4" w:space="0" w:color="auto"/>
              <w:right w:val="single" w:sz="4" w:space="0" w:color="auto"/>
            </w:tcBorders>
            <w:vAlign w:val="center"/>
            <w:hideMark/>
          </w:tcPr>
          <w:p w14:paraId="7AAC1BC5"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Safeguarding</w:t>
            </w:r>
          </w:p>
        </w:tc>
        <w:tc>
          <w:tcPr>
            <w:tcW w:w="1140" w:type="dxa"/>
            <w:tcBorders>
              <w:top w:val="nil"/>
              <w:left w:val="nil"/>
              <w:bottom w:val="single" w:sz="4" w:space="0" w:color="auto"/>
              <w:right w:val="single" w:sz="4" w:space="0" w:color="auto"/>
            </w:tcBorders>
            <w:shd w:val="clear" w:color="000000" w:fill="D0CECE"/>
            <w:vAlign w:val="center"/>
            <w:hideMark/>
          </w:tcPr>
          <w:p w14:paraId="37B2579E" w14:textId="77777777" w:rsidR="00243404" w:rsidRPr="00243404" w:rsidRDefault="00243404" w:rsidP="00243404">
            <w:pPr>
              <w:spacing w:line="240" w:lineRule="auto"/>
              <w:jc w:val="left"/>
              <w:rPr>
                <w:rFonts w:ascii="Calibri" w:eastAsia="Times New Roman" w:hAnsi="Calibri" w:cs="Calibri"/>
                <w:color w:val="000000"/>
                <w:sz w:val="20"/>
                <w:szCs w:val="20"/>
                <w:lang w:eastAsia="en-GB"/>
              </w:rPr>
            </w:pPr>
            <w:r w:rsidRPr="00243404">
              <w:rPr>
                <w:rFonts w:ascii="Calibri" w:eastAsia="Times New Roman" w:hAnsi="Calibri" w:cs="Calibri"/>
                <w:color w:val="000000"/>
                <w:sz w:val="20"/>
                <w:szCs w:val="20"/>
                <w:lang w:eastAsia="en-GB"/>
              </w:rPr>
              <w:t> </w:t>
            </w:r>
          </w:p>
        </w:tc>
        <w:tc>
          <w:tcPr>
            <w:tcW w:w="1140" w:type="dxa"/>
            <w:tcBorders>
              <w:top w:val="nil"/>
              <w:left w:val="nil"/>
              <w:bottom w:val="single" w:sz="4" w:space="0" w:color="auto"/>
              <w:right w:val="single" w:sz="4" w:space="0" w:color="auto"/>
            </w:tcBorders>
            <w:shd w:val="clear" w:color="000000" w:fill="FFC000"/>
            <w:noWrap/>
            <w:vAlign w:val="center"/>
            <w:hideMark/>
          </w:tcPr>
          <w:p w14:paraId="4FD81666" w14:textId="77777777" w:rsidR="00243404" w:rsidRPr="00243404" w:rsidRDefault="00243404" w:rsidP="00243404">
            <w:pPr>
              <w:spacing w:line="240" w:lineRule="auto"/>
              <w:jc w:val="center"/>
              <w:rPr>
                <w:rFonts w:ascii="Calibri" w:eastAsia="Times New Roman" w:hAnsi="Calibri" w:cs="Calibri"/>
                <w:sz w:val="20"/>
                <w:szCs w:val="20"/>
                <w:lang w:eastAsia="en-GB"/>
              </w:rPr>
            </w:pPr>
            <w:r w:rsidRPr="00243404">
              <w:rPr>
                <w:rFonts w:ascii="Calibri" w:eastAsia="Times New Roman" w:hAnsi="Calibri" w:cs="Calibri"/>
                <w:sz w:val="20"/>
                <w:szCs w:val="20"/>
                <w:lang w:eastAsia="en-GB"/>
              </w:rPr>
              <w:t>Limited</w:t>
            </w:r>
          </w:p>
        </w:tc>
      </w:tr>
    </w:tbl>
    <w:p w14:paraId="0C0FA756" w14:textId="77777777" w:rsidR="00857AD4" w:rsidRDefault="00857AD4" w:rsidP="00857AD4"/>
    <w:p w14:paraId="296D44D5" w14:textId="77777777" w:rsidR="00D30000" w:rsidRDefault="00D30000" w:rsidP="00857AD4">
      <w:r w:rsidRPr="00636449">
        <w:t xml:space="preserve">* Denote joint audits with </w:t>
      </w:r>
      <w:r>
        <w:t>OPFCC (Police)</w:t>
      </w:r>
    </w:p>
    <w:p w14:paraId="37B55911" w14:textId="77777777" w:rsidR="00DC0056" w:rsidRPr="00DC0056" w:rsidRDefault="00DC0056" w:rsidP="00DC0056"/>
    <w:p w14:paraId="4326C43B" w14:textId="77777777" w:rsidR="00DC0056" w:rsidRPr="00DC0056" w:rsidRDefault="00DC0056" w:rsidP="00DC0056">
      <w:r w:rsidRPr="00DC0056">
        <w:lastRenderedPageBreak/>
        <w:t>The audits reflect that whilst policies, procedures and compliance are adequately robust in the most part, there is always work to do to elevate internal controls further.</w:t>
      </w:r>
    </w:p>
    <w:p w14:paraId="4142EA38" w14:textId="77777777" w:rsidR="00DC0056" w:rsidRPr="00DC0056" w:rsidRDefault="00DC0056" w:rsidP="00DC0056"/>
    <w:p w14:paraId="3F203791" w14:textId="77777777" w:rsidR="00DC0056" w:rsidRPr="00DC0056" w:rsidRDefault="00DC0056" w:rsidP="00DC0056">
      <w:pPr>
        <w:rPr>
          <w:noProof/>
          <w:lang w:eastAsia="en-GB"/>
        </w:rPr>
      </w:pPr>
      <w:r w:rsidRPr="00DC0056">
        <w:rPr>
          <w:noProof/>
          <w:lang w:eastAsia="en-GB"/>
        </w:rPr>
        <w:t>The PFCC, the s151 Officer and the Chief Fire Officer will continue to monitor these areas closely and will identify areas where further assurance is required and act accordingly.</w:t>
      </w:r>
    </w:p>
    <w:p w14:paraId="52008B9E" w14:textId="77777777" w:rsidR="00857AD4" w:rsidRPr="00162177" w:rsidRDefault="00857AD4" w:rsidP="00857AD4">
      <w:pPr>
        <w:rPr>
          <w:noProof/>
          <w:lang w:eastAsia="en-GB"/>
        </w:rPr>
      </w:pPr>
    </w:p>
    <w:p w14:paraId="2C66D70B" w14:textId="77777777" w:rsidR="00DC02FA" w:rsidRPr="00402774" w:rsidRDefault="00DC02FA" w:rsidP="00DC02FA">
      <w:r w:rsidRPr="00402774">
        <w:t>The draft Internal Audit Annual Report for 2024/25 was produced and will be considered by the JIAC at their meeting in July 2025.  The results of the report are summarised as follows:</w:t>
      </w:r>
    </w:p>
    <w:p w14:paraId="0DC7B02F" w14:textId="77777777" w:rsidR="00E2367F" w:rsidRPr="00507573" w:rsidRDefault="00E2367F" w:rsidP="00857AD4"/>
    <w:p w14:paraId="114F65AE" w14:textId="4F0168C1" w:rsidR="00222A1F" w:rsidRPr="00222A1F" w:rsidRDefault="00DC0056" w:rsidP="002A1ADD">
      <w:pPr>
        <w:pStyle w:val="VAHeadingLevel2"/>
      </w:pPr>
      <w:r w:rsidRPr="00507573">
        <w:t xml:space="preserve">“On the basis of our audit work, our opinion on the framework of governance, risk management, and control is Moderate in its overall adequacy and effectiveness. </w:t>
      </w:r>
      <w:r w:rsidR="00222A1F">
        <w:t xml:space="preserve"> </w:t>
      </w:r>
      <w:r w:rsidRPr="00507573">
        <w:t>This opinion is provided on the basis that some improvements are required to enhance the adequacy and effectiveness of the framework of governance, risk management and control.</w:t>
      </w:r>
      <w:r w:rsidR="00222A1F">
        <w:t xml:space="preserve">  </w:t>
      </w:r>
      <w:r w:rsidRPr="00222A1F">
        <w:t xml:space="preserve">Certain weaknesses and exceptions were highlighted by our internal audit work, </w:t>
      </w:r>
      <w:r w:rsidR="00222A1F" w:rsidRPr="00222A1F">
        <w:t>in</w:t>
      </w:r>
      <w:r w:rsidR="005B5A32">
        <w:t xml:space="preserve"> </w:t>
      </w:r>
      <w:r w:rsidR="00222A1F" w:rsidRPr="00222A1F">
        <w:t>particular a limited assurance opinion was provided during</w:t>
      </w:r>
      <w:r w:rsidRPr="00222A1F">
        <w:t xml:space="preserve"> the </w:t>
      </w:r>
      <w:r w:rsidR="00222A1F" w:rsidRPr="00222A1F">
        <w:t>period in respect of</w:t>
      </w:r>
      <w:r w:rsidR="00222A1F">
        <w:t xml:space="preserve"> </w:t>
      </w:r>
      <w:r w:rsidR="00222A1F" w:rsidRPr="00222A1F">
        <w:t>Safeguarding.</w:t>
      </w:r>
      <w:r w:rsidR="00222A1F">
        <w:t xml:space="preserve"> </w:t>
      </w:r>
      <w:r>
        <w:t xml:space="preserve"> T</w:t>
      </w:r>
      <w:r w:rsidRPr="00222A1F">
        <w:t xml:space="preserve">hese matters have been discussed with management, </w:t>
      </w:r>
      <w:r w:rsidR="00222A1F" w:rsidRPr="00222A1F">
        <w:t>to whom we have made</w:t>
      </w:r>
      <w:r w:rsidR="00222A1F">
        <w:t xml:space="preserve"> </w:t>
      </w:r>
      <w:r w:rsidR="00222A1F" w:rsidRPr="00222A1F">
        <w:t xml:space="preserve">recommendations, several of which are categorised as ‘High’ and ‘Medium’. </w:t>
      </w:r>
      <w:r w:rsidR="00DC02FA">
        <w:t xml:space="preserve"> </w:t>
      </w:r>
      <w:r w:rsidR="00222A1F" w:rsidRPr="00222A1F">
        <w:t>All of these</w:t>
      </w:r>
      <w:r w:rsidR="00222A1F">
        <w:t xml:space="preserve"> </w:t>
      </w:r>
      <w:r w:rsidR="00222A1F" w:rsidRPr="00222A1F">
        <w:t>have been, or are in the process of being addressed, as detailed in our individual reports,</w:t>
      </w:r>
      <w:r w:rsidR="00222A1F">
        <w:t xml:space="preserve"> </w:t>
      </w:r>
      <w:r w:rsidR="00222A1F" w:rsidRPr="00222A1F">
        <w:t>and summarised in Section 04.</w:t>
      </w:r>
    </w:p>
    <w:p w14:paraId="2E9ADEB6" w14:textId="4B9674F1" w:rsidR="00DC0056" w:rsidRPr="00507573" w:rsidRDefault="00222A1F" w:rsidP="002A1ADD">
      <w:pPr>
        <w:pStyle w:val="VAHeadingLevel2"/>
      </w:pPr>
      <w:r w:rsidRPr="00222A1F">
        <w:t xml:space="preserve">A ‘Substantial’ assurance opinion was provided for the </w:t>
      </w:r>
      <w:proofErr w:type="gramStart"/>
      <w:r w:rsidRPr="00222A1F">
        <w:t>Payroll</w:t>
      </w:r>
      <w:proofErr w:type="gramEnd"/>
      <w:r w:rsidRPr="00222A1F">
        <w:t xml:space="preserve"> internal audit. </w:t>
      </w:r>
      <w:r w:rsidR="00DC0056" w:rsidRPr="00507573">
        <w:t>…”</w:t>
      </w:r>
    </w:p>
    <w:p w14:paraId="065EB626" w14:textId="77777777" w:rsidR="00DC0056" w:rsidRPr="00321E0F" w:rsidRDefault="00DC0056" w:rsidP="00857AD4">
      <w:pPr>
        <w:pStyle w:val="VAHeadingLevel3"/>
      </w:pPr>
    </w:p>
    <w:p w14:paraId="7A7E94F6" w14:textId="77777777" w:rsidR="00DC0056" w:rsidRPr="00DC0056" w:rsidRDefault="00DC0056" w:rsidP="002A1ADD">
      <w:pPr>
        <w:pStyle w:val="VAHeadingLevel2"/>
      </w:pPr>
      <w:r w:rsidRPr="00321E0F">
        <w:t>CIPFA Financial Management Code</w:t>
      </w:r>
    </w:p>
    <w:p w14:paraId="6525944E" w14:textId="77777777" w:rsidR="00DC0056" w:rsidRPr="00DC0056" w:rsidRDefault="00DC0056" w:rsidP="00DC0056">
      <w:r w:rsidRPr="00DC0056">
        <w:t xml:space="preserve">The CIPFA Financial Management Code translates the principles of good financial management into a series of financial standards that </w:t>
      </w:r>
      <w:proofErr w:type="gramStart"/>
      <w:r w:rsidRPr="00DC0056">
        <w:t>comprise:</w:t>
      </w:r>
      <w:proofErr w:type="gramEnd"/>
      <w:r w:rsidRPr="00DC0056">
        <w:t xml:space="preserve"> leadership and accountability, governance and financial management, medium term financial planning to inform and ensure financial resilience, and monitoring financial performance to address emerging issues through to financial reporting.  Taken together these financial management standards underpin the effective governance of the use and control of resources utilised by NCFRA in pursuance of its stated objectives.</w:t>
      </w:r>
    </w:p>
    <w:p w14:paraId="6DB766C0" w14:textId="77777777" w:rsidR="00DC0056" w:rsidRPr="00DC0056" w:rsidRDefault="00DC0056" w:rsidP="00DC0056"/>
    <w:p w14:paraId="2FEDBB9A" w14:textId="77777777" w:rsidR="00DC0056" w:rsidRPr="00DC0056" w:rsidRDefault="00DC0056" w:rsidP="00DC0056">
      <w:r w:rsidRPr="00DC0056">
        <w:t>The s151 Officer, together with the Joint Finance Team and Joint Assistant Chief Officer for Enabling Services have considered a self-assessment against this framework.  This review highlighted that compliance has mainly been achieved in all significant areas of the framework and a small number of areas have been highlighted for further consideration in 2025/26, and this is captured in the Annual Governance Statement (AGS) action plan as a recommendation.</w:t>
      </w:r>
    </w:p>
    <w:p w14:paraId="4E42D37E" w14:textId="77777777" w:rsidR="00DC0056" w:rsidRPr="00DC0056" w:rsidRDefault="00DC0056" w:rsidP="00DC0056">
      <w:pPr>
        <w:rPr>
          <w:b/>
        </w:rPr>
      </w:pPr>
    </w:p>
    <w:p w14:paraId="74B86CBA" w14:textId="77777777" w:rsidR="00DC0056" w:rsidRPr="00DC0056" w:rsidRDefault="00DC0056" w:rsidP="002A1ADD">
      <w:pPr>
        <w:pStyle w:val="VAHeadingLevel2"/>
      </w:pPr>
      <w:r w:rsidRPr="00321E0F">
        <w:t>Review of Effectiveness</w:t>
      </w:r>
    </w:p>
    <w:p w14:paraId="6230013F" w14:textId="77777777" w:rsidR="00DC0056" w:rsidRPr="00DC0056" w:rsidRDefault="00DC0056" w:rsidP="00DC0056">
      <w:r w:rsidRPr="00DC0056">
        <w:t>The Internal Audit Plan was in place in 2024/25.  The PFCC is fully appraised of these and will continue to seek assurance through statutory officer updates and the Accountability Board.</w:t>
      </w:r>
    </w:p>
    <w:p w14:paraId="66ACBA75" w14:textId="77777777" w:rsidR="00DC0056" w:rsidRPr="00DC0056" w:rsidRDefault="00DC0056" w:rsidP="00DC0056"/>
    <w:p w14:paraId="0B79FBEA" w14:textId="77777777" w:rsidR="00857AD4" w:rsidRDefault="00857AD4" w:rsidP="00857AD4">
      <w:bookmarkStart w:id="15" w:name="_Hlk166677253"/>
      <w:r>
        <w:t>The JIAC Chair produces an annual report for the Police, Fire and Crime Panel which includes the latest Terms of References, areas of focus and an assessment of internal controls.  No significant issues were raised, with positive feedback in regard of the organisations’ approach to governance and internal controls.</w:t>
      </w:r>
    </w:p>
    <w:p w14:paraId="61C1F894" w14:textId="77777777" w:rsidR="00DC0056" w:rsidRPr="00DC0056" w:rsidRDefault="00DC0056" w:rsidP="00DC0056"/>
    <w:p w14:paraId="7C164168" w14:textId="77777777" w:rsidR="00780A38" w:rsidRDefault="00780A38">
      <w:pPr>
        <w:spacing w:after="160"/>
        <w:jc w:val="left"/>
      </w:pPr>
      <w:bookmarkStart w:id="16" w:name="_Hlk167266045"/>
      <w:bookmarkEnd w:id="15"/>
      <w:r>
        <w:br w:type="page"/>
      </w:r>
    </w:p>
    <w:p w14:paraId="696A24EC" w14:textId="40EA6AF6" w:rsidR="00DC0056" w:rsidRPr="00DC0056" w:rsidRDefault="00DC0056" w:rsidP="00DC0056">
      <w:r w:rsidRPr="00DC0056">
        <w:lastRenderedPageBreak/>
        <w:t>There were four JIAC meetings during the year, and workshops to go through all the draft 2023/24 Statement of Accounts in detail.  The four meetings considered the following across Fire and Police:</w:t>
      </w:r>
    </w:p>
    <w:p w14:paraId="281765CD" w14:textId="77777777" w:rsidR="00DC0056" w:rsidRPr="00DC0056" w:rsidRDefault="00DC0056" w:rsidP="00DC0056"/>
    <w:tbl>
      <w:tblPr>
        <w:tblStyle w:val="TableGrid"/>
        <w:tblW w:w="0" w:type="auto"/>
        <w:tblInd w:w="421" w:type="dxa"/>
        <w:tblLook w:val="04A0" w:firstRow="1" w:lastRow="0" w:firstColumn="1" w:lastColumn="0" w:noHBand="0" w:noVBand="1"/>
      </w:tblPr>
      <w:tblGrid>
        <w:gridCol w:w="1141"/>
        <w:gridCol w:w="5973"/>
        <w:gridCol w:w="754"/>
        <w:gridCol w:w="763"/>
      </w:tblGrid>
      <w:tr w:rsidR="00DC0056" w:rsidRPr="00DC0056" w14:paraId="313EA6AA" w14:textId="77777777" w:rsidTr="00DC0056">
        <w:tc>
          <w:tcPr>
            <w:tcW w:w="1114" w:type="dxa"/>
            <w:shd w:val="clear" w:color="auto" w:fill="C00000"/>
          </w:tcPr>
          <w:p w14:paraId="24A92AD0" w14:textId="77777777" w:rsidR="00DC0056" w:rsidRPr="00DC0056" w:rsidRDefault="00DC0056" w:rsidP="00DC0056">
            <w:pPr>
              <w:jc w:val="center"/>
              <w:rPr>
                <w:b/>
                <w:color w:val="FFFFFF" w:themeColor="background1"/>
              </w:rPr>
            </w:pPr>
            <w:r w:rsidRPr="00DC0056">
              <w:rPr>
                <w:b/>
                <w:color w:val="FFFFFF" w:themeColor="background1"/>
              </w:rPr>
              <w:t>JIAC Meeting</w:t>
            </w:r>
          </w:p>
          <w:p w14:paraId="08DC3007" w14:textId="77777777" w:rsidR="00DC0056" w:rsidRPr="00DC0056" w:rsidRDefault="00DC0056" w:rsidP="00DC0056">
            <w:pPr>
              <w:jc w:val="center"/>
              <w:rPr>
                <w:b/>
                <w:color w:val="FFFFFF" w:themeColor="background1"/>
              </w:rPr>
            </w:pPr>
          </w:p>
        </w:tc>
        <w:tc>
          <w:tcPr>
            <w:tcW w:w="5973" w:type="dxa"/>
            <w:shd w:val="clear" w:color="auto" w:fill="C00000"/>
          </w:tcPr>
          <w:p w14:paraId="022B3472" w14:textId="77777777" w:rsidR="00DC0056" w:rsidRPr="00DC0056" w:rsidRDefault="00DC0056" w:rsidP="00DC0056">
            <w:pPr>
              <w:jc w:val="center"/>
              <w:rPr>
                <w:b/>
                <w:color w:val="FFFFFF" w:themeColor="background1"/>
              </w:rPr>
            </w:pPr>
            <w:r w:rsidRPr="00DC0056">
              <w:rPr>
                <w:b/>
                <w:color w:val="FFFFFF" w:themeColor="background1"/>
              </w:rPr>
              <w:t>Areas Covered</w:t>
            </w:r>
          </w:p>
        </w:tc>
        <w:tc>
          <w:tcPr>
            <w:tcW w:w="754" w:type="dxa"/>
            <w:shd w:val="clear" w:color="auto" w:fill="C00000"/>
          </w:tcPr>
          <w:p w14:paraId="4E8799DC" w14:textId="77777777" w:rsidR="00DC0056" w:rsidRPr="00DC0056" w:rsidRDefault="00DC0056" w:rsidP="00DC0056">
            <w:pPr>
              <w:jc w:val="center"/>
              <w:rPr>
                <w:b/>
                <w:color w:val="FFFFFF" w:themeColor="background1"/>
              </w:rPr>
            </w:pPr>
            <w:r w:rsidRPr="00DC0056">
              <w:rPr>
                <w:b/>
                <w:color w:val="FFFFFF" w:themeColor="background1"/>
              </w:rPr>
              <w:t>Fire</w:t>
            </w:r>
          </w:p>
        </w:tc>
        <w:tc>
          <w:tcPr>
            <w:tcW w:w="754" w:type="dxa"/>
            <w:shd w:val="clear" w:color="auto" w:fill="C00000"/>
          </w:tcPr>
          <w:p w14:paraId="4326595A" w14:textId="77777777" w:rsidR="00DC0056" w:rsidRPr="00DC0056" w:rsidRDefault="00DC0056" w:rsidP="00DC0056">
            <w:pPr>
              <w:jc w:val="center"/>
              <w:rPr>
                <w:b/>
                <w:color w:val="FFFFFF" w:themeColor="background1"/>
              </w:rPr>
            </w:pPr>
            <w:r w:rsidRPr="00DC0056">
              <w:rPr>
                <w:b/>
                <w:color w:val="FFFFFF" w:themeColor="background1"/>
              </w:rPr>
              <w:t>Police</w:t>
            </w:r>
          </w:p>
        </w:tc>
      </w:tr>
      <w:tr w:rsidR="00DC0056" w:rsidRPr="00DC0056" w14:paraId="49D9C4CD" w14:textId="77777777" w:rsidTr="00DC0056">
        <w:tc>
          <w:tcPr>
            <w:tcW w:w="1114" w:type="dxa"/>
          </w:tcPr>
          <w:p w14:paraId="4B8CA0D9" w14:textId="77777777" w:rsidR="00DC0056" w:rsidRPr="00DC0056" w:rsidRDefault="00DC0056" w:rsidP="00DC0056">
            <w:r w:rsidRPr="00DC0056">
              <w:t>July</w:t>
            </w:r>
          </w:p>
          <w:p w14:paraId="6D037D8B" w14:textId="77777777" w:rsidR="00DC0056" w:rsidRPr="00DC0056" w:rsidRDefault="00DC0056" w:rsidP="00DC0056">
            <w:r w:rsidRPr="00DC0056">
              <w:t>2024</w:t>
            </w:r>
          </w:p>
        </w:tc>
        <w:tc>
          <w:tcPr>
            <w:tcW w:w="5973" w:type="dxa"/>
            <w:vAlign w:val="center"/>
          </w:tcPr>
          <w:p w14:paraId="39F44019" w14:textId="77777777" w:rsidR="00DC0056" w:rsidRPr="00DC0056" w:rsidRDefault="00DC0056" w:rsidP="00DC0056">
            <w:r w:rsidRPr="00DC0056">
              <w:t xml:space="preserve">Meeting of members with auditors without </w:t>
            </w:r>
            <w:proofErr w:type="gramStart"/>
            <w:r w:rsidRPr="00DC0056">
              <w:t>officers</w:t>
            </w:r>
            <w:proofErr w:type="gramEnd"/>
            <w:r w:rsidRPr="00DC0056">
              <w:t xml:space="preserve"> present</w:t>
            </w:r>
          </w:p>
          <w:p w14:paraId="6A4BC9A2" w14:textId="77777777" w:rsidR="00DC0056" w:rsidRPr="00DC0056" w:rsidRDefault="00DC0056" w:rsidP="00DC0056">
            <w:r w:rsidRPr="00DC0056">
              <w:t xml:space="preserve">Annual Report of the JIAC and Terms of Reference Review </w:t>
            </w:r>
          </w:p>
          <w:p w14:paraId="788341C9" w14:textId="77777777" w:rsidR="00DC0056" w:rsidRPr="00DC0056" w:rsidRDefault="00DC0056" w:rsidP="00DC0056">
            <w:r w:rsidRPr="00DC0056">
              <w:t>External Audit Update</w:t>
            </w:r>
          </w:p>
          <w:p w14:paraId="5E7FB879" w14:textId="77777777" w:rsidR="00DC0056" w:rsidRPr="00DC0056" w:rsidRDefault="00DC0056" w:rsidP="00DC0056">
            <w:r w:rsidRPr="00DC0056">
              <w:t>Internal Audit Annual Report 2023/24</w:t>
            </w:r>
          </w:p>
          <w:p w14:paraId="64D4EEEB" w14:textId="77777777" w:rsidR="00DC0056" w:rsidRPr="00DC0056" w:rsidRDefault="00DC0056" w:rsidP="00DC0056">
            <w:r w:rsidRPr="00DC0056">
              <w:t>Internal Audit Progress Report 2024/25</w:t>
            </w:r>
          </w:p>
          <w:p w14:paraId="57DE9BF7" w14:textId="77777777" w:rsidR="00DC0056" w:rsidRPr="00DC0056" w:rsidRDefault="00DC0056" w:rsidP="00DC0056">
            <w:r w:rsidRPr="00DC0056">
              <w:t>Internal Audit progress against recommendations update</w:t>
            </w:r>
          </w:p>
          <w:p w14:paraId="12123078" w14:textId="77777777" w:rsidR="00DC0056" w:rsidRPr="00DC0056" w:rsidRDefault="00DC0056" w:rsidP="00DC0056">
            <w:r w:rsidRPr="00DC0056">
              <w:t xml:space="preserve">HMICFRS Update </w:t>
            </w:r>
          </w:p>
          <w:p w14:paraId="5EDA27FC" w14:textId="77777777" w:rsidR="00DC0056" w:rsidRPr="00DC0056" w:rsidRDefault="00DC0056" w:rsidP="00DC0056">
            <w:r w:rsidRPr="00DC0056">
              <w:t>Disaster Recovery Update</w:t>
            </w:r>
          </w:p>
          <w:p w14:paraId="723CD7D2" w14:textId="77777777" w:rsidR="00DC0056" w:rsidRPr="00DC0056" w:rsidRDefault="00DC0056" w:rsidP="00DC0056">
            <w:r w:rsidRPr="00DC0056">
              <w:t xml:space="preserve">System Implementation Update </w:t>
            </w:r>
          </w:p>
          <w:p w14:paraId="233074FF" w14:textId="77777777" w:rsidR="00DC0056" w:rsidRPr="00DC0056" w:rsidRDefault="00DC0056" w:rsidP="00DC0056">
            <w:r w:rsidRPr="00DC0056">
              <w:t>NFRS Audit Update – Restricted</w:t>
            </w:r>
          </w:p>
        </w:tc>
        <w:tc>
          <w:tcPr>
            <w:tcW w:w="754" w:type="dxa"/>
            <w:vAlign w:val="center"/>
          </w:tcPr>
          <w:p w14:paraId="15052F15" w14:textId="77777777" w:rsidR="00DC0056" w:rsidRPr="00DC0056" w:rsidRDefault="00DC0056" w:rsidP="00DC0056">
            <w:pPr>
              <w:jc w:val="center"/>
            </w:pPr>
            <w:r w:rsidRPr="00DC0056">
              <w:t>Y</w:t>
            </w:r>
          </w:p>
          <w:p w14:paraId="02EC074F" w14:textId="77777777" w:rsidR="00DC0056" w:rsidRPr="00DC0056" w:rsidRDefault="00DC0056" w:rsidP="00DC0056">
            <w:pPr>
              <w:jc w:val="center"/>
            </w:pPr>
            <w:r w:rsidRPr="00DC0056">
              <w:t>Y</w:t>
            </w:r>
          </w:p>
          <w:p w14:paraId="33E10A89" w14:textId="77777777" w:rsidR="00DC0056" w:rsidRPr="00DC0056" w:rsidRDefault="00DC0056" w:rsidP="00DC0056">
            <w:pPr>
              <w:jc w:val="center"/>
            </w:pPr>
            <w:r w:rsidRPr="00DC0056">
              <w:t>Y</w:t>
            </w:r>
          </w:p>
          <w:p w14:paraId="5B5E0363" w14:textId="77777777" w:rsidR="00DC0056" w:rsidRPr="00DC0056" w:rsidRDefault="00DC0056" w:rsidP="00DC0056">
            <w:pPr>
              <w:jc w:val="center"/>
            </w:pPr>
            <w:r w:rsidRPr="00DC0056">
              <w:t>Y</w:t>
            </w:r>
          </w:p>
          <w:p w14:paraId="40B4C0BC" w14:textId="77777777" w:rsidR="00DC0056" w:rsidRPr="00DC0056" w:rsidRDefault="00DC0056" w:rsidP="00DC0056">
            <w:pPr>
              <w:jc w:val="center"/>
            </w:pPr>
            <w:r w:rsidRPr="00DC0056">
              <w:t>Y</w:t>
            </w:r>
          </w:p>
          <w:p w14:paraId="7152C8FB" w14:textId="77777777" w:rsidR="00DC0056" w:rsidRPr="00DC0056" w:rsidRDefault="00DC0056" w:rsidP="00DC0056">
            <w:pPr>
              <w:jc w:val="center"/>
            </w:pPr>
            <w:r w:rsidRPr="00DC0056">
              <w:t>Y</w:t>
            </w:r>
          </w:p>
          <w:p w14:paraId="0FF5397A" w14:textId="77777777" w:rsidR="00DC0056" w:rsidRPr="00DC0056" w:rsidRDefault="00DC0056" w:rsidP="00DC0056">
            <w:pPr>
              <w:jc w:val="center"/>
            </w:pPr>
            <w:r w:rsidRPr="00DC0056">
              <w:t>Y</w:t>
            </w:r>
          </w:p>
          <w:p w14:paraId="4DAAAD33" w14:textId="77777777" w:rsidR="00DC0056" w:rsidRPr="00DC0056" w:rsidRDefault="00DC0056" w:rsidP="00DC0056">
            <w:pPr>
              <w:jc w:val="center"/>
            </w:pPr>
            <w:r w:rsidRPr="00DC0056">
              <w:t>Y</w:t>
            </w:r>
          </w:p>
          <w:p w14:paraId="27C359FE" w14:textId="77777777" w:rsidR="00DC0056" w:rsidRPr="00DC0056" w:rsidRDefault="00DC0056" w:rsidP="00DC0056">
            <w:pPr>
              <w:jc w:val="center"/>
            </w:pPr>
            <w:r w:rsidRPr="00DC0056">
              <w:t>Y</w:t>
            </w:r>
          </w:p>
          <w:p w14:paraId="0C601E4C" w14:textId="77777777" w:rsidR="00DC0056" w:rsidRPr="00DC0056" w:rsidRDefault="00DC0056" w:rsidP="00DC0056">
            <w:pPr>
              <w:jc w:val="center"/>
            </w:pPr>
            <w:r w:rsidRPr="00DC0056">
              <w:t>Y</w:t>
            </w:r>
          </w:p>
        </w:tc>
        <w:tc>
          <w:tcPr>
            <w:tcW w:w="754" w:type="dxa"/>
            <w:vAlign w:val="center"/>
          </w:tcPr>
          <w:p w14:paraId="5E7705DA" w14:textId="77777777" w:rsidR="00DC0056" w:rsidRPr="00DC0056" w:rsidRDefault="00DC0056" w:rsidP="00DC0056">
            <w:pPr>
              <w:jc w:val="center"/>
            </w:pPr>
            <w:r w:rsidRPr="00DC0056">
              <w:t>Y</w:t>
            </w:r>
          </w:p>
          <w:p w14:paraId="17285789" w14:textId="77777777" w:rsidR="00DC0056" w:rsidRPr="00DC0056" w:rsidRDefault="00DC0056" w:rsidP="00DC0056">
            <w:pPr>
              <w:jc w:val="center"/>
            </w:pPr>
            <w:r w:rsidRPr="00DC0056">
              <w:t>Y</w:t>
            </w:r>
          </w:p>
          <w:p w14:paraId="01B2E65C" w14:textId="77777777" w:rsidR="00DC0056" w:rsidRPr="00DC0056" w:rsidRDefault="00DC0056" w:rsidP="00DC0056">
            <w:pPr>
              <w:jc w:val="center"/>
            </w:pPr>
            <w:r w:rsidRPr="00DC0056">
              <w:t>Y</w:t>
            </w:r>
          </w:p>
          <w:p w14:paraId="473C04C1" w14:textId="77777777" w:rsidR="00DC0056" w:rsidRPr="00DC0056" w:rsidRDefault="00DC0056" w:rsidP="00DC0056">
            <w:pPr>
              <w:jc w:val="center"/>
            </w:pPr>
            <w:r w:rsidRPr="00DC0056">
              <w:t>Y</w:t>
            </w:r>
          </w:p>
          <w:p w14:paraId="648F35D5" w14:textId="77777777" w:rsidR="00DC0056" w:rsidRPr="00DC0056" w:rsidRDefault="00DC0056" w:rsidP="00DC0056">
            <w:pPr>
              <w:jc w:val="center"/>
            </w:pPr>
            <w:r w:rsidRPr="00DC0056">
              <w:t>Y</w:t>
            </w:r>
          </w:p>
          <w:p w14:paraId="6511156D" w14:textId="77777777" w:rsidR="00DC0056" w:rsidRPr="00DC0056" w:rsidRDefault="00DC0056" w:rsidP="00DC0056">
            <w:pPr>
              <w:jc w:val="center"/>
            </w:pPr>
            <w:r w:rsidRPr="00DC0056">
              <w:t>-</w:t>
            </w:r>
          </w:p>
          <w:p w14:paraId="5B6FE9C3" w14:textId="77777777" w:rsidR="00DC0056" w:rsidRPr="00DC0056" w:rsidRDefault="00DC0056" w:rsidP="00DC0056">
            <w:pPr>
              <w:jc w:val="center"/>
            </w:pPr>
            <w:r w:rsidRPr="00DC0056">
              <w:t>Y</w:t>
            </w:r>
          </w:p>
          <w:p w14:paraId="6F67BEA5" w14:textId="77777777" w:rsidR="00DC0056" w:rsidRPr="00DC0056" w:rsidRDefault="00DC0056" w:rsidP="00DC0056">
            <w:pPr>
              <w:jc w:val="center"/>
            </w:pPr>
            <w:r w:rsidRPr="00DC0056">
              <w:t>Y</w:t>
            </w:r>
          </w:p>
          <w:p w14:paraId="7A09B3DA" w14:textId="77777777" w:rsidR="00DC0056" w:rsidRPr="00DC0056" w:rsidRDefault="00DC0056" w:rsidP="00DC0056">
            <w:pPr>
              <w:jc w:val="center"/>
            </w:pPr>
            <w:r w:rsidRPr="00DC0056">
              <w:t>Y</w:t>
            </w:r>
          </w:p>
          <w:p w14:paraId="6145B265" w14:textId="77777777" w:rsidR="00DC0056" w:rsidRPr="00DC0056" w:rsidRDefault="00DC0056" w:rsidP="00DC0056">
            <w:pPr>
              <w:jc w:val="center"/>
            </w:pPr>
            <w:r w:rsidRPr="00DC0056">
              <w:t>-</w:t>
            </w:r>
          </w:p>
        </w:tc>
      </w:tr>
      <w:tr w:rsidR="00DC0056" w:rsidRPr="00DC0056" w14:paraId="7357AB91" w14:textId="77777777" w:rsidTr="00DC0056">
        <w:tc>
          <w:tcPr>
            <w:tcW w:w="1114" w:type="dxa"/>
          </w:tcPr>
          <w:p w14:paraId="425FCCD5" w14:textId="77777777" w:rsidR="00DC0056" w:rsidRPr="00DC0056" w:rsidRDefault="00DC0056" w:rsidP="00DC0056">
            <w:r w:rsidRPr="00DC0056">
              <w:t xml:space="preserve">October </w:t>
            </w:r>
          </w:p>
          <w:p w14:paraId="7041D17B" w14:textId="77777777" w:rsidR="00DC0056" w:rsidRPr="00DC0056" w:rsidRDefault="00DC0056" w:rsidP="00DC0056">
            <w:pPr>
              <w:rPr>
                <w:highlight w:val="yellow"/>
              </w:rPr>
            </w:pPr>
            <w:r w:rsidRPr="00DC0056">
              <w:t>2024</w:t>
            </w:r>
          </w:p>
        </w:tc>
        <w:tc>
          <w:tcPr>
            <w:tcW w:w="5973" w:type="dxa"/>
            <w:vAlign w:val="center"/>
          </w:tcPr>
          <w:p w14:paraId="280E4E2D" w14:textId="77777777" w:rsidR="00DC0056" w:rsidRPr="00DC0056" w:rsidRDefault="00DC0056" w:rsidP="00DC0056">
            <w:r w:rsidRPr="00DC0056">
              <w:t>External Audit Update</w:t>
            </w:r>
          </w:p>
          <w:p w14:paraId="47D9DCCE" w14:textId="77777777" w:rsidR="00DC0056" w:rsidRPr="00DC0056" w:rsidRDefault="00DC0056" w:rsidP="00DC0056">
            <w:r w:rsidRPr="00DC0056">
              <w:t>Internal Audit Progress Report 2024/25</w:t>
            </w:r>
          </w:p>
          <w:p w14:paraId="0BF8971E" w14:textId="77777777" w:rsidR="00DC0056" w:rsidRPr="00DC0056" w:rsidRDefault="00DC0056" w:rsidP="00DC0056">
            <w:r w:rsidRPr="00DC0056">
              <w:t>Internal Audit progress against recommendations update</w:t>
            </w:r>
          </w:p>
          <w:p w14:paraId="5ACA09ED" w14:textId="77777777" w:rsidR="00DC0056" w:rsidRPr="00DC0056" w:rsidRDefault="00DC0056" w:rsidP="00DC0056">
            <w:r w:rsidRPr="00DC0056">
              <w:t>HMICFRS Update</w:t>
            </w:r>
          </w:p>
          <w:p w14:paraId="13EBB380" w14:textId="77777777" w:rsidR="00DC0056" w:rsidRPr="00DC0056" w:rsidRDefault="00DC0056" w:rsidP="00DC0056">
            <w:r w:rsidRPr="00DC0056">
              <w:t>Anti-Fraud and Corruption Processes</w:t>
            </w:r>
          </w:p>
          <w:p w14:paraId="5451E647" w14:textId="77777777" w:rsidR="00DC0056" w:rsidRPr="00DC0056" w:rsidRDefault="00DC0056" w:rsidP="00DC0056">
            <w:r w:rsidRPr="00DC0056">
              <w:t>2025/26 Budget and MTFP Processes, Plan and Timetable</w:t>
            </w:r>
          </w:p>
          <w:p w14:paraId="64FC1525" w14:textId="77777777" w:rsidR="00DC0056" w:rsidRPr="00DC0056" w:rsidRDefault="00DC0056" w:rsidP="00DC0056">
            <w:r w:rsidRPr="00DC0056">
              <w:t>OPFCC Risk Register Update</w:t>
            </w:r>
          </w:p>
        </w:tc>
        <w:tc>
          <w:tcPr>
            <w:tcW w:w="754" w:type="dxa"/>
            <w:vAlign w:val="center"/>
          </w:tcPr>
          <w:p w14:paraId="35C4271A" w14:textId="77777777" w:rsidR="00DC0056" w:rsidRPr="00DC0056" w:rsidRDefault="00DC0056" w:rsidP="00DC0056">
            <w:pPr>
              <w:jc w:val="center"/>
            </w:pPr>
            <w:r w:rsidRPr="00DC0056">
              <w:t>Y</w:t>
            </w:r>
          </w:p>
          <w:p w14:paraId="411CD12F" w14:textId="77777777" w:rsidR="00DC0056" w:rsidRPr="00DC0056" w:rsidRDefault="00DC0056" w:rsidP="00DC0056">
            <w:pPr>
              <w:jc w:val="center"/>
            </w:pPr>
            <w:r w:rsidRPr="00DC0056">
              <w:t>Y</w:t>
            </w:r>
          </w:p>
          <w:p w14:paraId="0991CF85" w14:textId="77777777" w:rsidR="00DC0056" w:rsidRPr="00DC0056" w:rsidRDefault="00DC0056" w:rsidP="00DC0056">
            <w:pPr>
              <w:jc w:val="center"/>
            </w:pPr>
            <w:r w:rsidRPr="00DC0056">
              <w:t>-</w:t>
            </w:r>
          </w:p>
          <w:p w14:paraId="39D2D3D2" w14:textId="77777777" w:rsidR="00DC0056" w:rsidRPr="00DC0056" w:rsidRDefault="00DC0056" w:rsidP="00DC0056">
            <w:pPr>
              <w:jc w:val="center"/>
            </w:pPr>
            <w:r w:rsidRPr="00DC0056">
              <w:t>-</w:t>
            </w:r>
          </w:p>
          <w:p w14:paraId="6814E319" w14:textId="77777777" w:rsidR="00DC0056" w:rsidRPr="00DC0056" w:rsidRDefault="00DC0056" w:rsidP="00DC0056">
            <w:pPr>
              <w:jc w:val="center"/>
            </w:pPr>
            <w:r w:rsidRPr="00DC0056">
              <w:t>Y</w:t>
            </w:r>
          </w:p>
          <w:p w14:paraId="04591EB0" w14:textId="77777777" w:rsidR="00DC0056" w:rsidRPr="00DC0056" w:rsidRDefault="00DC0056" w:rsidP="00DC0056">
            <w:pPr>
              <w:jc w:val="center"/>
            </w:pPr>
            <w:r w:rsidRPr="00DC0056">
              <w:t>Y</w:t>
            </w:r>
          </w:p>
          <w:p w14:paraId="69FAE8ED" w14:textId="77777777" w:rsidR="00DC0056" w:rsidRPr="00DC0056" w:rsidRDefault="00DC0056" w:rsidP="00DC0056">
            <w:pPr>
              <w:jc w:val="center"/>
            </w:pPr>
            <w:r w:rsidRPr="00DC0056">
              <w:t>-</w:t>
            </w:r>
          </w:p>
        </w:tc>
        <w:tc>
          <w:tcPr>
            <w:tcW w:w="754" w:type="dxa"/>
            <w:vAlign w:val="center"/>
          </w:tcPr>
          <w:p w14:paraId="59C6C5A1" w14:textId="77777777" w:rsidR="00DC0056" w:rsidRPr="00DC0056" w:rsidRDefault="00DC0056" w:rsidP="00DC0056">
            <w:pPr>
              <w:jc w:val="center"/>
            </w:pPr>
            <w:r w:rsidRPr="00DC0056">
              <w:t>Y</w:t>
            </w:r>
          </w:p>
          <w:p w14:paraId="3998A328" w14:textId="77777777" w:rsidR="00DC0056" w:rsidRPr="00DC0056" w:rsidRDefault="00DC0056" w:rsidP="00DC0056">
            <w:pPr>
              <w:jc w:val="center"/>
            </w:pPr>
            <w:r w:rsidRPr="00DC0056">
              <w:t>Y</w:t>
            </w:r>
          </w:p>
          <w:p w14:paraId="2FB7FE10" w14:textId="77777777" w:rsidR="00DC0056" w:rsidRPr="00DC0056" w:rsidRDefault="00DC0056" w:rsidP="00DC0056">
            <w:pPr>
              <w:jc w:val="center"/>
            </w:pPr>
            <w:r w:rsidRPr="00DC0056">
              <w:t>Y</w:t>
            </w:r>
          </w:p>
          <w:p w14:paraId="409A7F0F" w14:textId="77777777" w:rsidR="00DC0056" w:rsidRPr="00DC0056" w:rsidRDefault="00DC0056" w:rsidP="00DC0056">
            <w:pPr>
              <w:jc w:val="center"/>
            </w:pPr>
            <w:r w:rsidRPr="00DC0056">
              <w:t>Y</w:t>
            </w:r>
          </w:p>
          <w:p w14:paraId="020934B9" w14:textId="77777777" w:rsidR="00DC0056" w:rsidRPr="00DC0056" w:rsidRDefault="00DC0056" w:rsidP="00DC0056">
            <w:pPr>
              <w:jc w:val="center"/>
            </w:pPr>
            <w:r w:rsidRPr="00DC0056">
              <w:t>-</w:t>
            </w:r>
          </w:p>
          <w:p w14:paraId="3638619E" w14:textId="77777777" w:rsidR="00DC0056" w:rsidRPr="00DC0056" w:rsidRDefault="00DC0056" w:rsidP="00DC0056">
            <w:pPr>
              <w:jc w:val="center"/>
            </w:pPr>
            <w:r w:rsidRPr="00DC0056">
              <w:t>Y</w:t>
            </w:r>
          </w:p>
          <w:p w14:paraId="2C05BE06" w14:textId="77777777" w:rsidR="00DC0056" w:rsidRPr="00DC0056" w:rsidRDefault="00DC0056" w:rsidP="00DC0056">
            <w:pPr>
              <w:jc w:val="center"/>
            </w:pPr>
            <w:r w:rsidRPr="00DC0056">
              <w:t>Y</w:t>
            </w:r>
          </w:p>
        </w:tc>
      </w:tr>
      <w:tr w:rsidR="00DC0056" w:rsidRPr="00DC0056" w14:paraId="3F942069" w14:textId="77777777" w:rsidTr="00DC0056">
        <w:tc>
          <w:tcPr>
            <w:tcW w:w="1114" w:type="dxa"/>
          </w:tcPr>
          <w:p w14:paraId="055DCD25" w14:textId="77777777" w:rsidR="00DC0056" w:rsidRPr="00DC0056" w:rsidRDefault="00DC0056" w:rsidP="00DC0056">
            <w:r w:rsidRPr="00DC0056">
              <w:t xml:space="preserve">December </w:t>
            </w:r>
          </w:p>
          <w:p w14:paraId="7A93B478" w14:textId="77777777" w:rsidR="00DC0056" w:rsidRPr="00DC0056" w:rsidRDefault="00DC0056" w:rsidP="00DC0056">
            <w:pPr>
              <w:rPr>
                <w:highlight w:val="yellow"/>
              </w:rPr>
            </w:pPr>
            <w:r w:rsidRPr="00DC0056">
              <w:t>2024</w:t>
            </w:r>
          </w:p>
        </w:tc>
        <w:tc>
          <w:tcPr>
            <w:tcW w:w="5973" w:type="dxa"/>
            <w:vAlign w:val="center"/>
          </w:tcPr>
          <w:p w14:paraId="0F7F49FF" w14:textId="77777777" w:rsidR="00DC0056" w:rsidRPr="00DC0056" w:rsidRDefault="00DC0056" w:rsidP="00DC0056">
            <w:r w:rsidRPr="00DC0056">
              <w:t>External Audit Update</w:t>
            </w:r>
          </w:p>
          <w:p w14:paraId="21466C6B" w14:textId="77777777" w:rsidR="00DC0056" w:rsidRPr="00DC0056" w:rsidRDefault="00DC0056" w:rsidP="00DC0056">
            <w:r w:rsidRPr="00DC0056">
              <w:t>Internal Audit Progress Report 2024/25</w:t>
            </w:r>
          </w:p>
          <w:p w14:paraId="25BA01DD" w14:textId="77777777" w:rsidR="00DC0056" w:rsidRPr="00DC0056" w:rsidRDefault="00DC0056" w:rsidP="00DC0056">
            <w:r w:rsidRPr="00DC0056">
              <w:t>Internal Audit progress against recommendations update</w:t>
            </w:r>
          </w:p>
          <w:p w14:paraId="6BE64F94" w14:textId="77777777" w:rsidR="00DC0056" w:rsidRPr="00DC0056" w:rsidRDefault="00DC0056" w:rsidP="00DC0056">
            <w:r w:rsidRPr="00DC0056">
              <w:t>HMICFRS Update</w:t>
            </w:r>
          </w:p>
          <w:p w14:paraId="7D87C7DD" w14:textId="77777777" w:rsidR="00DC0056" w:rsidRPr="00DC0056" w:rsidRDefault="00DC0056" w:rsidP="00DC0056">
            <w:r w:rsidRPr="00DC0056">
              <w:t>Risk Register Update</w:t>
            </w:r>
          </w:p>
          <w:p w14:paraId="5D0B6717" w14:textId="77777777" w:rsidR="00DC0056" w:rsidRPr="00DC0056" w:rsidRDefault="00DC0056" w:rsidP="00DC0056">
            <w:r w:rsidRPr="00DC0056">
              <w:t>Anti-Fraud and Corruption Processes</w:t>
            </w:r>
          </w:p>
          <w:p w14:paraId="197EB64C" w14:textId="77777777" w:rsidR="00DC0056" w:rsidRPr="00DC0056" w:rsidRDefault="00DC0056" w:rsidP="00DC0056">
            <w:r w:rsidRPr="00DC0056">
              <w:t>Complaints Procedure</w:t>
            </w:r>
          </w:p>
          <w:p w14:paraId="2D244C64" w14:textId="77777777" w:rsidR="00DC0056" w:rsidRPr="00DC0056" w:rsidRDefault="00DC0056" w:rsidP="00DC0056">
            <w:r w:rsidRPr="00DC0056">
              <w:t>Chief Constable Recruitment Update</w:t>
            </w:r>
          </w:p>
          <w:p w14:paraId="64935671" w14:textId="77777777" w:rsidR="00DC0056" w:rsidRPr="00DC0056" w:rsidRDefault="00DC0056" w:rsidP="00DC0056">
            <w:r w:rsidRPr="00DC0056">
              <w:t>Disaster Recovery and Cyber Update</w:t>
            </w:r>
          </w:p>
        </w:tc>
        <w:tc>
          <w:tcPr>
            <w:tcW w:w="754" w:type="dxa"/>
            <w:vAlign w:val="center"/>
          </w:tcPr>
          <w:p w14:paraId="03681D26" w14:textId="77777777" w:rsidR="00DC0056" w:rsidRPr="00DC0056" w:rsidRDefault="00DC0056" w:rsidP="00DC0056">
            <w:pPr>
              <w:jc w:val="center"/>
            </w:pPr>
            <w:r w:rsidRPr="00DC0056">
              <w:t>Y</w:t>
            </w:r>
          </w:p>
          <w:p w14:paraId="4C32E417" w14:textId="77777777" w:rsidR="00DC0056" w:rsidRPr="00DC0056" w:rsidRDefault="00DC0056" w:rsidP="00DC0056">
            <w:pPr>
              <w:jc w:val="center"/>
            </w:pPr>
            <w:r w:rsidRPr="00DC0056">
              <w:t>Y</w:t>
            </w:r>
          </w:p>
          <w:p w14:paraId="5765236A" w14:textId="77777777" w:rsidR="00DC0056" w:rsidRPr="00DC0056" w:rsidRDefault="00DC0056" w:rsidP="00DC0056">
            <w:pPr>
              <w:jc w:val="center"/>
            </w:pPr>
            <w:r w:rsidRPr="00DC0056">
              <w:t>Y</w:t>
            </w:r>
          </w:p>
          <w:p w14:paraId="5E0C8A46" w14:textId="77777777" w:rsidR="00DC0056" w:rsidRPr="00DC0056" w:rsidRDefault="00DC0056" w:rsidP="00DC0056">
            <w:pPr>
              <w:jc w:val="center"/>
            </w:pPr>
            <w:r w:rsidRPr="00DC0056">
              <w:t>Y</w:t>
            </w:r>
          </w:p>
          <w:p w14:paraId="2221876F" w14:textId="77777777" w:rsidR="00DC0056" w:rsidRPr="00DC0056" w:rsidRDefault="00DC0056" w:rsidP="00DC0056">
            <w:pPr>
              <w:jc w:val="center"/>
            </w:pPr>
            <w:r w:rsidRPr="00DC0056">
              <w:t>-</w:t>
            </w:r>
          </w:p>
          <w:p w14:paraId="7B55654B" w14:textId="77777777" w:rsidR="00DC0056" w:rsidRPr="00DC0056" w:rsidRDefault="00DC0056" w:rsidP="00DC0056">
            <w:pPr>
              <w:jc w:val="center"/>
            </w:pPr>
            <w:r w:rsidRPr="00DC0056">
              <w:t>-</w:t>
            </w:r>
          </w:p>
          <w:p w14:paraId="161BE263" w14:textId="77777777" w:rsidR="00DC0056" w:rsidRPr="00DC0056" w:rsidRDefault="00DC0056" w:rsidP="00DC0056">
            <w:pPr>
              <w:jc w:val="center"/>
            </w:pPr>
            <w:r w:rsidRPr="00DC0056">
              <w:t>Y</w:t>
            </w:r>
          </w:p>
          <w:p w14:paraId="46C8B86C" w14:textId="77777777" w:rsidR="00DC0056" w:rsidRPr="00DC0056" w:rsidRDefault="00DC0056" w:rsidP="00DC0056">
            <w:pPr>
              <w:jc w:val="center"/>
            </w:pPr>
            <w:r w:rsidRPr="00DC0056">
              <w:t>-</w:t>
            </w:r>
          </w:p>
          <w:p w14:paraId="1D57D384" w14:textId="77777777" w:rsidR="00DC0056" w:rsidRPr="00DC0056" w:rsidRDefault="00DC0056" w:rsidP="00DC0056">
            <w:pPr>
              <w:jc w:val="center"/>
            </w:pPr>
            <w:r w:rsidRPr="00DC0056">
              <w:t>Y</w:t>
            </w:r>
          </w:p>
        </w:tc>
        <w:tc>
          <w:tcPr>
            <w:tcW w:w="754" w:type="dxa"/>
            <w:vAlign w:val="center"/>
          </w:tcPr>
          <w:p w14:paraId="4D5A1EFB" w14:textId="77777777" w:rsidR="00DC0056" w:rsidRPr="00DC0056" w:rsidRDefault="00DC0056" w:rsidP="00DC0056">
            <w:pPr>
              <w:jc w:val="center"/>
            </w:pPr>
            <w:r w:rsidRPr="00DC0056">
              <w:t>Y</w:t>
            </w:r>
          </w:p>
          <w:p w14:paraId="15636D96" w14:textId="77777777" w:rsidR="00DC0056" w:rsidRPr="00DC0056" w:rsidRDefault="00DC0056" w:rsidP="00DC0056">
            <w:pPr>
              <w:jc w:val="center"/>
            </w:pPr>
            <w:r w:rsidRPr="00DC0056">
              <w:t>Y</w:t>
            </w:r>
          </w:p>
          <w:p w14:paraId="226FC446" w14:textId="77777777" w:rsidR="00DC0056" w:rsidRPr="00DC0056" w:rsidRDefault="00DC0056" w:rsidP="00DC0056">
            <w:pPr>
              <w:jc w:val="center"/>
            </w:pPr>
            <w:r w:rsidRPr="00DC0056">
              <w:t>-</w:t>
            </w:r>
          </w:p>
          <w:p w14:paraId="34C96E6C" w14:textId="77777777" w:rsidR="00DC0056" w:rsidRPr="00DC0056" w:rsidRDefault="00DC0056" w:rsidP="00DC0056">
            <w:pPr>
              <w:jc w:val="center"/>
            </w:pPr>
            <w:r w:rsidRPr="00DC0056">
              <w:t>-</w:t>
            </w:r>
          </w:p>
          <w:p w14:paraId="2E9DF988" w14:textId="77777777" w:rsidR="00DC0056" w:rsidRPr="00DC0056" w:rsidRDefault="00DC0056" w:rsidP="00DC0056">
            <w:pPr>
              <w:jc w:val="center"/>
            </w:pPr>
            <w:r w:rsidRPr="00DC0056">
              <w:t>Y</w:t>
            </w:r>
          </w:p>
          <w:p w14:paraId="7D7A9724" w14:textId="77777777" w:rsidR="00DC0056" w:rsidRPr="00DC0056" w:rsidRDefault="00DC0056" w:rsidP="00DC0056">
            <w:pPr>
              <w:jc w:val="center"/>
            </w:pPr>
            <w:r w:rsidRPr="00DC0056">
              <w:t>Y</w:t>
            </w:r>
          </w:p>
          <w:p w14:paraId="63053DE2" w14:textId="77777777" w:rsidR="00DC0056" w:rsidRPr="00DC0056" w:rsidRDefault="00DC0056" w:rsidP="00DC0056">
            <w:pPr>
              <w:jc w:val="center"/>
            </w:pPr>
            <w:r w:rsidRPr="00DC0056">
              <w:t>Y</w:t>
            </w:r>
          </w:p>
          <w:p w14:paraId="5B23E00A" w14:textId="77777777" w:rsidR="00DC0056" w:rsidRPr="00DC0056" w:rsidRDefault="00DC0056" w:rsidP="00DC0056">
            <w:pPr>
              <w:jc w:val="center"/>
            </w:pPr>
            <w:r w:rsidRPr="00DC0056">
              <w:t>Y</w:t>
            </w:r>
          </w:p>
          <w:p w14:paraId="0A56D0C7" w14:textId="77777777" w:rsidR="00DC0056" w:rsidRPr="00DC0056" w:rsidRDefault="00DC0056" w:rsidP="00DC0056">
            <w:pPr>
              <w:jc w:val="center"/>
            </w:pPr>
            <w:r w:rsidRPr="00DC0056">
              <w:t>Y</w:t>
            </w:r>
          </w:p>
        </w:tc>
      </w:tr>
      <w:tr w:rsidR="00DC0056" w:rsidRPr="00DC0056" w14:paraId="7D7B3B01" w14:textId="77777777" w:rsidTr="00DC0056">
        <w:tc>
          <w:tcPr>
            <w:tcW w:w="1114" w:type="dxa"/>
          </w:tcPr>
          <w:p w14:paraId="30AC25E0" w14:textId="77777777" w:rsidR="00DC0056" w:rsidRPr="00DC0056" w:rsidRDefault="00DC0056" w:rsidP="00DC0056">
            <w:r w:rsidRPr="00DC0056">
              <w:t>March 2025</w:t>
            </w:r>
          </w:p>
        </w:tc>
        <w:tc>
          <w:tcPr>
            <w:tcW w:w="5973" w:type="dxa"/>
            <w:vAlign w:val="center"/>
          </w:tcPr>
          <w:p w14:paraId="5735D206" w14:textId="77777777" w:rsidR="00DC0056" w:rsidRPr="00DC0056" w:rsidRDefault="00DC0056" w:rsidP="00DC0056">
            <w:r w:rsidRPr="00DC0056">
              <w:t>External Audit Update</w:t>
            </w:r>
          </w:p>
          <w:p w14:paraId="46C70D3E" w14:textId="77777777" w:rsidR="00DC0056" w:rsidRPr="00DC0056" w:rsidRDefault="00DC0056" w:rsidP="00DC0056">
            <w:r w:rsidRPr="00DC0056">
              <w:t>Internal Audit Progress Report 2024/25</w:t>
            </w:r>
          </w:p>
          <w:p w14:paraId="5D53CDED" w14:textId="77777777" w:rsidR="00DC0056" w:rsidRPr="00DC0056" w:rsidRDefault="00DC0056" w:rsidP="00DC0056">
            <w:r w:rsidRPr="00DC0056">
              <w:t>Internal Audit Plan 2025/26</w:t>
            </w:r>
          </w:p>
          <w:p w14:paraId="730FE518" w14:textId="77777777" w:rsidR="00DC0056" w:rsidRPr="00DC0056" w:rsidRDefault="00DC0056" w:rsidP="00DC0056">
            <w:r w:rsidRPr="00DC0056">
              <w:t>Internal Audit progress against recommendations update</w:t>
            </w:r>
          </w:p>
          <w:p w14:paraId="43D4CE6B" w14:textId="77777777" w:rsidR="00DC0056" w:rsidRPr="00DC0056" w:rsidRDefault="00DC0056" w:rsidP="00DC0056">
            <w:r w:rsidRPr="00DC0056">
              <w:t>HMICFRS Update</w:t>
            </w:r>
          </w:p>
          <w:p w14:paraId="55FFACB8" w14:textId="77777777" w:rsidR="00DC0056" w:rsidRPr="00DC0056" w:rsidRDefault="00DC0056" w:rsidP="00DC0056">
            <w:r w:rsidRPr="00DC0056">
              <w:t>Risk Register Update</w:t>
            </w:r>
          </w:p>
          <w:p w14:paraId="4C92047B" w14:textId="77777777" w:rsidR="00DC0056" w:rsidRPr="00DC0056" w:rsidRDefault="00DC0056" w:rsidP="00DC0056">
            <w:r w:rsidRPr="00DC0056">
              <w:t>2025/26 Treasury Management Strategy</w:t>
            </w:r>
          </w:p>
        </w:tc>
        <w:tc>
          <w:tcPr>
            <w:tcW w:w="754" w:type="dxa"/>
            <w:vAlign w:val="center"/>
          </w:tcPr>
          <w:p w14:paraId="18C2C345" w14:textId="77777777" w:rsidR="00DC0056" w:rsidRPr="00DC0056" w:rsidRDefault="00DC0056" w:rsidP="00DC0056">
            <w:pPr>
              <w:jc w:val="center"/>
            </w:pPr>
            <w:r w:rsidRPr="00DC0056">
              <w:t>Y</w:t>
            </w:r>
          </w:p>
          <w:p w14:paraId="02C9E6B7" w14:textId="77777777" w:rsidR="00DC0056" w:rsidRPr="00DC0056" w:rsidRDefault="00DC0056" w:rsidP="00DC0056">
            <w:pPr>
              <w:jc w:val="center"/>
            </w:pPr>
            <w:r w:rsidRPr="00DC0056">
              <w:t>Y</w:t>
            </w:r>
          </w:p>
          <w:p w14:paraId="16A4BA3F" w14:textId="77777777" w:rsidR="00DC0056" w:rsidRPr="00DC0056" w:rsidRDefault="00DC0056" w:rsidP="00DC0056">
            <w:pPr>
              <w:jc w:val="center"/>
            </w:pPr>
            <w:r w:rsidRPr="00DC0056">
              <w:t>Y</w:t>
            </w:r>
          </w:p>
          <w:p w14:paraId="4889CC78" w14:textId="77777777" w:rsidR="00DC0056" w:rsidRPr="00DC0056" w:rsidRDefault="00DC0056" w:rsidP="00DC0056">
            <w:pPr>
              <w:jc w:val="center"/>
            </w:pPr>
            <w:r w:rsidRPr="00DC0056">
              <w:t>-</w:t>
            </w:r>
          </w:p>
          <w:p w14:paraId="6975F04F" w14:textId="77777777" w:rsidR="00DC0056" w:rsidRPr="00DC0056" w:rsidRDefault="00DC0056" w:rsidP="00DC0056">
            <w:pPr>
              <w:jc w:val="center"/>
            </w:pPr>
            <w:r w:rsidRPr="00DC0056">
              <w:t>-</w:t>
            </w:r>
          </w:p>
          <w:p w14:paraId="6C90E2EF" w14:textId="77777777" w:rsidR="00DC0056" w:rsidRPr="00DC0056" w:rsidRDefault="00DC0056" w:rsidP="00DC0056">
            <w:pPr>
              <w:jc w:val="center"/>
            </w:pPr>
            <w:r w:rsidRPr="00DC0056">
              <w:t>Y</w:t>
            </w:r>
          </w:p>
          <w:p w14:paraId="0D5EDBAB" w14:textId="77777777" w:rsidR="00DC0056" w:rsidRPr="00DC0056" w:rsidRDefault="00DC0056" w:rsidP="00DC0056">
            <w:pPr>
              <w:jc w:val="center"/>
            </w:pPr>
            <w:r w:rsidRPr="00DC0056">
              <w:t>Y</w:t>
            </w:r>
          </w:p>
        </w:tc>
        <w:tc>
          <w:tcPr>
            <w:tcW w:w="754" w:type="dxa"/>
            <w:vAlign w:val="center"/>
          </w:tcPr>
          <w:p w14:paraId="0B1DF7E1" w14:textId="77777777" w:rsidR="00DC0056" w:rsidRPr="00DC0056" w:rsidRDefault="00DC0056" w:rsidP="00DC0056">
            <w:pPr>
              <w:jc w:val="center"/>
            </w:pPr>
            <w:r w:rsidRPr="00DC0056">
              <w:t>Y</w:t>
            </w:r>
          </w:p>
          <w:p w14:paraId="17BB3487" w14:textId="77777777" w:rsidR="00DC0056" w:rsidRPr="00DC0056" w:rsidRDefault="00DC0056" w:rsidP="00DC0056">
            <w:pPr>
              <w:jc w:val="center"/>
            </w:pPr>
            <w:r w:rsidRPr="00DC0056">
              <w:t>Y</w:t>
            </w:r>
          </w:p>
          <w:p w14:paraId="03DAE4F4" w14:textId="77777777" w:rsidR="00DC0056" w:rsidRPr="00DC0056" w:rsidRDefault="00DC0056" w:rsidP="00DC0056">
            <w:pPr>
              <w:jc w:val="center"/>
            </w:pPr>
            <w:r w:rsidRPr="00DC0056">
              <w:t>Y</w:t>
            </w:r>
          </w:p>
          <w:p w14:paraId="7F8E2A2C" w14:textId="77777777" w:rsidR="00DC0056" w:rsidRPr="00DC0056" w:rsidRDefault="00DC0056" w:rsidP="00DC0056">
            <w:pPr>
              <w:jc w:val="center"/>
            </w:pPr>
            <w:r w:rsidRPr="00DC0056">
              <w:t>Y</w:t>
            </w:r>
          </w:p>
          <w:p w14:paraId="0BF4C968" w14:textId="77777777" w:rsidR="00DC0056" w:rsidRPr="00DC0056" w:rsidRDefault="00DC0056" w:rsidP="00DC0056">
            <w:pPr>
              <w:jc w:val="center"/>
            </w:pPr>
            <w:r w:rsidRPr="00DC0056">
              <w:t>Y</w:t>
            </w:r>
          </w:p>
          <w:p w14:paraId="48DF5227" w14:textId="77777777" w:rsidR="00DC0056" w:rsidRPr="00DC0056" w:rsidRDefault="00DC0056" w:rsidP="00DC0056">
            <w:pPr>
              <w:jc w:val="center"/>
            </w:pPr>
            <w:r w:rsidRPr="00DC0056">
              <w:t>-</w:t>
            </w:r>
          </w:p>
          <w:p w14:paraId="3A5F84ED" w14:textId="77777777" w:rsidR="00DC0056" w:rsidRPr="00DC0056" w:rsidRDefault="00DC0056" w:rsidP="00DC0056">
            <w:pPr>
              <w:jc w:val="center"/>
            </w:pPr>
            <w:r w:rsidRPr="00DC0056">
              <w:t>Y</w:t>
            </w:r>
          </w:p>
        </w:tc>
      </w:tr>
    </w:tbl>
    <w:p w14:paraId="7B939D6E" w14:textId="77777777" w:rsidR="00DC0056" w:rsidRPr="00DC0056" w:rsidRDefault="00DC0056" w:rsidP="00DC0056"/>
    <w:bookmarkEnd w:id="16"/>
    <w:p w14:paraId="79BB3497" w14:textId="77777777" w:rsidR="00DC0056" w:rsidRPr="00DC0056" w:rsidRDefault="00DC0056" w:rsidP="002A1ADD">
      <w:pPr>
        <w:pStyle w:val="VAHeadingLevel2"/>
      </w:pPr>
      <w:r w:rsidRPr="00375B7F">
        <w:t>Significant Governance Issues</w:t>
      </w:r>
    </w:p>
    <w:p w14:paraId="1DDD80DD" w14:textId="77777777" w:rsidR="00DC0056" w:rsidRPr="00DC0056" w:rsidRDefault="00DC0056" w:rsidP="00DC0056">
      <w:r w:rsidRPr="00DC0056">
        <w:t xml:space="preserve">There were no formal reports issued by the s151 or Monitoring Officer during the year, outcomes of Monitoring Officer Investigations, objections from local electors or ombudsman referrals.  The financial settlement and precept flexibility for 2025/26 have enabled NCFRA to set a balanced budget for three years with an agreed realistic efficiency plan which will be kept under close review. </w:t>
      </w:r>
    </w:p>
    <w:p w14:paraId="55A56970" w14:textId="77777777" w:rsidR="00DC0056" w:rsidRPr="00162177" w:rsidRDefault="00DC0056" w:rsidP="00DC0056">
      <w:pPr>
        <w:rPr>
          <w:highlight w:val="yellow"/>
        </w:rPr>
      </w:pPr>
    </w:p>
    <w:p w14:paraId="45CACEA5" w14:textId="77777777" w:rsidR="00DC0056" w:rsidRPr="00DC0056" w:rsidRDefault="00DC0056" w:rsidP="00DC0056">
      <w:pPr>
        <w:spacing w:after="160"/>
        <w:jc w:val="left"/>
        <w:rPr>
          <w:rFonts w:eastAsia="Times New Roman" w:cs="Arial"/>
          <w:bCs/>
          <w:color w:val="C00000"/>
          <w:sz w:val="24"/>
          <w:szCs w:val="24"/>
          <w:highlight w:val="yellow"/>
        </w:rPr>
      </w:pPr>
      <w:r w:rsidRPr="00DC0056">
        <w:rPr>
          <w:highlight w:val="yellow"/>
        </w:rPr>
        <w:br w:type="page"/>
      </w:r>
    </w:p>
    <w:p w14:paraId="10666B6F" w14:textId="77777777" w:rsidR="00DC0056" w:rsidRPr="00DC0056" w:rsidRDefault="00DC0056" w:rsidP="002A1ADD">
      <w:pPr>
        <w:pStyle w:val="VAHeadingLevel2"/>
      </w:pPr>
      <w:r>
        <w:lastRenderedPageBreak/>
        <w:t>Actions</w:t>
      </w:r>
    </w:p>
    <w:p w14:paraId="44342C7C" w14:textId="77777777" w:rsidR="00DC0056" w:rsidRPr="00DC0056" w:rsidRDefault="00DC0056" w:rsidP="00DC0056">
      <w:r w:rsidRPr="00DC0056">
        <w:t>Progress has been made on the 2024/25 AGS recommendations as follows:</w:t>
      </w:r>
    </w:p>
    <w:tbl>
      <w:tblPr>
        <w:tblStyle w:val="TableGrid"/>
        <w:tblW w:w="10281" w:type="dxa"/>
        <w:tblLayout w:type="fixed"/>
        <w:tblLook w:val="04A0" w:firstRow="1" w:lastRow="0" w:firstColumn="1" w:lastColumn="0" w:noHBand="0" w:noVBand="1"/>
      </w:tblPr>
      <w:tblGrid>
        <w:gridCol w:w="3306"/>
        <w:gridCol w:w="3487"/>
        <w:gridCol w:w="3488"/>
      </w:tblGrid>
      <w:tr w:rsidR="00DC0056" w:rsidRPr="00DC0056" w14:paraId="2752A519" w14:textId="77777777" w:rsidTr="00DC0056">
        <w:tc>
          <w:tcPr>
            <w:tcW w:w="10281" w:type="dxa"/>
            <w:gridSpan w:val="3"/>
            <w:shd w:val="clear" w:color="auto" w:fill="C00000"/>
          </w:tcPr>
          <w:p w14:paraId="209B5C80" w14:textId="77777777" w:rsidR="00DC0056" w:rsidRPr="00DC0056" w:rsidRDefault="00DC0056" w:rsidP="00DC0056">
            <w:pPr>
              <w:rPr>
                <w:b/>
                <w:bCs/>
              </w:rPr>
            </w:pPr>
            <w:r w:rsidRPr="00DC0056">
              <w:rPr>
                <w:b/>
                <w:bCs/>
              </w:rPr>
              <w:t>2024/25 Internal Control Action Plan</w:t>
            </w:r>
          </w:p>
          <w:p w14:paraId="033870F9" w14:textId="77777777" w:rsidR="00DC0056" w:rsidRPr="00DC0056" w:rsidRDefault="00DC0056" w:rsidP="00DC0056">
            <w:pPr>
              <w:rPr>
                <w:b/>
                <w:bCs/>
              </w:rPr>
            </w:pPr>
          </w:p>
        </w:tc>
      </w:tr>
      <w:tr w:rsidR="00DC0056" w:rsidRPr="00DC0056" w14:paraId="71EE7C0A" w14:textId="77777777" w:rsidTr="00DC0056">
        <w:trPr>
          <w:trHeight w:val="892"/>
        </w:trPr>
        <w:tc>
          <w:tcPr>
            <w:tcW w:w="3306" w:type="dxa"/>
          </w:tcPr>
          <w:p w14:paraId="2894831B" w14:textId="77777777" w:rsidR="00DC0056" w:rsidRPr="00DC0056" w:rsidRDefault="00DC0056">
            <w:pPr>
              <w:pStyle w:val="ListParagraph"/>
              <w:ind w:left="33"/>
              <w:jc w:val="left"/>
            </w:pPr>
            <w:r w:rsidRPr="00DC0056">
              <w:rPr>
                <w:b/>
                <w:bCs/>
              </w:rPr>
              <w:t>Principle C:</w:t>
            </w:r>
            <w:r w:rsidRPr="00DC0056">
              <w:t xml:space="preserve"> Defining outcomes in terms of sustainable, economic, social and environmental outcomes.</w:t>
            </w:r>
          </w:p>
        </w:tc>
        <w:tc>
          <w:tcPr>
            <w:tcW w:w="3487" w:type="dxa"/>
          </w:tcPr>
          <w:p w14:paraId="6476772D" w14:textId="77777777" w:rsidR="00DC0056" w:rsidRPr="00DC0056" w:rsidRDefault="00DC0056" w:rsidP="00DC0056">
            <w:pPr>
              <w:jc w:val="left"/>
              <w:rPr>
                <w:b/>
              </w:rPr>
            </w:pPr>
            <w:r w:rsidRPr="00DC0056">
              <w:rPr>
                <w:b/>
              </w:rPr>
              <w:t>Recommendation 1:</w:t>
            </w:r>
            <w:r w:rsidRPr="00DC0056">
              <w:t xml:space="preserve"> Complete the Emergency Cover Review and Propose Options for the PFCC Consideration and next steps.</w:t>
            </w:r>
          </w:p>
        </w:tc>
        <w:tc>
          <w:tcPr>
            <w:tcW w:w="3488" w:type="dxa"/>
          </w:tcPr>
          <w:p w14:paraId="2FC6E76B" w14:textId="77777777" w:rsidR="00DC0056" w:rsidRPr="00DC0056" w:rsidRDefault="00DC0056" w:rsidP="00DC0056">
            <w:pPr>
              <w:jc w:val="left"/>
              <w:rPr>
                <w:b/>
                <w:szCs w:val="20"/>
              </w:rPr>
            </w:pPr>
            <w:r w:rsidRPr="00DC0056">
              <w:rPr>
                <w:b/>
                <w:szCs w:val="20"/>
              </w:rPr>
              <w:t>Ongoing</w:t>
            </w:r>
          </w:p>
          <w:p w14:paraId="7CA8C730" w14:textId="77777777" w:rsidR="00DC0056" w:rsidRPr="00DC0056" w:rsidRDefault="00DC0056" w:rsidP="00DC0056">
            <w:pPr>
              <w:rPr>
                <w:b/>
              </w:rPr>
            </w:pPr>
            <w:r w:rsidRPr="00DC0056">
              <w:t xml:space="preserve">The review was completed and </w:t>
            </w:r>
            <w:proofErr w:type="gramStart"/>
            <w:r w:rsidRPr="00DC0056">
              <w:t>an</w:t>
            </w:r>
            <w:proofErr w:type="gramEnd"/>
            <w:r w:rsidRPr="00DC0056">
              <w:t xml:space="preserve"> plan of priorities has been developed.</w:t>
            </w:r>
          </w:p>
        </w:tc>
      </w:tr>
      <w:tr w:rsidR="00DC0056" w:rsidRPr="00DC0056" w14:paraId="2F2C1566" w14:textId="77777777" w:rsidTr="00DC0056">
        <w:trPr>
          <w:trHeight w:val="995"/>
        </w:trPr>
        <w:tc>
          <w:tcPr>
            <w:tcW w:w="3306" w:type="dxa"/>
          </w:tcPr>
          <w:p w14:paraId="6519725C" w14:textId="77777777" w:rsidR="00DC0056" w:rsidRPr="00DC0056" w:rsidRDefault="00DC0056">
            <w:pPr>
              <w:pStyle w:val="ListParagraph"/>
              <w:ind w:left="33"/>
              <w:jc w:val="left"/>
            </w:pPr>
            <w:r w:rsidRPr="00DC0056">
              <w:rPr>
                <w:b/>
                <w:bCs/>
              </w:rPr>
              <w:t>Principle D:</w:t>
            </w:r>
            <w:r w:rsidRPr="00DC0056">
              <w:t xml:space="preserve"> Determining the interventions necessary to optimise the achievement of intended outcomes.</w:t>
            </w:r>
          </w:p>
        </w:tc>
        <w:tc>
          <w:tcPr>
            <w:tcW w:w="3487" w:type="dxa"/>
          </w:tcPr>
          <w:p w14:paraId="1C450E76" w14:textId="77777777" w:rsidR="00DC0056" w:rsidRPr="00DC0056" w:rsidRDefault="00DC0056" w:rsidP="00DC0056">
            <w:pPr>
              <w:jc w:val="left"/>
            </w:pPr>
            <w:r w:rsidRPr="00DC0056">
              <w:rPr>
                <w:b/>
                <w:bCs/>
              </w:rPr>
              <w:t>Recommendation 2:</w:t>
            </w:r>
            <w:r w:rsidRPr="00DC0056">
              <w:t xml:space="preserve"> Northamptonshire HMICFRS Reports 2022 and 2024 - Continue to take forward recommendations and areas for improvement with specific attention to the Cause of Concern. </w:t>
            </w:r>
          </w:p>
          <w:p w14:paraId="204892F2" w14:textId="77777777" w:rsidR="00DC0056" w:rsidRPr="00DC0056" w:rsidRDefault="00DC0056" w:rsidP="00DC0056">
            <w:pPr>
              <w:jc w:val="left"/>
            </w:pPr>
          </w:p>
          <w:p w14:paraId="1B3A0BBC" w14:textId="77777777" w:rsidR="00DC0056" w:rsidRPr="00DC0056" w:rsidRDefault="00DC0056" w:rsidP="00DC0056">
            <w:pPr>
              <w:jc w:val="left"/>
            </w:pPr>
            <w:r w:rsidRPr="00DC0056">
              <w:t>Take forward recommendations and actions from the national HMICFRS Report “Culture and Values in Fire and Rescue Services 2023” and monitor updates regularly through JIAC and the Accountability Board.</w:t>
            </w:r>
          </w:p>
          <w:p w14:paraId="1CE0D928" w14:textId="77777777" w:rsidR="00DC0056" w:rsidRPr="00DC0056" w:rsidRDefault="00DC0056" w:rsidP="00DC0056">
            <w:pPr>
              <w:jc w:val="left"/>
            </w:pPr>
          </w:p>
        </w:tc>
        <w:tc>
          <w:tcPr>
            <w:tcW w:w="3488" w:type="dxa"/>
          </w:tcPr>
          <w:p w14:paraId="78F78D4C" w14:textId="77777777" w:rsidR="00DC0056" w:rsidRPr="00DC0056" w:rsidRDefault="00DC0056" w:rsidP="00DC0056">
            <w:pPr>
              <w:jc w:val="left"/>
              <w:rPr>
                <w:b/>
                <w:szCs w:val="20"/>
              </w:rPr>
            </w:pPr>
            <w:r w:rsidRPr="00DC0056">
              <w:rPr>
                <w:b/>
                <w:szCs w:val="20"/>
              </w:rPr>
              <w:t>Ongoing</w:t>
            </w:r>
          </w:p>
          <w:p w14:paraId="4BF49E89" w14:textId="77777777" w:rsidR="00DC0056" w:rsidRPr="00DC0056" w:rsidRDefault="00DC0056" w:rsidP="00DC0056">
            <w:r w:rsidRPr="00DC0056">
              <w:t>Regular updates are provided to the PFCC and JIAC.  Work continues to act upon findings of the ‘Serving with Pride’ project which forms the foundation for improvements in culture and core values.</w:t>
            </w:r>
          </w:p>
          <w:p w14:paraId="0272C66A" w14:textId="77777777" w:rsidR="00DC0056" w:rsidRPr="00DC0056" w:rsidRDefault="00DC0056" w:rsidP="00DC0056"/>
          <w:p w14:paraId="08327F6B" w14:textId="77777777" w:rsidR="00DC0056" w:rsidRPr="00DC0056" w:rsidRDefault="00DC0056" w:rsidP="00DC0056">
            <w:r w:rsidRPr="00DC0056">
              <w:t>Whilst there is promising progress, the latest HMICFRS report requires further improvements to be made.</w:t>
            </w:r>
          </w:p>
          <w:p w14:paraId="144ED41D" w14:textId="77777777" w:rsidR="00DC0056" w:rsidRPr="00DC0056" w:rsidRDefault="00DC0056" w:rsidP="00DC0056">
            <w:pPr>
              <w:jc w:val="left"/>
            </w:pPr>
          </w:p>
        </w:tc>
      </w:tr>
      <w:tr w:rsidR="00DC0056" w:rsidRPr="00DC0056" w14:paraId="6759EAA8" w14:textId="77777777" w:rsidTr="00DC0056">
        <w:trPr>
          <w:trHeight w:val="489"/>
        </w:trPr>
        <w:tc>
          <w:tcPr>
            <w:tcW w:w="3306" w:type="dxa"/>
          </w:tcPr>
          <w:p w14:paraId="493DAF7A" w14:textId="77777777" w:rsidR="00DC0056" w:rsidRPr="00DC0056" w:rsidRDefault="00DC0056" w:rsidP="00DC0056">
            <w:pPr>
              <w:jc w:val="left"/>
            </w:pPr>
            <w:r w:rsidRPr="00DC0056">
              <w:rPr>
                <w:b/>
                <w:bCs/>
              </w:rPr>
              <w:t>Principle F:</w:t>
            </w:r>
            <w:r w:rsidRPr="00DC0056">
              <w:t xml:space="preserve"> Managing Risks and Performance.</w:t>
            </w:r>
          </w:p>
        </w:tc>
        <w:tc>
          <w:tcPr>
            <w:tcW w:w="3487" w:type="dxa"/>
          </w:tcPr>
          <w:p w14:paraId="5E81AD1A" w14:textId="77777777" w:rsidR="00DC0056" w:rsidRPr="00DC0056" w:rsidRDefault="00DC0056" w:rsidP="00DC0056">
            <w:pPr>
              <w:jc w:val="left"/>
            </w:pPr>
            <w:r w:rsidRPr="00DC0056">
              <w:rPr>
                <w:b/>
              </w:rPr>
              <w:t xml:space="preserve">Recommendation 3: </w:t>
            </w:r>
            <w:r w:rsidRPr="00DC0056">
              <w:t>Take forward the recommendation from the Target Operating Model Performance Data audit and progress.</w:t>
            </w:r>
          </w:p>
        </w:tc>
        <w:tc>
          <w:tcPr>
            <w:tcW w:w="3488" w:type="dxa"/>
          </w:tcPr>
          <w:p w14:paraId="2FDAB56F" w14:textId="77777777" w:rsidR="00DC0056" w:rsidRPr="00DC0056" w:rsidRDefault="00DC0056" w:rsidP="00DC0056">
            <w:pPr>
              <w:jc w:val="left"/>
              <w:rPr>
                <w:b/>
                <w:szCs w:val="20"/>
              </w:rPr>
            </w:pPr>
            <w:r w:rsidRPr="00DC0056">
              <w:rPr>
                <w:b/>
                <w:szCs w:val="20"/>
              </w:rPr>
              <w:t>Complete</w:t>
            </w:r>
          </w:p>
          <w:p w14:paraId="746F27E1" w14:textId="77777777" w:rsidR="00DC0056" w:rsidRPr="00DC0056" w:rsidRDefault="00DC0056" w:rsidP="00DC0056">
            <w:pPr>
              <w:jc w:val="left"/>
            </w:pPr>
            <w:r w:rsidRPr="00DC0056">
              <w:t>The recommendation was specifically around review of the Risk Management Policy, which was done, consulted upon and published.</w:t>
            </w:r>
          </w:p>
        </w:tc>
      </w:tr>
      <w:tr w:rsidR="00DC0056" w:rsidRPr="00DC0056" w14:paraId="5BF177E8" w14:textId="77777777" w:rsidTr="00DC0056">
        <w:trPr>
          <w:trHeight w:val="820"/>
        </w:trPr>
        <w:tc>
          <w:tcPr>
            <w:tcW w:w="3306" w:type="dxa"/>
          </w:tcPr>
          <w:p w14:paraId="7F8C1C0C" w14:textId="77777777" w:rsidR="00DC0056" w:rsidRPr="00DC0056" w:rsidRDefault="00DC0056" w:rsidP="00DC0056">
            <w:pPr>
              <w:jc w:val="left"/>
            </w:pPr>
            <w:r w:rsidRPr="00DC0056">
              <w:rPr>
                <w:b/>
                <w:bCs/>
              </w:rPr>
              <w:t>Principle G:</w:t>
            </w:r>
            <w:r w:rsidRPr="00DC0056">
              <w:t xml:space="preserve"> Implementing good practices in transparency, reporting and accountability.</w:t>
            </w:r>
          </w:p>
        </w:tc>
        <w:tc>
          <w:tcPr>
            <w:tcW w:w="3487" w:type="dxa"/>
          </w:tcPr>
          <w:p w14:paraId="3D1D0394" w14:textId="77777777" w:rsidR="00DC0056" w:rsidRPr="00DC0056" w:rsidRDefault="00DC0056" w:rsidP="00DC0056">
            <w:pPr>
              <w:jc w:val="left"/>
            </w:pPr>
            <w:r w:rsidRPr="00DC0056">
              <w:rPr>
                <w:b/>
              </w:rPr>
              <w:t>Recommendation 4:</w:t>
            </w:r>
            <w:r w:rsidRPr="00DC0056">
              <w:t xml:space="preserve"> To improve the consistent application governance principles to option appraisals and investment decisions, ensuring business cases are robust and go through all the appropriate channels for well-informed decision-making.</w:t>
            </w:r>
          </w:p>
        </w:tc>
        <w:tc>
          <w:tcPr>
            <w:tcW w:w="3488" w:type="dxa"/>
          </w:tcPr>
          <w:p w14:paraId="1D1F0B20" w14:textId="77777777" w:rsidR="00DC0056" w:rsidRPr="00DC0056" w:rsidRDefault="00DC0056" w:rsidP="00DC0056">
            <w:pPr>
              <w:jc w:val="left"/>
              <w:rPr>
                <w:b/>
                <w:szCs w:val="20"/>
              </w:rPr>
            </w:pPr>
            <w:r w:rsidRPr="00DC0056">
              <w:rPr>
                <w:b/>
                <w:szCs w:val="20"/>
              </w:rPr>
              <w:t>Complete</w:t>
            </w:r>
          </w:p>
          <w:p w14:paraId="4AFA939B" w14:textId="77777777" w:rsidR="00DC0056" w:rsidRPr="00DC0056" w:rsidRDefault="00DC0056" w:rsidP="00DC0056">
            <w:pPr>
              <w:jc w:val="left"/>
              <w:rPr>
                <w:bCs/>
                <w:szCs w:val="20"/>
              </w:rPr>
            </w:pPr>
            <w:r w:rsidRPr="00DC0056">
              <w:rPr>
                <w:bCs/>
                <w:szCs w:val="20"/>
              </w:rPr>
              <w:t>Governance processes around new business proposals are much improved.  There are still practical improvements to made for business cases which can be addressed through self-assessed recommendations below.</w:t>
            </w:r>
          </w:p>
          <w:p w14:paraId="09FD7801" w14:textId="77777777" w:rsidR="00DC0056" w:rsidRPr="00DC0056" w:rsidRDefault="00DC0056" w:rsidP="00DC0056">
            <w:pPr>
              <w:jc w:val="left"/>
            </w:pPr>
          </w:p>
        </w:tc>
      </w:tr>
      <w:tr w:rsidR="00DC0056" w:rsidRPr="00DC0056" w14:paraId="2AF96879" w14:textId="77777777" w:rsidTr="00DC0056">
        <w:trPr>
          <w:trHeight w:val="820"/>
        </w:trPr>
        <w:tc>
          <w:tcPr>
            <w:tcW w:w="3306" w:type="dxa"/>
          </w:tcPr>
          <w:p w14:paraId="5991EC4D" w14:textId="77777777" w:rsidR="00DC0056" w:rsidRPr="00DC0056" w:rsidRDefault="00DC0056" w:rsidP="00DC0056">
            <w:pPr>
              <w:jc w:val="left"/>
              <w:rPr>
                <w:b/>
                <w:bCs/>
              </w:rPr>
            </w:pPr>
            <w:r w:rsidRPr="00DC0056">
              <w:rPr>
                <w:b/>
                <w:bCs/>
              </w:rPr>
              <w:t>Principle G:</w:t>
            </w:r>
            <w:r w:rsidRPr="00DC0056">
              <w:t xml:space="preserve"> Implementing good practices in transparency, reporting and accountability. </w:t>
            </w:r>
          </w:p>
        </w:tc>
        <w:tc>
          <w:tcPr>
            <w:tcW w:w="3487" w:type="dxa"/>
          </w:tcPr>
          <w:p w14:paraId="4E232AD3" w14:textId="77777777" w:rsidR="00DC0056" w:rsidRPr="00DC0056" w:rsidRDefault="00DC0056" w:rsidP="00DC0056">
            <w:pPr>
              <w:jc w:val="left"/>
              <w:rPr>
                <w:b/>
              </w:rPr>
            </w:pPr>
            <w:r w:rsidRPr="00DC0056">
              <w:rPr>
                <w:b/>
              </w:rPr>
              <w:t>Recommendation 5:</w:t>
            </w:r>
            <w:r w:rsidRPr="00DC0056">
              <w:t xml:space="preserve"> In addition to those outlined above, to continue to take forward the actions identified from the self- assessment of the CIPFA Financial Management Code.</w:t>
            </w:r>
          </w:p>
        </w:tc>
        <w:tc>
          <w:tcPr>
            <w:tcW w:w="3488" w:type="dxa"/>
          </w:tcPr>
          <w:p w14:paraId="362ECD39" w14:textId="77777777" w:rsidR="00DC0056" w:rsidRPr="00DC0056" w:rsidRDefault="00DC0056" w:rsidP="00DC0056">
            <w:pPr>
              <w:jc w:val="left"/>
              <w:rPr>
                <w:b/>
                <w:szCs w:val="20"/>
              </w:rPr>
            </w:pPr>
            <w:r w:rsidRPr="00DC0056">
              <w:rPr>
                <w:b/>
                <w:szCs w:val="20"/>
              </w:rPr>
              <w:t>Ongoing</w:t>
            </w:r>
          </w:p>
          <w:p w14:paraId="3C83E51D" w14:textId="77777777" w:rsidR="00DC0056" w:rsidRPr="00DC0056" w:rsidRDefault="00DC0056" w:rsidP="00DC0056">
            <w:pPr>
              <w:jc w:val="left"/>
              <w:rPr>
                <w:b/>
              </w:rPr>
            </w:pPr>
            <w:r w:rsidRPr="00DC0056">
              <w:rPr>
                <w:bCs/>
                <w:szCs w:val="20"/>
              </w:rPr>
              <w:t>Improvements continue.  No new areas of improvement have been identified for the coming year.</w:t>
            </w:r>
          </w:p>
        </w:tc>
      </w:tr>
      <w:tr w:rsidR="00DC0056" w:rsidRPr="00DC0056" w14:paraId="71A145FB" w14:textId="77777777" w:rsidTr="00DC0056">
        <w:trPr>
          <w:trHeight w:val="820"/>
        </w:trPr>
        <w:tc>
          <w:tcPr>
            <w:tcW w:w="3306" w:type="dxa"/>
          </w:tcPr>
          <w:p w14:paraId="3D29A2C1" w14:textId="77777777" w:rsidR="00DC0056" w:rsidRPr="00DC0056" w:rsidRDefault="00DC0056" w:rsidP="00DC0056">
            <w:pPr>
              <w:jc w:val="left"/>
              <w:rPr>
                <w:b/>
                <w:bCs/>
              </w:rPr>
            </w:pPr>
            <w:r w:rsidRPr="00DC0056">
              <w:rPr>
                <w:b/>
                <w:bCs/>
              </w:rPr>
              <w:t>Principle D:</w:t>
            </w:r>
            <w:r w:rsidRPr="00DC0056">
              <w:t xml:space="preserve"> Determining the interventions necessary to optimise the achievement of intended outcomes.</w:t>
            </w:r>
          </w:p>
        </w:tc>
        <w:tc>
          <w:tcPr>
            <w:tcW w:w="3487" w:type="dxa"/>
          </w:tcPr>
          <w:p w14:paraId="015593D1" w14:textId="77777777" w:rsidR="00DC0056" w:rsidRPr="00DC0056" w:rsidRDefault="00DC0056" w:rsidP="00DC0056">
            <w:pPr>
              <w:jc w:val="left"/>
              <w:rPr>
                <w:bCs/>
              </w:rPr>
            </w:pPr>
            <w:r w:rsidRPr="00DC0056">
              <w:rPr>
                <w:b/>
              </w:rPr>
              <w:t xml:space="preserve">Recommendation 6: </w:t>
            </w:r>
            <w:r w:rsidRPr="00DC0056">
              <w:rPr>
                <w:bCs/>
              </w:rPr>
              <w:t xml:space="preserve">To undertake a review of the collaboration agreement between Police and Fire to ensure that governance arrangements are relevant and </w:t>
            </w:r>
            <w:proofErr w:type="gramStart"/>
            <w:r w:rsidRPr="00DC0056">
              <w:rPr>
                <w:bCs/>
              </w:rPr>
              <w:t>up-to-date</w:t>
            </w:r>
            <w:proofErr w:type="gramEnd"/>
            <w:r w:rsidRPr="00DC0056">
              <w:rPr>
                <w:bCs/>
              </w:rPr>
              <w:t>.</w:t>
            </w:r>
          </w:p>
        </w:tc>
        <w:tc>
          <w:tcPr>
            <w:tcW w:w="3488" w:type="dxa"/>
          </w:tcPr>
          <w:p w14:paraId="4B147A43" w14:textId="77777777" w:rsidR="00DC0056" w:rsidRPr="00DC0056" w:rsidRDefault="00DC0056" w:rsidP="00DC0056">
            <w:pPr>
              <w:jc w:val="left"/>
              <w:rPr>
                <w:b/>
                <w:szCs w:val="20"/>
              </w:rPr>
            </w:pPr>
            <w:r w:rsidRPr="00DC0056">
              <w:rPr>
                <w:b/>
                <w:szCs w:val="20"/>
              </w:rPr>
              <w:t>Complete</w:t>
            </w:r>
          </w:p>
          <w:p w14:paraId="6BA3452A" w14:textId="77777777" w:rsidR="00DC0056" w:rsidRPr="00DC0056" w:rsidRDefault="00DC0056" w:rsidP="00DC0056">
            <w:pPr>
              <w:jc w:val="left"/>
              <w:rPr>
                <w:bCs/>
              </w:rPr>
            </w:pPr>
            <w:r w:rsidRPr="00DC0056">
              <w:rPr>
                <w:bCs/>
                <w:szCs w:val="20"/>
              </w:rPr>
              <w:t>A refreshed collaboration agreement has been signed off by all parties.</w:t>
            </w:r>
          </w:p>
        </w:tc>
      </w:tr>
    </w:tbl>
    <w:p w14:paraId="53069369" w14:textId="77777777" w:rsidR="00DC0056" w:rsidRPr="00DC0056" w:rsidRDefault="00DC0056" w:rsidP="00DC0056"/>
    <w:p w14:paraId="3E520C45" w14:textId="77777777" w:rsidR="00DC0056" w:rsidRPr="00DC0056" w:rsidRDefault="00DC0056" w:rsidP="00DC0056"/>
    <w:p w14:paraId="6CAD86D5" w14:textId="77777777" w:rsidR="00DC0056" w:rsidRPr="00DC0056" w:rsidRDefault="00DC0056" w:rsidP="00DC0056">
      <w:pPr>
        <w:rPr>
          <w:highlight w:val="yellow"/>
        </w:rPr>
      </w:pPr>
    </w:p>
    <w:p w14:paraId="581A9C6D" w14:textId="77777777" w:rsidR="00DC0056" w:rsidRPr="00DC0056" w:rsidRDefault="00DC0056" w:rsidP="00DC0056">
      <w:pPr>
        <w:spacing w:after="160"/>
        <w:jc w:val="left"/>
        <w:rPr>
          <w:rFonts w:eastAsia="Times New Roman" w:cs="Arial"/>
          <w:bCs/>
          <w:color w:val="C00000"/>
          <w:sz w:val="24"/>
          <w:szCs w:val="24"/>
          <w:highlight w:val="yellow"/>
        </w:rPr>
      </w:pPr>
      <w:r w:rsidRPr="00DC0056">
        <w:rPr>
          <w:highlight w:val="yellow"/>
        </w:rPr>
        <w:br w:type="page"/>
      </w:r>
    </w:p>
    <w:p w14:paraId="0FEFF5F7" w14:textId="77777777" w:rsidR="00DC0056" w:rsidRPr="00DC0056" w:rsidRDefault="00DC0056" w:rsidP="002A1ADD">
      <w:pPr>
        <w:pStyle w:val="VAHeadingLevel2"/>
      </w:pPr>
      <w:r>
        <w:lastRenderedPageBreak/>
        <w:t>Actions</w:t>
      </w:r>
      <w:r w:rsidRPr="00DC0056">
        <w:t xml:space="preserve"> for 2025/26 </w:t>
      </w:r>
    </w:p>
    <w:p w14:paraId="03BBBB95" w14:textId="77777777" w:rsidR="00DC0056" w:rsidRPr="00DC0056" w:rsidRDefault="00DC0056" w:rsidP="00DC0056">
      <w:r w:rsidRPr="00DC0056">
        <w:t>Following the assessment of internal controls, the following areas have been recommended to improve internal controls for 2025/26:</w:t>
      </w:r>
    </w:p>
    <w:p w14:paraId="5417F51B" w14:textId="77777777" w:rsidR="00DC0056" w:rsidRPr="00DC0056" w:rsidRDefault="00DC0056" w:rsidP="00DC0056">
      <w:pPr>
        <w:rPr>
          <w:highlight w:val="yellow"/>
        </w:rPr>
      </w:pPr>
    </w:p>
    <w:tbl>
      <w:tblPr>
        <w:tblStyle w:val="TableGrid"/>
        <w:tblW w:w="10281" w:type="dxa"/>
        <w:tblInd w:w="-5" w:type="dxa"/>
        <w:tblLayout w:type="fixed"/>
        <w:tblLook w:val="04A0" w:firstRow="1" w:lastRow="0" w:firstColumn="1" w:lastColumn="0" w:noHBand="0" w:noVBand="1"/>
      </w:tblPr>
      <w:tblGrid>
        <w:gridCol w:w="3306"/>
        <w:gridCol w:w="6975"/>
      </w:tblGrid>
      <w:tr w:rsidR="00857AD4" w:rsidRPr="00375B7F" w14:paraId="7718E092" w14:textId="77777777">
        <w:tc>
          <w:tcPr>
            <w:tcW w:w="10281" w:type="dxa"/>
            <w:gridSpan w:val="2"/>
            <w:shd w:val="clear" w:color="auto" w:fill="C00000"/>
          </w:tcPr>
          <w:p w14:paraId="3622EC91" w14:textId="77777777" w:rsidR="00857AD4" w:rsidRPr="002E78BC" w:rsidRDefault="00857AD4">
            <w:pPr>
              <w:rPr>
                <w:b/>
                <w:bCs/>
              </w:rPr>
            </w:pPr>
            <w:r w:rsidRPr="002E78BC">
              <w:rPr>
                <w:b/>
                <w:bCs/>
              </w:rPr>
              <w:t>202</w:t>
            </w:r>
            <w:r>
              <w:rPr>
                <w:b/>
                <w:bCs/>
              </w:rPr>
              <w:t>5</w:t>
            </w:r>
            <w:r w:rsidRPr="002E78BC">
              <w:rPr>
                <w:b/>
                <w:bCs/>
              </w:rPr>
              <w:t>/2</w:t>
            </w:r>
            <w:r>
              <w:rPr>
                <w:b/>
                <w:bCs/>
              </w:rPr>
              <w:t>6</w:t>
            </w:r>
            <w:r w:rsidRPr="002E78BC">
              <w:rPr>
                <w:b/>
                <w:bCs/>
              </w:rPr>
              <w:t xml:space="preserve"> Internal Control Action Plan</w:t>
            </w:r>
          </w:p>
          <w:p w14:paraId="74DA55C2" w14:textId="77777777" w:rsidR="00857AD4" w:rsidRPr="002E78BC" w:rsidRDefault="00857AD4">
            <w:pPr>
              <w:rPr>
                <w:b/>
                <w:bCs/>
              </w:rPr>
            </w:pPr>
          </w:p>
        </w:tc>
      </w:tr>
      <w:tr w:rsidR="00857AD4" w:rsidRPr="00162177" w14:paraId="568E248C" w14:textId="77777777">
        <w:trPr>
          <w:trHeight w:val="892"/>
        </w:trPr>
        <w:tc>
          <w:tcPr>
            <w:tcW w:w="3306" w:type="dxa"/>
          </w:tcPr>
          <w:p w14:paraId="106C2CDD" w14:textId="77777777" w:rsidR="00857AD4" w:rsidRDefault="00857AD4">
            <w:pPr>
              <w:pStyle w:val="ListParagraph"/>
              <w:ind w:left="33"/>
              <w:jc w:val="left"/>
            </w:pPr>
            <w:r w:rsidRPr="00835E36">
              <w:rPr>
                <w:b/>
                <w:bCs/>
              </w:rPr>
              <w:t>Principle C:</w:t>
            </w:r>
            <w:r w:rsidRPr="00835E36">
              <w:t xml:space="preserve"> Defining outcomes in terms of sustainable, economic, social and environmental outcomes.</w:t>
            </w:r>
          </w:p>
          <w:p w14:paraId="2101DC73" w14:textId="77777777" w:rsidR="00857AD4" w:rsidRPr="00835E36" w:rsidRDefault="00857AD4">
            <w:pPr>
              <w:pStyle w:val="ListParagraph"/>
              <w:ind w:left="33"/>
              <w:jc w:val="left"/>
            </w:pPr>
          </w:p>
        </w:tc>
        <w:tc>
          <w:tcPr>
            <w:tcW w:w="6975" w:type="dxa"/>
          </w:tcPr>
          <w:p w14:paraId="5F72EA2A" w14:textId="77777777" w:rsidR="00857AD4" w:rsidRPr="00835E36" w:rsidRDefault="00857AD4">
            <w:pPr>
              <w:jc w:val="left"/>
              <w:rPr>
                <w:b/>
              </w:rPr>
            </w:pPr>
            <w:r w:rsidRPr="00835E36">
              <w:rPr>
                <w:b/>
              </w:rPr>
              <w:t>Recommendation 1:</w:t>
            </w:r>
            <w:r w:rsidRPr="00835E36">
              <w:t xml:space="preserve"> Complete the Emergency Cover Review and Propose Options for the PFCC Consideration and next steps.</w:t>
            </w:r>
          </w:p>
        </w:tc>
      </w:tr>
      <w:tr w:rsidR="00857AD4" w:rsidRPr="00162177" w14:paraId="02B4A471" w14:textId="77777777">
        <w:trPr>
          <w:trHeight w:val="995"/>
        </w:trPr>
        <w:tc>
          <w:tcPr>
            <w:tcW w:w="3306" w:type="dxa"/>
          </w:tcPr>
          <w:p w14:paraId="261D0027" w14:textId="77777777" w:rsidR="00857AD4" w:rsidRPr="001E48D7" w:rsidRDefault="00857AD4">
            <w:pPr>
              <w:pStyle w:val="ListParagraph"/>
              <w:ind w:left="33"/>
              <w:jc w:val="left"/>
            </w:pPr>
            <w:r w:rsidRPr="001E48D7">
              <w:rPr>
                <w:b/>
                <w:bCs/>
              </w:rPr>
              <w:t>Principle D:</w:t>
            </w:r>
            <w:r w:rsidRPr="001E48D7">
              <w:t xml:space="preserve"> Determining the interventions necessary to optimise the achievement of intended outcomes.</w:t>
            </w:r>
          </w:p>
        </w:tc>
        <w:tc>
          <w:tcPr>
            <w:tcW w:w="6975" w:type="dxa"/>
          </w:tcPr>
          <w:p w14:paraId="419BA438" w14:textId="77777777" w:rsidR="00857AD4" w:rsidRPr="001E48D7" w:rsidRDefault="00857AD4">
            <w:pPr>
              <w:jc w:val="left"/>
            </w:pPr>
            <w:r w:rsidRPr="001E48D7">
              <w:rPr>
                <w:b/>
                <w:bCs/>
              </w:rPr>
              <w:t>Recommendation 2:</w:t>
            </w:r>
            <w:r w:rsidRPr="001E48D7">
              <w:t xml:space="preserve"> Northamptonshire HMICFRS Reports 2022 and 2024 - Continue to take forward recommendations and areas for improvement with specific attention to the Cause of Concern. </w:t>
            </w:r>
          </w:p>
          <w:p w14:paraId="0AF7E033" w14:textId="77777777" w:rsidR="00857AD4" w:rsidRPr="001E48D7" w:rsidRDefault="00857AD4">
            <w:pPr>
              <w:jc w:val="left"/>
            </w:pPr>
          </w:p>
          <w:p w14:paraId="6260AE8F" w14:textId="77777777" w:rsidR="00857AD4" w:rsidRPr="001E48D7" w:rsidRDefault="00857AD4">
            <w:pPr>
              <w:jc w:val="left"/>
            </w:pPr>
            <w:r w:rsidRPr="001E48D7">
              <w:t>Take forward recommendations and actions from the national HMICFRS Report “Culture and Values in Fire and Rescue Services 2023” and monitor updates regularly through JIAC and the Accountability Board.</w:t>
            </w:r>
          </w:p>
          <w:p w14:paraId="3215A055" w14:textId="77777777" w:rsidR="00857AD4" w:rsidRPr="001E48D7" w:rsidRDefault="00857AD4">
            <w:pPr>
              <w:jc w:val="left"/>
            </w:pPr>
          </w:p>
        </w:tc>
      </w:tr>
      <w:tr w:rsidR="00857AD4" w:rsidRPr="00162177" w14:paraId="3086B52E" w14:textId="77777777">
        <w:trPr>
          <w:trHeight w:val="820"/>
        </w:trPr>
        <w:tc>
          <w:tcPr>
            <w:tcW w:w="3306" w:type="dxa"/>
          </w:tcPr>
          <w:p w14:paraId="67152212" w14:textId="77777777" w:rsidR="00857AD4" w:rsidRPr="0079710D" w:rsidRDefault="00857AD4">
            <w:pPr>
              <w:jc w:val="left"/>
              <w:rPr>
                <w:b/>
                <w:bCs/>
              </w:rPr>
            </w:pPr>
            <w:r w:rsidRPr="0079710D">
              <w:rPr>
                <w:b/>
                <w:bCs/>
              </w:rPr>
              <w:t>Principle G:</w:t>
            </w:r>
            <w:r w:rsidRPr="0079710D">
              <w:t xml:space="preserve"> Implementing good practices in transparency, reporting and accountability. </w:t>
            </w:r>
          </w:p>
        </w:tc>
        <w:tc>
          <w:tcPr>
            <w:tcW w:w="6975" w:type="dxa"/>
          </w:tcPr>
          <w:p w14:paraId="30C8EE06" w14:textId="77777777" w:rsidR="00857AD4" w:rsidRDefault="00857AD4">
            <w:pPr>
              <w:jc w:val="left"/>
            </w:pPr>
            <w:r w:rsidRPr="0079710D">
              <w:rPr>
                <w:b/>
              </w:rPr>
              <w:t>Recommendation 5:</w:t>
            </w:r>
            <w:r w:rsidRPr="0079710D">
              <w:t xml:space="preserve"> In addition to those outlined above, to continue to take forward the actions identified from the self- assessment of the CIPFA Financial Management Code.</w:t>
            </w:r>
          </w:p>
          <w:p w14:paraId="276032B9" w14:textId="77777777" w:rsidR="00857AD4" w:rsidRPr="0079710D" w:rsidRDefault="00857AD4">
            <w:pPr>
              <w:jc w:val="left"/>
              <w:rPr>
                <w:b/>
              </w:rPr>
            </w:pPr>
          </w:p>
        </w:tc>
      </w:tr>
    </w:tbl>
    <w:p w14:paraId="152737D0" w14:textId="77777777" w:rsidR="00DC0056" w:rsidRPr="00DC0056" w:rsidRDefault="00DC0056" w:rsidP="00DC0056">
      <w:pPr>
        <w:rPr>
          <w:highlight w:val="yellow"/>
        </w:rPr>
      </w:pPr>
    </w:p>
    <w:p w14:paraId="1C94D818" w14:textId="77777777" w:rsidR="00DC0056" w:rsidRPr="00DC0056" w:rsidRDefault="00DC0056" w:rsidP="002A1ADD">
      <w:pPr>
        <w:pStyle w:val="VAHeadingLevel2"/>
      </w:pPr>
      <w:r w:rsidRPr="0079710D">
        <w:t>Conclusion</w:t>
      </w:r>
    </w:p>
    <w:p w14:paraId="1532C6AC" w14:textId="77777777" w:rsidR="00DC0056" w:rsidRPr="00DC0056" w:rsidRDefault="00DC0056" w:rsidP="00DC0056">
      <w:r w:rsidRPr="00DC0056">
        <w:t xml:space="preserve">We propose over the coming year to take steps to address the above matters to progress the actions and further enhance our governance arrangements.  </w:t>
      </w:r>
    </w:p>
    <w:p w14:paraId="57FC5F91" w14:textId="77777777" w:rsidR="00DC0056" w:rsidRPr="00DC0056" w:rsidRDefault="00DC0056" w:rsidP="00DC0056"/>
    <w:p w14:paraId="07EB2887" w14:textId="77777777" w:rsidR="00DC0056" w:rsidRPr="00DC0056" w:rsidRDefault="00DC0056" w:rsidP="00DC0056">
      <w:r w:rsidRPr="00DC0056">
        <w:t>Looking ahead, there is a clear commitment to continuous improvement, adapting governance arrangements to remain agile, inclusive, and resilient in the face of evolving public expectations, policy developments, and operational pressures. Regular review and enhancement of governance processes will help ensure the organisation continues to deliver public value, maintains trust, and upholds the highest standards of public accountability.</w:t>
      </w:r>
    </w:p>
    <w:p w14:paraId="637E7744" w14:textId="77777777" w:rsidR="00DC0056" w:rsidRPr="00162177" w:rsidRDefault="00DC0056" w:rsidP="00857AD4">
      <w:pPr>
        <w:pStyle w:val="Default"/>
        <w:rPr>
          <w:rFonts w:asciiTheme="minorHAnsi" w:hAnsiTheme="minorHAnsi" w:cstheme="minorHAnsi"/>
          <w:b/>
          <w:color w:val="auto"/>
          <w:sz w:val="22"/>
          <w:szCs w:val="22"/>
          <w:highlight w:val="yellow"/>
        </w:rPr>
      </w:pPr>
    </w:p>
    <w:p w14:paraId="05B25CB3" w14:textId="77777777" w:rsidR="00DC0056" w:rsidRPr="005D3C5E" w:rsidRDefault="00DC0056" w:rsidP="00857AD4">
      <w:pPr>
        <w:pStyle w:val="Default"/>
        <w:rPr>
          <w:rFonts w:asciiTheme="minorHAnsi" w:hAnsiTheme="minorHAnsi" w:cstheme="minorHAnsi"/>
          <w:color w:val="auto"/>
          <w:sz w:val="22"/>
          <w:szCs w:val="22"/>
        </w:rPr>
      </w:pPr>
      <w:r w:rsidRPr="005D3C5E">
        <w:rPr>
          <w:rFonts w:asciiTheme="minorHAnsi" w:hAnsiTheme="minorHAnsi" w:cstheme="minorHAnsi"/>
          <w:color w:val="auto"/>
          <w:sz w:val="22"/>
          <w:szCs w:val="22"/>
        </w:rPr>
        <w:t xml:space="preserve">Signed: </w:t>
      </w:r>
    </w:p>
    <w:p w14:paraId="269AEF35" w14:textId="77777777" w:rsidR="00DC0056" w:rsidRDefault="00DC0056" w:rsidP="00857AD4">
      <w:pPr>
        <w:pStyle w:val="Default"/>
        <w:rPr>
          <w:rFonts w:asciiTheme="minorHAnsi" w:hAnsiTheme="minorHAnsi" w:cstheme="minorHAnsi"/>
          <w:color w:val="auto"/>
          <w:sz w:val="22"/>
          <w:szCs w:val="22"/>
        </w:rPr>
      </w:pPr>
    </w:p>
    <w:p w14:paraId="20D7963A" w14:textId="77777777" w:rsidR="00DC0056" w:rsidRDefault="00DC0056" w:rsidP="00857AD4">
      <w:pPr>
        <w:pStyle w:val="Default"/>
        <w:rPr>
          <w:rFonts w:asciiTheme="minorHAnsi" w:hAnsiTheme="minorHAnsi" w:cstheme="minorHAnsi"/>
          <w:color w:val="auto"/>
          <w:sz w:val="22"/>
          <w:szCs w:val="22"/>
        </w:rPr>
      </w:pPr>
    </w:p>
    <w:p w14:paraId="09AAFDF9" w14:textId="77777777" w:rsidR="00DC0056" w:rsidRDefault="00DC0056" w:rsidP="00857AD4">
      <w:pPr>
        <w:pStyle w:val="Default"/>
        <w:rPr>
          <w:rFonts w:asciiTheme="minorHAnsi" w:hAnsiTheme="minorHAnsi" w:cstheme="minorHAnsi"/>
          <w:color w:val="auto"/>
          <w:sz w:val="22"/>
          <w:szCs w:val="22"/>
        </w:rPr>
      </w:pPr>
    </w:p>
    <w:p w14:paraId="56B8D1D5" w14:textId="77777777" w:rsidR="00D43225" w:rsidRDefault="00D43225" w:rsidP="00857AD4">
      <w:pPr>
        <w:pStyle w:val="Default"/>
        <w:rPr>
          <w:b/>
          <w:bCs/>
          <w:noProof/>
        </w:rPr>
      </w:pPr>
    </w:p>
    <w:p w14:paraId="7FDDF732" w14:textId="59ACD6C9" w:rsidR="00DC0056" w:rsidRPr="005D3C5E" w:rsidRDefault="00DC7AC1" w:rsidP="00857AD4">
      <w:pPr>
        <w:pStyle w:val="Defaul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01612CC8" w14:textId="77777777" w:rsidR="00DC0056" w:rsidRPr="00375B7F" w:rsidRDefault="00DC0056" w:rsidP="00857AD4">
      <w:pPr>
        <w:pStyle w:val="Default"/>
        <w:rPr>
          <w:rFonts w:asciiTheme="minorHAnsi" w:hAnsiTheme="minorHAnsi" w:cstheme="minorHAnsi"/>
          <w:b/>
          <w:color w:val="auto"/>
          <w:sz w:val="22"/>
          <w:szCs w:val="22"/>
        </w:rPr>
      </w:pPr>
      <w:r w:rsidRPr="00375B7F">
        <w:rPr>
          <w:rFonts w:asciiTheme="minorHAnsi" w:hAnsiTheme="minorHAnsi" w:cstheme="minorHAnsi"/>
          <w:b/>
          <w:color w:val="auto"/>
          <w:sz w:val="22"/>
          <w:szCs w:val="22"/>
        </w:rPr>
        <w:t xml:space="preserve">Vaughan Ashcroft </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375B7F">
        <w:rPr>
          <w:rFonts w:asciiTheme="minorHAnsi" w:hAnsiTheme="minorHAnsi" w:cstheme="minorHAnsi"/>
          <w:b/>
          <w:color w:val="auto"/>
          <w:sz w:val="22"/>
          <w:szCs w:val="22"/>
        </w:rPr>
        <w:t>Danielle Stone</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p>
    <w:p w14:paraId="07FFB2A0" w14:textId="77777777" w:rsidR="00DC0056" w:rsidRPr="00375B7F" w:rsidRDefault="00DC0056" w:rsidP="00857AD4">
      <w:pPr>
        <w:pStyle w:val="Default"/>
        <w:rPr>
          <w:rFonts w:asciiTheme="minorHAnsi" w:hAnsiTheme="minorHAnsi" w:cstheme="minorHAnsi"/>
          <w:b/>
          <w:color w:val="auto"/>
          <w:sz w:val="22"/>
          <w:szCs w:val="22"/>
        </w:rPr>
      </w:pPr>
      <w:r w:rsidRPr="00375B7F">
        <w:rPr>
          <w:rFonts w:asciiTheme="minorHAnsi" w:hAnsiTheme="minorHAnsi" w:cstheme="minorHAnsi"/>
          <w:b/>
          <w:color w:val="auto"/>
          <w:sz w:val="22"/>
          <w:szCs w:val="22"/>
        </w:rPr>
        <w:t>Chief Finance Officer</w:t>
      </w:r>
      <w:r>
        <w:rPr>
          <w:rFonts w:asciiTheme="minorHAnsi" w:hAnsiTheme="minorHAnsi" w:cstheme="minorHAnsi"/>
          <w:b/>
          <w:color w:val="auto"/>
          <w:sz w:val="22"/>
          <w:szCs w:val="22"/>
        </w:rPr>
        <w:t xml:space="preserve"> (</w:t>
      </w:r>
      <w:r w:rsidRPr="00375B7F">
        <w:rPr>
          <w:rFonts w:asciiTheme="minorHAnsi" w:hAnsiTheme="minorHAnsi" w:cstheme="minorHAnsi"/>
          <w:b/>
          <w:color w:val="auto"/>
          <w:sz w:val="22"/>
          <w:szCs w:val="22"/>
        </w:rPr>
        <w:t>s151</w:t>
      </w:r>
      <w:r>
        <w:rPr>
          <w:rFonts w:asciiTheme="minorHAnsi" w:hAnsiTheme="minorHAnsi" w:cstheme="minorHAnsi"/>
          <w:b/>
          <w:color w:val="auto"/>
          <w:sz w:val="22"/>
          <w:szCs w:val="22"/>
        </w:rPr>
        <w:t>)</w:t>
      </w:r>
      <w:r w:rsidRPr="0079710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t xml:space="preserve">Northamptonshire </w:t>
      </w:r>
      <w:r w:rsidRPr="00375B7F">
        <w:rPr>
          <w:rFonts w:asciiTheme="minorHAnsi" w:hAnsiTheme="minorHAnsi" w:cstheme="minorHAnsi"/>
          <w:b/>
          <w:color w:val="auto"/>
          <w:sz w:val="22"/>
          <w:szCs w:val="22"/>
        </w:rPr>
        <w:t>Police</w:t>
      </w:r>
      <w:r>
        <w:rPr>
          <w:rFonts w:asciiTheme="minorHAnsi" w:hAnsiTheme="minorHAnsi" w:cstheme="minorHAnsi"/>
          <w:b/>
          <w:color w:val="auto"/>
          <w:sz w:val="22"/>
          <w:szCs w:val="22"/>
        </w:rPr>
        <w:t>,</w:t>
      </w:r>
      <w:r w:rsidRPr="00375B7F">
        <w:rPr>
          <w:rFonts w:asciiTheme="minorHAnsi" w:hAnsiTheme="minorHAnsi" w:cstheme="minorHAnsi"/>
          <w:b/>
          <w:color w:val="auto"/>
          <w:sz w:val="22"/>
          <w:szCs w:val="22"/>
        </w:rPr>
        <w:t xml:space="preserve"> Fire and Crime Commissioner</w:t>
      </w:r>
    </w:p>
    <w:p w14:paraId="77745FEA" w14:textId="41516705" w:rsidR="00DC0056" w:rsidRPr="00375B7F" w:rsidRDefault="00DC0056" w:rsidP="00857AD4">
      <w:pPr>
        <w:pStyle w:val="Default"/>
        <w:rPr>
          <w:rFonts w:asciiTheme="minorHAnsi" w:hAnsiTheme="minorHAnsi" w:cstheme="minorHAnsi"/>
          <w:color w:val="auto"/>
          <w:sz w:val="22"/>
          <w:szCs w:val="22"/>
        </w:rPr>
      </w:pPr>
      <w:r w:rsidRPr="00375B7F">
        <w:rPr>
          <w:rFonts w:asciiTheme="minorHAnsi" w:hAnsiTheme="minorHAnsi" w:cstheme="minorHAnsi"/>
          <w:color w:val="auto"/>
          <w:sz w:val="22"/>
          <w:szCs w:val="22"/>
        </w:rPr>
        <w:t>Date:</w:t>
      </w:r>
      <w:r w:rsidR="00BF034D">
        <w:rPr>
          <w:rFonts w:asciiTheme="minorHAnsi" w:hAnsiTheme="minorHAnsi" w:cstheme="minorHAnsi"/>
          <w:color w:val="auto"/>
          <w:sz w:val="22"/>
          <w:szCs w:val="22"/>
        </w:rPr>
        <w:t xml:space="preserve"> 24/02/2026</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375B7F">
        <w:rPr>
          <w:rFonts w:asciiTheme="minorHAnsi" w:hAnsiTheme="minorHAnsi" w:cstheme="minorHAnsi"/>
          <w:color w:val="auto"/>
          <w:sz w:val="22"/>
          <w:szCs w:val="22"/>
        </w:rPr>
        <w:t>Date:</w:t>
      </w:r>
      <w:r w:rsidR="00BF034D">
        <w:rPr>
          <w:rFonts w:asciiTheme="minorHAnsi" w:hAnsiTheme="minorHAnsi" w:cstheme="minorHAnsi"/>
          <w:color w:val="auto"/>
          <w:sz w:val="22"/>
          <w:szCs w:val="22"/>
        </w:rPr>
        <w:t xml:space="preserve"> 24/02/2026</w:t>
      </w:r>
    </w:p>
    <w:p w14:paraId="46909DC3" w14:textId="77777777" w:rsidR="00C1628D" w:rsidRPr="00DF3969" w:rsidRDefault="00C1628D" w:rsidP="00857AD4">
      <w:pPr>
        <w:pStyle w:val="Default"/>
        <w:rPr>
          <w:rFonts w:asciiTheme="minorHAnsi" w:hAnsiTheme="minorHAnsi" w:cstheme="minorHAnsi"/>
          <w:color w:val="auto"/>
          <w:sz w:val="22"/>
          <w:szCs w:val="22"/>
        </w:rPr>
      </w:pPr>
      <w:r w:rsidRPr="00B87A42">
        <w:rPr>
          <w:rFonts w:asciiTheme="minorHAnsi" w:hAnsiTheme="minorHAnsi" w:cstheme="minorHAnsi"/>
          <w:color w:val="auto"/>
          <w:sz w:val="22"/>
          <w:szCs w:val="22"/>
        </w:rPr>
        <w:br w:type="page"/>
      </w:r>
    </w:p>
    <w:p w14:paraId="538718F7" w14:textId="77777777" w:rsidR="00F2288A" w:rsidRPr="00DC0056" w:rsidRDefault="00F2288A" w:rsidP="00DC0056">
      <w:pPr>
        <w:widowControl w:val="0"/>
        <w:autoSpaceDE w:val="0"/>
        <w:autoSpaceDN w:val="0"/>
        <w:spacing w:before="1" w:line="240" w:lineRule="auto"/>
        <w:jc w:val="left"/>
        <w:rPr>
          <w:rFonts w:ascii="Arial" w:eastAsia="Arial" w:hAnsi="Arial" w:cs="Arial"/>
          <w:sz w:val="18"/>
          <w:szCs w:val="18"/>
          <w:lang w:val="en-US"/>
        </w:rPr>
      </w:pPr>
    </w:p>
    <w:p w14:paraId="462BDBBA" w14:textId="77777777" w:rsidR="00FB4D85" w:rsidRDefault="00F2288A" w:rsidP="002A1ADD">
      <w:pPr>
        <w:pStyle w:val="ChapterHeading"/>
      </w:pPr>
      <w:r w:rsidRPr="00E531E0">
        <w:t>Audit Report</w:t>
      </w:r>
    </w:p>
    <w:p w14:paraId="60EC27CA" w14:textId="77777777" w:rsidR="00FB4D85" w:rsidRDefault="00FB4D85" w:rsidP="002A1ADD">
      <w:pPr>
        <w:pStyle w:val="ChapterHeading"/>
      </w:pPr>
    </w:p>
    <w:p w14:paraId="5E6EDB05" w14:textId="31D8E66E" w:rsidR="00201F1E" w:rsidRPr="00201F1E" w:rsidRDefault="00201F1E" w:rsidP="00201F1E">
      <w:pPr>
        <w:spacing w:after="211" w:line="257" w:lineRule="auto"/>
        <w:rPr>
          <w:rFonts w:ascii="Arial" w:eastAsia="Arial" w:hAnsi="Arial" w:cs="Arial"/>
          <w:color w:val="000000"/>
          <w:kern w:val="2"/>
          <w:sz w:val="18"/>
          <w:szCs w:val="24"/>
          <w:lang w:eastAsia="en-GB"/>
          <w14:ligatures w14:val="standardContextual"/>
        </w:rPr>
      </w:pPr>
      <w:r w:rsidRPr="00201F1E">
        <w:rPr>
          <w:rFonts w:ascii="Arial" w:eastAsia="Arial" w:hAnsi="Arial" w:cs="Arial"/>
          <w:color w:val="4F2D7F"/>
          <w:kern w:val="2"/>
          <w:sz w:val="26"/>
          <w:szCs w:val="24"/>
          <w:lang w:eastAsia="en-GB"/>
          <w14:ligatures w14:val="standardContextual"/>
        </w:rPr>
        <w:t xml:space="preserve">Independent auditor's report to the Northamptonshire Commissioner Fire and Rescue Authority </w:t>
      </w:r>
    </w:p>
    <w:p w14:paraId="5DD5408E" w14:textId="77777777" w:rsidR="00201F1E" w:rsidRPr="00201F1E" w:rsidRDefault="00201F1E" w:rsidP="00201F1E">
      <w:pPr>
        <w:keepNext/>
        <w:keepLines/>
        <w:spacing w:after="204" w:line="250" w:lineRule="auto"/>
        <w:ind w:left="-5" w:hanging="10"/>
        <w:jc w:val="left"/>
        <w:outlineLvl w:val="0"/>
        <w:rPr>
          <w:rFonts w:ascii="Arial" w:eastAsia="Arial" w:hAnsi="Arial" w:cs="Arial"/>
          <w:b/>
          <w:color w:val="4F2D7F"/>
          <w:kern w:val="2"/>
          <w:sz w:val="24"/>
          <w:szCs w:val="24"/>
          <w:lang w:eastAsia="en-GB"/>
          <w14:ligatures w14:val="standardContextual"/>
        </w:rPr>
      </w:pPr>
      <w:r w:rsidRPr="00201F1E">
        <w:rPr>
          <w:rFonts w:ascii="Arial" w:eastAsia="Arial" w:hAnsi="Arial" w:cs="Arial"/>
          <w:b/>
          <w:color w:val="4F2D7F"/>
          <w:kern w:val="2"/>
          <w:sz w:val="24"/>
          <w:szCs w:val="24"/>
          <w:lang w:eastAsia="en-GB"/>
          <w14:ligatures w14:val="standardContextual"/>
        </w:rPr>
        <w:t xml:space="preserve">Report on the audit of the financial statements </w:t>
      </w:r>
    </w:p>
    <w:p w14:paraId="591A7D72"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Opinion on financial statements </w:t>
      </w:r>
    </w:p>
    <w:p w14:paraId="684B73E6"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audited the financial statements of the Northamptonshire Commissioner Fire and Rescue Authority (the ‘Fire and </w:t>
      </w:r>
    </w:p>
    <w:p w14:paraId="31AA3791"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Rescue Authority’) 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ended 31 March 2025, which comprise the Comprehensive Income and Expenditure Statement, the Movement in Reserves Statement, the Balance Sheet, the Cash Flow Statement and notes to the financial statements, including material accounting policy information, and include the firefighters’ pension fund financial statements comprising the Fund Account, the Net Assets Statement and the notes to the firefighters’ pension fund account. The financial reporting framework that has been applied in their preparation is applicable law and the CIPFA/LASAAC Code of Practice on Local Authority Accounting in the United Kingdom 2024/25. </w:t>
      </w:r>
    </w:p>
    <w:p w14:paraId="6A227690"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In our opinion, the financial statements: </w:t>
      </w:r>
    </w:p>
    <w:p w14:paraId="472B57B1" w14:textId="77777777" w:rsidR="00201F1E" w:rsidRPr="00201F1E" w:rsidRDefault="00201F1E" w:rsidP="00201F1E">
      <w:pPr>
        <w:numPr>
          <w:ilvl w:val="0"/>
          <w:numId w:val="26"/>
        </w:numPr>
        <w:spacing w:after="146" w:line="270" w:lineRule="auto"/>
        <w:ind w:hanging="284"/>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give a true and fair view of the financial position of the Fire and Rescue Authority as </w:t>
      </w:r>
      <w:proofErr w:type="gramStart"/>
      <w:r w:rsidRPr="00201F1E">
        <w:rPr>
          <w:rFonts w:ascii="Arial" w:eastAsia="Arial" w:hAnsi="Arial" w:cs="Arial"/>
          <w:color w:val="000000"/>
          <w:kern w:val="2"/>
          <w:sz w:val="18"/>
          <w:szCs w:val="24"/>
          <w:lang w:eastAsia="en-GB"/>
          <w14:ligatures w14:val="standardContextual"/>
        </w:rPr>
        <w:t>at</w:t>
      </w:r>
      <w:proofErr w:type="gramEnd"/>
      <w:r w:rsidRPr="00201F1E">
        <w:rPr>
          <w:rFonts w:ascii="Arial" w:eastAsia="Arial" w:hAnsi="Arial" w:cs="Arial"/>
          <w:color w:val="000000"/>
          <w:kern w:val="2"/>
          <w:sz w:val="18"/>
          <w:szCs w:val="24"/>
          <w:lang w:eastAsia="en-GB"/>
          <w14:ligatures w14:val="standardContextual"/>
        </w:rPr>
        <w:t xml:space="preserve"> 31 March 2025</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and of its expenditure and income 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then ended;  </w:t>
      </w:r>
    </w:p>
    <w:p w14:paraId="64CFF1EC" w14:textId="77777777" w:rsidR="00201F1E" w:rsidRPr="00201F1E" w:rsidRDefault="00201F1E" w:rsidP="00201F1E">
      <w:pPr>
        <w:numPr>
          <w:ilvl w:val="0"/>
          <w:numId w:val="26"/>
        </w:numPr>
        <w:spacing w:after="146" w:line="270" w:lineRule="auto"/>
        <w:ind w:hanging="284"/>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have been properly prepared in accordance with the CIPFA/LASAAC Code of Practice on Local Authority Accounting in the United Kingdom 2024/25; and  </w:t>
      </w:r>
    </w:p>
    <w:p w14:paraId="1880D5A9" w14:textId="77777777" w:rsidR="00201F1E" w:rsidRPr="00201F1E" w:rsidRDefault="00201F1E" w:rsidP="00201F1E">
      <w:pPr>
        <w:numPr>
          <w:ilvl w:val="0"/>
          <w:numId w:val="26"/>
        </w:numPr>
        <w:spacing w:after="219" w:line="270" w:lineRule="auto"/>
        <w:ind w:hanging="284"/>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have been prepared in accordance with the requirements of the Local Audit and Accountability Act 2014. </w:t>
      </w:r>
    </w:p>
    <w:p w14:paraId="21916F97"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Basis for opinion </w:t>
      </w:r>
    </w:p>
    <w:p w14:paraId="6372BA5C"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conducted our audit in accordance with International Standards on Auditing (UK) (ISAs (UK)) and applicable law, as required by the Code of Audit Practice (2024) (“the Code of Audit Practice”) approved by the Comptroller and Auditor General. Our responsibilities under those standards are further described in the ‘Auditor’s responsibilities for the audit of the financial statements’ section of our report. We are independent of the Fire and Rescue Authority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 </w:t>
      </w:r>
    </w:p>
    <w:p w14:paraId="436458B4"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Conclusions relating to going concern </w:t>
      </w:r>
    </w:p>
    <w:p w14:paraId="7BABBFD6"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are responsible for concluding on the appropriateness of the Chief Finance Officer’s use of the going concern basis of accounting and, based on the audit evidence obtained, whether a material uncertainty exists related to events or conditions that may cast significant doubt on the Fire and Rescue Authority’s ability to continue as a going concern. If we conclude that a material uncertainty exists, we are required to draw attention in our report to the related disclosures in the financial statements or, if such disclosures are inadequate, to modify the auditor’s opinion. Our conclusions are based on the audit evidence obtained up to the date of our report. However, future events or conditions may cause the Fire and Rescue Authority to cease to continue as a going concern. </w:t>
      </w:r>
    </w:p>
    <w:p w14:paraId="06EB7BC4"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In our evaluation of the Chief Finance Officer’s conclusions, and in accordance with the expectation set out within the </w:t>
      </w:r>
    </w:p>
    <w:p w14:paraId="12F7CDF8"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CIPFA/LASAAC Code of Practice on Local Authority Accounting in the United Kingdom 2024/25 that the Fire and Rescue Authority’s financial statements shall be prepared on a going concern basis, we considered the inherent risks associated with the continuation of services provided by the Fire and Rescue Authority. In doing so we had regard to the guidance provided in Practice Note 10 Audit of financial statements and regularity of public sector bodies in the United Kingdom (Revised 2024) on the application of ISA (UK) 570 Going Concern to public sector entities. We assessed the reasonableness of the basis of preparation used by the Fire and Rescue Authority and the Fire and Rescue Authority’s disclosures over the going concern period.  </w:t>
      </w:r>
    </w:p>
    <w:p w14:paraId="47A56CAC"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In auditing the financial statements, we have concluded that the Chief Finance Officer’s use of the going concern basis of accounting in the preparation of the financial statements is appropriate.  </w:t>
      </w:r>
    </w:p>
    <w:p w14:paraId="3046EA90"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Based on the work we have performed, we have not identified any material uncertainties relating to events or conditions that, individually or collectively, may cast significant doubt on the Fire and Rescue Authority’s ability to continue as a going concern for a period of at least twelve months from when the financial statements are authorised for issue. </w:t>
      </w:r>
    </w:p>
    <w:p w14:paraId="2BA15541"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Our responsibilities and the responsibilities of the</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Chief Finance Officer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with respect to going concern are described in the relevant sections of this report. </w:t>
      </w:r>
    </w:p>
    <w:p w14:paraId="67506844"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lastRenderedPageBreak/>
        <w:t xml:space="preserve">Other information </w:t>
      </w:r>
    </w:p>
    <w:p w14:paraId="12BCE7C0"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The other information comprises the information included in the Statement of Accounts</w:t>
      </w:r>
      <w:r w:rsidRPr="00201F1E">
        <w:rPr>
          <w:rFonts w:ascii="Arial" w:eastAsia="Arial" w:hAnsi="Arial" w:cs="Arial"/>
          <w:b/>
          <w:color w:val="000000"/>
          <w:kern w:val="2"/>
          <w:sz w:val="18"/>
          <w:szCs w:val="24"/>
          <w:lang w:eastAsia="en-GB"/>
          <w14:ligatures w14:val="standardContextual"/>
        </w:rPr>
        <w:t>,</w:t>
      </w:r>
      <w:r w:rsidRPr="00201F1E">
        <w:rPr>
          <w:rFonts w:ascii="Arial" w:eastAsia="Arial" w:hAnsi="Arial" w:cs="Arial"/>
          <w:color w:val="000000"/>
          <w:kern w:val="2"/>
          <w:sz w:val="18"/>
          <w:szCs w:val="24"/>
          <w:lang w:eastAsia="en-GB"/>
          <w14:ligatures w14:val="standardContextual"/>
        </w:rPr>
        <w:t xml:space="preserve"> other than the financial statements and our auditor’s report thereon. The Chief Finance Officer’s is responsible for the other information. Our opinion on the financial statements does not cover the other information and, except to the extent otherwise explicitly stated in our report, we do not express any form of assurance conclusion thereon.  </w:t>
      </w:r>
    </w:p>
    <w:p w14:paraId="74136B91"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Our responsibility is to read the other information and, in doing so, consider whether the other information is materially inconsistent with the financial </w:t>
      </w:r>
      <w:proofErr w:type="gramStart"/>
      <w:r w:rsidRPr="00201F1E">
        <w:rPr>
          <w:rFonts w:ascii="Arial" w:eastAsia="Arial" w:hAnsi="Arial" w:cs="Arial"/>
          <w:color w:val="000000"/>
          <w:kern w:val="2"/>
          <w:sz w:val="18"/>
          <w:szCs w:val="24"/>
          <w:lang w:eastAsia="en-GB"/>
          <w14:ligatures w14:val="standardContextual"/>
        </w:rPr>
        <w:t>statements</w:t>
      </w:r>
      <w:proofErr w:type="gramEnd"/>
      <w:r w:rsidRPr="00201F1E">
        <w:rPr>
          <w:rFonts w:ascii="Arial" w:eastAsia="Arial" w:hAnsi="Arial" w:cs="Arial"/>
          <w:color w:val="000000"/>
          <w:kern w:val="2"/>
          <w:sz w:val="18"/>
          <w:szCs w:val="24"/>
          <w:lang w:eastAsia="en-GB"/>
          <w14:ligatures w14:val="standardContextual"/>
        </w:rPr>
        <w:t xml:space="preserve"> or our knowledge obtained in the audit or otherwise appears to be materially misstated. If we identify such material inconsistencies or apparent material misstatements, we are required to determine whether there is a material misstatement in the financial statements themselves. If, based on the work we have performed, we conclude that there is a material misstatement of this other information, we are required to report that fact.  </w:t>
      </w:r>
    </w:p>
    <w:p w14:paraId="28128A12" w14:textId="77777777" w:rsidR="00201F1E" w:rsidRPr="00201F1E" w:rsidRDefault="00201F1E" w:rsidP="00201F1E">
      <w:pPr>
        <w:spacing w:after="24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nothing to report in this regard. </w:t>
      </w:r>
    </w:p>
    <w:p w14:paraId="6A4799B2"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Other information we are required to report on by exception under the Code of Audit Practice </w:t>
      </w:r>
    </w:p>
    <w:p w14:paraId="57E0349A"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Under the Code of Audit Practice published by the National Audit Office in November 2024 on behalf of the Comptroller and Auditor General (the Code of Audit Practice) we are required to consider whether the Annual Governance Statement does not comply with the requirements of the CIPFA/LASAAC Code of Practice on Local Authority Accounting in the United Kingdom 2024/25, or is misleading or inconsistent with the information of which we are aware from our audit. We are not required to consider whether the Annual Governance Statement addresses all risks and controls or that risks are satisfactorily addressed by internal controls.  </w:t>
      </w:r>
    </w:p>
    <w:p w14:paraId="4F4EEA36" w14:textId="77777777" w:rsidR="00201F1E" w:rsidRPr="00201F1E" w:rsidRDefault="00201F1E" w:rsidP="00201F1E">
      <w:pPr>
        <w:spacing w:after="24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nothing to report in this regard. </w:t>
      </w:r>
    </w:p>
    <w:p w14:paraId="217BF389"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Opinion on other matters required by the Code of Audit Practice  </w:t>
      </w:r>
    </w:p>
    <w:p w14:paraId="2B3A810C"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In our opinion, based on the work undertaken in the course of the audit of the financial statements, the other information published together with the financial statements in the Statement of Accounts for the financial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for which the financial statements are prepared is consistent with the financial statements. </w:t>
      </w:r>
    </w:p>
    <w:p w14:paraId="7E757EA0"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Matters on which we are required to report by exception </w:t>
      </w:r>
    </w:p>
    <w:p w14:paraId="7C87B516"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Under the Code of Audit Practice, we are required to report to you if: </w:t>
      </w:r>
    </w:p>
    <w:p w14:paraId="7D3AFBA8" w14:textId="77777777" w:rsidR="00201F1E" w:rsidRPr="00201F1E" w:rsidRDefault="00201F1E" w:rsidP="00201F1E">
      <w:pPr>
        <w:numPr>
          <w:ilvl w:val="0"/>
          <w:numId w:val="27"/>
        </w:numPr>
        <w:spacing w:after="146" w:line="270" w:lineRule="auto"/>
        <w:ind w:hanging="35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issue a report in the public interest under section 24 of the Local Audit and Accountability Act 2014 in the course of, or at the conclusion of the audit; or </w:t>
      </w:r>
    </w:p>
    <w:p w14:paraId="5AD5672C" w14:textId="77777777" w:rsidR="00201F1E" w:rsidRPr="00201F1E" w:rsidRDefault="00201F1E" w:rsidP="00201F1E">
      <w:pPr>
        <w:numPr>
          <w:ilvl w:val="0"/>
          <w:numId w:val="27"/>
        </w:numPr>
        <w:spacing w:after="146" w:line="270" w:lineRule="auto"/>
        <w:ind w:hanging="35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make a written recommendation to the Fire and Rescue Authority under section 24 of the Local Audit and Accountability Act 2014 in the course of, or at the conclusion of the audit; or </w:t>
      </w:r>
    </w:p>
    <w:p w14:paraId="47E3E8A9" w14:textId="77777777" w:rsidR="00201F1E" w:rsidRPr="00201F1E" w:rsidRDefault="00201F1E" w:rsidP="00201F1E">
      <w:pPr>
        <w:numPr>
          <w:ilvl w:val="0"/>
          <w:numId w:val="27"/>
        </w:numPr>
        <w:spacing w:after="146" w:line="270" w:lineRule="auto"/>
        <w:ind w:hanging="35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make an application to the court for a declaration that an item of account is contrary to law under Section 28 of the Local Audit and Accountability Act 2014 in the course of, or at the conclusion of the audit; </w:t>
      </w:r>
      <w:proofErr w:type="gramStart"/>
      <w:r w:rsidRPr="00201F1E">
        <w:rPr>
          <w:rFonts w:ascii="Arial" w:eastAsia="Arial" w:hAnsi="Arial" w:cs="Arial"/>
          <w:color w:val="000000"/>
          <w:kern w:val="2"/>
          <w:sz w:val="18"/>
          <w:szCs w:val="24"/>
          <w:lang w:eastAsia="en-GB"/>
          <w14:ligatures w14:val="standardContextual"/>
        </w:rPr>
        <w:t>or;</w:t>
      </w:r>
      <w:proofErr w:type="gramEnd"/>
      <w:r w:rsidRPr="00201F1E">
        <w:rPr>
          <w:rFonts w:ascii="Arial" w:eastAsia="Arial" w:hAnsi="Arial" w:cs="Arial"/>
          <w:color w:val="000000"/>
          <w:kern w:val="2"/>
          <w:sz w:val="18"/>
          <w:szCs w:val="24"/>
          <w:lang w:eastAsia="en-GB"/>
          <w14:ligatures w14:val="standardContextual"/>
        </w:rPr>
        <w:t xml:space="preserve">  </w:t>
      </w:r>
    </w:p>
    <w:p w14:paraId="0D6187E5" w14:textId="77777777" w:rsidR="00201F1E" w:rsidRPr="00201F1E" w:rsidRDefault="00201F1E" w:rsidP="00201F1E">
      <w:pPr>
        <w:numPr>
          <w:ilvl w:val="0"/>
          <w:numId w:val="27"/>
        </w:numPr>
        <w:spacing w:after="146" w:line="270" w:lineRule="auto"/>
        <w:ind w:hanging="35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issue an advisory notice under Section 29 of the Local Audit and Accountability Act 2014 in the course of, or at the conclusion of the audit; or  </w:t>
      </w:r>
    </w:p>
    <w:p w14:paraId="71A71044" w14:textId="77777777" w:rsidR="00201F1E" w:rsidRPr="00201F1E" w:rsidRDefault="00201F1E" w:rsidP="00201F1E">
      <w:pPr>
        <w:numPr>
          <w:ilvl w:val="0"/>
          <w:numId w:val="27"/>
        </w:numPr>
        <w:spacing w:after="146" w:line="270" w:lineRule="auto"/>
        <w:ind w:hanging="35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make an application for judicial review under Section 31 of the Local Audit and Accountability Act 2014, in the course of, or at the conclusion of the audit. </w:t>
      </w:r>
    </w:p>
    <w:p w14:paraId="3127E3C2" w14:textId="77777777" w:rsidR="00201F1E" w:rsidRPr="00201F1E" w:rsidRDefault="00201F1E" w:rsidP="00201F1E">
      <w:pPr>
        <w:spacing w:after="24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nothing to report in respect of the above matters. </w:t>
      </w:r>
    </w:p>
    <w:p w14:paraId="62596869"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Responsibilities of the Fire and Rescue Authority and the Chief Finance Officer  </w:t>
      </w:r>
    </w:p>
    <w:p w14:paraId="1B07634E"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As explained more fully in the Statement of Responsibilities, the Fire and Rescue Authority is required to make arrangements for the proper administration of its financial affairs and to secure that one of its officers has the responsibility for the administration of those affairs. That officer is the Chief Finance Officer. The Chief Finance Officer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is responsible for the preparation of the Statement of Accounts, which includes the financial statements, in accordance with proper practices as set out in the CIPFA/LASAAC Code of Practice on Local Authority Accounting in the United Kingdom 2024/25, for being satisfied that they give a true and fair view, and for such internal control as the Chief Finance Officer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determines is necessary to enable the preparation of financial statements that are free from material misstatement, whether due to fraud or error.  </w:t>
      </w:r>
    </w:p>
    <w:p w14:paraId="0579750A"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In preparing the financial statements, the Chief Finance Officer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is responsible for assessing the Fire and Rescue </w:t>
      </w:r>
    </w:p>
    <w:p w14:paraId="1F8BC1F9"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Authority’s ability to continue as a going concern, disclosing, as applicable, matters related to going concern and using the going concern basis of accounting unless they have been informed by the relevant national body of the intention to dissolve the Fire and Rescue Authority without the transfer of its services to another public sector entity. </w:t>
      </w:r>
    </w:p>
    <w:p w14:paraId="4F9D2FEB" w14:textId="77777777" w:rsidR="00201F1E" w:rsidRPr="00201F1E" w:rsidRDefault="00201F1E" w:rsidP="00201F1E">
      <w:pPr>
        <w:spacing w:after="128" w:line="269"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Auditor’s responsibilities for the audit of the financial statements </w:t>
      </w:r>
    </w:p>
    <w:p w14:paraId="5C4428A1" w14:textId="77777777" w:rsidR="00201F1E" w:rsidRPr="00201F1E" w:rsidRDefault="00201F1E" w:rsidP="00201F1E">
      <w:pPr>
        <w:spacing w:after="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lastRenderedPageBreak/>
        <w:t xml:space="preserve">Our objectives are to obtain reasonable assurance about whether the financial statements as a whole are free from material misstatement, whether due to fraud or error, and to issue an auditor’s report that includes our opinion. </w:t>
      </w:r>
    </w:p>
    <w:p w14:paraId="3DD795A9"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Reasonable assurance is a high level of assurance but is not a guarantee that an audit conducted in accordance with ISAs (UK) will always detect a material misstatement when it exists.  </w:t>
      </w:r>
    </w:p>
    <w:p w14:paraId="129540D3"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Misstatements can arise from fraud or error and are considered material if, individually or in the aggregate, they could reasonably be expected to influence the economic decisions of users taken on the basis of these financial statements.  </w:t>
      </w:r>
    </w:p>
    <w:p w14:paraId="02E49C9F"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Irregularities, including fraud, are instances of non-compliance with laws and regulations. The extent to which our procedures are capable of detecting irregularities, including fraud, is detailed below: </w:t>
      </w:r>
    </w:p>
    <w:p w14:paraId="17593B8F" w14:textId="77777777" w:rsidR="00201F1E" w:rsidRPr="00201F1E" w:rsidRDefault="00201F1E" w:rsidP="00201F1E">
      <w:pPr>
        <w:numPr>
          <w:ilvl w:val="0"/>
          <w:numId w:val="28"/>
        </w:numPr>
        <w:spacing w:after="8"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obtained an understanding of the legal and regulatory frameworks that are applicable to the Fire and Rescue Authority and determined that the most significant which are directly relevant to specific assertions in the financial statements are those related to the reporting frameworks (the CIPFA/LASAAC Code of Practice on Local Authority Accounting in the United Kingdom 2024/25, the Local Audit and Accountability Act 2014, the Accounts and Audit </w:t>
      </w:r>
    </w:p>
    <w:p w14:paraId="554E8E7A" w14:textId="77777777" w:rsidR="00201F1E" w:rsidRPr="00201F1E" w:rsidRDefault="00201F1E" w:rsidP="00201F1E">
      <w:pPr>
        <w:spacing w:after="16"/>
        <w:ind w:left="138" w:right="207" w:hanging="10"/>
        <w:jc w:val="center"/>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Regulations 2015, the Accounts and Audit (Amendment) Act 2024, the Local Government Act 2003, the Fire and </w:t>
      </w:r>
    </w:p>
    <w:p w14:paraId="41BCD1A3" w14:textId="77777777" w:rsidR="00201F1E" w:rsidRPr="00201F1E" w:rsidRDefault="00201F1E" w:rsidP="00201F1E">
      <w:pPr>
        <w:spacing w:after="146" w:line="270" w:lineRule="auto"/>
        <w:ind w:left="370"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Rescue Services Act 2004, the Public Service Pensions Act 2013, the Firefighters’ Pension Scheme (England) Regulations 2014, and the Firefighters’ Pension Scheme (England) Order 2006.) </w:t>
      </w:r>
    </w:p>
    <w:p w14:paraId="03C32299" w14:textId="77777777" w:rsidR="00201F1E" w:rsidRPr="00201F1E" w:rsidRDefault="00201F1E" w:rsidP="00201F1E">
      <w:pPr>
        <w:numPr>
          <w:ilvl w:val="0"/>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enquired of management and the Fire and Rescue Authority concerning the Fire and Rescue Authority’s policies and procedures relating to:  </w:t>
      </w:r>
    </w:p>
    <w:p w14:paraId="70130CE3"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identification, evaluation and compliance with laws and </w:t>
      </w:r>
      <w:proofErr w:type="gramStart"/>
      <w:r w:rsidRPr="00201F1E">
        <w:rPr>
          <w:rFonts w:ascii="Arial" w:eastAsia="Arial" w:hAnsi="Arial" w:cs="Arial"/>
          <w:color w:val="000000"/>
          <w:kern w:val="2"/>
          <w:sz w:val="18"/>
          <w:szCs w:val="24"/>
          <w:lang w:eastAsia="en-GB"/>
          <w14:ligatures w14:val="standardContextual"/>
        </w:rPr>
        <w:t>regulations;</w:t>
      </w:r>
      <w:proofErr w:type="gramEnd"/>
      <w:r w:rsidRPr="00201F1E">
        <w:rPr>
          <w:rFonts w:ascii="Arial" w:eastAsia="Arial" w:hAnsi="Arial" w:cs="Arial"/>
          <w:color w:val="000000"/>
          <w:kern w:val="2"/>
          <w:sz w:val="18"/>
          <w:szCs w:val="24"/>
          <w:lang w:eastAsia="en-GB"/>
          <w14:ligatures w14:val="standardContextual"/>
        </w:rPr>
        <w:t xml:space="preserve"> </w:t>
      </w:r>
    </w:p>
    <w:p w14:paraId="25E26158"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detection and response to the risks of fraud; and </w:t>
      </w:r>
    </w:p>
    <w:p w14:paraId="78BD30A0"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establishment of internal controls to mitigate risks related to fraud or non-compliance with laws and regulations.  </w:t>
      </w:r>
    </w:p>
    <w:p w14:paraId="0CFF6B28" w14:textId="77777777" w:rsidR="00201F1E" w:rsidRPr="00201F1E" w:rsidRDefault="00201F1E" w:rsidP="00201F1E">
      <w:pPr>
        <w:numPr>
          <w:ilvl w:val="0"/>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enquired of management, internal audit and the Fire and Rescue Authority whether they were aware of any instances of non-compliance with laws and regulations or whether they had any knowledge of actual, suspected or alleged fraud.  </w:t>
      </w:r>
    </w:p>
    <w:p w14:paraId="3DBE88EA" w14:textId="77777777" w:rsidR="00201F1E" w:rsidRPr="00201F1E" w:rsidRDefault="00201F1E" w:rsidP="00201F1E">
      <w:pPr>
        <w:numPr>
          <w:ilvl w:val="0"/>
          <w:numId w:val="28"/>
        </w:numPr>
        <w:spacing w:after="113"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We assessed the susceptibility of the Fire and Rescue Authority’s financial statements to material misstatement, including how fraud might occur, by evaluating management’s incentives and opportunities for manipulation of the financial statements. This included the evaluation of the risk of management override of controls. We determined that the principal risks were in relation to journal entries that</w:t>
      </w:r>
      <w:r w:rsidRPr="00201F1E">
        <w:rPr>
          <w:rFonts w:ascii="Segoe UI" w:eastAsia="Segoe UI" w:hAnsi="Segoe UI" w:cs="Segoe UI"/>
          <w:color w:val="242424"/>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altered the financial performance for the year. </w:t>
      </w:r>
    </w:p>
    <w:p w14:paraId="5197595D" w14:textId="77777777" w:rsidR="00201F1E" w:rsidRPr="00201F1E" w:rsidRDefault="00201F1E" w:rsidP="00201F1E">
      <w:pPr>
        <w:numPr>
          <w:ilvl w:val="0"/>
          <w:numId w:val="28"/>
        </w:numPr>
        <w:spacing w:after="114"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Our audit procedures involved:  </w:t>
      </w:r>
    </w:p>
    <w:p w14:paraId="364C3541"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evaluation of the design effectiveness of controls that management has in place to prevent and detect </w:t>
      </w:r>
      <w:proofErr w:type="gramStart"/>
      <w:r w:rsidRPr="00201F1E">
        <w:rPr>
          <w:rFonts w:ascii="Arial" w:eastAsia="Arial" w:hAnsi="Arial" w:cs="Arial"/>
          <w:color w:val="000000"/>
          <w:kern w:val="2"/>
          <w:sz w:val="18"/>
          <w:szCs w:val="24"/>
          <w:lang w:eastAsia="en-GB"/>
          <w14:ligatures w14:val="standardContextual"/>
        </w:rPr>
        <w:t>fraud;</w:t>
      </w:r>
      <w:proofErr w:type="gramEnd"/>
      <w:r w:rsidRPr="00201F1E">
        <w:rPr>
          <w:rFonts w:ascii="Arial" w:eastAsia="Arial" w:hAnsi="Arial" w:cs="Arial"/>
          <w:color w:val="000000"/>
          <w:kern w:val="2"/>
          <w:sz w:val="18"/>
          <w:szCs w:val="24"/>
          <w:lang w:eastAsia="en-GB"/>
          <w14:ligatures w14:val="standardContextual"/>
        </w:rPr>
        <w:t xml:space="preserve"> </w:t>
      </w:r>
    </w:p>
    <w:p w14:paraId="24A3CABE"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journal entry testing, with a focus on manually posted journals, including those with a material impact on the surplus/deficit on provision of services line of the Comprehensive Income and Expenditure </w:t>
      </w:r>
      <w:proofErr w:type="gramStart"/>
      <w:r w:rsidRPr="00201F1E">
        <w:rPr>
          <w:rFonts w:ascii="Arial" w:eastAsia="Arial" w:hAnsi="Arial" w:cs="Arial"/>
          <w:color w:val="000000"/>
          <w:kern w:val="2"/>
          <w:sz w:val="18"/>
          <w:szCs w:val="24"/>
          <w:lang w:eastAsia="en-GB"/>
          <w14:ligatures w14:val="standardContextual"/>
        </w:rPr>
        <w:t>Statement;</w:t>
      </w:r>
      <w:proofErr w:type="gramEnd"/>
      <w:r w:rsidRPr="00201F1E">
        <w:rPr>
          <w:rFonts w:ascii="Arial" w:eastAsia="Arial" w:hAnsi="Arial" w:cs="Arial"/>
          <w:color w:val="000000"/>
          <w:kern w:val="2"/>
          <w:sz w:val="18"/>
          <w:szCs w:val="24"/>
          <w:lang w:eastAsia="en-GB"/>
          <w14:ligatures w14:val="standardContextual"/>
        </w:rPr>
        <w:t xml:space="preserve"> </w:t>
      </w:r>
    </w:p>
    <w:p w14:paraId="3AA5A37B"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challenging assumptions and judgements made by management in its significant accounting estimates in respect of</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the valuations of both property and pension liabilities within the balance sheet; and </w:t>
      </w:r>
    </w:p>
    <w:p w14:paraId="7F7D71F5"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assessing the extent of compliance with the relevant laws and regulations as part of our procedures on the related financial statement item. </w:t>
      </w:r>
    </w:p>
    <w:p w14:paraId="0A89C0C3" w14:textId="77777777" w:rsidR="00201F1E" w:rsidRPr="00201F1E" w:rsidRDefault="00201F1E" w:rsidP="00201F1E">
      <w:pPr>
        <w:numPr>
          <w:ilvl w:val="0"/>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These audit procedures were designed to provide reasonable assurance that the financial statements were free from fraud or error. The risk of not detecting a material misstatement due to fraud is higher than the risk of not detecting one resulting from error and detecting irregularities that result from fraud is inherently more difficult than detecting those that result from error, as fraud may involve collusion, deliberate concealment, forgery or intentional misrepresentations. Also, the further removed non-compliance with laws and regulations is from events and transactions reflected in the financial statements, the less likely we would become aware of it. </w:t>
      </w:r>
    </w:p>
    <w:p w14:paraId="61B4BCF3" w14:textId="77777777" w:rsidR="00201F1E" w:rsidRPr="00201F1E" w:rsidRDefault="00201F1E" w:rsidP="00201F1E">
      <w:pPr>
        <w:numPr>
          <w:ilvl w:val="0"/>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communicated relevant laws and regulations and potential fraud risks to all engagement team members, including the risk of management override of controls. We remained alert to any indications of non-compliance with laws and regulations, including fraud, throughout the audit. </w:t>
      </w:r>
    </w:p>
    <w:p w14:paraId="6DC19463" w14:textId="77777777" w:rsidR="00201F1E" w:rsidRPr="00201F1E" w:rsidRDefault="00201F1E" w:rsidP="00201F1E">
      <w:pPr>
        <w:numPr>
          <w:ilvl w:val="0"/>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engagement partner's assessment of the appropriateness of the collective competence and capabilities of the engagement team included consideration of the engagement team's: </w:t>
      </w:r>
    </w:p>
    <w:p w14:paraId="36667933"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understanding of, and practical experience with audit engagements of a similar nature and complexity through appropriate training and participation </w:t>
      </w:r>
    </w:p>
    <w:p w14:paraId="14446E46"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knowledge of the local government sector </w:t>
      </w:r>
    </w:p>
    <w:p w14:paraId="2047379E"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understanding of the legal and regulatory requirements specific to the Fire and Rescue Authority including: </w:t>
      </w:r>
    </w:p>
    <w:p w14:paraId="672D671D" w14:textId="77777777" w:rsidR="00201F1E" w:rsidRPr="00201F1E" w:rsidRDefault="00201F1E" w:rsidP="00201F1E">
      <w:pPr>
        <w:numPr>
          <w:ilvl w:val="1"/>
          <w:numId w:val="28"/>
        </w:numPr>
        <w:spacing w:after="146" w:line="442"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provisions of the applicable legislation - </w:t>
      </w:r>
      <w:r w:rsidRPr="00201F1E">
        <w:rPr>
          <w:rFonts w:ascii="Arial" w:eastAsia="Arial" w:hAnsi="Arial" w:cs="Arial"/>
          <w:color w:val="000000"/>
          <w:kern w:val="2"/>
          <w:sz w:val="18"/>
          <w:szCs w:val="24"/>
          <w:lang w:eastAsia="en-GB"/>
          <w14:ligatures w14:val="standardContextual"/>
        </w:rPr>
        <w:tab/>
        <w:t xml:space="preserve">guidance issued by CIPFA/LASAAC and SOLACE </w:t>
      </w:r>
    </w:p>
    <w:p w14:paraId="53D99EA6"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lastRenderedPageBreak/>
        <w:t xml:space="preserve">the applicable statutory provisions. </w:t>
      </w:r>
    </w:p>
    <w:p w14:paraId="5EA81B59" w14:textId="77777777" w:rsidR="00201F1E" w:rsidRPr="00201F1E" w:rsidRDefault="00201F1E" w:rsidP="00201F1E">
      <w:pPr>
        <w:numPr>
          <w:ilvl w:val="0"/>
          <w:numId w:val="28"/>
        </w:numPr>
        <w:spacing w:after="114"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In assessing the potential risks of material misstatement, we obtained an understanding of: </w:t>
      </w:r>
    </w:p>
    <w:p w14:paraId="722E0563" w14:textId="77777777" w:rsidR="00201F1E" w:rsidRPr="00201F1E" w:rsidRDefault="00201F1E" w:rsidP="00201F1E">
      <w:pPr>
        <w:numPr>
          <w:ilvl w:val="1"/>
          <w:numId w:val="28"/>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Fire and Rescue Authority’s operations, including the nature of its income and expenditure and its services and of its objectives and strategies to understand the classes of transactions, account balances, expected financial statement disclosures and business risks that may result in risks of material misstatement. </w:t>
      </w:r>
    </w:p>
    <w:p w14:paraId="6A91A1EB" w14:textId="77777777" w:rsidR="00201F1E" w:rsidRPr="00201F1E" w:rsidRDefault="00201F1E" w:rsidP="00201F1E">
      <w:pPr>
        <w:numPr>
          <w:ilvl w:val="1"/>
          <w:numId w:val="28"/>
        </w:numPr>
        <w:spacing w:after="134"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Fire and Rescue Authority 's control environment, including the policies and procedures implemented by the Fire and Rescue Authority to ensure compliance with the requirements of the financial reporting framework. </w:t>
      </w:r>
    </w:p>
    <w:p w14:paraId="6FFDB76B"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A further description of our responsibilities for the audit of the financial statements is located on the Financial Reporting Council’s website at: </w:t>
      </w:r>
      <w:hyperlink r:id="rId19">
        <w:r w:rsidRPr="00201F1E">
          <w:rPr>
            <w:rFonts w:ascii="Arial" w:eastAsia="Arial" w:hAnsi="Arial" w:cs="Arial"/>
            <w:color w:val="0000FF"/>
            <w:kern w:val="2"/>
            <w:sz w:val="18"/>
            <w:szCs w:val="24"/>
            <w:u w:val="single" w:color="0000FF"/>
            <w:lang w:eastAsia="en-GB"/>
            <w14:ligatures w14:val="standardContextual"/>
          </w:rPr>
          <w:t>www.frc.org.uk/auditorsresponsibilities</w:t>
        </w:r>
      </w:hyperlink>
      <w:hyperlink r:id="rId20">
        <w:r w:rsidRPr="00201F1E">
          <w:rPr>
            <w:rFonts w:ascii="Arial" w:eastAsia="Arial" w:hAnsi="Arial" w:cs="Arial"/>
            <w:color w:val="000000"/>
            <w:kern w:val="2"/>
            <w:sz w:val="18"/>
            <w:szCs w:val="24"/>
            <w:lang w:eastAsia="en-GB"/>
            <w14:ligatures w14:val="standardContextual"/>
          </w:rPr>
          <w:t>.</w:t>
        </w:r>
      </w:hyperlink>
      <w:r w:rsidRPr="00201F1E">
        <w:rPr>
          <w:rFonts w:ascii="Arial" w:eastAsia="Arial" w:hAnsi="Arial" w:cs="Arial"/>
          <w:color w:val="000000"/>
          <w:kern w:val="2"/>
          <w:sz w:val="18"/>
          <w:szCs w:val="24"/>
          <w:lang w:eastAsia="en-GB"/>
          <w14:ligatures w14:val="standardContextual"/>
        </w:rPr>
        <w:t xml:space="preserve"> This description forms part of our auditor’s report. </w:t>
      </w:r>
    </w:p>
    <w:p w14:paraId="73727828" w14:textId="77777777" w:rsidR="00201F1E" w:rsidRPr="00201F1E" w:rsidRDefault="00201F1E" w:rsidP="00201F1E">
      <w:pPr>
        <w:spacing w:after="309"/>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 </w:t>
      </w:r>
    </w:p>
    <w:p w14:paraId="09789324" w14:textId="77777777" w:rsidR="00201F1E" w:rsidRPr="00201F1E" w:rsidRDefault="00201F1E" w:rsidP="00201F1E">
      <w:pPr>
        <w:keepNext/>
        <w:keepLines/>
        <w:spacing w:after="89" w:line="250" w:lineRule="auto"/>
        <w:ind w:left="-5" w:hanging="10"/>
        <w:jc w:val="left"/>
        <w:outlineLvl w:val="0"/>
        <w:rPr>
          <w:rFonts w:ascii="Arial" w:eastAsia="Arial" w:hAnsi="Arial" w:cs="Arial"/>
          <w:b/>
          <w:color w:val="4F2D7F"/>
          <w:kern w:val="2"/>
          <w:sz w:val="24"/>
          <w:szCs w:val="24"/>
          <w:lang w:eastAsia="en-GB"/>
          <w14:ligatures w14:val="standardContextual"/>
        </w:rPr>
      </w:pPr>
      <w:r w:rsidRPr="00201F1E">
        <w:rPr>
          <w:rFonts w:ascii="Arial" w:eastAsia="Arial" w:hAnsi="Arial" w:cs="Arial"/>
          <w:b/>
          <w:color w:val="4F2D7F"/>
          <w:kern w:val="2"/>
          <w:sz w:val="24"/>
          <w:szCs w:val="24"/>
          <w:lang w:eastAsia="en-GB"/>
          <w14:ligatures w14:val="standardContextual"/>
        </w:rPr>
        <w:t xml:space="preserve">Report on other legal and regulatory requirements – the Fire and Rescue Authority’s arrangements for securing economy, efficiency and effectiveness in its use of resources </w:t>
      </w:r>
    </w:p>
    <w:p w14:paraId="71B18240"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Matter on which we are required to report by exception – the Fire and Rescue Authority’s arrangements for securing economy, efficiency and effectiveness in its use of resources </w:t>
      </w:r>
    </w:p>
    <w:p w14:paraId="41DEB79A"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Under the Code of Audit Practice, we are required to report to you if, in our opinion, we have not been able to satisfy ourselves that the Fire and Rescue Authority has made proper arrangements for securing economy, efficiency and effectiveness in its use of resources 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ended 31 March 2025.   </w:t>
      </w:r>
    </w:p>
    <w:p w14:paraId="18366D95" w14:textId="77777777" w:rsidR="00201F1E" w:rsidRPr="00201F1E" w:rsidRDefault="00201F1E" w:rsidP="00201F1E">
      <w:pPr>
        <w:spacing w:after="249"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nothing to report in respect of the above matter. </w:t>
      </w:r>
    </w:p>
    <w:p w14:paraId="7B16B069"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Responsibilities of the Fire and Rescue Authority </w:t>
      </w:r>
    </w:p>
    <w:p w14:paraId="307AB0B2"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The Fire and Rescue Authority is responsible for putting in place proper arrangements for securing economy, efficiency and effectiveness in its use of resources. </w:t>
      </w:r>
    </w:p>
    <w:p w14:paraId="6DD95C93" w14:textId="77777777" w:rsidR="00201F1E" w:rsidRPr="00201F1E" w:rsidRDefault="00201F1E" w:rsidP="00201F1E">
      <w:pPr>
        <w:spacing w:after="128" w:line="269"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t xml:space="preserve">Auditor’s responsibilities for the review of the Fire and Rescue Authority’s arrangements for securing economy, efficiency and effectiveness in its use of resources </w:t>
      </w:r>
    </w:p>
    <w:p w14:paraId="46C17148"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are required under Section 20(1)(c) of the Local Audit and Accountability Act 2014 to be satisfied that the Fire and Rescue Authority has made proper arrangements for securing economy, efficiency and effectiveness in its use of resources. We are not required to consider, nor have we considered, whether all aspects of the Fire and Rescue Authority 's arrangements for securing economy, efficiency and effectiveness in its use of resources are operating effectively. </w:t>
      </w:r>
    </w:p>
    <w:p w14:paraId="0623B6FE"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have undertaken our review in accordance with the Code of Audit Practice, having regard to the guidance issued by the Comptroller and Auditor General in November 2024. This guidance sets out the arrangements that fall within the scope of ‘proper </w:t>
      </w:r>
      <w:proofErr w:type="gramStart"/>
      <w:r w:rsidRPr="00201F1E">
        <w:rPr>
          <w:rFonts w:ascii="Arial" w:eastAsia="Arial" w:hAnsi="Arial" w:cs="Arial"/>
          <w:color w:val="000000"/>
          <w:kern w:val="2"/>
          <w:sz w:val="18"/>
          <w:szCs w:val="24"/>
          <w:lang w:eastAsia="en-GB"/>
          <w14:ligatures w14:val="standardContextual"/>
        </w:rPr>
        <w:t>arrangements’</w:t>
      </w:r>
      <w:proofErr w:type="gramEnd"/>
      <w:r w:rsidRPr="00201F1E">
        <w:rPr>
          <w:rFonts w:ascii="Arial" w:eastAsia="Arial" w:hAnsi="Arial" w:cs="Arial"/>
          <w:color w:val="000000"/>
          <w:kern w:val="2"/>
          <w:sz w:val="18"/>
          <w:szCs w:val="24"/>
          <w:lang w:eastAsia="en-GB"/>
          <w14:ligatures w14:val="standardContextual"/>
        </w:rPr>
        <w:t xml:space="preserve">. When reporting on these arrangements, the Code of Audit Practice requires auditors to structure their commentary on arrangements under three specified reporting criteria: </w:t>
      </w:r>
    </w:p>
    <w:p w14:paraId="232FEDF7" w14:textId="77777777" w:rsidR="00201F1E" w:rsidRPr="00201F1E" w:rsidRDefault="00201F1E" w:rsidP="00201F1E">
      <w:pPr>
        <w:numPr>
          <w:ilvl w:val="0"/>
          <w:numId w:val="29"/>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Financial sustainability: how the Fire and Rescue Authority plans and manages its resources to ensure it can continue to deliver its </w:t>
      </w:r>
      <w:proofErr w:type="gramStart"/>
      <w:r w:rsidRPr="00201F1E">
        <w:rPr>
          <w:rFonts w:ascii="Arial" w:eastAsia="Arial" w:hAnsi="Arial" w:cs="Arial"/>
          <w:color w:val="000000"/>
          <w:kern w:val="2"/>
          <w:sz w:val="18"/>
          <w:szCs w:val="24"/>
          <w:lang w:eastAsia="en-GB"/>
          <w14:ligatures w14:val="standardContextual"/>
        </w:rPr>
        <w:t>services;</w:t>
      </w:r>
      <w:proofErr w:type="gramEnd"/>
      <w:r w:rsidRPr="00201F1E">
        <w:rPr>
          <w:rFonts w:ascii="Arial" w:eastAsia="Arial" w:hAnsi="Arial" w:cs="Arial"/>
          <w:color w:val="000000"/>
          <w:kern w:val="2"/>
          <w:sz w:val="18"/>
          <w:szCs w:val="24"/>
          <w:lang w:eastAsia="en-GB"/>
          <w14:ligatures w14:val="standardContextual"/>
        </w:rPr>
        <w:t xml:space="preserve">  </w:t>
      </w:r>
    </w:p>
    <w:p w14:paraId="00C8DF59" w14:textId="77777777" w:rsidR="00201F1E" w:rsidRPr="00201F1E" w:rsidRDefault="00201F1E" w:rsidP="00201F1E">
      <w:pPr>
        <w:numPr>
          <w:ilvl w:val="0"/>
          <w:numId w:val="29"/>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Governance: how the Fire and Rescue Authority ensures that it makes informed decisions and properly manages its risks; and  </w:t>
      </w:r>
    </w:p>
    <w:p w14:paraId="352CF8CE" w14:textId="77777777" w:rsidR="00201F1E" w:rsidRPr="00201F1E" w:rsidRDefault="00201F1E" w:rsidP="00201F1E">
      <w:pPr>
        <w:numPr>
          <w:ilvl w:val="0"/>
          <w:numId w:val="29"/>
        </w:numPr>
        <w:spacing w:after="146" w:line="270" w:lineRule="auto"/>
        <w:ind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Improving economy, efficiency and effectiveness: how the Fire and Rescue Authority uses information about its costs and performance to improve the way it manages and delivers its services. </w:t>
      </w:r>
    </w:p>
    <w:p w14:paraId="1951B568"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document our understanding of the arrangements the Fire and Rescue Authority has in place for each of these three specified reporting criteria, gathering sufficient evidence to support our risk assessment and commentary in our Auditor’s Annual Report. In undertaking our work, we consider whether there is evidence to suggest that there are significant weaknesses in arrangements. </w:t>
      </w:r>
    </w:p>
    <w:p w14:paraId="6EA90918" w14:textId="77777777" w:rsidR="00201F1E" w:rsidRPr="00201F1E" w:rsidRDefault="00201F1E" w:rsidP="00201F1E">
      <w:pPr>
        <w:spacing w:after="28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 </w:t>
      </w:r>
    </w:p>
    <w:p w14:paraId="65CEC9A7" w14:textId="77777777" w:rsidR="00201F1E" w:rsidRPr="00201F1E" w:rsidRDefault="00201F1E" w:rsidP="00201F1E">
      <w:pPr>
        <w:keepNext/>
        <w:keepLines/>
        <w:spacing w:after="89" w:line="250" w:lineRule="auto"/>
        <w:ind w:left="-5" w:hanging="10"/>
        <w:jc w:val="left"/>
        <w:outlineLvl w:val="0"/>
        <w:rPr>
          <w:rFonts w:ascii="Arial" w:eastAsia="Arial" w:hAnsi="Arial" w:cs="Arial"/>
          <w:b/>
          <w:color w:val="4F2D7F"/>
          <w:kern w:val="2"/>
          <w:sz w:val="24"/>
          <w:szCs w:val="24"/>
          <w:lang w:eastAsia="en-GB"/>
          <w14:ligatures w14:val="standardContextual"/>
        </w:rPr>
      </w:pPr>
      <w:r w:rsidRPr="00201F1E">
        <w:rPr>
          <w:rFonts w:ascii="Arial" w:eastAsia="Arial" w:hAnsi="Arial" w:cs="Arial"/>
          <w:b/>
          <w:color w:val="4F2D7F"/>
          <w:kern w:val="2"/>
          <w:sz w:val="24"/>
          <w:szCs w:val="24"/>
          <w:lang w:eastAsia="en-GB"/>
          <w14:ligatures w14:val="standardContextual"/>
        </w:rPr>
        <w:t xml:space="preserve">Report on other legal and regulatory requirements – Delay in certification of completion of the audit </w:t>
      </w:r>
    </w:p>
    <w:p w14:paraId="491AEB80"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We cannot formally conclude the audit and issue an audit certificate for the Northamptonshire Commissioner Fire and </w:t>
      </w:r>
    </w:p>
    <w:p w14:paraId="28C9738E"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Rescue Authority</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ended 31 March 2025 in accordance with the requirements of the Local Audit and </w:t>
      </w:r>
    </w:p>
    <w:p w14:paraId="5362D132" w14:textId="77777777" w:rsidR="00201F1E" w:rsidRPr="00201F1E" w:rsidRDefault="00201F1E" w:rsidP="00201F1E">
      <w:pPr>
        <w:spacing w:after="2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Accountability Act 2014 and the Code of Audit Practice until we have received confirmation from the National Audit Office that the audit of Whole of Government Accounts is complete 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ended 31 March 2025. We are satisfied that this work does not have a material effect on the financial statements for the year</w:t>
      </w: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ended 31 March 2025. </w:t>
      </w:r>
    </w:p>
    <w:p w14:paraId="1100575D" w14:textId="77777777" w:rsidR="00201F1E" w:rsidRPr="00201F1E" w:rsidRDefault="00201F1E" w:rsidP="00201F1E">
      <w:pPr>
        <w:keepNext/>
        <w:keepLines/>
        <w:spacing w:after="128" w:line="269" w:lineRule="auto"/>
        <w:ind w:left="-5" w:hanging="10"/>
        <w:jc w:val="left"/>
        <w:outlineLvl w:val="1"/>
        <w:rPr>
          <w:rFonts w:ascii="Arial" w:eastAsia="Arial" w:hAnsi="Arial" w:cs="Arial"/>
          <w:b/>
          <w:color w:val="4F2D7F"/>
          <w:kern w:val="2"/>
          <w:sz w:val="18"/>
          <w:szCs w:val="24"/>
          <w:lang w:eastAsia="en-GB"/>
          <w14:ligatures w14:val="standardContextual"/>
        </w:rPr>
      </w:pPr>
      <w:r w:rsidRPr="00201F1E">
        <w:rPr>
          <w:rFonts w:ascii="Arial" w:eastAsia="Arial" w:hAnsi="Arial" w:cs="Arial"/>
          <w:b/>
          <w:color w:val="4F2D7F"/>
          <w:kern w:val="2"/>
          <w:sz w:val="18"/>
          <w:szCs w:val="24"/>
          <w:lang w:eastAsia="en-GB"/>
          <w14:ligatures w14:val="standardContextual"/>
        </w:rPr>
        <w:lastRenderedPageBreak/>
        <w:t xml:space="preserve">Use of our report </w:t>
      </w:r>
    </w:p>
    <w:p w14:paraId="55244959" w14:textId="77777777" w:rsidR="00201F1E" w:rsidRPr="00201F1E" w:rsidRDefault="00201F1E" w:rsidP="00201F1E">
      <w:pPr>
        <w:spacing w:after="8"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This report is made solely to the Fire and Rescue Authority, as a body, in accordance with Part 5 of the Local Audit and </w:t>
      </w:r>
    </w:p>
    <w:p w14:paraId="6C1ECEDE"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Accountability Act 2014 and as set out in paragraph 85 of the Statement of Responsibilities of Auditors and Audited Bodies published by Public Sector Audit Appointments Limited. Our audit work has been undertaken so that we might state to the Fire and Rescue Authority those matters we are required to state to the Fire and Rescue Authority in an auditor's report and for no other purpose. To the fullest extent permitted by law, we do not accept or assume responsibility to anyone other than the Fire and Rescue Authority as a body, for our audit work, for this report, or for the opinions we have formed. </w:t>
      </w:r>
    </w:p>
    <w:p w14:paraId="74F31E4B" w14:textId="77777777" w:rsidR="00201F1E" w:rsidRPr="00201F1E" w:rsidRDefault="00201F1E" w:rsidP="00201F1E">
      <w:pPr>
        <w:spacing w:after="148"/>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 </w:t>
      </w:r>
    </w:p>
    <w:p w14:paraId="2DDE28FF" w14:textId="77777777" w:rsidR="00201F1E" w:rsidRPr="00201F1E" w:rsidRDefault="00201F1E" w:rsidP="00201F1E">
      <w:pPr>
        <w:keepNext/>
        <w:keepLines/>
        <w:tabs>
          <w:tab w:val="center" w:pos="2160"/>
          <w:tab w:val="center" w:pos="2881"/>
          <w:tab w:val="center" w:pos="3601"/>
          <w:tab w:val="center" w:pos="4321"/>
          <w:tab w:val="center" w:pos="5041"/>
          <w:tab w:val="center" w:pos="5761"/>
          <w:tab w:val="center" w:pos="6481"/>
          <w:tab w:val="center" w:pos="7201"/>
        </w:tabs>
        <w:spacing w:after="92"/>
        <w:jc w:val="left"/>
        <w:outlineLvl w:val="1"/>
        <w:rPr>
          <w:rFonts w:ascii="Arial" w:eastAsia="Arial" w:hAnsi="Arial" w:cs="Arial"/>
          <w:b/>
          <w:color w:val="4F2D7F"/>
          <w:kern w:val="2"/>
          <w:sz w:val="18"/>
          <w:szCs w:val="24"/>
          <w:lang w:eastAsia="en-GB"/>
          <w14:ligatures w14:val="standardContextual"/>
        </w:rPr>
      </w:pPr>
      <w:r w:rsidRPr="00201F1E">
        <w:rPr>
          <w:rFonts w:ascii="Trebuchet MS" w:eastAsia="Trebuchet MS" w:hAnsi="Trebuchet MS" w:cs="Trebuchet MS"/>
          <w:b/>
          <w:i/>
          <w:color w:val="000000"/>
          <w:kern w:val="2"/>
          <w:szCs w:val="24"/>
          <w:lang w:eastAsia="en-GB"/>
          <w14:ligatures w14:val="standardContextual"/>
        </w:rPr>
        <w:t>Laurelin Griffiths</w:t>
      </w:r>
      <w:r w:rsidRPr="00201F1E">
        <w:rPr>
          <w:rFonts w:ascii="Trebuchet MS" w:eastAsia="Trebuchet MS" w:hAnsi="Trebuchet MS" w:cs="Trebuchet MS"/>
          <w:b/>
          <w:i/>
          <w:color w:val="000000"/>
          <w:kern w:val="2"/>
          <w:sz w:val="18"/>
          <w:szCs w:val="24"/>
          <w:lang w:eastAsia="en-GB"/>
          <w14:ligatures w14:val="standardContextual"/>
        </w:rPr>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r w:rsidRPr="00201F1E">
        <w:rPr>
          <w:rFonts w:ascii="Trebuchet MS" w:eastAsia="Trebuchet MS" w:hAnsi="Trebuchet MS" w:cs="Trebuchet MS"/>
          <w:b/>
          <w:i/>
          <w:color w:val="000000"/>
          <w:kern w:val="2"/>
          <w:sz w:val="18"/>
          <w:szCs w:val="24"/>
          <w:lang w:eastAsia="en-GB"/>
          <w14:ligatures w14:val="standardContextual"/>
        </w:rPr>
        <w:tab/>
        <w:t xml:space="preserve"> </w:t>
      </w:r>
    </w:p>
    <w:p w14:paraId="3ED77AF4" w14:textId="77777777" w:rsidR="00201F1E" w:rsidRPr="00201F1E" w:rsidRDefault="00201F1E" w:rsidP="00201F1E">
      <w:pPr>
        <w:spacing w:after="136"/>
        <w:jc w:val="left"/>
        <w:rPr>
          <w:rFonts w:ascii="Arial" w:eastAsia="Arial" w:hAnsi="Arial" w:cs="Arial"/>
          <w:color w:val="000000"/>
          <w:kern w:val="2"/>
          <w:sz w:val="18"/>
          <w:szCs w:val="24"/>
          <w:lang w:eastAsia="en-GB"/>
          <w14:ligatures w14:val="standardContextual"/>
        </w:rPr>
      </w:pPr>
      <w:r w:rsidRPr="00201F1E">
        <w:rPr>
          <w:rFonts w:ascii="Arial" w:eastAsia="Arial" w:hAnsi="Arial" w:cs="Arial"/>
          <w:b/>
          <w:color w:val="000000"/>
          <w:kern w:val="2"/>
          <w:sz w:val="18"/>
          <w:szCs w:val="24"/>
          <w:lang w:eastAsia="en-GB"/>
          <w14:ligatures w14:val="standardContextual"/>
        </w:rPr>
        <w:t xml:space="preserve"> </w:t>
      </w:r>
    </w:p>
    <w:p w14:paraId="6B94C4F2" w14:textId="77777777" w:rsidR="00201F1E" w:rsidRPr="00201F1E" w:rsidRDefault="00201F1E" w:rsidP="00201F1E">
      <w:pPr>
        <w:spacing w:after="1" w:line="417" w:lineRule="auto"/>
        <w:ind w:left="-5" w:right="5103"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Laurelin Griffiths, Key Audit Partner for and on behalf of Grant Thornton UK LLP, Local Auditor </w:t>
      </w:r>
    </w:p>
    <w:p w14:paraId="45545DBE" w14:textId="77777777" w:rsidR="00201F1E" w:rsidRPr="00201F1E" w:rsidRDefault="00201F1E" w:rsidP="00201F1E">
      <w:pPr>
        <w:spacing w:after="136"/>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 </w:t>
      </w:r>
    </w:p>
    <w:p w14:paraId="509D162B"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Birmingham </w:t>
      </w:r>
    </w:p>
    <w:p w14:paraId="356848C9" w14:textId="77777777" w:rsidR="00201F1E" w:rsidRPr="00201F1E" w:rsidRDefault="00201F1E" w:rsidP="00201F1E">
      <w:pPr>
        <w:spacing w:after="146" w:line="270" w:lineRule="auto"/>
        <w:ind w:left="-5" w:hanging="1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color w:val="000000"/>
          <w:kern w:val="2"/>
          <w:sz w:val="18"/>
          <w:szCs w:val="24"/>
          <w:lang w:eastAsia="en-GB"/>
          <w14:ligatures w14:val="standardContextual"/>
        </w:rPr>
        <w:t xml:space="preserve">24 February 2026 </w:t>
      </w:r>
    </w:p>
    <w:p w14:paraId="7CBD26B3" w14:textId="77777777" w:rsidR="00201F1E" w:rsidRPr="00201F1E" w:rsidRDefault="00201F1E" w:rsidP="00201F1E">
      <w:pPr>
        <w:spacing w:line="378" w:lineRule="auto"/>
        <w:ind w:right="9700"/>
        <w:jc w:val="left"/>
        <w:rPr>
          <w:rFonts w:ascii="Arial" w:eastAsia="Arial" w:hAnsi="Arial" w:cs="Arial"/>
          <w:color w:val="000000"/>
          <w:kern w:val="2"/>
          <w:sz w:val="18"/>
          <w:szCs w:val="24"/>
          <w:lang w:eastAsia="en-GB"/>
          <w14:ligatures w14:val="standardContextual"/>
        </w:rPr>
      </w:pPr>
      <w:r w:rsidRPr="00201F1E">
        <w:rPr>
          <w:rFonts w:ascii="Arial" w:eastAsia="Arial" w:hAnsi="Arial" w:cs="Arial"/>
          <w:b/>
          <w:color w:val="000000"/>
          <w:kern w:val="2"/>
          <w:sz w:val="18"/>
          <w:szCs w:val="24"/>
          <w:lang w:eastAsia="en-GB"/>
          <w14:ligatures w14:val="standardContextual"/>
        </w:rPr>
        <w:t xml:space="preserve"> </w:t>
      </w:r>
      <w:r w:rsidRPr="00201F1E">
        <w:rPr>
          <w:rFonts w:ascii="Arial" w:eastAsia="Arial" w:hAnsi="Arial" w:cs="Arial"/>
          <w:color w:val="000000"/>
          <w:kern w:val="2"/>
          <w:sz w:val="18"/>
          <w:szCs w:val="24"/>
          <w:lang w:eastAsia="en-GB"/>
          <w14:ligatures w14:val="standardContextual"/>
        </w:rPr>
        <w:t xml:space="preserve"> </w:t>
      </w:r>
    </w:p>
    <w:p w14:paraId="5759B3AE" w14:textId="7F829F81" w:rsidR="00A52772" w:rsidRDefault="00A52772" w:rsidP="002A1ADD">
      <w:pPr>
        <w:pStyle w:val="ChapterHeading"/>
      </w:pPr>
    </w:p>
    <w:sectPr w:rsidR="00A52772" w:rsidSect="009913DD">
      <w:type w:val="continuous"/>
      <w:pgSz w:w="11906" w:h="16838"/>
      <w:pgMar w:top="851" w:right="680" w:bottom="851"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1D80" w14:textId="77777777" w:rsidR="007C76F7" w:rsidRDefault="007C76F7" w:rsidP="00A6442F">
      <w:r>
        <w:separator/>
      </w:r>
    </w:p>
  </w:endnote>
  <w:endnote w:type="continuationSeparator" w:id="0">
    <w:p w14:paraId="7AC3A444" w14:textId="77777777" w:rsidR="007C76F7" w:rsidRDefault="007C76F7" w:rsidP="00A6442F">
      <w:r>
        <w:continuationSeparator/>
      </w:r>
    </w:p>
  </w:endnote>
  <w:endnote w:type="continuationNotice" w:id="1">
    <w:p w14:paraId="1174C097" w14:textId="77777777" w:rsidR="007C76F7" w:rsidRDefault="007C76F7" w:rsidP="00A64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Lola">
    <w:altName w:val="Cambria"/>
    <w:panose1 w:val="00000000000000000000"/>
    <w:charset w:val="00"/>
    <w:family w:val="roman"/>
    <w:notTrueType/>
    <w:pitch w:val="default"/>
    <w:sig w:usb0="00000003" w:usb1="00000000" w:usb2="00000000" w:usb3="00000000" w:csb0="00000001" w:csb1="00000000"/>
  </w:font>
  <w:font w:name="AvenirNextLTW02-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41" w:type="pct"/>
      <w:tblInd w:w="-1026"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646"/>
    </w:tblGrid>
    <w:tr w:rsidR="00376F13" w14:paraId="69F54763" w14:textId="77777777" w:rsidTr="00376F13">
      <w:trPr>
        <w:trHeight w:val="362"/>
      </w:trPr>
      <w:tc>
        <w:tcPr>
          <w:tcW w:w="11907" w:type="dxa"/>
          <w:tcBorders>
            <w:top w:val="single" w:sz="18" w:space="0" w:color="C00000"/>
          </w:tcBorders>
          <w:vAlign w:val="center"/>
        </w:tcPr>
        <w:p w14:paraId="6A6619B6" w14:textId="642DEEDB" w:rsidR="00376F13" w:rsidRDefault="00376F13" w:rsidP="00376F13">
          <w:pPr>
            <w:pStyle w:val="Footer"/>
            <w:jc w:val="center"/>
          </w:pPr>
          <w:r w:rsidRPr="004E6AB2">
            <w:fldChar w:fldCharType="begin"/>
          </w:r>
          <w:r w:rsidRPr="004E6AB2">
            <w:instrText xml:space="preserve"> PAGE   \* MERGEFORMAT </w:instrText>
          </w:r>
          <w:r w:rsidRPr="004E6AB2">
            <w:fldChar w:fldCharType="separate"/>
          </w:r>
          <w:r w:rsidRPr="00871BE8">
            <w:rPr>
              <w:b/>
              <w:noProof/>
              <w:sz w:val="24"/>
              <w:szCs w:val="32"/>
            </w:rPr>
            <w:t>21</w:t>
          </w:r>
          <w:r w:rsidRPr="004E6AB2">
            <w:rPr>
              <w:b/>
              <w:noProof/>
              <w:sz w:val="24"/>
              <w:szCs w:val="32"/>
            </w:rPr>
            <w:fldChar w:fldCharType="end"/>
          </w:r>
        </w:p>
      </w:tc>
    </w:tr>
  </w:tbl>
  <w:p w14:paraId="01C08CDE" w14:textId="77777777" w:rsidR="00B2570E" w:rsidRDefault="00B2570E" w:rsidP="00A64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6" w:type="pct"/>
      <w:tblInd w:w="-743"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82"/>
    </w:tblGrid>
    <w:tr w:rsidR="00376F13" w14:paraId="78E07951" w14:textId="77777777" w:rsidTr="00376F13">
      <w:trPr>
        <w:trHeight w:val="362"/>
      </w:trPr>
      <w:tc>
        <w:tcPr>
          <w:tcW w:w="12617" w:type="dxa"/>
          <w:tcBorders>
            <w:top w:val="single" w:sz="18" w:space="0" w:color="C00000"/>
          </w:tcBorders>
        </w:tcPr>
        <w:p w14:paraId="4B904629" w14:textId="5502B974" w:rsidR="00376F13" w:rsidRDefault="00376F13" w:rsidP="00376F13">
          <w:pPr>
            <w:pStyle w:val="Footer"/>
            <w:ind w:left="310"/>
            <w:jc w:val="center"/>
          </w:pPr>
        </w:p>
      </w:tc>
    </w:tr>
  </w:tbl>
  <w:p w14:paraId="0A8F5BB0" w14:textId="77777777" w:rsidR="00876A57" w:rsidRDefault="00876A57" w:rsidP="00A64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88" w:type="pct"/>
      <w:tblInd w:w="-601"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710"/>
      <w:gridCol w:w="678"/>
    </w:tblGrid>
    <w:tr w:rsidR="00876A57" w14:paraId="63DE4E47" w14:textId="77777777" w:rsidTr="00D85081">
      <w:trPr>
        <w:trHeight w:val="362"/>
      </w:trPr>
      <w:tc>
        <w:tcPr>
          <w:tcW w:w="10936" w:type="dxa"/>
          <w:tcBorders>
            <w:top w:val="single" w:sz="18" w:space="0" w:color="C00000"/>
            <w:right w:val="single" w:sz="18" w:space="0" w:color="FFFFFF" w:themeColor="background1"/>
          </w:tcBorders>
        </w:tcPr>
        <w:p w14:paraId="345C6754" w14:textId="77777777" w:rsidR="00876A57" w:rsidRDefault="00876A57" w:rsidP="00A6442F">
          <w:pPr>
            <w:pStyle w:val="Footer"/>
            <w:rPr>
              <w:b/>
              <w:color w:val="5B9BD5" w:themeColor="accent1"/>
              <w:sz w:val="32"/>
              <w:szCs w:val="32"/>
            </w:rPr>
          </w:pPr>
          <w:r>
            <w:t xml:space="preserve">                                                                                                               </w:t>
          </w:r>
          <w:r w:rsidRPr="004E6AB2">
            <w:fldChar w:fldCharType="begin"/>
          </w:r>
          <w:r w:rsidRPr="004E6AB2">
            <w:instrText xml:space="preserve"> PAGE   \* MERGEFORMAT </w:instrText>
          </w:r>
          <w:r w:rsidRPr="004E6AB2">
            <w:fldChar w:fldCharType="separate"/>
          </w:r>
          <w:r w:rsidRPr="00871BE8">
            <w:rPr>
              <w:b/>
              <w:noProof/>
              <w:sz w:val="24"/>
              <w:szCs w:val="32"/>
            </w:rPr>
            <w:t>21</w:t>
          </w:r>
          <w:r w:rsidRPr="004E6AB2">
            <w:rPr>
              <w:b/>
              <w:noProof/>
              <w:sz w:val="24"/>
              <w:szCs w:val="32"/>
            </w:rPr>
            <w:fldChar w:fldCharType="end"/>
          </w:r>
        </w:p>
      </w:tc>
      <w:tc>
        <w:tcPr>
          <w:tcW w:w="688" w:type="dxa"/>
          <w:tcBorders>
            <w:top w:val="single" w:sz="18" w:space="0" w:color="C00000"/>
            <w:left w:val="single" w:sz="18" w:space="0" w:color="FFFFFF" w:themeColor="background1"/>
          </w:tcBorders>
        </w:tcPr>
        <w:p w14:paraId="57F4C2B4" w14:textId="77777777" w:rsidR="00876A57" w:rsidRDefault="00876A57" w:rsidP="00A6442F">
          <w:pPr>
            <w:pStyle w:val="Footer"/>
          </w:pPr>
        </w:p>
      </w:tc>
    </w:tr>
  </w:tbl>
  <w:p w14:paraId="626DE04B" w14:textId="77777777" w:rsidR="00876A57" w:rsidRDefault="00876A57" w:rsidP="00A64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88" w:type="pct"/>
      <w:tblInd w:w="-601"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710"/>
      <w:gridCol w:w="678"/>
    </w:tblGrid>
    <w:tr w:rsidR="00185B98" w14:paraId="65D85F00" w14:textId="77777777" w:rsidTr="00D85081">
      <w:trPr>
        <w:trHeight w:val="362"/>
      </w:trPr>
      <w:tc>
        <w:tcPr>
          <w:tcW w:w="10936" w:type="dxa"/>
          <w:tcBorders>
            <w:top w:val="single" w:sz="18" w:space="0" w:color="C00000"/>
            <w:right w:val="single" w:sz="18" w:space="0" w:color="FFFFFF" w:themeColor="background1"/>
          </w:tcBorders>
        </w:tcPr>
        <w:p w14:paraId="451327F9" w14:textId="77777777" w:rsidR="00185B98" w:rsidRDefault="00185B98">
          <w:pPr>
            <w:pStyle w:val="Footer"/>
            <w:rPr>
              <w:b/>
              <w:color w:val="5B9BD5" w:themeColor="accent1"/>
              <w:sz w:val="32"/>
              <w:szCs w:val="32"/>
            </w:rPr>
          </w:pPr>
          <w:r>
            <w:t xml:space="preserve">                                                                                                               </w:t>
          </w:r>
          <w:r w:rsidRPr="004E6AB2">
            <w:fldChar w:fldCharType="begin"/>
          </w:r>
          <w:r w:rsidRPr="004E6AB2">
            <w:instrText xml:space="preserve"> PAGE   \* MERGEFORMAT </w:instrText>
          </w:r>
          <w:r w:rsidRPr="004E6AB2">
            <w:fldChar w:fldCharType="separate"/>
          </w:r>
          <w:r w:rsidRPr="00871BE8">
            <w:rPr>
              <w:b/>
              <w:noProof/>
              <w:sz w:val="24"/>
              <w:szCs w:val="32"/>
            </w:rPr>
            <w:t>21</w:t>
          </w:r>
          <w:r w:rsidRPr="004E6AB2">
            <w:rPr>
              <w:b/>
              <w:noProof/>
              <w:sz w:val="24"/>
              <w:szCs w:val="32"/>
            </w:rPr>
            <w:fldChar w:fldCharType="end"/>
          </w:r>
        </w:p>
      </w:tc>
      <w:tc>
        <w:tcPr>
          <w:tcW w:w="688" w:type="dxa"/>
          <w:tcBorders>
            <w:top w:val="single" w:sz="18" w:space="0" w:color="C00000"/>
            <w:left w:val="single" w:sz="18" w:space="0" w:color="FFFFFF" w:themeColor="background1"/>
          </w:tcBorders>
        </w:tcPr>
        <w:p w14:paraId="0AF14B09" w14:textId="77777777" w:rsidR="00185B98" w:rsidRDefault="00185B98">
          <w:pPr>
            <w:pStyle w:val="Footer"/>
          </w:pPr>
        </w:p>
      </w:tc>
    </w:tr>
  </w:tbl>
  <w:p w14:paraId="38C16ED3" w14:textId="77777777" w:rsidR="00185B98" w:rsidRDefault="00185B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6" w:type="pct"/>
      <w:tblInd w:w="-743"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359"/>
    </w:tblGrid>
    <w:tr w:rsidR="00052402" w14:paraId="5DB5569E" w14:textId="77777777" w:rsidTr="00376F13">
      <w:trPr>
        <w:trHeight w:val="362"/>
      </w:trPr>
      <w:tc>
        <w:tcPr>
          <w:tcW w:w="12617" w:type="dxa"/>
          <w:tcBorders>
            <w:top w:val="single" w:sz="18" w:space="0" w:color="C00000"/>
          </w:tcBorders>
        </w:tcPr>
        <w:p w14:paraId="35036137" w14:textId="77777777" w:rsidR="00052402" w:rsidRDefault="00052402" w:rsidP="00376F13">
          <w:pPr>
            <w:pStyle w:val="Footer"/>
            <w:ind w:left="310"/>
            <w:jc w:val="center"/>
          </w:pPr>
        </w:p>
      </w:tc>
    </w:tr>
  </w:tbl>
  <w:p w14:paraId="10C8CADC" w14:textId="77777777" w:rsidR="00052402" w:rsidRDefault="0005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DA72" w14:textId="77777777" w:rsidR="007C76F7" w:rsidRDefault="007C76F7" w:rsidP="00A6442F">
      <w:r>
        <w:separator/>
      </w:r>
    </w:p>
  </w:footnote>
  <w:footnote w:type="continuationSeparator" w:id="0">
    <w:p w14:paraId="79A9E78E" w14:textId="77777777" w:rsidR="007C76F7" w:rsidRDefault="007C76F7" w:rsidP="00A6442F">
      <w:r>
        <w:continuationSeparator/>
      </w:r>
    </w:p>
  </w:footnote>
  <w:footnote w:type="continuationNotice" w:id="1">
    <w:p w14:paraId="591DA387" w14:textId="77777777" w:rsidR="007C76F7" w:rsidRDefault="007C76F7" w:rsidP="00A6442F"/>
  </w:footnote>
</w:footnotes>
</file>

<file path=word/intelligence2.xml><?xml version="1.0" encoding="utf-8"?>
<int2:intelligence xmlns:int2="http://schemas.microsoft.com/office/intelligence/2020/intelligence" xmlns:oel="http://schemas.microsoft.com/office/2019/extlst">
  <int2:observations>
    <int2:textHash int2:hashCode="suvlxSWEgL5w9I" int2:id="ojpNuCix">
      <int2:state int2:value="Rejected" int2:type="spell"/>
    </int2:textHash>
    <int2:bookmark int2:bookmarkName="_Int_gnBRdATg" int2:invalidationBookmarkName="" int2:hashCode="60xxMfTfh15lho" int2:id="LzKBzpi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9A26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1E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59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D6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AA63DD"/>
    <w:multiLevelType w:val="hybridMultilevel"/>
    <w:tmpl w:val="D8F4AE44"/>
    <w:lvl w:ilvl="0" w:tplc="2DD6C55E">
      <w:start w:val="1"/>
      <w:numFmt w:val="bullet"/>
      <w:lvlText w:val=""/>
      <w:lvlJc w:val="left"/>
      <w:pPr>
        <w:ind w:left="721" w:hanging="360"/>
      </w:pPr>
      <w:rPr>
        <w:rFonts w:ascii="Symbol" w:hAnsi="Symbol" w:hint="default"/>
        <w:color w:val="AB23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F271B6"/>
    <w:multiLevelType w:val="hybridMultilevel"/>
    <w:tmpl w:val="E6109FCC"/>
    <w:lvl w:ilvl="0" w:tplc="F65E032E">
      <w:start w:val="1"/>
      <w:numFmt w:val="bullet"/>
      <w:pStyle w:val="Bulletscolouredtext"/>
      <w:lvlText w:val=""/>
      <w:lvlJc w:val="left"/>
      <w:pPr>
        <w:ind w:left="720"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EE5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C1291A"/>
    <w:multiLevelType w:val="multilevel"/>
    <w:tmpl w:val="15A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C08B6"/>
    <w:multiLevelType w:val="hybridMultilevel"/>
    <w:tmpl w:val="9D56530C"/>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2F1806"/>
    <w:multiLevelType w:val="hybridMultilevel"/>
    <w:tmpl w:val="B748DF96"/>
    <w:lvl w:ilvl="0" w:tplc="2DD6C55E">
      <w:start w:val="1"/>
      <w:numFmt w:val="bullet"/>
      <w:pStyle w:val="Firebullet"/>
      <w:lvlText w:val=""/>
      <w:lvlJc w:val="left"/>
      <w:pPr>
        <w:ind w:left="720" w:hanging="360"/>
      </w:pPr>
      <w:rPr>
        <w:rFonts w:ascii="Symbol" w:hAnsi="Symbol" w:hint="default"/>
        <w:color w:val="AB23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F6BC5"/>
    <w:multiLevelType w:val="hybridMultilevel"/>
    <w:tmpl w:val="45AA1868"/>
    <w:lvl w:ilvl="0" w:tplc="0E74F4C8">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5139A"/>
    <w:multiLevelType w:val="hybridMultilevel"/>
    <w:tmpl w:val="56AA36D8"/>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276C9B"/>
    <w:multiLevelType w:val="hybridMultilevel"/>
    <w:tmpl w:val="2FCE55EC"/>
    <w:lvl w:ilvl="0" w:tplc="C3565146">
      <w:start w:val="1"/>
      <w:numFmt w:val="bullet"/>
      <w:pStyle w:val="Bullet"/>
      <w:lvlText w:val=""/>
      <w:lvlJc w:val="left"/>
      <w:pPr>
        <w:ind w:left="1788" w:hanging="360"/>
      </w:pPr>
      <w:rPr>
        <w:rFonts w:ascii="Symbol" w:hAnsi="Symbol" w:hint="default"/>
        <w:color w:val="auto"/>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3" w15:restartNumberingAfterBreak="0">
    <w:nsid w:val="32E9445E"/>
    <w:multiLevelType w:val="hybridMultilevel"/>
    <w:tmpl w:val="FE3C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842AC"/>
    <w:multiLevelType w:val="hybridMultilevel"/>
    <w:tmpl w:val="3C782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C16DA"/>
    <w:multiLevelType w:val="hybridMultilevel"/>
    <w:tmpl w:val="BBAAD820"/>
    <w:lvl w:ilvl="0" w:tplc="CAAEEE22">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92F7F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9B6A63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BEB44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D8E46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BE6FD6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31C63C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B0F68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F8AAEA">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FA020B9"/>
    <w:multiLevelType w:val="hybridMultilevel"/>
    <w:tmpl w:val="FD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C410D"/>
    <w:multiLevelType w:val="hybridMultilevel"/>
    <w:tmpl w:val="5080CAC8"/>
    <w:lvl w:ilvl="0" w:tplc="CEE821D6">
      <w:numFmt w:val="bullet"/>
      <w:lvlText w:val="·"/>
      <w:lvlJc w:val="left"/>
      <w:pPr>
        <w:ind w:left="765" w:hanging="4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B6AB3"/>
    <w:multiLevelType w:val="multilevel"/>
    <w:tmpl w:val="3C422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65220"/>
    <w:multiLevelType w:val="hybridMultilevel"/>
    <w:tmpl w:val="C1B24EB8"/>
    <w:lvl w:ilvl="0" w:tplc="7DE0827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DC5F5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BD82AC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56A480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24BE6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3DC57E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00227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6A96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CF8DD7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E5A23BF"/>
    <w:multiLevelType w:val="hybridMultilevel"/>
    <w:tmpl w:val="A384AA1E"/>
    <w:lvl w:ilvl="0" w:tplc="D5E65218">
      <w:start w:val="1"/>
      <w:numFmt w:val="bullet"/>
      <w:pStyle w:val="RedBullet"/>
      <w:lvlText w:val=""/>
      <w:lvlJc w:val="left"/>
      <w:pPr>
        <w:ind w:left="720" w:hanging="360"/>
      </w:pPr>
      <w:rPr>
        <w:rFonts w:ascii="Symbol" w:hAnsi="Symbol" w:hint="default"/>
        <w:color w:val="CC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20F7E"/>
    <w:multiLevelType w:val="hybridMultilevel"/>
    <w:tmpl w:val="EA36AE0E"/>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816C44"/>
    <w:multiLevelType w:val="hybridMultilevel"/>
    <w:tmpl w:val="66C05264"/>
    <w:lvl w:ilvl="0" w:tplc="5F84A8B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0ADB58">
      <w:start w:val="1"/>
      <w:numFmt w:val="bullet"/>
      <w:lvlText w:val="-"/>
      <w:lvlJc w:val="left"/>
      <w:pPr>
        <w:ind w:left="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280E32">
      <w:start w:val="1"/>
      <w:numFmt w:val="bullet"/>
      <w:lvlText w:val="▪"/>
      <w:lvlJc w:val="left"/>
      <w:pPr>
        <w:ind w:left="1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6E0F52">
      <w:start w:val="1"/>
      <w:numFmt w:val="bullet"/>
      <w:lvlText w:val="•"/>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EC3D30">
      <w:start w:val="1"/>
      <w:numFmt w:val="bullet"/>
      <w:lvlText w:val="o"/>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8C3916">
      <w:start w:val="1"/>
      <w:numFmt w:val="bullet"/>
      <w:lvlText w:val="▪"/>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E4DFB8">
      <w:start w:val="1"/>
      <w:numFmt w:val="bullet"/>
      <w:lvlText w:val="•"/>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CE7FC8">
      <w:start w:val="1"/>
      <w:numFmt w:val="bullet"/>
      <w:lvlText w:val="o"/>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80D34C">
      <w:start w:val="1"/>
      <w:numFmt w:val="bullet"/>
      <w:lvlText w:val="▪"/>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EE13507"/>
    <w:multiLevelType w:val="hybridMultilevel"/>
    <w:tmpl w:val="39B67928"/>
    <w:lvl w:ilvl="0" w:tplc="6554E1BA">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AEE47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470915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10A2A2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941AD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95061A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2E5FC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7C678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826D4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1681DF2"/>
    <w:multiLevelType w:val="hybridMultilevel"/>
    <w:tmpl w:val="197CF0AE"/>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D83C1E"/>
    <w:multiLevelType w:val="hybridMultilevel"/>
    <w:tmpl w:val="1FA68D54"/>
    <w:lvl w:ilvl="0" w:tplc="2DD6C55E">
      <w:start w:val="1"/>
      <w:numFmt w:val="bullet"/>
      <w:lvlText w:val=""/>
      <w:lvlJc w:val="left"/>
      <w:pPr>
        <w:ind w:left="720" w:hanging="360"/>
      </w:pPr>
      <w:rPr>
        <w:rFonts w:ascii="Symbol" w:hAnsi="Symbol" w:hint="default"/>
        <w:color w:val="AB23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8B3A72"/>
    <w:multiLevelType w:val="hybridMultilevel"/>
    <w:tmpl w:val="C618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9312B"/>
    <w:multiLevelType w:val="hybridMultilevel"/>
    <w:tmpl w:val="306CF9AA"/>
    <w:lvl w:ilvl="0" w:tplc="DA2A1D1E">
      <w:start w:val="1"/>
      <w:numFmt w:val="bullet"/>
      <w:lvlText w:val=""/>
      <w:lvlJc w:val="left"/>
      <w:pPr>
        <w:ind w:left="721" w:hanging="360"/>
      </w:pPr>
      <w:rPr>
        <w:rFonts w:ascii="Symbol" w:hAnsi="Symbol" w:hint="default"/>
        <w:color w:val="CC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8823485">
    <w:abstractNumId w:val="13"/>
  </w:num>
  <w:num w:numId="2" w16cid:durableId="1983657093">
    <w:abstractNumId w:val="12"/>
  </w:num>
  <w:num w:numId="3" w16cid:durableId="570694667">
    <w:abstractNumId w:val="26"/>
  </w:num>
  <w:num w:numId="4" w16cid:durableId="675621799">
    <w:abstractNumId w:val="27"/>
  </w:num>
  <w:num w:numId="5" w16cid:durableId="366493443">
    <w:abstractNumId w:val="14"/>
  </w:num>
  <w:num w:numId="6" w16cid:durableId="1518737971">
    <w:abstractNumId w:val="20"/>
  </w:num>
  <w:num w:numId="7" w16cid:durableId="1273973328">
    <w:abstractNumId w:val="0"/>
  </w:num>
  <w:num w:numId="8" w16cid:durableId="488598018">
    <w:abstractNumId w:val="1"/>
  </w:num>
  <w:num w:numId="9" w16cid:durableId="606502606">
    <w:abstractNumId w:val="2"/>
  </w:num>
  <w:num w:numId="10" w16cid:durableId="1855223220">
    <w:abstractNumId w:val="6"/>
  </w:num>
  <w:num w:numId="11" w16cid:durableId="1371144733">
    <w:abstractNumId w:val="8"/>
  </w:num>
  <w:num w:numId="12" w16cid:durableId="1012877777">
    <w:abstractNumId w:val="3"/>
  </w:num>
  <w:num w:numId="13" w16cid:durableId="1165125329">
    <w:abstractNumId w:val="16"/>
  </w:num>
  <w:num w:numId="14" w16cid:durableId="1045720310">
    <w:abstractNumId w:val="17"/>
  </w:num>
  <w:num w:numId="15" w16cid:durableId="1634750067">
    <w:abstractNumId w:val="4"/>
  </w:num>
  <w:num w:numId="16" w16cid:durableId="72508992">
    <w:abstractNumId w:val="21"/>
  </w:num>
  <w:num w:numId="17" w16cid:durableId="2071227275">
    <w:abstractNumId w:val="24"/>
  </w:num>
  <w:num w:numId="18" w16cid:durableId="36201682">
    <w:abstractNumId w:val="25"/>
  </w:num>
  <w:num w:numId="19" w16cid:durableId="548803192">
    <w:abstractNumId w:val="11"/>
  </w:num>
  <w:num w:numId="20" w16cid:durableId="1969625913">
    <w:abstractNumId w:val="9"/>
  </w:num>
  <w:num w:numId="21" w16cid:durableId="2020084065">
    <w:abstractNumId w:val="10"/>
  </w:num>
  <w:num w:numId="22" w16cid:durableId="132791929">
    <w:abstractNumId w:val="5"/>
  </w:num>
  <w:num w:numId="23" w16cid:durableId="2124880696">
    <w:abstractNumId w:val="18"/>
  </w:num>
  <w:num w:numId="24" w16cid:durableId="746800713">
    <w:abstractNumId w:val="7"/>
  </w:num>
  <w:num w:numId="25" w16cid:durableId="402534483">
    <w:abstractNumId w:val="9"/>
  </w:num>
  <w:num w:numId="26" w16cid:durableId="1187404580">
    <w:abstractNumId w:val="15"/>
  </w:num>
  <w:num w:numId="27" w16cid:durableId="724177690">
    <w:abstractNumId w:val="23"/>
  </w:num>
  <w:num w:numId="28" w16cid:durableId="1793204156">
    <w:abstractNumId w:val="22"/>
  </w:num>
  <w:num w:numId="29" w16cid:durableId="35365825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26"/>
    <w:rsid w:val="00000143"/>
    <w:rsid w:val="00000332"/>
    <w:rsid w:val="00000704"/>
    <w:rsid w:val="00000F80"/>
    <w:rsid w:val="00001071"/>
    <w:rsid w:val="000012BE"/>
    <w:rsid w:val="0000141A"/>
    <w:rsid w:val="00001A69"/>
    <w:rsid w:val="0000218F"/>
    <w:rsid w:val="00002C2E"/>
    <w:rsid w:val="00003844"/>
    <w:rsid w:val="00003F4A"/>
    <w:rsid w:val="00003F6D"/>
    <w:rsid w:val="000046B8"/>
    <w:rsid w:val="00007142"/>
    <w:rsid w:val="00007697"/>
    <w:rsid w:val="00007AF0"/>
    <w:rsid w:val="00007ED7"/>
    <w:rsid w:val="000107AD"/>
    <w:rsid w:val="00011B0F"/>
    <w:rsid w:val="000123A6"/>
    <w:rsid w:val="000128CA"/>
    <w:rsid w:val="000129F3"/>
    <w:rsid w:val="00012F30"/>
    <w:rsid w:val="00013621"/>
    <w:rsid w:val="00014E45"/>
    <w:rsid w:val="00014F9F"/>
    <w:rsid w:val="00015630"/>
    <w:rsid w:val="00015835"/>
    <w:rsid w:val="00015ACE"/>
    <w:rsid w:val="000168E9"/>
    <w:rsid w:val="00017154"/>
    <w:rsid w:val="00020667"/>
    <w:rsid w:val="00020BE1"/>
    <w:rsid w:val="00020F19"/>
    <w:rsid w:val="00021050"/>
    <w:rsid w:val="00021203"/>
    <w:rsid w:val="000215C4"/>
    <w:rsid w:val="00022345"/>
    <w:rsid w:val="000233D9"/>
    <w:rsid w:val="00023720"/>
    <w:rsid w:val="00023955"/>
    <w:rsid w:val="000245B5"/>
    <w:rsid w:val="000245F9"/>
    <w:rsid w:val="000246EE"/>
    <w:rsid w:val="00024878"/>
    <w:rsid w:val="00024F91"/>
    <w:rsid w:val="00025F81"/>
    <w:rsid w:val="000266E8"/>
    <w:rsid w:val="00026A06"/>
    <w:rsid w:val="00026D70"/>
    <w:rsid w:val="000272FE"/>
    <w:rsid w:val="000275EE"/>
    <w:rsid w:val="0002777F"/>
    <w:rsid w:val="00030581"/>
    <w:rsid w:val="000305CE"/>
    <w:rsid w:val="00030BFB"/>
    <w:rsid w:val="00031C06"/>
    <w:rsid w:val="00032045"/>
    <w:rsid w:val="0003243E"/>
    <w:rsid w:val="000324EE"/>
    <w:rsid w:val="00032649"/>
    <w:rsid w:val="00032BB5"/>
    <w:rsid w:val="00032D65"/>
    <w:rsid w:val="00033A93"/>
    <w:rsid w:val="00033FCA"/>
    <w:rsid w:val="0003410F"/>
    <w:rsid w:val="0003491E"/>
    <w:rsid w:val="00034DBF"/>
    <w:rsid w:val="00035DE7"/>
    <w:rsid w:val="00035E26"/>
    <w:rsid w:val="000361D9"/>
    <w:rsid w:val="0003639C"/>
    <w:rsid w:val="00036921"/>
    <w:rsid w:val="00036DC3"/>
    <w:rsid w:val="00037268"/>
    <w:rsid w:val="00037274"/>
    <w:rsid w:val="0003740D"/>
    <w:rsid w:val="00037D74"/>
    <w:rsid w:val="00037F9A"/>
    <w:rsid w:val="00040D6E"/>
    <w:rsid w:val="00040F6C"/>
    <w:rsid w:val="00042421"/>
    <w:rsid w:val="000427E9"/>
    <w:rsid w:val="00042B68"/>
    <w:rsid w:val="00042F49"/>
    <w:rsid w:val="00043133"/>
    <w:rsid w:val="00044316"/>
    <w:rsid w:val="0004455F"/>
    <w:rsid w:val="00045430"/>
    <w:rsid w:val="00045474"/>
    <w:rsid w:val="00045776"/>
    <w:rsid w:val="000458E1"/>
    <w:rsid w:val="0004630A"/>
    <w:rsid w:val="00046717"/>
    <w:rsid w:val="00046B9D"/>
    <w:rsid w:val="000474C6"/>
    <w:rsid w:val="0004760E"/>
    <w:rsid w:val="00047761"/>
    <w:rsid w:val="00047986"/>
    <w:rsid w:val="00047D33"/>
    <w:rsid w:val="00052402"/>
    <w:rsid w:val="00052BE8"/>
    <w:rsid w:val="00053919"/>
    <w:rsid w:val="00053B08"/>
    <w:rsid w:val="000551DC"/>
    <w:rsid w:val="0005534D"/>
    <w:rsid w:val="00055CC5"/>
    <w:rsid w:val="00055D53"/>
    <w:rsid w:val="00056116"/>
    <w:rsid w:val="00056C95"/>
    <w:rsid w:val="00057E73"/>
    <w:rsid w:val="00060401"/>
    <w:rsid w:val="000605EC"/>
    <w:rsid w:val="00060741"/>
    <w:rsid w:val="00060912"/>
    <w:rsid w:val="00060EB8"/>
    <w:rsid w:val="00061607"/>
    <w:rsid w:val="000616EF"/>
    <w:rsid w:val="00062F19"/>
    <w:rsid w:val="00062F31"/>
    <w:rsid w:val="0006415B"/>
    <w:rsid w:val="00064201"/>
    <w:rsid w:val="00064857"/>
    <w:rsid w:val="00064A51"/>
    <w:rsid w:val="00064F11"/>
    <w:rsid w:val="00065200"/>
    <w:rsid w:val="00065287"/>
    <w:rsid w:val="000652C8"/>
    <w:rsid w:val="000659B2"/>
    <w:rsid w:val="0006618E"/>
    <w:rsid w:val="00066441"/>
    <w:rsid w:val="00066D09"/>
    <w:rsid w:val="000673F9"/>
    <w:rsid w:val="00067AEA"/>
    <w:rsid w:val="00067B6C"/>
    <w:rsid w:val="0007048D"/>
    <w:rsid w:val="00070CEE"/>
    <w:rsid w:val="00071156"/>
    <w:rsid w:val="000714C6"/>
    <w:rsid w:val="00071C40"/>
    <w:rsid w:val="00071D93"/>
    <w:rsid w:val="00071FFE"/>
    <w:rsid w:val="000723D2"/>
    <w:rsid w:val="00072C9E"/>
    <w:rsid w:val="00072D87"/>
    <w:rsid w:val="00073110"/>
    <w:rsid w:val="000731E1"/>
    <w:rsid w:val="00073505"/>
    <w:rsid w:val="00073737"/>
    <w:rsid w:val="00073FDE"/>
    <w:rsid w:val="00074C6A"/>
    <w:rsid w:val="00074EAD"/>
    <w:rsid w:val="00076920"/>
    <w:rsid w:val="00076C12"/>
    <w:rsid w:val="00077465"/>
    <w:rsid w:val="0007786F"/>
    <w:rsid w:val="0008065B"/>
    <w:rsid w:val="00082CD8"/>
    <w:rsid w:val="0008393C"/>
    <w:rsid w:val="00084B6F"/>
    <w:rsid w:val="000859D1"/>
    <w:rsid w:val="000867B7"/>
    <w:rsid w:val="0008685D"/>
    <w:rsid w:val="0008694C"/>
    <w:rsid w:val="000869DE"/>
    <w:rsid w:val="00086AC8"/>
    <w:rsid w:val="00087175"/>
    <w:rsid w:val="0008747E"/>
    <w:rsid w:val="00087EA3"/>
    <w:rsid w:val="0009049C"/>
    <w:rsid w:val="000910D1"/>
    <w:rsid w:val="00091177"/>
    <w:rsid w:val="000914BD"/>
    <w:rsid w:val="000914F7"/>
    <w:rsid w:val="00092824"/>
    <w:rsid w:val="00092984"/>
    <w:rsid w:val="00092E30"/>
    <w:rsid w:val="00092F29"/>
    <w:rsid w:val="00092FCC"/>
    <w:rsid w:val="000934CB"/>
    <w:rsid w:val="00093BDF"/>
    <w:rsid w:val="00093C60"/>
    <w:rsid w:val="00093DE5"/>
    <w:rsid w:val="00093F8C"/>
    <w:rsid w:val="00094537"/>
    <w:rsid w:val="00095648"/>
    <w:rsid w:val="0009644B"/>
    <w:rsid w:val="00096508"/>
    <w:rsid w:val="00096743"/>
    <w:rsid w:val="0009747C"/>
    <w:rsid w:val="000A0153"/>
    <w:rsid w:val="000A0242"/>
    <w:rsid w:val="000A1076"/>
    <w:rsid w:val="000A1E3E"/>
    <w:rsid w:val="000A2092"/>
    <w:rsid w:val="000A25B3"/>
    <w:rsid w:val="000A2EB7"/>
    <w:rsid w:val="000A4338"/>
    <w:rsid w:val="000A435A"/>
    <w:rsid w:val="000A4CD0"/>
    <w:rsid w:val="000A52B6"/>
    <w:rsid w:val="000A5CF3"/>
    <w:rsid w:val="000A5D94"/>
    <w:rsid w:val="000A6300"/>
    <w:rsid w:val="000A6782"/>
    <w:rsid w:val="000A6819"/>
    <w:rsid w:val="000A6C4A"/>
    <w:rsid w:val="000A6D86"/>
    <w:rsid w:val="000A7412"/>
    <w:rsid w:val="000A78FC"/>
    <w:rsid w:val="000A7A0B"/>
    <w:rsid w:val="000A7D62"/>
    <w:rsid w:val="000B06B7"/>
    <w:rsid w:val="000B0EE6"/>
    <w:rsid w:val="000B0F62"/>
    <w:rsid w:val="000B1213"/>
    <w:rsid w:val="000B1581"/>
    <w:rsid w:val="000B1974"/>
    <w:rsid w:val="000B1B67"/>
    <w:rsid w:val="000B1E5C"/>
    <w:rsid w:val="000B28DB"/>
    <w:rsid w:val="000B2A43"/>
    <w:rsid w:val="000B2D70"/>
    <w:rsid w:val="000B2E62"/>
    <w:rsid w:val="000B3B66"/>
    <w:rsid w:val="000B40CC"/>
    <w:rsid w:val="000B41CA"/>
    <w:rsid w:val="000B421D"/>
    <w:rsid w:val="000B4315"/>
    <w:rsid w:val="000B50F2"/>
    <w:rsid w:val="000B650F"/>
    <w:rsid w:val="000B6DCD"/>
    <w:rsid w:val="000B7152"/>
    <w:rsid w:val="000B77A2"/>
    <w:rsid w:val="000B78BF"/>
    <w:rsid w:val="000B7AEF"/>
    <w:rsid w:val="000B7B1C"/>
    <w:rsid w:val="000C00C8"/>
    <w:rsid w:val="000C09D6"/>
    <w:rsid w:val="000C0A57"/>
    <w:rsid w:val="000C11BC"/>
    <w:rsid w:val="000C13A3"/>
    <w:rsid w:val="000C1F91"/>
    <w:rsid w:val="000C3637"/>
    <w:rsid w:val="000C41CD"/>
    <w:rsid w:val="000C41F7"/>
    <w:rsid w:val="000C4446"/>
    <w:rsid w:val="000C452E"/>
    <w:rsid w:val="000C4AEA"/>
    <w:rsid w:val="000C54E1"/>
    <w:rsid w:val="000C58AF"/>
    <w:rsid w:val="000C5F4C"/>
    <w:rsid w:val="000C6043"/>
    <w:rsid w:val="000C696C"/>
    <w:rsid w:val="000C76F8"/>
    <w:rsid w:val="000D0497"/>
    <w:rsid w:val="000D0564"/>
    <w:rsid w:val="000D1438"/>
    <w:rsid w:val="000D256E"/>
    <w:rsid w:val="000D3774"/>
    <w:rsid w:val="000D3FEC"/>
    <w:rsid w:val="000D5561"/>
    <w:rsid w:val="000D55B3"/>
    <w:rsid w:val="000D66F7"/>
    <w:rsid w:val="000D6E6B"/>
    <w:rsid w:val="000D7E3C"/>
    <w:rsid w:val="000E021F"/>
    <w:rsid w:val="000E0E5A"/>
    <w:rsid w:val="000E16A2"/>
    <w:rsid w:val="000E1CF1"/>
    <w:rsid w:val="000E1DE0"/>
    <w:rsid w:val="000E2DD9"/>
    <w:rsid w:val="000E36AA"/>
    <w:rsid w:val="000E3D42"/>
    <w:rsid w:val="000E3E81"/>
    <w:rsid w:val="000E4151"/>
    <w:rsid w:val="000E4BC1"/>
    <w:rsid w:val="000E58D4"/>
    <w:rsid w:val="000E5A35"/>
    <w:rsid w:val="000E6E01"/>
    <w:rsid w:val="000E709E"/>
    <w:rsid w:val="000E73EE"/>
    <w:rsid w:val="000E7409"/>
    <w:rsid w:val="000E7F2F"/>
    <w:rsid w:val="000F0735"/>
    <w:rsid w:val="000F0B86"/>
    <w:rsid w:val="000F0ED2"/>
    <w:rsid w:val="000F2091"/>
    <w:rsid w:val="000F2345"/>
    <w:rsid w:val="000F234A"/>
    <w:rsid w:val="000F3172"/>
    <w:rsid w:val="000F34E0"/>
    <w:rsid w:val="000F3D5D"/>
    <w:rsid w:val="000F5191"/>
    <w:rsid w:val="000F7492"/>
    <w:rsid w:val="000F74C1"/>
    <w:rsid w:val="000F7935"/>
    <w:rsid w:val="000F7DCF"/>
    <w:rsid w:val="0010041D"/>
    <w:rsid w:val="00100727"/>
    <w:rsid w:val="0010148F"/>
    <w:rsid w:val="0010172E"/>
    <w:rsid w:val="001017DF"/>
    <w:rsid w:val="00101A23"/>
    <w:rsid w:val="001023B9"/>
    <w:rsid w:val="00102C11"/>
    <w:rsid w:val="00102C5C"/>
    <w:rsid w:val="00102F10"/>
    <w:rsid w:val="0010310F"/>
    <w:rsid w:val="00103146"/>
    <w:rsid w:val="00103311"/>
    <w:rsid w:val="00103626"/>
    <w:rsid w:val="00103AC5"/>
    <w:rsid w:val="00103F71"/>
    <w:rsid w:val="00104E22"/>
    <w:rsid w:val="0010509D"/>
    <w:rsid w:val="00105708"/>
    <w:rsid w:val="0010585E"/>
    <w:rsid w:val="001058E9"/>
    <w:rsid w:val="001061C2"/>
    <w:rsid w:val="0010634B"/>
    <w:rsid w:val="001063ED"/>
    <w:rsid w:val="00106CFE"/>
    <w:rsid w:val="00106E16"/>
    <w:rsid w:val="00107300"/>
    <w:rsid w:val="00107B93"/>
    <w:rsid w:val="00107BFB"/>
    <w:rsid w:val="00107E32"/>
    <w:rsid w:val="00110F42"/>
    <w:rsid w:val="00111043"/>
    <w:rsid w:val="001119E6"/>
    <w:rsid w:val="00111BB1"/>
    <w:rsid w:val="001124AA"/>
    <w:rsid w:val="001125B9"/>
    <w:rsid w:val="00112717"/>
    <w:rsid w:val="001128A1"/>
    <w:rsid w:val="001128C2"/>
    <w:rsid w:val="001134A3"/>
    <w:rsid w:val="00113AF5"/>
    <w:rsid w:val="00114445"/>
    <w:rsid w:val="0011490F"/>
    <w:rsid w:val="00114CB4"/>
    <w:rsid w:val="00114F2A"/>
    <w:rsid w:val="00115142"/>
    <w:rsid w:val="00115862"/>
    <w:rsid w:val="0011658B"/>
    <w:rsid w:val="00117162"/>
    <w:rsid w:val="0011724D"/>
    <w:rsid w:val="001174C5"/>
    <w:rsid w:val="00117DDC"/>
    <w:rsid w:val="0012009A"/>
    <w:rsid w:val="00120C5A"/>
    <w:rsid w:val="0012198B"/>
    <w:rsid w:val="00121E72"/>
    <w:rsid w:val="00122165"/>
    <w:rsid w:val="001223E5"/>
    <w:rsid w:val="00122E72"/>
    <w:rsid w:val="001235BA"/>
    <w:rsid w:val="00123871"/>
    <w:rsid w:val="00123A3A"/>
    <w:rsid w:val="0012439C"/>
    <w:rsid w:val="00124482"/>
    <w:rsid w:val="00124C51"/>
    <w:rsid w:val="00124C7C"/>
    <w:rsid w:val="00124E4C"/>
    <w:rsid w:val="00125684"/>
    <w:rsid w:val="0012570C"/>
    <w:rsid w:val="00125881"/>
    <w:rsid w:val="00126C70"/>
    <w:rsid w:val="001274DB"/>
    <w:rsid w:val="00127693"/>
    <w:rsid w:val="001279B3"/>
    <w:rsid w:val="00130488"/>
    <w:rsid w:val="001312DC"/>
    <w:rsid w:val="00131355"/>
    <w:rsid w:val="00131A22"/>
    <w:rsid w:val="001320CB"/>
    <w:rsid w:val="00132964"/>
    <w:rsid w:val="00133116"/>
    <w:rsid w:val="00133276"/>
    <w:rsid w:val="00134452"/>
    <w:rsid w:val="00134F4D"/>
    <w:rsid w:val="00134F76"/>
    <w:rsid w:val="0013583C"/>
    <w:rsid w:val="00135BE7"/>
    <w:rsid w:val="00135D49"/>
    <w:rsid w:val="00136416"/>
    <w:rsid w:val="00136B73"/>
    <w:rsid w:val="00136E34"/>
    <w:rsid w:val="0013714F"/>
    <w:rsid w:val="001371BE"/>
    <w:rsid w:val="00137948"/>
    <w:rsid w:val="00140185"/>
    <w:rsid w:val="001415BE"/>
    <w:rsid w:val="00141C47"/>
    <w:rsid w:val="0014205C"/>
    <w:rsid w:val="001425F4"/>
    <w:rsid w:val="001426EF"/>
    <w:rsid w:val="0014323A"/>
    <w:rsid w:val="00145092"/>
    <w:rsid w:val="001455EF"/>
    <w:rsid w:val="00145782"/>
    <w:rsid w:val="001462DA"/>
    <w:rsid w:val="0014631D"/>
    <w:rsid w:val="001463D6"/>
    <w:rsid w:val="001466E8"/>
    <w:rsid w:val="00146B20"/>
    <w:rsid w:val="00147737"/>
    <w:rsid w:val="00147CBF"/>
    <w:rsid w:val="00150A19"/>
    <w:rsid w:val="00150FEF"/>
    <w:rsid w:val="00151099"/>
    <w:rsid w:val="001510A4"/>
    <w:rsid w:val="00151605"/>
    <w:rsid w:val="00152163"/>
    <w:rsid w:val="0015289D"/>
    <w:rsid w:val="00152F41"/>
    <w:rsid w:val="00152F9F"/>
    <w:rsid w:val="00153157"/>
    <w:rsid w:val="00153862"/>
    <w:rsid w:val="00153913"/>
    <w:rsid w:val="00153A32"/>
    <w:rsid w:val="0015440C"/>
    <w:rsid w:val="00155509"/>
    <w:rsid w:val="001559B0"/>
    <w:rsid w:val="00155C12"/>
    <w:rsid w:val="001564B7"/>
    <w:rsid w:val="00156A14"/>
    <w:rsid w:val="00156C17"/>
    <w:rsid w:val="00156F64"/>
    <w:rsid w:val="001571D6"/>
    <w:rsid w:val="00157229"/>
    <w:rsid w:val="00157B1F"/>
    <w:rsid w:val="00160EDC"/>
    <w:rsid w:val="00160EF7"/>
    <w:rsid w:val="001611E6"/>
    <w:rsid w:val="00161890"/>
    <w:rsid w:val="001623C1"/>
    <w:rsid w:val="00162508"/>
    <w:rsid w:val="00162B31"/>
    <w:rsid w:val="00162C9D"/>
    <w:rsid w:val="001652B9"/>
    <w:rsid w:val="001652D9"/>
    <w:rsid w:val="00165D98"/>
    <w:rsid w:val="00165F57"/>
    <w:rsid w:val="00166DA6"/>
    <w:rsid w:val="0016726D"/>
    <w:rsid w:val="00170835"/>
    <w:rsid w:val="001713BD"/>
    <w:rsid w:val="0017162B"/>
    <w:rsid w:val="00172A67"/>
    <w:rsid w:val="00172B2D"/>
    <w:rsid w:val="00173213"/>
    <w:rsid w:val="0017381E"/>
    <w:rsid w:val="00173827"/>
    <w:rsid w:val="00173B02"/>
    <w:rsid w:val="0017439A"/>
    <w:rsid w:val="001747E7"/>
    <w:rsid w:val="001748F5"/>
    <w:rsid w:val="001751AD"/>
    <w:rsid w:val="00175E5E"/>
    <w:rsid w:val="0017610D"/>
    <w:rsid w:val="001761F9"/>
    <w:rsid w:val="00176233"/>
    <w:rsid w:val="001764B0"/>
    <w:rsid w:val="001764C9"/>
    <w:rsid w:val="00176850"/>
    <w:rsid w:val="00176924"/>
    <w:rsid w:val="00176E55"/>
    <w:rsid w:val="00176ED7"/>
    <w:rsid w:val="0017732C"/>
    <w:rsid w:val="00177763"/>
    <w:rsid w:val="00177B1F"/>
    <w:rsid w:val="00177FD0"/>
    <w:rsid w:val="00180B98"/>
    <w:rsid w:val="00180BF8"/>
    <w:rsid w:val="00181785"/>
    <w:rsid w:val="00181E4B"/>
    <w:rsid w:val="0018201D"/>
    <w:rsid w:val="00182093"/>
    <w:rsid w:val="00182297"/>
    <w:rsid w:val="0018317E"/>
    <w:rsid w:val="0018345D"/>
    <w:rsid w:val="00183516"/>
    <w:rsid w:val="00183BC9"/>
    <w:rsid w:val="001849F1"/>
    <w:rsid w:val="00184ACB"/>
    <w:rsid w:val="00184CCC"/>
    <w:rsid w:val="0018528D"/>
    <w:rsid w:val="00185B98"/>
    <w:rsid w:val="0018605B"/>
    <w:rsid w:val="00186AA7"/>
    <w:rsid w:val="00186B24"/>
    <w:rsid w:val="00186ECA"/>
    <w:rsid w:val="00186ED7"/>
    <w:rsid w:val="001903C6"/>
    <w:rsid w:val="00190D57"/>
    <w:rsid w:val="00191A7E"/>
    <w:rsid w:val="00191C49"/>
    <w:rsid w:val="00192F9C"/>
    <w:rsid w:val="00194A17"/>
    <w:rsid w:val="00194BCA"/>
    <w:rsid w:val="00194C10"/>
    <w:rsid w:val="0019506C"/>
    <w:rsid w:val="00195390"/>
    <w:rsid w:val="00195B6B"/>
    <w:rsid w:val="00196AEB"/>
    <w:rsid w:val="00196BF4"/>
    <w:rsid w:val="00196ECF"/>
    <w:rsid w:val="0019791E"/>
    <w:rsid w:val="00197FEB"/>
    <w:rsid w:val="001A00BB"/>
    <w:rsid w:val="001A02CB"/>
    <w:rsid w:val="001A080A"/>
    <w:rsid w:val="001A08F5"/>
    <w:rsid w:val="001A095F"/>
    <w:rsid w:val="001A0C61"/>
    <w:rsid w:val="001A0E8B"/>
    <w:rsid w:val="001A13BA"/>
    <w:rsid w:val="001A17CE"/>
    <w:rsid w:val="001A2323"/>
    <w:rsid w:val="001A291A"/>
    <w:rsid w:val="001A2A77"/>
    <w:rsid w:val="001A2E28"/>
    <w:rsid w:val="001A31B1"/>
    <w:rsid w:val="001A409E"/>
    <w:rsid w:val="001A445B"/>
    <w:rsid w:val="001A4ADE"/>
    <w:rsid w:val="001A504A"/>
    <w:rsid w:val="001A5448"/>
    <w:rsid w:val="001A60C7"/>
    <w:rsid w:val="001A635F"/>
    <w:rsid w:val="001A643B"/>
    <w:rsid w:val="001A68AD"/>
    <w:rsid w:val="001A7B31"/>
    <w:rsid w:val="001A7CC1"/>
    <w:rsid w:val="001B0A21"/>
    <w:rsid w:val="001B0E25"/>
    <w:rsid w:val="001B221B"/>
    <w:rsid w:val="001B2842"/>
    <w:rsid w:val="001B3036"/>
    <w:rsid w:val="001B3957"/>
    <w:rsid w:val="001B3995"/>
    <w:rsid w:val="001B4DCA"/>
    <w:rsid w:val="001B56CA"/>
    <w:rsid w:val="001B60DF"/>
    <w:rsid w:val="001B6469"/>
    <w:rsid w:val="001B66A8"/>
    <w:rsid w:val="001B688F"/>
    <w:rsid w:val="001C05BF"/>
    <w:rsid w:val="001C0796"/>
    <w:rsid w:val="001C152D"/>
    <w:rsid w:val="001C15A9"/>
    <w:rsid w:val="001C18A4"/>
    <w:rsid w:val="001C1EE5"/>
    <w:rsid w:val="001C242D"/>
    <w:rsid w:val="001C24E9"/>
    <w:rsid w:val="001C2C6A"/>
    <w:rsid w:val="001C42AD"/>
    <w:rsid w:val="001C433D"/>
    <w:rsid w:val="001C452B"/>
    <w:rsid w:val="001C5AC5"/>
    <w:rsid w:val="001C5D41"/>
    <w:rsid w:val="001C606D"/>
    <w:rsid w:val="001C6A27"/>
    <w:rsid w:val="001C7671"/>
    <w:rsid w:val="001C7D11"/>
    <w:rsid w:val="001D0049"/>
    <w:rsid w:val="001D03D4"/>
    <w:rsid w:val="001D0EC3"/>
    <w:rsid w:val="001D15D5"/>
    <w:rsid w:val="001D18EA"/>
    <w:rsid w:val="001D1952"/>
    <w:rsid w:val="001D1C78"/>
    <w:rsid w:val="001D2201"/>
    <w:rsid w:val="001D3056"/>
    <w:rsid w:val="001D3287"/>
    <w:rsid w:val="001D3297"/>
    <w:rsid w:val="001D339A"/>
    <w:rsid w:val="001D351D"/>
    <w:rsid w:val="001D35A9"/>
    <w:rsid w:val="001D3B3C"/>
    <w:rsid w:val="001D3BDA"/>
    <w:rsid w:val="001D425E"/>
    <w:rsid w:val="001D4D4A"/>
    <w:rsid w:val="001D4DC8"/>
    <w:rsid w:val="001D6183"/>
    <w:rsid w:val="001D6423"/>
    <w:rsid w:val="001D6FBD"/>
    <w:rsid w:val="001D71ED"/>
    <w:rsid w:val="001D7FE7"/>
    <w:rsid w:val="001E0153"/>
    <w:rsid w:val="001E11EB"/>
    <w:rsid w:val="001E1490"/>
    <w:rsid w:val="001E28F2"/>
    <w:rsid w:val="001E3A90"/>
    <w:rsid w:val="001E48EC"/>
    <w:rsid w:val="001E5540"/>
    <w:rsid w:val="001E5D73"/>
    <w:rsid w:val="001E61B3"/>
    <w:rsid w:val="001E6212"/>
    <w:rsid w:val="001E6668"/>
    <w:rsid w:val="001E67F5"/>
    <w:rsid w:val="001E6E43"/>
    <w:rsid w:val="001E7107"/>
    <w:rsid w:val="001E7724"/>
    <w:rsid w:val="001E77DA"/>
    <w:rsid w:val="001E7948"/>
    <w:rsid w:val="001E7FAA"/>
    <w:rsid w:val="001F001A"/>
    <w:rsid w:val="001F0075"/>
    <w:rsid w:val="001F02DB"/>
    <w:rsid w:val="001F05B8"/>
    <w:rsid w:val="001F06EC"/>
    <w:rsid w:val="001F0F92"/>
    <w:rsid w:val="001F17AF"/>
    <w:rsid w:val="001F1815"/>
    <w:rsid w:val="001F26B6"/>
    <w:rsid w:val="001F2CD7"/>
    <w:rsid w:val="001F4444"/>
    <w:rsid w:val="001F45D7"/>
    <w:rsid w:val="001F4883"/>
    <w:rsid w:val="001F4BE2"/>
    <w:rsid w:val="001F4F2A"/>
    <w:rsid w:val="001F5720"/>
    <w:rsid w:val="001F5798"/>
    <w:rsid w:val="001F5E79"/>
    <w:rsid w:val="001F5EA1"/>
    <w:rsid w:val="001F649C"/>
    <w:rsid w:val="001F6535"/>
    <w:rsid w:val="001F6FF5"/>
    <w:rsid w:val="00200C61"/>
    <w:rsid w:val="00200D08"/>
    <w:rsid w:val="002012D6"/>
    <w:rsid w:val="0020166C"/>
    <w:rsid w:val="00201743"/>
    <w:rsid w:val="00201A18"/>
    <w:rsid w:val="00201CB0"/>
    <w:rsid w:val="00201E71"/>
    <w:rsid w:val="00201F1E"/>
    <w:rsid w:val="00202655"/>
    <w:rsid w:val="002036CC"/>
    <w:rsid w:val="00203FF0"/>
    <w:rsid w:val="00204862"/>
    <w:rsid w:val="00204876"/>
    <w:rsid w:val="002049B6"/>
    <w:rsid w:val="00204D76"/>
    <w:rsid w:val="00204EF6"/>
    <w:rsid w:val="0020500F"/>
    <w:rsid w:val="00205B05"/>
    <w:rsid w:val="0020626D"/>
    <w:rsid w:val="00207237"/>
    <w:rsid w:val="00207CB2"/>
    <w:rsid w:val="00207F3A"/>
    <w:rsid w:val="002102C5"/>
    <w:rsid w:val="00210595"/>
    <w:rsid w:val="002105BC"/>
    <w:rsid w:val="00210C01"/>
    <w:rsid w:val="00211423"/>
    <w:rsid w:val="002121FA"/>
    <w:rsid w:val="00212269"/>
    <w:rsid w:val="0021245F"/>
    <w:rsid w:val="0021391D"/>
    <w:rsid w:val="00214339"/>
    <w:rsid w:val="00215161"/>
    <w:rsid w:val="00216225"/>
    <w:rsid w:val="002162FB"/>
    <w:rsid w:val="00216D24"/>
    <w:rsid w:val="00217FB4"/>
    <w:rsid w:val="002205CC"/>
    <w:rsid w:val="00220725"/>
    <w:rsid w:val="00220BAA"/>
    <w:rsid w:val="0022108D"/>
    <w:rsid w:val="002228D8"/>
    <w:rsid w:val="00222A1F"/>
    <w:rsid w:val="00222FF0"/>
    <w:rsid w:val="002230E4"/>
    <w:rsid w:val="00223E6D"/>
    <w:rsid w:val="00223F45"/>
    <w:rsid w:val="00224A6D"/>
    <w:rsid w:val="00224E03"/>
    <w:rsid w:val="00224E1C"/>
    <w:rsid w:val="0022524B"/>
    <w:rsid w:val="00225742"/>
    <w:rsid w:val="00225A2E"/>
    <w:rsid w:val="0022707F"/>
    <w:rsid w:val="00227210"/>
    <w:rsid w:val="002275E9"/>
    <w:rsid w:val="00227822"/>
    <w:rsid w:val="00227DE2"/>
    <w:rsid w:val="00231BB5"/>
    <w:rsid w:val="0023205A"/>
    <w:rsid w:val="00232950"/>
    <w:rsid w:val="002331BA"/>
    <w:rsid w:val="00233567"/>
    <w:rsid w:val="00234580"/>
    <w:rsid w:val="0023506F"/>
    <w:rsid w:val="00235B86"/>
    <w:rsid w:val="00236832"/>
    <w:rsid w:val="00236A3E"/>
    <w:rsid w:val="00236AD3"/>
    <w:rsid w:val="00236DD7"/>
    <w:rsid w:val="0024019F"/>
    <w:rsid w:val="00240A40"/>
    <w:rsid w:val="00240AD9"/>
    <w:rsid w:val="00241BF9"/>
    <w:rsid w:val="00242629"/>
    <w:rsid w:val="00243003"/>
    <w:rsid w:val="00243404"/>
    <w:rsid w:val="00243CBC"/>
    <w:rsid w:val="002442A4"/>
    <w:rsid w:val="0024492F"/>
    <w:rsid w:val="00245428"/>
    <w:rsid w:val="00245755"/>
    <w:rsid w:val="00245A59"/>
    <w:rsid w:val="00245E74"/>
    <w:rsid w:val="00246737"/>
    <w:rsid w:val="00247161"/>
    <w:rsid w:val="002477CD"/>
    <w:rsid w:val="00247A75"/>
    <w:rsid w:val="00247F01"/>
    <w:rsid w:val="00247FE8"/>
    <w:rsid w:val="00250005"/>
    <w:rsid w:val="002502B3"/>
    <w:rsid w:val="0025086C"/>
    <w:rsid w:val="00251825"/>
    <w:rsid w:val="0025262D"/>
    <w:rsid w:val="002534F4"/>
    <w:rsid w:val="002534FE"/>
    <w:rsid w:val="0025355D"/>
    <w:rsid w:val="002537EB"/>
    <w:rsid w:val="00253C75"/>
    <w:rsid w:val="00253DB7"/>
    <w:rsid w:val="00253E56"/>
    <w:rsid w:val="00254C45"/>
    <w:rsid w:val="00254FA5"/>
    <w:rsid w:val="00255390"/>
    <w:rsid w:val="0025681B"/>
    <w:rsid w:val="00256C26"/>
    <w:rsid w:val="00256D09"/>
    <w:rsid w:val="00256F25"/>
    <w:rsid w:val="002572DF"/>
    <w:rsid w:val="00257BCC"/>
    <w:rsid w:val="00257BD0"/>
    <w:rsid w:val="00257DE2"/>
    <w:rsid w:val="0026005A"/>
    <w:rsid w:val="00261104"/>
    <w:rsid w:val="00261166"/>
    <w:rsid w:val="002614B7"/>
    <w:rsid w:val="0026190D"/>
    <w:rsid w:val="00261EE8"/>
    <w:rsid w:val="00262FA5"/>
    <w:rsid w:val="00263466"/>
    <w:rsid w:val="00263CA7"/>
    <w:rsid w:val="00263EB9"/>
    <w:rsid w:val="002647A0"/>
    <w:rsid w:val="00264842"/>
    <w:rsid w:val="00264ADD"/>
    <w:rsid w:val="00264D76"/>
    <w:rsid w:val="002664C5"/>
    <w:rsid w:val="00266501"/>
    <w:rsid w:val="00266718"/>
    <w:rsid w:val="00266DA4"/>
    <w:rsid w:val="00267106"/>
    <w:rsid w:val="002679C3"/>
    <w:rsid w:val="00267BDD"/>
    <w:rsid w:val="0027012F"/>
    <w:rsid w:val="00270ABF"/>
    <w:rsid w:val="00270FC8"/>
    <w:rsid w:val="002717FE"/>
    <w:rsid w:val="00271960"/>
    <w:rsid w:val="00271E48"/>
    <w:rsid w:val="00272258"/>
    <w:rsid w:val="00272EC9"/>
    <w:rsid w:val="00272F4E"/>
    <w:rsid w:val="0027375D"/>
    <w:rsid w:val="0027434D"/>
    <w:rsid w:val="00274B25"/>
    <w:rsid w:val="00275910"/>
    <w:rsid w:val="00275A7C"/>
    <w:rsid w:val="002769F9"/>
    <w:rsid w:val="00276C10"/>
    <w:rsid w:val="00276F96"/>
    <w:rsid w:val="0027765C"/>
    <w:rsid w:val="00277893"/>
    <w:rsid w:val="00277BFA"/>
    <w:rsid w:val="00277F6E"/>
    <w:rsid w:val="0028019B"/>
    <w:rsid w:val="002804A7"/>
    <w:rsid w:val="00280626"/>
    <w:rsid w:val="002810EB"/>
    <w:rsid w:val="0028160E"/>
    <w:rsid w:val="00281FAE"/>
    <w:rsid w:val="00282300"/>
    <w:rsid w:val="00282360"/>
    <w:rsid w:val="0028271C"/>
    <w:rsid w:val="00282EE7"/>
    <w:rsid w:val="00283831"/>
    <w:rsid w:val="00283EAF"/>
    <w:rsid w:val="00283FA1"/>
    <w:rsid w:val="0028441B"/>
    <w:rsid w:val="002847F7"/>
    <w:rsid w:val="0028489E"/>
    <w:rsid w:val="00285019"/>
    <w:rsid w:val="002857E7"/>
    <w:rsid w:val="00285987"/>
    <w:rsid w:val="00285D13"/>
    <w:rsid w:val="002867D5"/>
    <w:rsid w:val="00286F8A"/>
    <w:rsid w:val="002876EF"/>
    <w:rsid w:val="00290838"/>
    <w:rsid w:val="00290A2D"/>
    <w:rsid w:val="00291433"/>
    <w:rsid w:val="002918AC"/>
    <w:rsid w:val="00291A6C"/>
    <w:rsid w:val="0029209C"/>
    <w:rsid w:val="00292195"/>
    <w:rsid w:val="002924B0"/>
    <w:rsid w:val="00292D8B"/>
    <w:rsid w:val="00292E28"/>
    <w:rsid w:val="00292E31"/>
    <w:rsid w:val="002932E3"/>
    <w:rsid w:val="00293745"/>
    <w:rsid w:val="002939DA"/>
    <w:rsid w:val="002945B5"/>
    <w:rsid w:val="002957C5"/>
    <w:rsid w:val="0029614C"/>
    <w:rsid w:val="00296329"/>
    <w:rsid w:val="0029646A"/>
    <w:rsid w:val="00296960"/>
    <w:rsid w:val="00296DA6"/>
    <w:rsid w:val="00297AFA"/>
    <w:rsid w:val="00297C8C"/>
    <w:rsid w:val="00297D48"/>
    <w:rsid w:val="002A056A"/>
    <w:rsid w:val="002A1ADD"/>
    <w:rsid w:val="002A1B91"/>
    <w:rsid w:val="002A24E5"/>
    <w:rsid w:val="002A2624"/>
    <w:rsid w:val="002A278B"/>
    <w:rsid w:val="002A3078"/>
    <w:rsid w:val="002A3604"/>
    <w:rsid w:val="002A3A7C"/>
    <w:rsid w:val="002A3E98"/>
    <w:rsid w:val="002A3F1E"/>
    <w:rsid w:val="002A494C"/>
    <w:rsid w:val="002A497D"/>
    <w:rsid w:val="002A54B1"/>
    <w:rsid w:val="002A55AA"/>
    <w:rsid w:val="002A5C90"/>
    <w:rsid w:val="002A6997"/>
    <w:rsid w:val="002A7385"/>
    <w:rsid w:val="002A76AB"/>
    <w:rsid w:val="002B076A"/>
    <w:rsid w:val="002B0CE6"/>
    <w:rsid w:val="002B1033"/>
    <w:rsid w:val="002B1554"/>
    <w:rsid w:val="002B1A4E"/>
    <w:rsid w:val="002B1BF1"/>
    <w:rsid w:val="002B237D"/>
    <w:rsid w:val="002B2B0D"/>
    <w:rsid w:val="002B2DB3"/>
    <w:rsid w:val="002B2E0D"/>
    <w:rsid w:val="002B3402"/>
    <w:rsid w:val="002B3754"/>
    <w:rsid w:val="002B3973"/>
    <w:rsid w:val="002B3F39"/>
    <w:rsid w:val="002B451A"/>
    <w:rsid w:val="002B4DB4"/>
    <w:rsid w:val="002B587D"/>
    <w:rsid w:val="002B6DBD"/>
    <w:rsid w:val="002C0176"/>
    <w:rsid w:val="002C0244"/>
    <w:rsid w:val="002C054B"/>
    <w:rsid w:val="002C0A59"/>
    <w:rsid w:val="002C111D"/>
    <w:rsid w:val="002C1162"/>
    <w:rsid w:val="002C1A5E"/>
    <w:rsid w:val="002C2072"/>
    <w:rsid w:val="002C25C0"/>
    <w:rsid w:val="002C29AD"/>
    <w:rsid w:val="002C2B14"/>
    <w:rsid w:val="002C3A17"/>
    <w:rsid w:val="002C3C5B"/>
    <w:rsid w:val="002C4A1D"/>
    <w:rsid w:val="002C52A4"/>
    <w:rsid w:val="002C57E4"/>
    <w:rsid w:val="002C61AD"/>
    <w:rsid w:val="002C6243"/>
    <w:rsid w:val="002C6385"/>
    <w:rsid w:val="002C649F"/>
    <w:rsid w:val="002C682E"/>
    <w:rsid w:val="002C6CF3"/>
    <w:rsid w:val="002C6F06"/>
    <w:rsid w:val="002C70A8"/>
    <w:rsid w:val="002C7AA5"/>
    <w:rsid w:val="002C7E18"/>
    <w:rsid w:val="002C7F8B"/>
    <w:rsid w:val="002D03F2"/>
    <w:rsid w:val="002D0454"/>
    <w:rsid w:val="002D08EB"/>
    <w:rsid w:val="002D1029"/>
    <w:rsid w:val="002D10B0"/>
    <w:rsid w:val="002D1231"/>
    <w:rsid w:val="002D1295"/>
    <w:rsid w:val="002D1769"/>
    <w:rsid w:val="002D1B07"/>
    <w:rsid w:val="002D1F2D"/>
    <w:rsid w:val="002D2A25"/>
    <w:rsid w:val="002D3249"/>
    <w:rsid w:val="002D49C5"/>
    <w:rsid w:val="002D4B84"/>
    <w:rsid w:val="002D5031"/>
    <w:rsid w:val="002D549A"/>
    <w:rsid w:val="002D5C7F"/>
    <w:rsid w:val="002D61E5"/>
    <w:rsid w:val="002D7427"/>
    <w:rsid w:val="002D7485"/>
    <w:rsid w:val="002E088F"/>
    <w:rsid w:val="002E0912"/>
    <w:rsid w:val="002E138F"/>
    <w:rsid w:val="002E184D"/>
    <w:rsid w:val="002E1A04"/>
    <w:rsid w:val="002E1ECA"/>
    <w:rsid w:val="002E2BD6"/>
    <w:rsid w:val="002E2FAF"/>
    <w:rsid w:val="002E37B8"/>
    <w:rsid w:val="002E3C96"/>
    <w:rsid w:val="002E3D13"/>
    <w:rsid w:val="002E41C0"/>
    <w:rsid w:val="002E4240"/>
    <w:rsid w:val="002E48DD"/>
    <w:rsid w:val="002E4A34"/>
    <w:rsid w:val="002E4DF7"/>
    <w:rsid w:val="002E5313"/>
    <w:rsid w:val="002E55A6"/>
    <w:rsid w:val="002E59A8"/>
    <w:rsid w:val="002E59CF"/>
    <w:rsid w:val="002E5FEF"/>
    <w:rsid w:val="002E6605"/>
    <w:rsid w:val="002E6EB6"/>
    <w:rsid w:val="002E7C63"/>
    <w:rsid w:val="002F000B"/>
    <w:rsid w:val="002F1273"/>
    <w:rsid w:val="002F2BBB"/>
    <w:rsid w:val="002F2CCF"/>
    <w:rsid w:val="002F2FC7"/>
    <w:rsid w:val="002F36BC"/>
    <w:rsid w:val="002F3E5B"/>
    <w:rsid w:val="002F43EA"/>
    <w:rsid w:val="002F557B"/>
    <w:rsid w:val="002F594E"/>
    <w:rsid w:val="002F65B5"/>
    <w:rsid w:val="002F7438"/>
    <w:rsid w:val="003000A0"/>
    <w:rsid w:val="003004AA"/>
    <w:rsid w:val="00300F14"/>
    <w:rsid w:val="003011F6"/>
    <w:rsid w:val="00301747"/>
    <w:rsid w:val="0030233F"/>
    <w:rsid w:val="003025F5"/>
    <w:rsid w:val="003028FE"/>
    <w:rsid w:val="003031D2"/>
    <w:rsid w:val="003034F5"/>
    <w:rsid w:val="00303BF2"/>
    <w:rsid w:val="00303DA2"/>
    <w:rsid w:val="003042FE"/>
    <w:rsid w:val="00304C94"/>
    <w:rsid w:val="0030590C"/>
    <w:rsid w:val="00305D96"/>
    <w:rsid w:val="00305F82"/>
    <w:rsid w:val="00306ECD"/>
    <w:rsid w:val="003072E5"/>
    <w:rsid w:val="00307CD4"/>
    <w:rsid w:val="0031042C"/>
    <w:rsid w:val="003104AB"/>
    <w:rsid w:val="00311D3C"/>
    <w:rsid w:val="00312016"/>
    <w:rsid w:val="003122DB"/>
    <w:rsid w:val="0031250E"/>
    <w:rsid w:val="00312E8F"/>
    <w:rsid w:val="00314850"/>
    <w:rsid w:val="003157CC"/>
    <w:rsid w:val="00315ABC"/>
    <w:rsid w:val="00316CEE"/>
    <w:rsid w:val="00317080"/>
    <w:rsid w:val="0031745D"/>
    <w:rsid w:val="00317B85"/>
    <w:rsid w:val="003208D6"/>
    <w:rsid w:val="003219E1"/>
    <w:rsid w:val="00321BF7"/>
    <w:rsid w:val="00321E5B"/>
    <w:rsid w:val="0032216A"/>
    <w:rsid w:val="00322873"/>
    <w:rsid w:val="0032298A"/>
    <w:rsid w:val="00322DC9"/>
    <w:rsid w:val="003242DB"/>
    <w:rsid w:val="00324CFC"/>
    <w:rsid w:val="00324E10"/>
    <w:rsid w:val="00325B78"/>
    <w:rsid w:val="00325ED2"/>
    <w:rsid w:val="00327A49"/>
    <w:rsid w:val="003308A6"/>
    <w:rsid w:val="003311CB"/>
    <w:rsid w:val="00331599"/>
    <w:rsid w:val="00331992"/>
    <w:rsid w:val="003320CD"/>
    <w:rsid w:val="0033251C"/>
    <w:rsid w:val="00333C4B"/>
    <w:rsid w:val="00333C81"/>
    <w:rsid w:val="00333DDC"/>
    <w:rsid w:val="003349A7"/>
    <w:rsid w:val="00335A99"/>
    <w:rsid w:val="00336397"/>
    <w:rsid w:val="003365A0"/>
    <w:rsid w:val="003365A9"/>
    <w:rsid w:val="00336712"/>
    <w:rsid w:val="00336C23"/>
    <w:rsid w:val="00336C48"/>
    <w:rsid w:val="00336E9B"/>
    <w:rsid w:val="003376A5"/>
    <w:rsid w:val="00337E55"/>
    <w:rsid w:val="0034027D"/>
    <w:rsid w:val="003403AA"/>
    <w:rsid w:val="00340862"/>
    <w:rsid w:val="0034109F"/>
    <w:rsid w:val="003414C0"/>
    <w:rsid w:val="00342162"/>
    <w:rsid w:val="003423B5"/>
    <w:rsid w:val="00344264"/>
    <w:rsid w:val="003443D8"/>
    <w:rsid w:val="00344F5E"/>
    <w:rsid w:val="0034533E"/>
    <w:rsid w:val="0034605D"/>
    <w:rsid w:val="00346762"/>
    <w:rsid w:val="00347D5A"/>
    <w:rsid w:val="003504B8"/>
    <w:rsid w:val="00350B30"/>
    <w:rsid w:val="00350FD0"/>
    <w:rsid w:val="00351230"/>
    <w:rsid w:val="0035138D"/>
    <w:rsid w:val="003529F1"/>
    <w:rsid w:val="00352AC6"/>
    <w:rsid w:val="00352DB4"/>
    <w:rsid w:val="0035361A"/>
    <w:rsid w:val="00353AA5"/>
    <w:rsid w:val="00353C4A"/>
    <w:rsid w:val="00353C77"/>
    <w:rsid w:val="00353C78"/>
    <w:rsid w:val="00353CBD"/>
    <w:rsid w:val="00354625"/>
    <w:rsid w:val="00354AF0"/>
    <w:rsid w:val="00354CD3"/>
    <w:rsid w:val="00355804"/>
    <w:rsid w:val="00356601"/>
    <w:rsid w:val="00356AD4"/>
    <w:rsid w:val="00357401"/>
    <w:rsid w:val="003577E0"/>
    <w:rsid w:val="00357D38"/>
    <w:rsid w:val="0036017F"/>
    <w:rsid w:val="00360E26"/>
    <w:rsid w:val="00360E5B"/>
    <w:rsid w:val="00361A01"/>
    <w:rsid w:val="003633CA"/>
    <w:rsid w:val="0036489F"/>
    <w:rsid w:val="00364CB6"/>
    <w:rsid w:val="00364D11"/>
    <w:rsid w:val="00366150"/>
    <w:rsid w:val="003661D4"/>
    <w:rsid w:val="003661F6"/>
    <w:rsid w:val="003668A3"/>
    <w:rsid w:val="00366CAE"/>
    <w:rsid w:val="00367A62"/>
    <w:rsid w:val="00367AE1"/>
    <w:rsid w:val="0037030D"/>
    <w:rsid w:val="00370891"/>
    <w:rsid w:val="00371AA6"/>
    <w:rsid w:val="00372223"/>
    <w:rsid w:val="00372BD0"/>
    <w:rsid w:val="00373632"/>
    <w:rsid w:val="00373BB6"/>
    <w:rsid w:val="00373C19"/>
    <w:rsid w:val="0037440B"/>
    <w:rsid w:val="0037481C"/>
    <w:rsid w:val="00374951"/>
    <w:rsid w:val="00374C37"/>
    <w:rsid w:val="00374C9E"/>
    <w:rsid w:val="00375658"/>
    <w:rsid w:val="00375779"/>
    <w:rsid w:val="003758C4"/>
    <w:rsid w:val="00376086"/>
    <w:rsid w:val="003760DF"/>
    <w:rsid w:val="003762A9"/>
    <w:rsid w:val="0037665E"/>
    <w:rsid w:val="00376F13"/>
    <w:rsid w:val="0037701B"/>
    <w:rsid w:val="003772E0"/>
    <w:rsid w:val="0037754A"/>
    <w:rsid w:val="00377B9F"/>
    <w:rsid w:val="00377CDB"/>
    <w:rsid w:val="00380745"/>
    <w:rsid w:val="00380787"/>
    <w:rsid w:val="00380A48"/>
    <w:rsid w:val="003814B4"/>
    <w:rsid w:val="00381D80"/>
    <w:rsid w:val="00383006"/>
    <w:rsid w:val="0038349F"/>
    <w:rsid w:val="003834C6"/>
    <w:rsid w:val="00384A72"/>
    <w:rsid w:val="0038506D"/>
    <w:rsid w:val="00385D05"/>
    <w:rsid w:val="003867AE"/>
    <w:rsid w:val="00386C7C"/>
    <w:rsid w:val="00387AAA"/>
    <w:rsid w:val="00390342"/>
    <w:rsid w:val="003903E2"/>
    <w:rsid w:val="003905C3"/>
    <w:rsid w:val="00390957"/>
    <w:rsid w:val="00390ED8"/>
    <w:rsid w:val="00391002"/>
    <w:rsid w:val="00391065"/>
    <w:rsid w:val="003913D1"/>
    <w:rsid w:val="00391AFA"/>
    <w:rsid w:val="00391DCD"/>
    <w:rsid w:val="0039276D"/>
    <w:rsid w:val="003927CB"/>
    <w:rsid w:val="00392A85"/>
    <w:rsid w:val="00392FF1"/>
    <w:rsid w:val="00393266"/>
    <w:rsid w:val="0039367F"/>
    <w:rsid w:val="00393848"/>
    <w:rsid w:val="00393C66"/>
    <w:rsid w:val="00394461"/>
    <w:rsid w:val="003947C5"/>
    <w:rsid w:val="00394854"/>
    <w:rsid w:val="0039494D"/>
    <w:rsid w:val="00396031"/>
    <w:rsid w:val="0039605B"/>
    <w:rsid w:val="00396190"/>
    <w:rsid w:val="00396383"/>
    <w:rsid w:val="00396F8D"/>
    <w:rsid w:val="003973BB"/>
    <w:rsid w:val="00397636"/>
    <w:rsid w:val="00397B38"/>
    <w:rsid w:val="00397FC8"/>
    <w:rsid w:val="003A016C"/>
    <w:rsid w:val="003A0560"/>
    <w:rsid w:val="003A0C24"/>
    <w:rsid w:val="003A1422"/>
    <w:rsid w:val="003A1EA3"/>
    <w:rsid w:val="003A2C60"/>
    <w:rsid w:val="003A39B4"/>
    <w:rsid w:val="003A3D3F"/>
    <w:rsid w:val="003A3E5B"/>
    <w:rsid w:val="003A4444"/>
    <w:rsid w:val="003A4A28"/>
    <w:rsid w:val="003A5055"/>
    <w:rsid w:val="003A505E"/>
    <w:rsid w:val="003A50B8"/>
    <w:rsid w:val="003A53F0"/>
    <w:rsid w:val="003A5E56"/>
    <w:rsid w:val="003A7026"/>
    <w:rsid w:val="003A767C"/>
    <w:rsid w:val="003A79A7"/>
    <w:rsid w:val="003A7CA3"/>
    <w:rsid w:val="003B085D"/>
    <w:rsid w:val="003B0B3A"/>
    <w:rsid w:val="003B0D9D"/>
    <w:rsid w:val="003B121C"/>
    <w:rsid w:val="003B156E"/>
    <w:rsid w:val="003B16BE"/>
    <w:rsid w:val="003B21A6"/>
    <w:rsid w:val="003B2708"/>
    <w:rsid w:val="003B2DF4"/>
    <w:rsid w:val="003B2ED2"/>
    <w:rsid w:val="003B2FB2"/>
    <w:rsid w:val="003B311A"/>
    <w:rsid w:val="003B321F"/>
    <w:rsid w:val="003B34BB"/>
    <w:rsid w:val="003B35D7"/>
    <w:rsid w:val="003B36B2"/>
    <w:rsid w:val="003B4077"/>
    <w:rsid w:val="003B43CD"/>
    <w:rsid w:val="003B4CF7"/>
    <w:rsid w:val="003B50C8"/>
    <w:rsid w:val="003B510B"/>
    <w:rsid w:val="003B5E6D"/>
    <w:rsid w:val="003B6893"/>
    <w:rsid w:val="003B6D1C"/>
    <w:rsid w:val="003B71D1"/>
    <w:rsid w:val="003B73E4"/>
    <w:rsid w:val="003B748E"/>
    <w:rsid w:val="003B78CA"/>
    <w:rsid w:val="003C0216"/>
    <w:rsid w:val="003C0AE1"/>
    <w:rsid w:val="003C0C13"/>
    <w:rsid w:val="003C0DF9"/>
    <w:rsid w:val="003C159F"/>
    <w:rsid w:val="003C29E1"/>
    <w:rsid w:val="003C3A4C"/>
    <w:rsid w:val="003C3D4B"/>
    <w:rsid w:val="003C3F71"/>
    <w:rsid w:val="003C4058"/>
    <w:rsid w:val="003C4252"/>
    <w:rsid w:val="003C4EA4"/>
    <w:rsid w:val="003C5111"/>
    <w:rsid w:val="003C5311"/>
    <w:rsid w:val="003C5747"/>
    <w:rsid w:val="003C5AC1"/>
    <w:rsid w:val="003C5D29"/>
    <w:rsid w:val="003C6AD2"/>
    <w:rsid w:val="003C6BC3"/>
    <w:rsid w:val="003C6E59"/>
    <w:rsid w:val="003C74E5"/>
    <w:rsid w:val="003C79BF"/>
    <w:rsid w:val="003D0105"/>
    <w:rsid w:val="003D04A0"/>
    <w:rsid w:val="003D0C22"/>
    <w:rsid w:val="003D1435"/>
    <w:rsid w:val="003D1622"/>
    <w:rsid w:val="003D1B61"/>
    <w:rsid w:val="003D233C"/>
    <w:rsid w:val="003D2984"/>
    <w:rsid w:val="003D2F28"/>
    <w:rsid w:val="003D3045"/>
    <w:rsid w:val="003D53A5"/>
    <w:rsid w:val="003D621A"/>
    <w:rsid w:val="003D6304"/>
    <w:rsid w:val="003D6455"/>
    <w:rsid w:val="003D64D4"/>
    <w:rsid w:val="003D6615"/>
    <w:rsid w:val="003D680F"/>
    <w:rsid w:val="003D7B78"/>
    <w:rsid w:val="003D7E73"/>
    <w:rsid w:val="003E09CB"/>
    <w:rsid w:val="003E0B00"/>
    <w:rsid w:val="003E19F3"/>
    <w:rsid w:val="003E2BDD"/>
    <w:rsid w:val="003E32D3"/>
    <w:rsid w:val="003E3AC3"/>
    <w:rsid w:val="003E4836"/>
    <w:rsid w:val="003E4E74"/>
    <w:rsid w:val="003E5362"/>
    <w:rsid w:val="003E5560"/>
    <w:rsid w:val="003E5816"/>
    <w:rsid w:val="003E5887"/>
    <w:rsid w:val="003E5919"/>
    <w:rsid w:val="003E6193"/>
    <w:rsid w:val="003E62D9"/>
    <w:rsid w:val="003E6E6E"/>
    <w:rsid w:val="003E6E94"/>
    <w:rsid w:val="003E7047"/>
    <w:rsid w:val="003E7623"/>
    <w:rsid w:val="003E7760"/>
    <w:rsid w:val="003E77F9"/>
    <w:rsid w:val="003E7855"/>
    <w:rsid w:val="003E7D88"/>
    <w:rsid w:val="003F0594"/>
    <w:rsid w:val="003F196E"/>
    <w:rsid w:val="003F3F11"/>
    <w:rsid w:val="003F43C1"/>
    <w:rsid w:val="003F4B22"/>
    <w:rsid w:val="003F4C7C"/>
    <w:rsid w:val="003F52CD"/>
    <w:rsid w:val="003F55C5"/>
    <w:rsid w:val="003F68A5"/>
    <w:rsid w:val="003F6F2E"/>
    <w:rsid w:val="003F6F31"/>
    <w:rsid w:val="003F730A"/>
    <w:rsid w:val="003F7A01"/>
    <w:rsid w:val="00400112"/>
    <w:rsid w:val="00400141"/>
    <w:rsid w:val="004007FC"/>
    <w:rsid w:val="004019E2"/>
    <w:rsid w:val="00401C25"/>
    <w:rsid w:val="00402420"/>
    <w:rsid w:val="0040259E"/>
    <w:rsid w:val="0040292B"/>
    <w:rsid w:val="00402B31"/>
    <w:rsid w:val="00403389"/>
    <w:rsid w:val="0040420B"/>
    <w:rsid w:val="004042C7"/>
    <w:rsid w:val="00404786"/>
    <w:rsid w:val="00405CBE"/>
    <w:rsid w:val="00405D87"/>
    <w:rsid w:val="00405DA8"/>
    <w:rsid w:val="00405E20"/>
    <w:rsid w:val="00407674"/>
    <w:rsid w:val="004076DE"/>
    <w:rsid w:val="00410018"/>
    <w:rsid w:val="00410DE7"/>
    <w:rsid w:val="00410EEC"/>
    <w:rsid w:val="0041183C"/>
    <w:rsid w:val="00412034"/>
    <w:rsid w:val="00412D14"/>
    <w:rsid w:val="00412FD1"/>
    <w:rsid w:val="00413CCF"/>
    <w:rsid w:val="004140A2"/>
    <w:rsid w:val="004141EE"/>
    <w:rsid w:val="0041448C"/>
    <w:rsid w:val="00414A0E"/>
    <w:rsid w:val="004158E4"/>
    <w:rsid w:val="00417260"/>
    <w:rsid w:val="00417A34"/>
    <w:rsid w:val="004201E2"/>
    <w:rsid w:val="004203AA"/>
    <w:rsid w:val="0042161E"/>
    <w:rsid w:val="004218C6"/>
    <w:rsid w:val="004218F7"/>
    <w:rsid w:val="00422960"/>
    <w:rsid w:val="004233A9"/>
    <w:rsid w:val="00423DBF"/>
    <w:rsid w:val="00424269"/>
    <w:rsid w:val="00424439"/>
    <w:rsid w:val="00424634"/>
    <w:rsid w:val="004249BF"/>
    <w:rsid w:val="004249DD"/>
    <w:rsid w:val="0042525E"/>
    <w:rsid w:val="004266A6"/>
    <w:rsid w:val="00426D1C"/>
    <w:rsid w:val="00427223"/>
    <w:rsid w:val="00427576"/>
    <w:rsid w:val="00430B95"/>
    <w:rsid w:val="00430E1D"/>
    <w:rsid w:val="00431ACD"/>
    <w:rsid w:val="00431C35"/>
    <w:rsid w:val="004323CF"/>
    <w:rsid w:val="004329FA"/>
    <w:rsid w:val="004330A4"/>
    <w:rsid w:val="004330FE"/>
    <w:rsid w:val="0043353C"/>
    <w:rsid w:val="004344A5"/>
    <w:rsid w:val="00434733"/>
    <w:rsid w:val="004348E0"/>
    <w:rsid w:val="00434B4A"/>
    <w:rsid w:val="00434E38"/>
    <w:rsid w:val="004351CD"/>
    <w:rsid w:val="0043574B"/>
    <w:rsid w:val="004357BC"/>
    <w:rsid w:val="0043638C"/>
    <w:rsid w:val="0043681F"/>
    <w:rsid w:val="00436B65"/>
    <w:rsid w:val="00436E6D"/>
    <w:rsid w:val="004376B8"/>
    <w:rsid w:val="00437F1C"/>
    <w:rsid w:val="004405C9"/>
    <w:rsid w:val="0044086E"/>
    <w:rsid w:val="0044090C"/>
    <w:rsid w:val="00440A01"/>
    <w:rsid w:val="00440AC8"/>
    <w:rsid w:val="004411F2"/>
    <w:rsid w:val="0044203A"/>
    <w:rsid w:val="0044236B"/>
    <w:rsid w:val="00442635"/>
    <w:rsid w:val="0044396A"/>
    <w:rsid w:val="00444139"/>
    <w:rsid w:val="004444BA"/>
    <w:rsid w:val="00445978"/>
    <w:rsid w:val="00445ECD"/>
    <w:rsid w:val="00446A07"/>
    <w:rsid w:val="0045077C"/>
    <w:rsid w:val="004509FD"/>
    <w:rsid w:val="0045260F"/>
    <w:rsid w:val="0045269E"/>
    <w:rsid w:val="00452968"/>
    <w:rsid w:val="00452A1F"/>
    <w:rsid w:val="00453072"/>
    <w:rsid w:val="00453662"/>
    <w:rsid w:val="00453BBC"/>
    <w:rsid w:val="00453DA0"/>
    <w:rsid w:val="004542C8"/>
    <w:rsid w:val="00454720"/>
    <w:rsid w:val="00454D10"/>
    <w:rsid w:val="00454E18"/>
    <w:rsid w:val="0045505D"/>
    <w:rsid w:val="004551F0"/>
    <w:rsid w:val="004555CE"/>
    <w:rsid w:val="00455B41"/>
    <w:rsid w:val="00455B62"/>
    <w:rsid w:val="00455E81"/>
    <w:rsid w:val="00456A3C"/>
    <w:rsid w:val="00456DBA"/>
    <w:rsid w:val="00457254"/>
    <w:rsid w:val="0045726A"/>
    <w:rsid w:val="004577F9"/>
    <w:rsid w:val="00460599"/>
    <w:rsid w:val="00460870"/>
    <w:rsid w:val="00461559"/>
    <w:rsid w:val="004619A1"/>
    <w:rsid w:val="004624A5"/>
    <w:rsid w:val="00462AF1"/>
    <w:rsid w:val="004631CE"/>
    <w:rsid w:val="004631D8"/>
    <w:rsid w:val="004632BC"/>
    <w:rsid w:val="004636B4"/>
    <w:rsid w:val="00463D54"/>
    <w:rsid w:val="0046463F"/>
    <w:rsid w:val="00465CCF"/>
    <w:rsid w:val="00465CE7"/>
    <w:rsid w:val="004661AF"/>
    <w:rsid w:val="004665BA"/>
    <w:rsid w:val="00466B12"/>
    <w:rsid w:val="00466B1D"/>
    <w:rsid w:val="00466E94"/>
    <w:rsid w:val="00466F23"/>
    <w:rsid w:val="00467251"/>
    <w:rsid w:val="004672BD"/>
    <w:rsid w:val="00467B15"/>
    <w:rsid w:val="0047039C"/>
    <w:rsid w:val="0047056E"/>
    <w:rsid w:val="00472102"/>
    <w:rsid w:val="00472CF8"/>
    <w:rsid w:val="00472D25"/>
    <w:rsid w:val="00473094"/>
    <w:rsid w:val="0047317E"/>
    <w:rsid w:val="0047366D"/>
    <w:rsid w:val="00474BDF"/>
    <w:rsid w:val="00474FD6"/>
    <w:rsid w:val="00475106"/>
    <w:rsid w:val="0047538C"/>
    <w:rsid w:val="0047544E"/>
    <w:rsid w:val="0047586E"/>
    <w:rsid w:val="004766A4"/>
    <w:rsid w:val="0047693A"/>
    <w:rsid w:val="00476A5F"/>
    <w:rsid w:val="00476FA9"/>
    <w:rsid w:val="0047720F"/>
    <w:rsid w:val="00477228"/>
    <w:rsid w:val="00477DC3"/>
    <w:rsid w:val="004806A8"/>
    <w:rsid w:val="004809CA"/>
    <w:rsid w:val="00480E3D"/>
    <w:rsid w:val="00481112"/>
    <w:rsid w:val="004811DA"/>
    <w:rsid w:val="00481972"/>
    <w:rsid w:val="00481C4F"/>
    <w:rsid w:val="00484B67"/>
    <w:rsid w:val="0048544B"/>
    <w:rsid w:val="0048549D"/>
    <w:rsid w:val="004856C3"/>
    <w:rsid w:val="00486321"/>
    <w:rsid w:val="004864B5"/>
    <w:rsid w:val="0048656D"/>
    <w:rsid w:val="00486DFB"/>
    <w:rsid w:val="00486F0B"/>
    <w:rsid w:val="0048728F"/>
    <w:rsid w:val="00487511"/>
    <w:rsid w:val="00487B11"/>
    <w:rsid w:val="0049043C"/>
    <w:rsid w:val="004907EE"/>
    <w:rsid w:val="0049089F"/>
    <w:rsid w:val="00490BDE"/>
    <w:rsid w:val="00491571"/>
    <w:rsid w:val="00491C84"/>
    <w:rsid w:val="00491D72"/>
    <w:rsid w:val="00492D30"/>
    <w:rsid w:val="00492E82"/>
    <w:rsid w:val="004930B1"/>
    <w:rsid w:val="004931D3"/>
    <w:rsid w:val="004937E7"/>
    <w:rsid w:val="00493F30"/>
    <w:rsid w:val="004945C6"/>
    <w:rsid w:val="0049509C"/>
    <w:rsid w:val="004953C2"/>
    <w:rsid w:val="0049549A"/>
    <w:rsid w:val="004960C4"/>
    <w:rsid w:val="00496497"/>
    <w:rsid w:val="0049663A"/>
    <w:rsid w:val="00496866"/>
    <w:rsid w:val="00496EA2"/>
    <w:rsid w:val="00496ED2"/>
    <w:rsid w:val="00496EFC"/>
    <w:rsid w:val="00497247"/>
    <w:rsid w:val="00497FA8"/>
    <w:rsid w:val="004A06B0"/>
    <w:rsid w:val="004A101F"/>
    <w:rsid w:val="004A1500"/>
    <w:rsid w:val="004A2A50"/>
    <w:rsid w:val="004A2C62"/>
    <w:rsid w:val="004A2CC8"/>
    <w:rsid w:val="004A31EE"/>
    <w:rsid w:val="004A387B"/>
    <w:rsid w:val="004A3B57"/>
    <w:rsid w:val="004A4748"/>
    <w:rsid w:val="004A4ABA"/>
    <w:rsid w:val="004A5D89"/>
    <w:rsid w:val="004A5F06"/>
    <w:rsid w:val="004A672E"/>
    <w:rsid w:val="004A681A"/>
    <w:rsid w:val="004A70CD"/>
    <w:rsid w:val="004A7F8A"/>
    <w:rsid w:val="004B070C"/>
    <w:rsid w:val="004B0876"/>
    <w:rsid w:val="004B0EE9"/>
    <w:rsid w:val="004B10D6"/>
    <w:rsid w:val="004B1311"/>
    <w:rsid w:val="004B258D"/>
    <w:rsid w:val="004B273B"/>
    <w:rsid w:val="004B2FC5"/>
    <w:rsid w:val="004B3478"/>
    <w:rsid w:val="004B389F"/>
    <w:rsid w:val="004B3E43"/>
    <w:rsid w:val="004B4699"/>
    <w:rsid w:val="004B471C"/>
    <w:rsid w:val="004B48FD"/>
    <w:rsid w:val="004B5291"/>
    <w:rsid w:val="004B556D"/>
    <w:rsid w:val="004C0165"/>
    <w:rsid w:val="004C05F2"/>
    <w:rsid w:val="004C2316"/>
    <w:rsid w:val="004C255B"/>
    <w:rsid w:val="004C27CE"/>
    <w:rsid w:val="004C2B4D"/>
    <w:rsid w:val="004C3AA7"/>
    <w:rsid w:val="004C3E1B"/>
    <w:rsid w:val="004C4303"/>
    <w:rsid w:val="004C5482"/>
    <w:rsid w:val="004C5845"/>
    <w:rsid w:val="004C6518"/>
    <w:rsid w:val="004C68DE"/>
    <w:rsid w:val="004D02EB"/>
    <w:rsid w:val="004D04F0"/>
    <w:rsid w:val="004D07AB"/>
    <w:rsid w:val="004D1175"/>
    <w:rsid w:val="004D1E14"/>
    <w:rsid w:val="004D2AC9"/>
    <w:rsid w:val="004D3E3E"/>
    <w:rsid w:val="004D4088"/>
    <w:rsid w:val="004D4211"/>
    <w:rsid w:val="004D4A03"/>
    <w:rsid w:val="004D4BDA"/>
    <w:rsid w:val="004D538C"/>
    <w:rsid w:val="004D56AD"/>
    <w:rsid w:val="004D5D86"/>
    <w:rsid w:val="004D6C81"/>
    <w:rsid w:val="004D6E8E"/>
    <w:rsid w:val="004D7485"/>
    <w:rsid w:val="004D7BE0"/>
    <w:rsid w:val="004E09EA"/>
    <w:rsid w:val="004E0BE6"/>
    <w:rsid w:val="004E147D"/>
    <w:rsid w:val="004E2172"/>
    <w:rsid w:val="004E24F2"/>
    <w:rsid w:val="004E432F"/>
    <w:rsid w:val="004E447D"/>
    <w:rsid w:val="004E49F4"/>
    <w:rsid w:val="004E50C3"/>
    <w:rsid w:val="004E5356"/>
    <w:rsid w:val="004E543C"/>
    <w:rsid w:val="004E5C1E"/>
    <w:rsid w:val="004E5ED7"/>
    <w:rsid w:val="004E609C"/>
    <w:rsid w:val="004E611A"/>
    <w:rsid w:val="004E6898"/>
    <w:rsid w:val="004E68F6"/>
    <w:rsid w:val="004E6AB2"/>
    <w:rsid w:val="004E6C12"/>
    <w:rsid w:val="004E703E"/>
    <w:rsid w:val="004E70B8"/>
    <w:rsid w:val="004E7215"/>
    <w:rsid w:val="004E74ED"/>
    <w:rsid w:val="004E7D2B"/>
    <w:rsid w:val="004F097C"/>
    <w:rsid w:val="004F0DE6"/>
    <w:rsid w:val="004F1253"/>
    <w:rsid w:val="004F14C9"/>
    <w:rsid w:val="004F14EE"/>
    <w:rsid w:val="004F197D"/>
    <w:rsid w:val="004F1D29"/>
    <w:rsid w:val="004F224B"/>
    <w:rsid w:val="004F2DA3"/>
    <w:rsid w:val="004F34B8"/>
    <w:rsid w:val="004F3BB1"/>
    <w:rsid w:val="004F4FA1"/>
    <w:rsid w:val="004F5593"/>
    <w:rsid w:val="004F5BD2"/>
    <w:rsid w:val="004F5C75"/>
    <w:rsid w:val="004F5F7F"/>
    <w:rsid w:val="004F6E75"/>
    <w:rsid w:val="004F792D"/>
    <w:rsid w:val="004F7A8A"/>
    <w:rsid w:val="00500CCC"/>
    <w:rsid w:val="00501551"/>
    <w:rsid w:val="005015AC"/>
    <w:rsid w:val="00501948"/>
    <w:rsid w:val="005050E8"/>
    <w:rsid w:val="0050532B"/>
    <w:rsid w:val="0050595E"/>
    <w:rsid w:val="00505C4B"/>
    <w:rsid w:val="00505C87"/>
    <w:rsid w:val="00505D23"/>
    <w:rsid w:val="00505D59"/>
    <w:rsid w:val="00505FE1"/>
    <w:rsid w:val="005064C1"/>
    <w:rsid w:val="0050689A"/>
    <w:rsid w:val="005070D4"/>
    <w:rsid w:val="005072B4"/>
    <w:rsid w:val="00507573"/>
    <w:rsid w:val="00507FAB"/>
    <w:rsid w:val="00507FB7"/>
    <w:rsid w:val="0051153C"/>
    <w:rsid w:val="00511C76"/>
    <w:rsid w:val="00512486"/>
    <w:rsid w:val="005127A4"/>
    <w:rsid w:val="00512F79"/>
    <w:rsid w:val="0051323A"/>
    <w:rsid w:val="00513F45"/>
    <w:rsid w:val="00514229"/>
    <w:rsid w:val="00514630"/>
    <w:rsid w:val="005149A6"/>
    <w:rsid w:val="005149C5"/>
    <w:rsid w:val="0051560D"/>
    <w:rsid w:val="00515A57"/>
    <w:rsid w:val="00516088"/>
    <w:rsid w:val="005160EF"/>
    <w:rsid w:val="005160FD"/>
    <w:rsid w:val="005161C5"/>
    <w:rsid w:val="0051620D"/>
    <w:rsid w:val="005164E6"/>
    <w:rsid w:val="005167D5"/>
    <w:rsid w:val="00516D1D"/>
    <w:rsid w:val="00516D5C"/>
    <w:rsid w:val="00516D8E"/>
    <w:rsid w:val="00517546"/>
    <w:rsid w:val="005175E8"/>
    <w:rsid w:val="00517FA4"/>
    <w:rsid w:val="00520A6F"/>
    <w:rsid w:val="00520E10"/>
    <w:rsid w:val="0052157B"/>
    <w:rsid w:val="005219C9"/>
    <w:rsid w:val="005223BF"/>
    <w:rsid w:val="00522523"/>
    <w:rsid w:val="0052275E"/>
    <w:rsid w:val="0052299D"/>
    <w:rsid w:val="00523B9B"/>
    <w:rsid w:val="00523D82"/>
    <w:rsid w:val="00523FD1"/>
    <w:rsid w:val="00524AAA"/>
    <w:rsid w:val="00524C28"/>
    <w:rsid w:val="00525697"/>
    <w:rsid w:val="00525F1C"/>
    <w:rsid w:val="00526BDD"/>
    <w:rsid w:val="00527726"/>
    <w:rsid w:val="00527A5D"/>
    <w:rsid w:val="005303F2"/>
    <w:rsid w:val="00530F42"/>
    <w:rsid w:val="005313DD"/>
    <w:rsid w:val="005316BC"/>
    <w:rsid w:val="00531835"/>
    <w:rsid w:val="00531921"/>
    <w:rsid w:val="005320EC"/>
    <w:rsid w:val="0053224A"/>
    <w:rsid w:val="0053270C"/>
    <w:rsid w:val="00532B59"/>
    <w:rsid w:val="00532DB3"/>
    <w:rsid w:val="00533084"/>
    <w:rsid w:val="00533C64"/>
    <w:rsid w:val="00533EA1"/>
    <w:rsid w:val="005343B1"/>
    <w:rsid w:val="00534698"/>
    <w:rsid w:val="00534E6A"/>
    <w:rsid w:val="00534EDF"/>
    <w:rsid w:val="00535035"/>
    <w:rsid w:val="0053514A"/>
    <w:rsid w:val="005357F1"/>
    <w:rsid w:val="00535A08"/>
    <w:rsid w:val="00535E84"/>
    <w:rsid w:val="00536AD0"/>
    <w:rsid w:val="00536C30"/>
    <w:rsid w:val="00536D6A"/>
    <w:rsid w:val="00536F5E"/>
    <w:rsid w:val="00537080"/>
    <w:rsid w:val="005370B3"/>
    <w:rsid w:val="00537328"/>
    <w:rsid w:val="0053752D"/>
    <w:rsid w:val="00537654"/>
    <w:rsid w:val="00537BB2"/>
    <w:rsid w:val="00541557"/>
    <w:rsid w:val="00541889"/>
    <w:rsid w:val="00541A09"/>
    <w:rsid w:val="0054248D"/>
    <w:rsid w:val="005428E8"/>
    <w:rsid w:val="0054360B"/>
    <w:rsid w:val="00543F45"/>
    <w:rsid w:val="00544AA9"/>
    <w:rsid w:val="00545919"/>
    <w:rsid w:val="00545B09"/>
    <w:rsid w:val="00545FBC"/>
    <w:rsid w:val="00546B67"/>
    <w:rsid w:val="00546D6F"/>
    <w:rsid w:val="005479DC"/>
    <w:rsid w:val="0055023C"/>
    <w:rsid w:val="00550A26"/>
    <w:rsid w:val="00550FD9"/>
    <w:rsid w:val="00551F8C"/>
    <w:rsid w:val="00552258"/>
    <w:rsid w:val="00552336"/>
    <w:rsid w:val="00552BD9"/>
    <w:rsid w:val="00553226"/>
    <w:rsid w:val="00553247"/>
    <w:rsid w:val="0055378E"/>
    <w:rsid w:val="00553C95"/>
    <w:rsid w:val="00554732"/>
    <w:rsid w:val="00554CF4"/>
    <w:rsid w:val="00554FA1"/>
    <w:rsid w:val="005556C6"/>
    <w:rsid w:val="005566FA"/>
    <w:rsid w:val="0055678D"/>
    <w:rsid w:val="00556EA3"/>
    <w:rsid w:val="00556F1F"/>
    <w:rsid w:val="00557029"/>
    <w:rsid w:val="005573D1"/>
    <w:rsid w:val="005574B2"/>
    <w:rsid w:val="00560AE7"/>
    <w:rsid w:val="00561192"/>
    <w:rsid w:val="00561702"/>
    <w:rsid w:val="00561ADB"/>
    <w:rsid w:val="00562311"/>
    <w:rsid w:val="00562906"/>
    <w:rsid w:val="00562A12"/>
    <w:rsid w:val="0056349B"/>
    <w:rsid w:val="00563A4A"/>
    <w:rsid w:val="00563B8D"/>
    <w:rsid w:val="00564E75"/>
    <w:rsid w:val="00565039"/>
    <w:rsid w:val="0056541E"/>
    <w:rsid w:val="0056613D"/>
    <w:rsid w:val="00566799"/>
    <w:rsid w:val="00566FC3"/>
    <w:rsid w:val="0056733D"/>
    <w:rsid w:val="00570009"/>
    <w:rsid w:val="005706A3"/>
    <w:rsid w:val="00570F39"/>
    <w:rsid w:val="005712EF"/>
    <w:rsid w:val="00571D0D"/>
    <w:rsid w:val="00572201"/>
    <w:rsid w:val="00572734"/>
    <w:rsid w:val="005733E7"/>
    <w:rsid w:val="005737A1"/>
    <w:rsid w:val="00573AEA"/>
    <w:rsid w:val="00573C85"/>
    <w:rsid w:val="00574BE4"/>
    <w:rsid w:val="00574D24"/>
    <w:rsid w:val="0057500B"/>
    <w:rsid w:val="005754C1"/>
    <w:rsid w:val="0057562F"/>
    <w:rsid w:val="00576415"/>
    <w:rsid w:val="00576E40"/>
    <w:rsid w:val="00576E5D"/>
    <w:rsid w:val="0057791B"/>
    <w:rsid w:val="0058076A"/>
    <w:rsid w:val="005808F6"/>
    <w:rsid w:val="005819B0"/>
    <w:rsid w:val="00581A44"/>
    <w:rsid w:val="00581DEA"/>
    <w:rsid w:val="005834EF"/>
    <w:rsid w:val="00583B5C"/>
    <w:rsid w:val="00585283"/>
    <w:rsid w:val="00585474"/>
    <w:rsid w:val="0058552F"/>
    <w:rsid w:val="00585914"/>
    <w:rsid w:val="00585A67"/>
    <w:rsid w:val="0058630A"/>
    <w:rsid w:val="0058673E"/>
    <w:rsid w:val="005873D5"/>
    <w:rsid w:val="00590260"/>
    <w:rsid w:val="00590822"/>
    <w:rsid w:val="00590DDB"/>
    <w:rsid w:val="00590EE5"/>
    <w:rsid w:val="0059115C"/>
    <w:rsid w:val="005919F9"/>
    <w:rsid w:val="00591F71"/>
    <w:rsid w:val="00592554"/>
    <w:rsid w:val="00592829"/>
    <w:rsid w:val="00594149"/>
    <w:rsid w:val="005943FE"/>
    <w:rsid w:val="005944C0"/>
    <w:rsid w:val="00594640"/>
    <w:rsid w:val="0059566E"/>
    <w:rsid w:val="00595A94"/>
    <w:rsid w:val="00595A97"/>
    <w:rsid w:val="00595C8E"/>
    <w:rsid w:val="00596375"/>
    <w:rsid w:val="00596B6F"/>
    <w:rsid w:val="00596B8B"/>
    <w:rsid w:val="00596D13"/>
    <w:rsid w:val="00597182"/>
    <w:rsid w:val="00597A11"/>
    <w:rsid w:val="005A068D"/>
    <w:rsid w:val="005A184D"/>
    <w:rsid w:val="005A18B3"/>
    <w:rsid w:val="005A231E"/>
    <w:rsid w:val="005A2D66"/>
    <w:rsid w:val="005A2FC2"/>
    <w:rsid w:val="005A3E69"/>
    <w:rsid w:val="005A4B21"/>
    <w:rsid w:val="005A4EAA"/>
    <w:rsid w:val="005A4F0F"/>
    <w:rsid w:val="005A5058"/>
    <w:rsid w:val="005A5513"/>
    <w:rsid w:val="005A558B"/>
    <w:rsid w:val="005A582A"/>
    <w:rsid w:val="005A5E61"/>
    <w:rsid w:val="005A697C"/>
    <w:rsid w:val="005A7222"/>
    <w:rsid w:val="005A735C"/>
    <w:rsid w:val="005B0395"/>
    <w:rsid w:val="005B04E9"/>
    <w:rsid w:val="005B13BC"/>
    <w:rsid w:val="005B1455"/>
    <w:rsid w:val="005B1CB1"/>
    <w:rsid w:val="005B21EF"/>
    <w:rsid w:val="005B2213"/>
    <w:rsid w:val="005B22ED"/>
    <w:rsid w:val="005B3D4D"/>
    <w:rsid w:val="005B4755"/>
    <w:rsid w:val="005B52EC"/>
    <w:rsid w:val="005B5944"/>
    <w:rsid w:val="005B5A32"/>
    <w:rsid w:val="005B6007"/>
    <w:rsid w:val="005B65E2"/>
    <w:rsid w:val="005B66CA"/>
    <w:rsid w:val="005B6959"/>
    <w:rsid w:val="005B6C18"/>
    <w:rsid w:val="005C0AA9"/>
    <w:rsid w:val="005C0ACC"/>
    <w:rsid w:val="005C0B52"/>
    <w:rsid w:val="005C1422"/>
    <w:rsid w:val="005C1478"/>
    <w:rsid w:val="005C1908"/>
    <w:rsid w:val="005C1EAF"/>
    <w:rsid w:val="005C1FFE"/>
    <w:rsid w:val="005C2341"/>
    <w:rsid w:val="005C27CD"/>
    <w:rsid w:val="005C3056"/>
    <w:rsid w:val="005C36C0"/>
    <w:rsid w:val="005C3CB2"/>
    <w:rsid w:val="005C3D23"/>
    <w:rsid w:val="005C3DBF"/>
    <w:rsid w:val="005C4182"/>
    <w:rsid w:val="005C4433"/>
    <w:rsid w:val="005C4AE8"/>
    <w:rsid w:val="005C4E31"/>
    <w:rsid w:val="005C4EB0"/>
    <w:rsid w:val="005C5BAB"/>
    <w:rsid w:val="005C5BAC"/>
    <w:rsid w:val="005C6FBF"/>
    <w:rsid w:val="005C7BDA"/>
    <w:rsid w:val="005C7E29"/>
    <w:rsid w:val="005C7E4A"/>
    <w:rsid w:val="005C7EBB"/>
    <w:rsid w:val="005D0254"/>
    <w:rsid w:val="005D04BC"/>
    <w:rsid w:val="005D08FC"/>
    <w:rsid w:val="005D0ACD"/>
    <w:rsid w:val="005D12D3"/>
    <w:rsid w:val="005D17DD"/>
    <w:rsid w:val="005D1FC3"/>
    <w:rsid w:val="005D1FC8"/>
    <w:rsid w:val="005D24D4"/>
    <w:rsid w:val="005D28FD"/>
    <w:rsid w:val="005D2CB8"/>
    <w:rsid w:val="005D2F81"/>
    <w:rsid w:val="005D4670"/>
    <w:rsid w:val="005D47E6"/>
    <w:rsid w:val="005D52F0"/>
    <w:rsid w:val="005D5DB0"/>
    <w:rsid w:val="005D66EE"/>
    <w:rsid w:val="005D6D33"/>
    <w:rsid w:val="005D729B"/>
    <w:rsid w:val="005D73E1"/>
    <w:rsid w:val="005D747F"/>
    <w:rsid w:val="005D7B74"/>
    <w:rsid w:val="005E0435"/>
    <w:rsid w:val="005E045E"/>
    <w:rsid w:val="005E0A8A"/>
    <w:rsid w:val="005E1074"/>
    <w:rsid w:val="005E1588"/>
    <w:rsid w:val="005E1EA5"/>
    <w:rsid w:val="005E2348"/>
    <w:rsid w:val="005E382C"/>
    <w:rsid w:val="005E3EDC"/>
    <w:rsid w:val="005E4460"/>
    <w:rsid w:val="005E4654"/>
    <w:rsid w:val="005E5286"/>
    <w:rsid w:val="005E545E"/>
    <w:rsid w:val="005E5C00"/>
    <w:rsid w:val="005E5FEE"/>
    <w:rsid w:val="005E6999"/>
    <w:rsid w:val="005E6BE7"/>
    <w:rsid w:val="005E79E5"/>
    <w:rsid w:val="005E7DFF"/>
    <w:rsid w:val="005F063D"/>
    <w:rsid w:val="005F107D"/>
    <w:rsid w:val="005F273C"/>
    <w:rsid w:val="005F2A85"/>
    <w:rsid w:val="005F2ED2"/>
    <w:rsid w:val="005F32C7"/>
    <w:rsid w:val="005F36CC"/>
    <w:rsid w:val="005F3A58"/>
    <w:rsid w:val="005F3B6D"/>
    <w:rsid w:val="005F400B"/>
    <w:rsid w:val="005F4138"/>
    <w:rsid w:val="005F458F"/>
    <w:rsid w:val="005F4595"/>
    <w:rsid w:val="005F480F"/>
    <w:rsid w:val="005F4AFB"/>
    <w:rsid w:val="005F4F80"/>
    <w:rsid w:val="005F5213"/>
    <w:rsid w:val="005F570E"/>
    <w:rsid w:val="005F592A"/>
    <w:rsid w:val="005F5987"/>
    <w:rsid w:val="005F5B14"/>
    <w:rsid w:val="005F5BB2"/>
    <w:rsid w:val="005F6555"/>
    <w:rsid w:val="005F6B2F"/>
    <w:rsid w:val="005F6F95"/>
    <w:rsid w:val="005F7456"/>
    <w:rsid w:val="005F7FCA"/>
    <w:rsid w:val="00600102"/>
    <w:rsid w:val="00600158"/>
    <w:rsid w:val="0060060A"/>
    <w:rsid w:val="00600881"/>
    <w:rsid w:val="00601412"/>
    <w:rsid w:val="0060149C"/>
    <w:rsid w:val="00601756"/>
    <w:rsid w:val="006021F0"/>
    <w:rsid w:val="00603180"/>
    <w:rsid w:val="00603541"/>
    <w:rsid w:val="00604B63"/>
    <w:rsid w:val="00605196"/>
    <w:rsid w:val="00605B39"/>
    <w:rsid w:val="00605F3D"/>
    <w:rsid w:val="006060D9"/>
    <w:rsid w:val="00606161"/>
    <w:rsid w:val="00606E62"/>
    <w:rsid w:val="00606EE0"/>
    <w:rsid w:val="00607E58"/>
    <w:rsid w:val="00610143"/>
    <w:rsid w:val="0061029E"/>
    <w:rsid w:val="00612639"/>
    <w:rsid w:val="00612FC0"/>
    <w:rsid w:val="00613B15"/>
    <w:rsid w:val="00613E1C"/>
    <w:rsid w:val="00615079"/>
    <w:rsid w:val="006150A9"/>
    <w:rsid w:val="00615286"/>
    <w:rsid w:val="0061534E"/>
    <w:rsid w:val="00615535"/>
    <w:rsid w:val="006158EC"/>
    <w:rsid w:val="00616C61"/>
    <w:rsid w:val="00617B10"/>
    <w:rsid w:val="00617B4E"/>
    <w:rsid w:val="00617B9F"/>
    <w:rsid w:val="00617C4C"/>
    <w:rsid w:val="0062025C"/>
    <w:rsid w:val="006205AB"/>
    <w:rsid w:val="006206F1"/>
    <w:rsid w:val="00620BFD"/>
    <w:rsid w:val="00620FA2"/>
    <w:rsid w:val="0062103D"/>
    <w:rsid w:val="00621421"/>
    <w:rsid w:val="006221B3"/>
    <w:rsid w:val="0062260D"/>
    <w:rsid w:val="00622D12"/>
    <w:rsid w:val="00623224"/>
    <w:rsid w:val="006237D8"/>
    <w:rsid w:val="006237FC"/>
    <w:rsid w:val="00623C3A"/>
    <w:rsid w:val="00623F5D"/>
    <w:rsid w:val="0062408B"/>
    <w:rsid w:val="0062439C"/>
    <w:rsid w:val="00624C8F"/>
    <w:rsid w:val="00624EBB"/>
    <w:rsid w:val="0062527E"/>
    <w:rsid w:val="00625A0D"/>
    <w:rsid w:val="00625C13"/>
    <w:rsid w:val="006261B1"/>
    <w:rsid w:val="00627156"/>
    <w:rsid w:val="006271D2"/>
    <w:rsid w:val="0062757E"/>
    <w:rsid w:val="00627B58"/>
    <w:rsid w:val="00627D41"/>
    <w:rsid w:val="0062B2EA"/>
    <w:rsid w:val="0063026C"/>
    <w:rsid w:val="00630B95"/>
    <w:rsid w:val="00631E3D"/>
    <w:rsid w:val="00631EB1"/>
    <w:rsid w:val="00632625"/>
    <w:rsid w:val="006327C3"/>
    <w:rsid w:val="006328DB"/>
    <w:rsid w:val="006332A6"/>
    <w:rsid w:val="00633375"/>
    <w:rsid w:val="006333B2"/>
    <w:rsid w:val="006333C8"/>
    <w:rsid w:val="00633A94"/>
    <w:rsid w:val="00633B5A"/>
    <w:rsid w:val="006347E0"/>
    <w:rsid w:val="006352B4"/>
    <w:rsid w:val="0063556E"/>
    <w:rsid w:val="0063585E"/>
    <w:rsid w:val="00635964"/>
    <w:rsid w:val="0063597A"/>
    <w:rsid w:val="00635A3D"/>
    <w:rsid w:val="00635F47"/>
    <w:rsid w:val="00636147"/>
    <w:rsid w:val="006362A5"/>
    <w:rsid w:val="00636A89"/>
    <w:rsid w:val="006408FD"/>
    <w:rsid w:val="00640979"/>
    <w:rsid w:val="006414CF"/>
    <w:rsid w:val="0064155C"/>
    <w:rsid w:val="00641673"/>
    <w:rsid w:val="006417CD"/>
    <w:rsid w:val="006419BD"/>
    <w:rsid w:val="00641B18"/>
    <w:rsid w:val="00641DF6"/>
    <w:rsid w:val="0064214B"/>
    <w:rsid w:val="006423C6"/>
    <w:rsid w:val="0064288B"/>
    <w:rsid w:val="00642B12"/>
    <w:rsid w:val="0064401B"/>
    <w:rsid w:val="00644026"/>
    <w:rsid w:val="00644D0B"/>
    <w:rsid w:val="00644F0E"/>
    <w:rsid w:val="006450A1"/>
    <w:rsid w:val="00645F9E"/>
    <w:rsid w:val="0064650C"/>
    <w:rsid w:val="00646667"/>
    <w:rsid w:val="00646A16"/>
    <w:rsid w:val="00646F3D"/>
    <w:rsid w:val="006477DE"/>
    <w:rsid w:val="006478E7"/>
    <w:rsid w:val="00647A9D"/>
    <w:rsid w:val="00647DBA"/>
    <w:rsid w:val="0065190C"/>
    <w:rsid w:val="00651D19"/>
    <w:rsid w:val="006524A1"/>
    <w:rsid w:val="006528C7"/>
    <w:rsid w:val="00652BA5"/>
    <w:rsid w:val="006536F9"/>
    <w:rsid w:val="00653742"/>
    <w:rsid w:val="006537B2"/>
    <w:rsid w:val="00653A07"/>
    <w:rsid w:val="00653DFB"/>
    <w:rsid w:val="00653E3A"/>
    <w:rsid w:val="006547FA"/>
    <w:rsid w:val="006549D9"/>
    <w:rsid w:val="006552D3"/>
    <w:rsid w:val="00655D3D"/>
    <w:rsid w:val="00656537"/>
    <w:rsid w:val="006567CE"/>
    <w:rsid w:val="00656DB2"/>
    <w:rsid w:val="0065732C"/>
    <w:rsid w:val="00660E63"/>
    <w:rsid w:val="00661659"/>
    <w:rsid w:val="00661E35"/>
    <w:rsid w:val="00662071"/>
    <w:rsid w:val="00662476"/>
    <w:rsid w:val="00662528"/>
    <w:rsid w:val="006626AC"/>
    <w:rsid w:val="00662892"/>
    <w:rsid w:val="006630C5"/>
    <w:rsid w:val="00663AC7"/>
    <w:rsid w:val="00664737"/>
    <w:rsid w:val="0066484D"/>
    <w:rsid w:val="00664EDB"/>
    <w:rsid w:val="00665B94"/>
    <w:rsid w:val="00665E82"/>
    <w:rsid w:val="00665F18"/>
    <w:rsid w:val="006669F5"/>
    <w:rsid w:val="00666B0F"/>
    <w:rsid w:val="006671E1"/>
    <w:rsid w:val="006677DD"/>
    <w:rsid w:val="00667A20"/>
    <w:rsid w:val="00667F9E"/>
    <w:rsid w:val="00667FAF"/>
    <w:rsid w:val="006705F2"/>
    <w:rsid w:val="00670FC3"/>
    <w:rsid w:val="006711DF"/>
    <w:rsid w:val="00671440"/>
    <w:rsid w:val="00671717"/>
    <w:rsid w:val="006736C5"/>
    <w:rsid w:val="00673AB0"/>
    <w:rsid w:val="00673DA4"/>
    <w:rsid w:val="00673F10"/>
    <w:rsid w:val="0067537A"/>
    <w:rsid w:val="006757ED"/>
    <w:rsid w:val="006759B1"/>
    <w:rsid w:val="00675B7C"/>
    <w:rsid w:val="006765B8"/>
    <w:rsid w:val="00676A09"/>
    <w:rsid w:val="00676A8B"/>
    <w:rsid w:val="00676C02"/>
    <w:rsid w:val="006775BB"/>
    <w:rsid w:val="006778D6"/>
    <w:rsid w:val="00680201"/>
    <w:rsid w:val="00680380"/>
    <w:rsid w:val="0068043B"/>
    <w:rsid w:val="006808A5"/>
    <w:rsid w:val="00680964"/>
    <w:rsid w:val="00680B28"/>
    <w:rsid w:val="006812CB"/>
    <w:rsid w:val="00681496"/>
    <w:rsid w:val="006815C4"/>
    <w:rsid w:val="00682E47"/>
    <w:rsid w:val="006836C1"/>
    <w:rsid w:val="0068371B"/>
    <w:rsid w:val="00683D44"/>
    <w:rsid w:val="00684195"/>
    <w:rsid w:val="00684242"/>
    <w:rsid w:val="0068484F"/>
    <w:rsid w:val="00684A9D"/>
    <w:rsid w:val="00684D32"/>
    <w:rsid w:val="00685723"/>
    <w:rsid w:val="0068606A"/>
    <w:rsid w:val="0068623D"/>
    <w:rsid w:val="00686483"/>
    <w:rsid w:val="00686569"/>
    <w:rsid w:val="006869D3"/>
    <w:rsid w:val="006873CC"/>
    <w:rsid w:val="00687998"/>
    <w:rsid w:val="00687A24"/>
    <w:rsid w:val="00690522"/>
    <w:rsid w:val="00690669"/>
    <w:rsid w:val="006906FB"/>
    <w:rsid w:val="00690D7C"/>
    <w:rsid w:val="0069136A"/>
    <w:rsid w:val="006913C5"/>
    <w:rsid w:val="006914CC"/>
    <w:rsid w:val="00692C31"/>
    <w:rsid w:val="00692F46"/>
    <w:rsid w:val="006933CE"/>
    <w:rsid w:val="00693740"/>
    <w:rsid w:val="00693BB2"/>
    <w:rsid w:val="0069435D"/>
    <w:rsid w:val="00694B26"/>
    <w:rsid w:val="00694D10"/>
    <w:rsid w:val="00694E48"/>
    <w:rsid w:val="00695A1E"/>
    <w:rsid w:val="006961BE"/>
    <w:rsid w:val="0069630D"/>
    <w:rsid w:val="0069660D"/>
    <w:rsid w:val="006967EC"/>
    <w:rsid w:val="00696BF4"/>
    <w:rsid w:val="00697615"/>
    <w:rsid w:val="00697C99"/>
    <w:rsid w:val="00697FC8"/>
    <w:rsid w:val="006A029C"/>
    <w:rsid w:val="006A1DF9"/>
    <w:rsid w:val="006A25E2"/>
    <w:rsid w:val="006A274D"/>
    <w:rsid w:val="006A2AF9"/>
    <w:rsid w:val="006A2F39"/>
    <w:rsid w:val="006A3CD4"/>
    <w:rsid w:val="006A4726"/>
    <w:rsid w:val="006A6464"/>
    <w:rsid w:val="006A65CF"/>
    <w:rsid w:val="006A6B5D"/>
    <w:rsid w:val="006A6D06"/>
    <w:rsid w:val="006A6EDB"/>
    <w:rsid w:val="006A79D6"/>
    <w:rsid w:val="006A7DE7"/>
    <w:rsid w:val="006B0142"/>
    <w:rsid w:val="006B0260"/>
    <w:rsid w:val="006B0533"/>
    <w:rsid w:val="006B0AA1"/>
    <w:rsid w:val="006B0EA4"/>
    <w:rsid w:val="006B1148"/>
    <w:rsid w:val="006B1369"/>
    <w:rsid w:val="006B2511"/>
    <w:rsid w:val="006B254B"/>
    <w:rsid w:val="006B2735"/>
    <w:rsid w:val="006B3CF5"/>
    <w:rsid w:val="006B3DA3"/>
    <w:rsid w:val="006B536A"/>
    <w:rsid w:val="006B53FE"/>
    <w:rsid w:val="006B54F7"/>
    <w:rsid w:val="006B5612"/>
    <w:rsid w:val="006B59F7"/>
    <w:rsid w:val="006B5B6A"/>
    <w:rsid w:val="006B5CB3"/>
    <w:rsid w:val="006B6772"/>
    <w:rsid w:val="006B7AED"/>
    <w:rsid w:val="006B7D4A"/>
    <w:rsid w:val="006C000A"/>
    <w:rsid w:val="006C04E9"/>
    <w:rsid w:val="006C10F2"/>
    <w:rsid w:val="006C155B"/>
    <w:rsid w:val="006C1654"/>
    <w:rsid w:val="006C17C4"/>
    <w:rsid w:val="006C19CA"/>
    <w:rsid w:val="006C2EB4"/>
    <w:rsid w:val="006C3552"/>
    <w:rsid w:val="006C3FF4"/>
    <w:rsid w:val="006C44C7"/>
    <w:rsid w:val="006C4C83"/>
    <w:rsid w:val="006C4C9F"/>
    <w:rsid w:val="006C4F6B"/>
    <w:rsid w:val="006C57B2"/>
    <w:rsid w:val="006C6690"/>
    <w:rsid w:val="006C764B"/>
    <w:rsid w:val="006C7CD5"/>
    <w:rsid w:val="006D026B"/>
    <w:rsid w:val="006D03F5"/>
    <w:rsid w:val="006D067C"/>
    <w:rsid w:val="006D06F7"/>
    <w:rsid w:val="006D0C7E"/>
    <w:rsid w:val="006D3967"/>
    <w:rsid w:val="006D3BA7"/>
    <w:rsid w:val="006D431D"/>
    <w:rsid w:val="006D4621"/>
    <w:rsid w:val="006D50D2"/>
    <w:rsid w:val="006D56D1"/>
    <w:rsid w:val="006D5740"/>
    <w:rsid w:val="006D5C97"/>
    <w:rsid w:val="006D6333"/>
    <w:rsid w:val="006D69FC"/>
    <w:rsid w:val="006D7016"/>
    <w:rsid w:val="006D7995"/>
    <w:rsid w:val="006E042B"/>
    <w:rsid w:val="006E0571"/>
    <w:rsid w:val="006E1BD8"/>
    <w:rsid w:val="006E29BF"/>
    <w:rsid w:val="006E2D1E"/>
    <w:rsid w:val="006E2FD4"/>
    <w:rsid w:val="006E3D6A"/>
    <w:rsid w:val="006E3DEC"/>
    <w:rsid w:val="006E43A4"/>
    <w:rsid w:val="006E4E03"/>
    <w:rsid w:val="006E50A9"/>
    <w:rsid w:val="006E5624"/>
    <w:rsid w:val="006E56D6"/>
    <w:rsid w:val="006E5B46"/>
    <w:rsid w:val="006E5D6C"/>
    <w:rsid w:val="006E68BC"/>
    <w:rsid w:val="006E7F82"/>
    <w:rsid w:val="006F0151"/>
    <w:rsid w:val="006F089B"/>
    <w:rsid w:val="006F0BB1"/>
    <w:rsid w:val="006F0F4A"/>
    <w:rsid w:val="006F166F"/>
    <w:rsid w:val="006F1767"/>
    <w:rsid w:val="006F187D"/>
    <w:rsid w:val="006F256F"/>
    <w:rsid w:val="006F2850"/>
    <w:rsid w:val="006F2952"/>
    <w:rsid w:val="006F2BFE"/>
    <w:rsid w:val="006F2E9F"/>
    <w:rsid w:val="006F3715"/>
    <w:rsid w:val="006F4435"/>
    <w:rsid w:val="006F48D5"/>
    <w:rsid w:val="006F507F"/>
    <w:rsid w:val="006F5739"/>
    <w:rsid w:val="006F57BF"/>
    <w:rsid w:val="006F5A6E"/>
    <w:rsid w:val="006F5D94"/>
    <w:rsid w:val="006F6A7B"/>
    <w:rsid w:val="006F6B4D"/>
    <w:rsid w:val="006F7685"/>
    <w:rsid w:val="006F772A"/>
    <w:rsid w:val="006F7DE4"/>
    <w:rsid w:val="006F7F90"/>
    <w:rsid w:val="00700D4F"/>
    <w:rsid w:val="0070103E"/>
    <w:rsid w:val="00701BA1"/>
    <w:rsid w:val="00701BAA"/>
    <w:rsid w:val="00702372"/>
    <w:rsid w:val="007023D8"/>
    <w:rsid w:val="00702483"/>
    <w:rsid w:val="00702737"/>
    <w:rsid w:val="00702928"/>
    <w:rsid w:val="0070342D"/>
    <w:rsid w:val="00703C51"/>
    <w:rsid w:val="00703C84"/>
    <w:rsid w:val="00703CD9"/>
    <w:rsid w:val="0070471F"/>
    <w:rsid w:val="00704F3A"/>
    <w:rsid w:val="00705370"/>
    <w:rsid w:val="0070640D"/>
    <w:rsid w:val="0070691B"/>
    <w:rsid w:val="007078DC"/>
    <w:rsid w:val="00707BAD"/>
    <w:rsid w:val="00710AA3"/>
    <w:rsid w:val="00710F03"/>
    <w:rsid w:val="007112B6"/>
    <w:rsid w:val="00711634"/>
    <w:rsid w:val="007119D8"/>
    <w:rsid w:val="00711AB6"/>
    <w:rsid w:val="007127F9"/>
    <w:rsid w:val="00712866"/>
    <w:rsid w:val="0071298D"/>
    <w:rsid w:val="00713379"/>
    <w:rsid w:val="007134F5"/>
    <w:rsid w:val="007138B3"/>
    <w:rsid w:val="00713B4A"/>
    <w:rsid w:val="0071420C"/>
    <w:rsid w:val="00714B04"/>
    <w:rsid w:val="00715C65"/>
    <w:rsid w:val="007166D1"/>
    <w:rsid w:val="0071689B"/>
    <w:rsid w:val="00716F27"/>
    <w:rsid w:val="00720075"/>
    <w:rsid w:val="00720841"/>
    <w:rsid w:val="00721095"/>
    <w:rsid w:val="007214EF"/>
    <w:rsid w:val="007219F9"/>
    <w:rsid w:val="00721ADF"/>
    <w:rsid w:val="00721C17"/>
    <w:rsid w:val="00721C99"/>
    <w:rsid w:val="00721F37"/>
    <w:rsid w:val="00721FA0"/>
    <w:rsid w:val="007220F7"/>
    <w:rsid w:val="00722CDE"/>
    <w:rsid w:val="00722F0B"/>
    <w:rsid w:val="00723466"/>
    <w:rsid w:val="00723544"/>
    <w:rsid w:val="00723623"/>
    <w:rsid w:val="007236B8"/>
    <w:rsid w:val="0072396E"/>
    <w:rsid w:val="00723B64"/>
    <w:rsid w:val="00724078"/>
    <w:rsid w:val="0072429D"/>
    <w:rsid w:val="007242A4"/>
    <w:rsid w:val="0072449B"/>
    <w:rsid w:val="0072462D"/>
    <w:rsid w:val="00724DB0"/>
    <w:rsid w:val="00724EB5"/>
    <w:rsid w:val="007250DB"/>
    <w:rsid w:val="0072572F"/>
    <w:rsid w:val="00725911"/>
    <w:rsid w:val="00725AF1"/>
    <w:rsid w:val="00725D8D"/>
    <w:rsid w:val="007263AC"/>
    <w:rsid w:val="00726546"/>
    <w:rsid w:val="007269CF"/>
    <w:rsid w:val="0072700E"/>
    <w:rsid w:val="00727531"/>
    <w:rsid w:val="00727916"/>
    <w:rsid w:val="007279F3"/>
    <w:rsid w:val="00727C47"/>
    <w:rsid w:val="00727D4D"/>
    <w:rsid w:val="0073007B"/>
    <w:rsid w:val="007307E6"/>
    <w:rsid w:val="007308CC"/>
    <w:rsid w:val="0073122A"/>
    <w:rsid w:val="00731249"/>
    <w:rsid w:val="00731FCA"/>
    <w:rsid w:val="00732758"/>
    <w:rsid w:val="00732B1D"/>
    <w:rsid w:val="007336D9"/>
    <w:rsid w:val="00733785"/>
    <w:rsid w:val="00734065"/>
    <w:rsid w:val="00734630"/>
    <w:rsid w:val="007347BE"/>
    <w:rsid w:val="007348D9"/>
    <w:rsid w:val="00735011"/>
    <w:rsid w:val="0073518C"/>
    <w:rsid w:val="00735623"/>
    <w:rsid w:val="0073614C"/>
    <w:rsid w:val="00737469"/>
    <w:rsid w:val="0074105B"/>
    <w:rsid w:val="00741061"/>
    <w:rsid w:val="00741517"/>
    <w:rsid w:val="007418E0"/>
    <w:rsid w:val="007424D7"/>
    <w:rsid w:val="007432BC"/>
    <w:rsid w:val="007432D9"/>
    <w:rsid w:val="00743416"/>
    <w:rsid w:val="00743A4C"/>
    <w:rsid w:val="00743ACA"/>
    <w:rsid w:val="00743D70"/>
    <w:rsid w:val="0074427F"/>
    <w:rsid w:val="00744342"/>
    <w:rsid w:val="00744C01"/>
    <w:rsid w:val="00744E29"/>
    <w:rsid w:val="00746220"/>
    <w:rsid w:val="00746942"/>
    <w:rsid w:val="00746C0E"/>
    <w:rsid w:val="00746C5A"/>
    <w:rsid w:val="00747372"/>
    <w:rsid w:val="00747A55"/>
    <w:rsid w:val="00751795"/>
    <w:rsid w:val="00751ACA"/>
    <w:rsid w:val="00751FA7"/>
    <w:rsid w:val="00752B33"/>
    <w:rsid w:val="00752F7F"/>
    <w:rsid w:val="0075368C"/>
    <w:rsid w:val="00753DF3"/>
    <w:rsid w:val="0075422D"/>
    <w:rsid w:val="00755192"/>
    <w:rsid w:val="0075560B"/>
    <w:rsid w:val="0075586D"/>
    <w:rsid w:val="00755CDF"/>
    <w:rsid w:val="007562E6"/>
    <w:rsid w:val="00756AB0"/>
    <w:rsid w:val="00756CDF"/>
    <w:rsid w:val="007570A8"/>
    <w:rsid w:val="007575A5"/>
    <w:rsid w:val="00757DC6"/>
    <w:rsid w:val="00757F27"/>
    <w:rsid w:val="00760379"/>
    <w:rsid w:val="007603EA"/>
    <w:rsid w:val="00760937"/>
    <w:rsid w:val="00760966"/>
    <w:rsid w:val="0076096A"/>
    <w:rsid w:val="00760C1D"/>
    <w:rsid w:val="00761682"/>
    <w:rsid w:val="0076189D"/>
    <w:rsid w:val="00761C01"/>
    <w:rsid w:val="007626DF"/>
    <w:rsid w:val="007631F2"/>
    <w:rsid w:val="007633DD"/>
    <w:rsid w:val="00764158"/>
    <w:rsid w:val="00764A07"/>
    <w:rsid w:val="00764C70"/>
    <w:rsid w:val="00764D75"/>
    <w:rsid w:val="0076541A"/>
    <w:rsid w:val="00766078"/>
    <w:rsid w:val="00766CEB"/>
    <w:rsid w:val="00766E85"/>
    <w:rsid w:val="007672FD"/>
    <w:rsid w:val="00767613"/>
    <w:rsid w:val="00767D5B"/>
    <w:rsid w:val="007703D9"/>
    <w:rsid w:val="00770DFA"/>
    <w:rsid w:val="007715F8"/>
    <w:rsid w:val="007722AB"/>
    <w:rsid w:val="0077261B"/>
    <w:rsid w:val="00772EEF"/>
    <w:rsid w:val="00773072"/>
    <w:rsid w:val="00773BF9"/>
    <w:rsid w:val="00773C1F"/>
    <w:rsid w:val="00773D5A"/>
    <w:rsid w:val="007743AC"/>
    <w:rsid w:val="00775C0A"/>
    <w:rsid w:val="007766EA"/>
    <w:rsid w:val="00776ECF"/>
    <w:rsid w:val="0077791D"/>
    <w:rsid w:val="007779BF"/>
    <w:rsid w:val="00777C48"/>
    <w:rsid w:val="00780485"/>
    <w:rsid w:val="00780A38"/>
    <w:rsid w:val="00780E25"/>
    <w:rsid w:val="007811FF"/>
    <w:rsid w:val="0078188B"/>
    <w:rsid w:val="00781DE9"/>
    <w:rsid w:val="00781EF6"/>
    <w:rsid w:val="0078223D"/>
    <w:rsid w:val="0078256B"/>
    <w:rsid w:val="00782967"/>
    <w:rsid w:val="007832E0"/>
    <w:rsid w:val="007833B9"/>
    <w:rsid w:val="00783737"/>
    <w:rsid w:val="00783A22"/>
    <w:rsid w:val="00783B42"/>
    <w:rsid w:val="007841CF"/>
    <w:rsid w:val="007844BE"/>
    <w:rsid w:val="00784707"/>
    <w:rsid w:val="0078521E"/>
    <w:rsid w:val="007854D4"/>
    <w:rsid w:val="00785564"/>
    <w:rsid w:val="007859CB"/>
    <w:rsid w:val="00785ADD"/>
    <w:rsid w:val="00786F6D"/>
    <w:rsid w:val="007870FA"/>
    <w:rsid w:val="00787A0E"/>
    <w:rsid w:val="00787E43"/>
    <w:rsid w:val="007900BD"/>
    <w:rsid w:val="0079059E"/>
    <w:rsid w:val="00790641"/>
    <w:rsid w:val="00790AAA"/>
    <w:rsid w:val="00791186"/>
    <w:rsid w:val="00791D1D"/>
    <w:rsid w:val="007929B4"/>
    <w:rsid w:val="0079308C"/>
    <w:rsid w:val="00793416"/>
    <w:rsid w:val="00793E0E"/>
    <w:rsid w:val="0079406E"/>
    <w:rsid w:val="007940CC"/>
    <w:rsid w:val="007946DA"/>
    <w:rsid w:val="007947DE"/>
    <w:rsid w:val="00796CE8"/>
    <w:rsid w:val="007A0002"/>
    <w:rsid w:val="007A0BDE"/>
    <w:rsid w:val="007A2440"/>
    <w:rsid w:val="007A37BF"/>
    <w:rsid w:val="007A3C27"/>
    <w:rsid w:val="007A4550"/>
    <w:rsid w:val="007A497D"/>
    <w:rsid w:val="007A49FE"/>
    <w:rsid w:val="007A4CD6"/>
    <w:rsid w:val="007A4EB2"/>
    <w:rsid w:val="007A65D1"/>
    <w:rsid w:val="007A6CCA"/>
    <w:rsid w:val="007A71BA"/>
    <w:rsid w:val="007A7ADA"/>
    <w:rsid w:val="007B064E"/>
    <w:rsid w:val="007B082A"/>
    <w:rsid w:val="007B164B"/>
    <w:rsid w:val="007B168B"/>
    <w:rsid w:val="007B16BE"/>
    <w:rsid w:val="007B21F1"/>
    <w:rsid w:val="007B25A2"/>
    <w:rsid w:val="007B26E9"/>
    <w:rsid w:val="007B29AB"/>
    <w:rsid w:val="007B2BF9"/>
    <w:rsid w:val="007B2FBF"/>
    <w:rsid w:val="007B342E"/>
    <w:rsid w:val="007B3680"/>
    <w:rsid w:val="007B39EE"/>
    <w:rsid w:val="007B3B6B"/>
    <w:rsid w:val="007B43CD"/>
    <w:rsid w:val="007B488E"/>
    <w:rsid w:val="007B4962"/>
    <w:rsid w:val="007B54DA"/>
    <w:rsid w:val="007B57DC"/>
    <w:rsid w:val="007B5A78"/>
    <w:rsid w:val="007B6195"/>
    <w:rsid w:val="007B6978"/>
    <w:rsid w:val="007B749F"/>
    <w:rsid w:val="007B78BB"/>
    <w:rsid w:val="007B7A13"/>
    <w:rsid w:val="007B7E2B"/>
    <w:rsid w:val="007C0692"/>
    <w:rsid w:val="007C16B7"/>
    <w:rsid w:val="007C1F2F"/>
    <w:rsid w:val="007C2156"/>
    <w:rsid w:val="007C22F1"/>
    <w:rsid w:val="007C2451"/>
    <w:rsid w:val="007C26DF"/>
    <w:rsid w:val="007C38A5"/>
    <w:rsid w:val="007C3E52"/>
    <w:rsid w:val="007C4807"/>
    <w:rsid w:val="007C4875"/>
    <w:rsid w:val="007C4AEC"/>
    <w:rsid w:val="007C4E9B"/>
    <w:rsid w:val="007C4F11"/>
    <w:rsid w:val="007C5099"/>
    <w:rsid w:val="007C53CE"/>
    <w:rsid w:val="007C5737"/>
    <w:rsid w:val="007C644A"/>
    <w:rsid w:val="007C72AB"/>
    <w:rsid w:val="007C76F7"/>
    <w:rsid w:val="007C7FBE"/>
    <w:rsid w:val="007D0193"/>
    <w:rsid w:val="007D094A"/>
    <w:rsid w:val="007D0DAE"/>
    <w:rsid w:val="007D15EE"/>
    <w:rsid w:val="007D1A42"/>
    <w:rsid w:val="007D1A8F"/>
    <w:rsid w:val="007D277C"/>
    <w:rsid w:val="007D2956"/>
    <w:rsid w:val="007D2A1D"/>
    <w:rsid w:val="007D2C80"/>
    <w:rsid w:val="007D369B"/>
    <w:rsid w:val="007D3EC9"/>
    <w:rsid w:val="007D41B6"/>
    <w:rsid w:val="007D459A"/>
    <w:rsid w:val="007D498B"/>
    <w:rsid w:val="007D49AB"/>
    <w:rsid w:val="007D49F2"/>
    <w:rsid w:val="007D4D88"/>
    <w:rsid w:val="007D53AE"/>
    <w:rsid w:val="007D60CE"/>
    <w:rsid w:val="007D6D6B"/>
    <w:rsid w:val="007D6D6D"/>
    <w:rsid w:val="007D7CC4"/>
    <w:rsid w:val="007D7D00"/>
    <w:rsid w:val="007E0280"/>
    <w:rsid w:val="007E030B"/>
    <w:rsid w:val="007E03C9"/>
    <w:rsid w:val="007E0831"/>
    <w:rsid w:val="007E0A87"/>
    <w:rsid w:val="007E0C2C"/>
    <w:rsid w:val="007E259D"/>
    <w:rsid w:val="007E2786"/>
    <w:rsid w:val="007E29DA"/>
    <w:rsid w:val="007E2FD4"/>
    <w:rsid w:val="007E361E"/>
    <w:rsid w:val="007E38B1"/>
    <w:rsid w:val="007E3BEF"/>
    <w:rsid w:val="007E46ED"/>
    <w:rsid w:val="007E49CA"/>
    <w:rsid w:val="007E4D60"/>
    <w:rsid w:val="007E50CE"/>
    <w:rsid w:val="007E5445"/>
    <w:rsid w:val="007E5632"/>
    <w:rsid w:val="007E58C0"/>
    <w:rsid w:val="007E6BBB"/>
    <w:rsid w:val="007E6FDB"/>
    <w:rsid w:val="007E7383"/>
    <w:rsid w:val="007E7BFF"/>
    <w:rsid w:val="007F013C"/>
    <w:rsid w:val="007F079F"/>
    <w:rsid w:val="007F07C2"/>
    <w:rsid w:val="007F1284"/>
    <w:rsid w:val="007F15AD"/>
    <w:rsid w:val="007F19AC"/>
    <w:rsid w:val="007F1DEB"/>
    <w:rsid w:val="007F21D1"/>
    <w:rsid w:val="007F28B2"/>
    <w:rsid w:val="007F29B7"/>
    <w:rsid w:val="007F2D72"/>
    <w:rsid w:val="007F39E0"/>
    <w:rsid w:val="007F40DF"/>
    <w:rsid w:val="007F44C7"/>
    <w:rsid w:val="007F474E"/>
    <w:rsid w:val="007F4CA8"/>
    <w:rsid w:val="007F4DC1"/>
    <w:rsid w:val="007F4E81"/>
    <w:rsid w:val="007F54EA"/>
    <w:rsid w:val="007F59E2"/>
    <w:rsid w:val="007F5A7C"/>
    <w:rsid w:val="007F5AB8"/>
    <w:rsid w:val="007F6177"/>
    <w:rsid w:val="007F64EF"/>
    <w:rsid w:val="007F697F"/>
    <w:rsid w:val="007F6E0D"/>
    <w:rsid w:val="007F742C"/>
    <w:rsid w:val="00800172"/>
    <w:rsid w:val="00800174"/>
    <w:rsid w:val="00800710"/>
    <w:rsid w:val="0080127B"/>
    <w:rsid w:val="00801D10"/>
    <w:rsid w:val="00801D66"/>
    <w:rsid w:val="00801E78"/>
    <w:rsid w:val="008021A6"/>
    <w:rsid w:val="00802C39"/>
    <w:rsid w:val="008033A1"/>
    <w:rsid w:val="00803BA7"/>
    <w:rsid w:val="008049A0"/>
    <w:rsid w:val="00805C26"/>
    <w:rsid w:val="00806105"/>
    <w:rsid w:val="008063F3"/>
    <w:rsid w:val="00806527"/>
    <w:rsid w:val="00806850"/>
    <w:rsid w:val="00806BEA"/>
    <w:rsid w:val="008072D0"/>
    <w:rsid w:val="0080773B"/>
    <w:rsid w:val="0080C9B1"/>
    <w:rsid w:val="008100E3"/>
    <w:rsid w:val="0081067B"/>
    <w:rsid w:val="00810A45"/>
    <w:rsid w:val="00811B9F"/>
    <w:rsid w:val="00811CD9"/>
    <w:rsid w:val="008137F2"/>
    <w:rsid w:val="008139F2"/>
    <w:rsid w:val="008140FB"/>
    <w:rsid w:val="00814211"/>
    <w:rsid w:val="008143C4"/>
    <w:rsid w:val="00814B6A"/>
    <w:rsid w:val="008151D2"/>
    <w:rsid w:val="00815CD0"/>
    <w:rsid w:val="008160D8"/>
    <w:rsid w:val="00816D44"/>
    <w:rsid w:val="00816F1E"/>
    <w:rsid w:val="008177DF"/>
    <w:rsid w:val="00817B1B"/>
    <w:rsid w:val="00817E39"/>
    <w:rsid w:val="008220FC"/>
    <w:rsid w:val="0082268E"/>
    <w:rsid w:val="008229C3"/>
    <w:rsid w:val="008229CB"/>
    <w:rsid w:val="008238C0"/>
    <w:rsid w:val="00824147"/>
    <w:rsid w:val="008243ED"/>
    <w:rsid w:val="008244A1"/>
    <w:rsid w:val="00825609"/>
    <w:rsid w:val="00825A3E"/>
    <w:rsid w:val="0082748C"/>
    <w:rsid w:val="00827558"/>
    <w:rsid w:val="008276E3"/>
    <w:rsid w:val="00827BAE"/>
    <w:rsid w:val="00827DAB"/>
    <w:rsid w:val="008309B7"/>
    <w:rsid w:val="00830AC4"/>
    <w:rsid w:val="00830E37"/>
    <w:rsid w:val="00831F95"/>
    <w:rsid w:val="00832014"/>
    <w:rsid w:val="00833220"/>
    <w:rsid w:val="00835251"/>
    <w:rsid w:val="008353E8"/>
    <w:rsid w:val="008359F4"/>
    <w:rsid w:val="00835ECC"/>
    <w:rsid w:val="00836572"/>
    <w:rsid w:val="008372A7"/>
    <w:rsid w:val="00840525"/>
    <w:rsid w:val="0084149D"/>
    <w:rsid w:val="00841C6C"/>
    <w:rsid w:val="00841EA5"/>
    <w:rsid w:val="0084240C"/>
    <w:rsid w:val="00842C10"/>
    <w:rsid w:val="00842F91"/>
    <w:rsid w:val="008437F3"/>
    <w:rsid w:val="00843B82"/>
    <w:rsid w:val="00844D82"/>
    <w:rsid w:val="00845114"/>
    <w:rsid w:val="008451B4"/>
    <w:rsid w:val="008452F7"/>
    <w:rsid w:val="00845480"/>
    <w:rsid w:val="00845813"/>
    <w:rsid w:val="00845A3C"/>
    <w:rsid w:val="00845DE4"/>
    <w:rsid w:val="008462AA"/>
    <w:rsid w:val="00846FCA"/>
    <w:rsid w:val="00847300"/>
    <w:rsid w:val="00847873"/>
    <w:rsid w:val="00847B3E"/>
    <w:rsid w:val="008502CD"/>
    <w:rsid w:val="008509F1"/>
    <w:rsid w:val="00850C20"/>
    <w:rsid w:val="008515E0"/>
    <w:rsid w:val="00851E7E"/>
    <w:rsid w:val="00852156"/>
    <w:rsid w:val="008524DD"/>
    <w:rsid w:val="0085339C"/>
    <w:rsid w:val="00853C6E"/>
    <w:rsid w:val="008541F0"/>
    <w:rsid w:val="00854B4F"/>
    <w:rsid w:val="0085578E"/>
    <w:rsid w:val="00855DE9"/>
    <w:rsid w:val="00855FA0"/>
    <w:rsid w:val="008565AD"/>
    <w:rsid w:val="008566B2"/>
    <w:rsid w:val="00856AA5"/>
    <w:rsid w:val="008571A3"/>
    <w:rsid w:val="0085753C"/>
    <w:rsid w:val="008579ED"/>
    <w:rsid w:val="00857AD4"/>
    <w:rsid w:val="00860166"/>
    <w:rsid w:val="00860602"/>
    <w:rsid w:val="00860C9E"/>
    <w:rsid w:val="00860F67"/>
    <w:rsid w:val="00861293"/>
    <w:rsid w:val="00861423"/>
    <w:rsid w:val="00861BAC"/>
    <w:rsid w:val="00862090"/>
    <w:rsid w:val="00862816"/>
    <w:rsid w:val="00863D89"/>
    <w:rsid w:val="00863DD9"/>
    <w:rsid w:val="00864004"/>
    <w:rsid w:val="00864FE6"/>
    <w:rsid w:val="008652C6"/>
    <w:rsid w:val="00865676"/>
    <w:rsid w:val="0086577E"/>
    <w:rsid w:val="00865D74"/>
    <w:rsid w:val="00866F41"/>
    <w:rsid w:val="00867221"/>
    <w:rsid w:val="0086735E"/>
    <w:rsid w:val="008679CE"/>
    <w:rsid w:val="00870106"/>
    <w:rsid w:val="008708D3"/>
    <w:rsid w:val="00870BA0"/>
    <w:rsid w:val="00870BF0"/>
    <w:rsid w:val="00871AF4"/>
    <w:rsid w:val="00871BE8"/>
    <w:rsid w:val="00871BF2"/>
    <w:rsid w:val="00871FCB"/>
    <w:rsid w:val="008725C7"/>
    <w:rsid w:val="0087276D"/>
    <w:rsid w:val="0087292F"/>
    <w:rsid w:val="00872F6C"/>
    <w:rsid w:val="00872F78"/>
    <w:rsid w:val="008732F7"/>
    <w:rsid w:val="008735F8"/>
    <w:rsid w:val="0087367F"/>
    <w:rsid w:val="0087415E"/>
    <w:rsid w:val="008741F8"/>
    <w:rsid w:val="00874588"/>
    <w:rsid w:val="00874F7D"/>
    <w:rsid w:val="00875903"/>
    <w:rsid w:val="00875E30"/>
    <w:rsid w:val="00876823"/>
    <w:rsid w:val="0087690E"/>
    <w:rsid w:val="00876A57"/>
    <w:rsid w:val="00876FCA"/>
    <w:rsid w:val="00877F69"/>
    <w:rsid w:val="00880B0B"/>
    <w:rsid w:val="00880C90"/>
    <w:rsid w:val="00882E26"/>
    <w:rsid w:val="00883586"/>
    <w:rsid w:val="008839EC"/>
    <w:rsid w:val="00884202"/>
    <w:rsid w:val="00884A33"/>
    <w:rsid w:val="00884B20"/>
    <w:rsid w:val="00884E32"/>
    <w:rsid w:val="00884F42"/>
    <w:rsid w:val="0088508C"/>
    <w:rsid w:val="00885141"/>
    <w:rsid w:val="008856B4"/>
    <w:rsid w:val="0088591F"/>
    <w:rsid w:val="00886073"/>
    <w:rsid w:val="00886403"/>
    <w:rsid w:val="008865CC"/>
    <w:rsid w:val="00887B9D"/>
    <w:rsid w:val="00887EFB"/>
    <w:rsid w:val="00890728"/>
    <w:rsid w:val="008907C0"/>
    <w:rsid w:val="00890F03"/>
    <w:rsid w:val="00891166"/>
    <w:rsid w:val="00891E8F"/>
    <w:rsid w:val="00892140"/>
    <w:rsid w:val="008948F6"/>
    <w:rsid w:val="00894D6D"/>
    <w:rsid w:val="00894EFE"/>
    <w:rsid w:val="00895175"/>
    <w:rsid w:val="008951E6"/>
    <w:rsid w:val="0089530E"/>
    <w:rsid w:val="008956AC"/>
    <w:rsid w:val="00895FAC"/>
    <w:rsid w:val="00896910"/>
    <w:rsid w:val="00896A77"/>
    <w:rsid w:val="00896B20"/>
    <w:rsid w:val="00897592"/>
    <w:rsid w:val="0089787A"/>
    <w:rsid w:val="00897F6A"/>
    <w:rsid w:val="008A023C"/>
    <w:rsid w:val="008A033D"/>
    <w:rsid w:val="008A06C2"/>
    <w:rsid w:val="008A0855"/>
    <w:rsid w:val="008A0D4A"/>
    <w:rsid w:val="008A17C8"/>
    <w:rsid w:val="008A17D4"/>
    <w:rsid w:val="008A1944"/>
    <w:rsid w:val="008A1AE6"/>
    <w:rsid w:val="008A1B8D"/>
    <w:rsid w:val="008A1BD2"/>
    <w:rsid w:val="008A211A"/>
    <w:rsid w:val="008A221A"/>
    <w:rsid w:val="008A259A"/>
    <w:rsid w:val="008A27C9"/>
    <w:rsid w:val="008A2A34"/>
    <w:rsid w:val="008A339F"/>
    <w:rsid w:val="008A3A9F"/>
    <w:rsid w:val="008A3DEE"/>
    <w:rsid w:val="008A3EF8"/>
    <w:rsid w:val="008A418D"/>
    <w:rsid w:val="008A4A2F"/>
    <w:rsid w:val="008A5B9D"/>
    <w:rsid w:val="008A6037"/>
    <w:rsid w:val="008A656E"/>
    <w:rsid w:val="008A6BB5"/>
    <w:rsid w:val="008A75C7"/>
    <w:rsid w:val="008B0150"/>
    <w:rsid w:val="008B08F9"/>
    <w:rsid w:val="008B103D"/>
    <w:rsid w:val="008B14A3"/>
    <w:rsid w:val="008B15A4"/>
    <w:rsid w:val="008B1A9E"/>
    <w:rsid w:val="008B30A2"/>
    <w:rsid w:val="008B3311"/>
    <w:rsid w:val="008B362F"/>
    <w:rsid w:val="008B3E25"/>
    <w:rsid w:val="008B3EC9"/>
    <w:rsid w:val="008B4579"/>
    <w:rsid w:val="008B46F2"/>
    <w:rsid w:val="008B4715"/>
    <w:rsid w:val="008B5E10"/>
    <w:rsid w:val="008C0494"/>
    <w:rsid w:val="008C1289"/>
    <w:rsid w:val="008C1E70"/>
    <w:rsid w:val="008C2689"/>
    <w:rsid w:val="008C2EB8"/>
    <w:rsid w:val="008C2F49"/>
    <w:rsid w:val="008C2F81"/>
    <w:rsid w:val="008C387E"/>
    <w:rsid w:val="008C3987"/>
    <w:rsid w:val="008C3CBA"/>
    <w:rsid w:val="008C3CF5"/>
    <w:rsid w:val="008C3FB0"/>
    <w:rsid w:val="008C4066"/>
    <w:rsid w:val="008C40AC"/>
    <w:rsid w:val="008C4C95"/>
    <w:rsid w:val="008C5100"/>
    <w:rsid w:val="008C5E3A"/>
    <w:rsid w:val="008C5ED4"/>
    <w:rsid w:val="008C6282"/>
    <w:rsid w:val="008C7B6A"/>
    <w:rsid w:val="008C7F4A"/>
    <w:rsid w:val="008D0955"/>
    <w:rsid w:val="008D0AB5"/>
    <w:rsid w:val="008D0DA1"/>
    <w:rsid w:val="008D10AB"/>
    <w:rsid w:val="008D1CB3"/>
    <w:rsid w:val="008D2A9E"/>
    <w:rsid w:val="008D2F2C"/>
    <w:rsid w:val="008D33B3"/>
    <w:rsid w:val="008D33D6"/>
    <w:rsid w:val="008D3D86"/>
    <w:rsid w:val="008D4102"/>
    <w:rsid w:val="008D4223"/>
    <w:rsid w:val="008D525E"/>
    <w:rsid w:val="008D5873"/>
    <w:rsid w:val="008D5E38"/>
    <w:rsid w:val="008D6B48"/>
    <w:rsid w:val="008D7AE1"/>
    <w:rsid w:val="008D7E2C"/>
    <w:rsid w:val="008D7E61"/>
    <w:rsid w:val="008E004A"/>
    <w:rsid w:val="008E00C1"/>
    <w:rsid w:val="008E02F6"/>
    <w:rsid w:val="008E06E4"/>
    <w:rsid w:val="008E072A"/>
    <w:rsid w:val="008E0BE1"/>
    <w:rsid w:val="008E0D5E"/>
    <w:rsid w:val="008E1794"/>
    <w:rsid w:val="008E2322"/>
    <w:rsid w:val="008E28EB"/>
    <w:rsid w:val="008E363D"/>
    <w:rsid w:val="008E3977"/>
    <w:rsid w:val="008E3D46"/>
    <w:rsid w:val="008E4E1E"/>
    <w:rsid w:val="008E4F6C"/>
    <w:rsid w:val="008E4FE1"/>
    <w:rsid w:val="008E545D"/>
    <w:rsid w:val="008E5946"/>
    <w:rsid w:val="008E5DE0"/>
    <w:rsid w:val="008E6642"/>
    <w:rsid w:val="008E66B9"/>
    <w:rsid w:val="008E6ADC"/>
    <w:rsid w:val="008E721B"/>
    <w:rsid w:val="008F04EC"/>
    <w:rsid w:val="008F07FE"/>
    <w:rsid w:val="008F088B"/>
    <w:rsid w:val="008F0C65"/>
    <w:rsid w:val="008F1A1A"/>
    <w:rsid w:val="008F2534"/>
    <w:rsid w:val="008F2544"/>
    <w:rsid w:val="008F2B18"/>
    <w:rsid w:val="008F2E58"/>
    <w:rsid w:val="008F4759"/>
    <w:rsid w:val="008F5167"/>
    <w:rsid w:val="008F56EC"/>
    <w:rsid w:val="008F661D"/>
    <w:rsid w:val="008F6A38"/>
    <w:rsid w:val="008F71D1"/>
    <w:rsid w:val="008F753C"/>
    <w:rsid w:val="008F7867"/>
    <w:rsid w:val="008F7B1A"/>
    <w:rsid w:val="00900442"/>
    <w:rsid w:val="00900999"/>
    <w:rsid w:val="00900F18"/>
    <w:rsid w:val="00900F2A"/>
    <w:rsid w:val="009014C4"/>
    <w:rsid w:val="00901AA7"/>
    <w:rsid w:val="009027E8"/>
    <w:rsid w:val="00902AAF"/>
    <w:rsid w:val="0090335C"/>
    <w:rsid w:val="009037D0"/>
    <w:rsid w:val="009045E6"/>
    <w:rsid w:val="00904716"/>
    <w:rsid w:val="0090483D"/>
    <w:rsid w:val="009059DE"/>
    <w:rsid w:val="0090615D"/>
    <w:rsid w:val="00906235"/>
    <w:rsid w:val="00906541"/>
    <w:rsid w:val="00906651"/>
    <w:rsid w:val="00906ABE"/>
    <w:rsid w:val="009070E8"/>
    <w:rsid w:val="0090730A"/>
    <w:rsid w:val="00910098"/>
    <w:rsid w:val="00910DB8"/>
    <w:rsid w:val="00910DEF"/>
    <w:rsid w:val="00911AA9"/>
    <w:rsid w:val="00911EC0"/>
    <w:rsid w:val="009126C3"/>
    <w:rsid w:val="009129AE"/>
    <w:rsid w:val="009129EE"/>
    <w:rsid w:val="0091311B"/>
    <w:rsid w:val="00913746"/>
    <w:rsid w:val="00913AE9"/>
    <w:rsid w:val="00913D48"/>
    <w:rsid w:val="00913DBA"/>
    <w:rsid w:val="00914701"/>
    <w:rsid w:val="0091496D"/>
    <w:rsid w:val="00914BC4"/>
    <w:rsid w:val="00914BEA"/>
    <w:rsid w:val="009159FB"/>
    <w:rsid w:val="00915D56"/>
    <w:rsid w:val="00915E76"/>
    <w:rsid w:val="009166FC"/>
    <w:rsid w:val="00916760"/>
    <w:rsid w:val="00916A45"/>
    <w:rsid w:val="00917124"/>
    <w:rsid w:val="00917AF9"/>
    <w:rsid w:val="00917FAD"/>
    <w:rsid w:val="009200C0"/>
    <w:rsid w:val="00920D44"/>
    <w:rsid w:val="009212FB"/>
    <w:rsid w:val="009219F9"/>
    <w:rsid w:val="00921C39"/>
    <w:rsid w:val="0092276C"/>
    <w:rsid w:val="009231E4"/>
    <w:rsid w:val="0092335C"/>
    <w:rsid w:val="00923533"/>
    <w:rsid w:val="00923534"/>
    <w:rsid w:val="00923557"/>
    <w:rsid w:val="009247C2"/>
    <w:rsid w:val="009253B9"/>
    <w:rsid w:val="00926134"/>
    <w:rsid w:val="00926951"/>
    <w:rsid w:val="00927341"/>
    <w:rsid w:val="009274D0"/>
    <w:rsid w:val="00927B3F"/>
    <w:rsid w:val="00927E96"/>
    <w:rsid w:val="00927EE4"/>
    <w:rsid w:val="00930F98"/>
    <w:rsid w:val="00931738"/>
    <w:rsid w:val="00931DE0"/>
    <w:rsid w:val="0093200D"/>
    <w:rsid w:val="00932102"/>
    <w:rsid w:val="00932227"/>
    <w:rsid w:val="009327CA"/>
    <w:rsid w:val="00932FB0"/>
    <w:rsid w:val="0093317F"/>
    <w:rsid w:val="00934026"/>
    <w:rsid w:val="0093467C"/>
    <w:rsid w:val="00934C43"/>
    <w:rsid w:val="009359DD"/>
    <w:rsid w:val="00935A3B"/>
    <w:rsid w:val="00935EBA"/>
    <w:rsid w:val="00936376"/>
    <w:rsid w:val="00937AE4"/>
    <w:rsid w:val="00940593"/>
    <w:rsid w:val="0094079E"/>
    <w:rsid w:val="00940834"/>
    <w:rsid w:val="009408CE"/>
    <w:rsid w:val="00941E5A"/>
    <w:rsid w:val="00942336"/>
    <w:rsid w:val="00942599"/>
    <w:rsid w:val="00942B8C"/>
    <w:rsid w:val="00943BA3"/>
    <w:rsid w:val="00943F39"/>
    <w:rsid w:val="0094400D"/>
    <w:rsid w:val="0094414F"/>
    <w:rsid w:val="00944CE4"/>
    <w:rsid w:val="00945435"/>
    <w:rsid w:val="00945663"/>
    <w:rsid w:val="00945815"/>
    <w:rsid w:val="00945A8F"/>
    <w:rsid w:val="00945C62"/>
    <w:rsid w:val="0094653C"/>
    <w:rsid w:val="00946B5B"/>
    <w:rsid w:val="0094727B"/>
    <w:rsid w:val="00950216"/>
    <w:rsid w:val="009508D4"/>
    <w:rsid w:val="00951287"/>
    <w:rsid w:val="009515D3"/>
    <w:rsid w:val="0095175F"/>
    <w:rsid w:val="00951C2A"/>
    <w:rsid w:val="009522F4"/>
    <w:rsid w:val="0095242F"/>
    <w:rsid w:val="009532F9"/>
    <w:rsid w:val="009534DE"/>
    <w:rsid w:val="00953646"/>
    <w:rsid w:val="009539C9"/>
    <w:rsid w:val="00953A8D"/>
    <w:rsid w:val="00954027"/>
    <w:rsid w:val="009540C6"/>
    <w:rsid w:val="0095414C"/>
    <w:rsid w:val="00954645"/>
    <w:rsid w:val="00954851"/>
    <w:rsid w:val="009548F6"/>
    <w:rsid w:val="009549CD"/>
    <w:rsid w:val="009549D0"/>
    <w:rsid w:val="00954A0B"/>
    <w:rsid w:val="00954BFD"/>
    <w:rsid w:val="00954E0F"/>
    <w:rsid w:val="009557EA"/>
    <w:rsid w:val="009567FB"/>
    <w:rsid w:val="00956B65"/>
    <w:rsid w:val="00956E3C"/>
    <w:rsid w:val="009570D4"/>
    <w:rsid w:val="00957AB4"/>
    <w:rsid w:val="0096010B"/>
    <w:rsid w:val="00960463"/>
    <w:rsid w:val="0096090A"/>
    <w:rsid w:val="009609B2"/>
    <w:rsid w:val="0096140A"/>
    <w:rsid w:val="00961E2C"/>
    <w:rsid w:val="0096340E"/>
    <w:rsid w:val="0096404D"/>
    <w:rsid w:val="0096415D"/>
    <w:rsid w:val="009641E0"/>
    <w:rsid w:val="0096430A"/>
    <w:rsid w:val="00964994"/>
    <w:rsid w:val="009649A5"/>
    <w:rsid w:val="00965EC3"/>
    <w:rsid w:val="00966133"/>
    <w:rsid w:val="009663D3"/>
    <w:rsid w:val="00966E15"/>
    <w:rsid w:val="009671F7"/>
    <w:rsid w:val="009675F5"/>
    <w:rsid w:val="0096787D"/>
    <w:rsid w:val="009679C8"/>
    <w:rsid w:val="009679DE"/>
    <w:rsid w:val="00967CB1"/>
    <w:rsid w:val="0097013D"/>
    <w:rsid w:val="009704AA"/>
    <w:rsid w:val="0097063E"/>
    <w:rsid w:val="0097136B"/>
    <w:rsid w:val="00971C1B"/>
    <w:rsid w:val="009721C6"/>
    <w:rsid w:val="0097224F"/>
    <w:rsid w:val="009734F5"/>
    <w:rsid w:val="009735AC"/>
    <w:rsid w:val="009739F3"/>
    <w:rsid w:val="00973B02"/>
    <w:rsid w:val="00973F88"/>
    <w:rsid w:val="009759D2"/>
    <w:rsid w:val="00975B5A"/>
    <w:rsid w:val="00976841"/>
    <w:rsid w:val="00976DCD"/>
    <w:rsid w:val="00976EAA"/>
    <w:rsid w:val="00976F01"/>
    <w:rsid w:val="0097724F"/>
    <w:rsid w:val="009773FD"/>
    <w:rsid w:val="009774E7"/>
    <w:rsid w:val="009774F5"/>
    <w:rsid w:val="0097774C"/>
    <w:rsid w:val="00977C53"/>
    <w:rsid w:val="0098038A"/>
    <w:rsid w:val="00980729"/>
    <w:rsid w:val="009807F2"/>
    <w:rsid w:val="00980953"/>
    <w:rsid w:val="00980F13"/>
    <w:rsid w:val="0098117C"/>
    <w:rsid w:val="00982F61"/>
    <w:rsid w:val="00983018"/>
    <w:rsid w:val="00983C0E"/>
    <w:rsid w:val="00984431"/>
    <w:rsid w:val="00984ED7"/>
    <w:rsid w:val="0098609F"/>
    <w:rsid w:val="00986587"/>
    <w:rsid w:val="00986A40"/>
    <w:rsid w:val="00986D55"/>
    <w:rsid w:val="00987162"/>
    <w:rsid w:val="009879EF"/>
    <w:rsid w:val="0099013F"/>
    <w:rsid w:val="0099029F"/>
    <w:rsid w:val="0099070A"/>
    <w:rsid w:val="00990D25"/>
    <w:rsid w:val="009913DD"/>
    <w:rsid w:val="009915F6"/>
    <w:rsid w:val="009918F9"/>
    <w:rsid w:val="009919F2"/>
    <w:rsid w:val="00992D9D"/>
    <w:rsid w:val="009931B4"/>
    <w:rsid w:val="0099339C"/>
    <w:rsid w:val="009941D7"/>
    <w:rsid w:val="0099440A"/>
    <w:rsid w:val="00994E8C"/>
    <w:rsid w:val="00994EA2"/>
    <w:rsid w:val="009950DD"/>
    <w:rsid w:val="00995155"/>
    <w:rsid w:val="0099553B"/>
    <w:rsid w:val="00995772"/>
    <w:rsid w:val="00995E37"/>
    <w:rsid w:val="00995EC0"/>
    <w:rsid w:val="00996040"/>
    <w:rsid w:val="00996301"/>
    <w:rsid w:val="009964AD"/>
    <w:rsid w:val="00996633"/>
    <w:rsid w:val="00996B3D"/>
    <w:rsid w:val="00996BF6"/>
    <w:rsid w:val="00997370"/>
    <w:rsid w:val="00997C28"/>
    <w:rsid w:val="009A04BD"/>
    <w:rsid w:val="009A0C0D"/>
    <w:rsid w:val="009A1E20"/>
    <w:rsid w:val="009A2A8F"/>
    <w:rsid w:val="009A31C8"/>
    <w:rsid w:val="009A344D"/>
    <w:rsid w:val="009A3F55"/>
    <w:rsid w:val="009A45B5"/>
    <w:rsid w:val="009A49A9"/>
    <w:rsid w:val="009A49D3"/>
    <w:rsid w:val="009A4CE6"/>
    <w:rsid w:val="009A4FF6"/>
    <w:rsid w:val="009A5027"/>
    <w:rsid w:val="009A5A87"/>
    <w:rsid w:val="009A5CDE"/>
    <w:rsid w:val="009A6599"/>
    <w:rsid w:val="009A6AF2"/>
    <w:rsid w:val="009B02EB"/>
    <w:rsid w:val="009B03D7"/>
    <w:rsid w:val="009B0CDA"/>
    <w:rsid w:val="009B0D62"/>
    <w:rsid w:val="009B104C"/>
    <w:rsid w:val="009B1381"/>
    <w:rsid w:val="009B164D"/>
    <w:rsid w:val="009B1E12"/>
    <w:rsid w:val="009B1E3F"/>
    <w:rsid w:val="009B206F"/>
    <w:rsid w:val="009B299E"/>
    <w:rsid w:val="009B383E"/>
    <w:rsid w:val="009B3956"/>
    <w:rsid w:val="009B3D31"/>
    <w:rsid w:val="009B4176"/>
    <w:rsid w:val="009B4CAB"/>
    <w:rsid w:val="009B5323"/>
    <w:rsid w:val="009B57DA"/>
    <w:rsid w:val="009B5DCE"/>
    <w:rsid w:val="009B601E"/>
    <w:rsid w:val="009B61CD"/>
    <w:rsid w:val="009B61F9"/>
    <w:rsid w:val="009B6256"/>
    <w:rsid w:val="009B688B"/>
    <w:rsid w:val="009B6B12"/>
    <w:rsid w:val="009B6D70"/>
    <w:rsid w:val="009B7526"/>
    <w:rsid w:val="009B7B6C"/>
    <w:rsid w:val="009C0334"/>
    <w:rsid w:val="009C0447"/>
    <w:rsid w:val="009C08F4"/>
    <w:rsid w:val="009C091B"/>
    <w:rsid w:val="009C0BD8"/>
    <w:rsid w:val="009C0C96"/>
    <w:rsid w:val="009C102E"/>
    <w:rsid w:val="009C13AA"/>
    <w:rsid w:val="009C158A"/>
    <w:rsid w:val="009C2DFE"/>
    <w:rsid w:val="009C364D"/>
    <w:rsid w:val="009C3859"/>
    <w:rsid w:val="009C3D6D"/>
    <w:rsid w:val="009C3E60"/>
    <w:rsid w:val="009C3E89"/>
    <w:rsid w:val="009C4307"/>
    <w:rsid w:val="009C4D72"/>
    <w:rsid w:val="009C54DF"/>
    <w:rsid w:val="009C66AD"/>
    <w:rsid w:val="009C720D"/>
    <w:rsid w:val="009C7AA1"/>
    <w:rsid w:val="009C7D31"/>
    <w:rsid w:val="009C7D67"/>
    <w:rsid w:val="009D0595"/>
    <w:rsid w:val="009D07FD"/>
    <w:rsid w:val="009D1047"/>
    <w:rsid w:val="009D10D6"/>
    <w:rsid w:val="009D1B9E"/>
    <w:rsid w:val="009D299F"/>
    <w:rsid w:val="009D2AE1"/>
    <w:rsid w:val="009D2DFD"/>
    <w:rsid w:val="009D3474"/>
    <w:rsid w:val="009D38B6"/>
    <w:rsid w:val="009D509D"/>
    <w:rsid w:val="009D5C11"/>
    <w:rsid w:val="009D7132"/>
    <w:rsid w:val="009D7292"/>
    <w:rsid w:val="009D7590"/>
    <w:rsid w:val="009E0425"/>
    <w:rsid w:val="009E0B21"/>
    <w:rsid w:val="009E1147"/>
    <w:rsid w:val="009E1922"/>
    <w:rsid w:val="009E1E25"/>
    <w:rsid w:val="009E2E30"/>
    <w:rsid w:val="009E30D2"/>
    <w:rsid w:val="009E3F33"/>
    <w:rsid w:val="009E3F60"/>
    <w:rsid w:val="009E45D4"/>
    <w:rsid w:val="009E4D5D"/>
    <w:rsid w:val="009E555B"/>
    <w:rsid w:val="009E5797"/>
    <w:rsid w:val="009E59A3"/>
    <w:rsid w:val="009E5C09"/>
    <w:rsid w:val="009E621F"/>
    <w:rsid w:val="009E719D"/>
    <w:rsid w:val="009E7975"/>
    <w:rsid w:val="009F00CA"/>
    <w:rsid w:val="009F0A21"/>
    <w:rsid w:val="009F0B78"/>
    <w:rsid w:val="009F1305"/>
    <w:rsid w:val="009F1858"/>
    <w:rsid w:val="009F205F"/>
    <w:rsid w:val="009F2061"/>
    <w:rsid w:val="009F2102"/>
    <w:rsid w:val="009F29EC"/>
    <w:rsid w:val="009F3224"/>
    <w:rsid w:val="009F3704"/>
    <w:rsid w:val="009F5088"/>
    <w:rsid w:val="009F5570"/>
    <w:rsid w:val="009F5CFC"/>
    <w:rsid w:val="009F621F"/>
    <w:rsid w:val="009F66AE"/>
    <w:rsid w:val="009F6739"/>
    <w:rsid w:val="009F6AFF"/>
    <w:rsid w:val="009F76AB"/>
    <w:rsid w:val="009F7715"/>
    <w:rsid w:val="009F7E15"/>
    <w:rsid w:val="00A00678"/>
    <w:rsid w:val="00A0087D"/>
    <w:rsid w:val="00A00C99"/>
    <w:rsid w:val="00A01578"/>
    <w:rsid w:val="00A01597"/>
    <w:rsid w:val="00A018BB"/>
    <w:rsid w:val="00A01EA9"/>
    <w:rsid w:val="00A021EA"/>
    <w:rsid w:val="00A022DF"/>
    <w:rsid w:val="00A02BE8"/>
    <w:rsid w:val="00A0334B"/>
    <w:rsid w:val="00A03A48"/>
    <w:rsid w:val="00A04764"/>
    <w:rsid w:val="00A053AA"/>
    <w:rsid w:val="00A05CA0"/>
    <w:rsid w:val="00A05CE0"/>
    <w:rsid w:val="00A06954"/>
    <w:rsid w:val="00A06D1C"/>
    <w:rsid w:val="00A06E14"/>
    <w:rsid w:val="00A07C54"/>
    <w:rsid w:val="00A10026"/>
    <w:rsid w:val="00A102CC"/>
    <w:rsid w:val="00A10517"/>
    <w:rsid w:val="00A10CBD"/>
    <w:rsid w:val="00A111C5"/>
    <w:rsid w:val="00A119B3"/>
    <w:rsid w:val="00A11AD4"/>
    <w:rsid w:val="00A11CBD"/>
    <w:rsid w:val="00A11E18"/>
    <w:rsid w:val="00A12114"/>
    <w:rsid w:val="00A123E4"/>
    <w:rsid w:val="00A12611"/>
    <w:rsid w:val="00A135DC"/>
    <w:rsid w:val="00A13987"/>
    <w:rsid w:val="00A13C9C"/>
    <w:rsid w:val="00A1434C"/>
    <w:rsid w:val="00A145E2"/>
    <w:rsid w:val="00A1472F"/>
    <w:rsid w:val="00A14AA3"/>
    <w:rsid w:val="00A14BF2"/>
    <w:rsid w:val="00A14D8C"/>
    <w:rsid w:val="00A15705"/>
    <w:rsid w:val="00A15CB2"/>
    <w:rsid w:val="00A15EFD"/>
    <w:rsid w:val="00A16074"/>
    <w:rsid w:val="00A170F5"/>
    <w:rsid w:val="00A17FEE"/>
    <w:rsid w:val="00A20482"/>
    <w:rsid w:val="00A209BB"/>
    <w:rsid w:val="00A217D1"/>
    <w:rsid w:val="00A21A6F"/>
    <w:rsid w:val="00A21C18"/>
    <w:rsid w:val="00A2210A"/>
    <w:rsid w:val="00A22735"/>
    <w:rsid w:val="00A23E07"/>
    <w:rsid w:val="00A23FCE"/>
    <w:rsid w:val="00A24873"/>
    <w:rsid w:val="00A24F76"/>
    <w:rsid w:val="00A25381"/>
    <w:rsid w:val="00A25ED3"/>
    <w:rsid w:val="00A261BD"/>
    <w:rsid w:val="00A261DB"/>
    <w:rsid w:val="00A26640"/>
    <w:rsid w:val="00A2681B"/>
    <w:rsid w:val="00A26B2C"/>
    <w:rsid w:val="00A2721C"/>
    <w:rsid w:val="00A27359"/>
    <w:rsid w:val="00A27856"/>
    <w:rsid w:val="00A279AA"/>
    <w:rsid w:val="00A27C97"/>
    <w:rsid w:val="00A306E1"/>
    <w:rsid w:val="00A30DF9"/>
    <w:rsid w:val="00A313DB"/>
    <w:rsid w:val="00A31768"/>
    <w:rsid w:val="00A31A15"/>
    <w:rsid w:val="00A31BFC"/>
    <w:rsid w:val="00A32862"/>
    <w:rsid w:val="00A32A12"/>
    <w:rsid w:val="00A32CAA"/>
    <w:rsid w:val="00A32DED"/>
    <w:rsid w:val="00A34E06"/>
    <w:rsid w:val="00A35449"/>
    <w:rsid w:val="00A35569"/>
    <w:rsid w:val="00A35A0A"/>
    <w:rsid w:val="00A35B70"/>
    <w:rsid w:val="00A35BE3"/>
    <w:rsid w:val="00A35F11"/>
    <w:rsid w:val="00A36525"/>
    <w:rsid w:val="00A36604"/>
    <w:rsid w:val="00A37032"/>
    <w:rsid w:val="00A37C44"/>
    <w:rsid w:val="00A37EC2"/>
    <w:rsid w:val="00A404A3"/>
    <w:rsid w:val="00A40838"/>
    <w:rsid w:val="00A40CD4"/>
    <w:rsid w:val="00A41D01"/>
    <w:rsid w:val="00A41E33"/>
    <w:rsid w:val="00A42224"/>
    <w:rsid w:val="00A42618"/>
    <w:rsid w:val="00A42EAA"/>
    <w:rsid w:val="00A43136"/>
    <w:rsid w:val="00A435DF"/>
    <w:rsid w:val="00A43F4B"/>
    <w:rsid w:val="00A44CD4"/>
    <w:rsid w:val="00A45044"/>
    <w:rsid w:val="00A4507D"/>
    <w:rsid w:val="00A45BEB"/>
    <w:rsid w:val="00A45D95"/>
    <w:rsid w:val="00A45F73"/>
    <w:rsid w:val="00A4605D"/>
    <w:rsid w:val="00A463CB"/>
    <w:rsid w:val="00A46F1B"/>
    <w:rsid w:val="00A4732D"/>
    <w:rsid w:val="00A473AC"/>
    <w:rsid w:val="00A5053C"/>
    <w:rsid w:val="00A50775"/>
    <w:rsid w:val="00A507B5"/>
    <w:rsid w:val="00A50BF4"/>
    <w:rsid w:val="00A50C65"/>
    <w:rsid w:val="00A5131C"/>
    <w:rsid w:val="00A51C63"/>
    <w:rsid w:val="00A51D7A"/>
    <w:rsid w:val="00A51DD4"/>
    <w:rsid w:val="00A52772"/>
    <w:rsid w:val="00A52A3E"/>
    <w:rsid w:val="00A52D02"/>
    <w:rsid w:val="00A534B7"/>
    <w:rsid w:val="00A53DCA"/>
    <w:rsid w:val="00A54109"/>
    <w:rsid w:val="00A543A2"/>
    <w:rsid w:val="00A547E8"/>
    <w:rsid w:val="00A54B2B"/>
    <w:rsid w:val="00A54D4A"/>
    <w:rsid w:val="00A54D69"/>
    <w:rsid w:val="00A5553E"/>
    <w:rsid w:val="00A56623"/>
    <w:rsid w:val="00A57018"/>
    <w:rsid w:val="00A57284"/>
    <w:rsid w:val="00A574B1"/>
    <w:rsid w:val="00A57C56"/>
    <w:rsid w:val="00A602D5"/>
    <w:rsid w:val="00A60791"/>
    <w:rsid w:val="00A60D45"/>
    <w:rsid w:val="00A60E7F"/>
    <w:rsid w:val="00A623D9"/>
    <w:rsid w:val="00A62430"/>
    <w:rsid w:val="00A6282E"/>
    <w:rsid w:val="00A62B1C"/>
    <w:rsid w:val="00A62D6F"/>
    <w:rsid w:val="00A6327E"/>
    <w:rsid w:val="00A63565"/>
    <w:rsid w:val="00A637C2"/>
    <w:rsid w:val="00A64290"/>
    <w:rsid w:val="00A6442F"/>
    <w:rsid w:val="00A6469B"/>
    <w:rsid w:val="00A647DD"/>
    <w:rsid w:val="00A648CA"/>
    <w:rsid w:val="00A64BCF"/>
    <w:rsid w:val="00A65058"/>
    <w:rsid w:val="00A65461"/>
    <w:rsid w:val="00A65538"/>
    <w:rsid w:val="00A65B08"/>
    <w:rsid w:val="00A65DE7"/>
    <w:rsid w:val="00A65F7A"/>
    <w:rsid w:val="00A66F4C"/>
    <w:rsid w:val="00A67043"/>
    <w:rsid w:val="00A6740E"/>
    <w:rsid w:val="00A6747F"/>
    <w:rsid w:val="00A7013F"/>
    <w:rsid w:val="00A70526"/>
    <w:rsid w:val="00A70B84"/>
    <w:rsid w:val="00A71585"/>
    <w:rsid w:val="00A71CC0"/>
    <w:rsid w:val="00A722A8"/>
    <w:rsid w:val="00A723BD"/>
    <w:rsid w:val="00A724BC"/>
    <w:rsid w:val="00A729F7"/>
    <w:rsid w:val="00A72A00"/>
    <w:rsid w:val="00A72B42"/>
    <w:rsid w:val="00A72EA8"/>
    <w:rsid w:val="00A73B5B"/>
    <w:rsid w:val="00A742AB"/>
    <w:rsid w:val="00A74C8C"/>
    <w:rsid w:val="00A75290"/>
    <w:rsid w:val="00A757C4"/>
    <w:rsid w:val="00A757F7"/>
    <w:rsid w:val="00A75A22"/>
    <w:rsid w:val="00A75C59"/>
    <w:rsid w:val="00A7677A"/>
    <w:rsid w:val="00A76DA1"/>
    <w:rsid w:val="00A77A9D"/>
    <w:rsid w:val="00A801AE"/>
    <w:rsid w:val="00A80CEE"/>
    <w:rsid w:val="00A812F5"/>
    <w:rsid w:val="00A81DE8"/>
    <w:rsid w:val="00A82060"/>
    <w:rsid w:val="00A82338"/>
    <w:rsid w:val="00A82C5A"/>
    <w:rsid w:val="00A82D72"/>
    <w:rsid w:val="00A83008"/>
    <w:rsid w:val="00A8326E"/>
    <w:rsid w:val="00A83654"/>
    <w:rsid w:val="00A83742"/>
    <w:rsid w:val="00A83BE3"/>
    <w:rsid w:val="00A83D7F"/>
    <w:rsid w:val="00A83F09"/>
    <w:rsid w:val="00A84686"/>
    <w:rsid w:val="00A84BFF"/>
    <w:rsid w:val="00A8552A"/>
    <w:rsid w:val="00A855D9"/>
    <w:rsid w:val="00A85A0F"/>
    <w:rsid w:val="00A85C57"/>
    <w:rsid w:val="00A85E9D"/>
    <w:rsid w:val="00A866D3"/>
    <w:rsid w:val="00A86779"/>
    <w:rsid w:val="00A86CCF"/>
    <w:rsid w:val="00A871C7"/>
    <w:rsid w:val="00A87359"/>
    <w:rsid w:val="00A87FA2"/>
    <w:rsid w:val="00A90388"/>
    <w:rsid w:val="00A90A94"/>
    <w:rsid w:val="00A90F22"/>
    <w:rsid w:val="00A91D1D"/>
    <w:rsid w:val="00A922DB"/>
    <w:rsid w:val="00A92996"/>
    <w:rsid w:val="00A92E54"/>
    <w:rsid w:val="00A92EA4"/>
    <w:rsid w:val="00A93712"/>
    <w:rsid w:val="00A942DB"/>
    <w:rsid w:val="00A9437E"/>
    <w:rsid w:val="00A95194"/>
    <w:rsid w:val="00A95572"/>
    <w:rsid w:val="00A957D7"/>
    <w:rsid w:val="00A95C46"/>
    <w:rsid w:val="00A960C8"/>
    <w:rsid w:val="00A9696E"/>
    <w:rsid w:val="00A96CAF"/>
    <w:rsid w:val="00A97631"/>
    <w:rsid w:val="00A9765B"/>
    <w:rsid w:val="00A97A7F"/>
    <w:rsid w:val="00AA00BA"/>
    <w:rsid w:val="00AA19E8"/>
    <w:rsid w:val="00AA214A"/>
    <w:rsid w:val="00AA256F"/>
    <w:rsid w:val="00AA3883"/>
    <w:rsid w:val="00AA3EC6"/>
    <w:rsid w:val="00AA520B"/>
    <w:rsid w:val="00AA58F2"/>
    <w:rsid w:val="00AA5BB8"/>
    <w:rsid w:val="00AA65DE"/>
    <w:rsid w:val="00AA68BE"/>
    <w:rsid w:val="00AA7308"/>
    <w:rsid w:val="00AA7627"/>
    <w:rsid w:val="00AB0240"/>
    <w:rsid w:val="00AB03AD"/>
    <w:rsid w:val="00AB0572"/>
    <w:rsid w:val="00AB0768"/>
    <w:rsid w:val="00AB0B5D"/>
    <w:rsid w:val="00AB0C0B"/>
    <w:rsid w:val="00AB0CEB"/>
    <w:rsid w:val="00AB1736"/>
    <w:rsid w:val="00AB221E"/>
    <w:rsid w:val="00AB31BB"/>
    <w:rsid w:val="00AB3E02"/>
    <w:rsid w:val="00AB475C"/>
    <w:rsid w:val="00AB48FA"/>
    <w:rsid w:val="00AB4B40"/>
    <w:rsid w:val="00AB4FBD"/>
    <w:rsid w:val="00AB55F6"/>
    <w:rsid w:val="00AB573D"/>
    <w:rsid w:val="00AB6450"/>
    <w:rsid w:val="00AB6BB8"/>
    <w:rsid w:val="00AB7017"/>
    <w:rsid w:val="00AB74D2"/>
    <w:rsid w:val="00AB7781"/>
    <w:rsid w:val="00AC0108"/>
    <w:rsid w:val="00AC0817"/>
    <w:rsid w:val="00AC16A2"/>
    <w:rsid w:val="00AC197C"/>
    <w:rsid w:val="00AC2749"/>
    <w:rsid w:val="00AC28DC"/>
    <w:rsid w:val="00AC2BC7"/>
    <w:rsid w:val="00AC2EA4"/>
    <w:rsid w:val="00AC3360"/>
    <w:rsid w:val="00AC3584"/>
    <w:rsid w:val="00AC37BB"/>
    <w:rsid w:val="00AC388C"/>
    <w:rsid w:val="00AC3ED0"/>
    <w:rsid w:val="00AC4944"/>
    <w:rsid w:val="00AC5D9B"/>
    <w:rsid w:val="00AC69AA"/>
    <w:rsid w:val="00AC6D0E"/>
    <w:rsid w:val="00AC74BF"/>
    <w:rsid w:val="00AC7587"/>
    <w:rsid w:val="00AD0109"/>
    <w:rsid w:val="00AD04A5"/>
    <w:rsid w:val="00AD0D47"/>
    <w:rsid w:val="00AD10ED"/>
    <w:rsid w:val="00AD14CE"/>
    <w:rsid w:val="00AD2533"/>
    <w:rsid w:val="00AD2559"/>
    <w:rsid w:val="00AD2976"/>
    <w:rsid w:val="00AD2D1A"/>
    <w:rsid w:val="00AD33C7"/>
    <w:rsid w:val="00AD3435"/>
    <w:rsid w:val="00AD3EA4"/>
    <w:rsid w:val="00AD465D"/>
    <w:rsid w:val="00AD5376"/>
    <w:rsid w:val="00AD5C66"/>
    <w:rsid w:val="00AD689C"/>
    <w:rsid w:val="00AD6DF1"/>
    <w:rsid w:val="00AD70D5"/>
    <w:rsid w:val="00AD776D"/>
    <w:rsid w:val="00AD7948"/>
    <w:rsid w:val="00AE05FC"/>
    <w:rsid w:val="00AE0756"/>
    <w:rsid w:val="00AE10A1"/>
    <w:rsid w:val="00AE1334"/>
    <w:rsid w:val="00AE1497"/>
    <w:rsid w:val="00AE19E0"/>
    <w:rsid w:val="00AE19FA"/>
    <w:rsid w:val="00AE2280"/>
    <w:rsid w:val="00AE2E4A"/>
    <w:rsid w:val="00AE35BC"/>
    <w:rsid w:val="00AE43A6"/>
    <w:rsid w:val="00AE4D95"/>
    <w:rsid w:val="00AE51DD"/>
    <w:rsid w:val="00AE5476"/>
    <w:rsid w:val="00AE5BF8"/>
    <w:rsid w:val="00AE5C4D"/>
    <w:rsid w:val="00AE69C0"/>
    <w:rsid w:val="00AE769A"/>
    <w:rsid w:val="00AE76A8"/>
    <w:rsid w:val="00AE7FD0"/>
    <w:rsid w:val="00AF0085"/>
    <w:rsid w:val="00AF00B3"/>
    <w:rsid w:val="00AF0AA9"/>
    <w:rsid w:val="00AF0D4A"/>
    <w:rsid w:val="00AF15F8"/>
    <w:rsid w:val="00AF1938"/>
    <w:rsid w:val="00AF1A36"/>
    <w:rsid w:val="00AF298B"/>
    <w:rsid w:val="00AF2C65"/>
    <w:rsid w:val="00AF2E19"/>
    <w:rsid w:val="00AF3258"/>
    <w:rsid w:val="00AF33F7"/>
    <w:rsid w:val="00AF3420"/>
    <w:rsid w:val="00AF3B40"/>
    <w:rsid w:val="00AF3D66"/>
    <w:rsid w:val="00AF4AA9"/>
    <w:rsid w:val="00AF541A"/>
    <w:rsid w:val="00AF54D6"/>
    <w:rsid w:val="00AF5832"/>
    <w:rsid w:val="00AF5853"/>
    <w:rsid w:val="00AF5D47"/>
    <w:rsid w:val="00AF5D58"/>
    <w:rsid w:val="00AF74AF"/>
    <w:rsid w:val="00AF7AEE"/>
    <w:rsid w:val="00AF7BE5"/>
    <w:rsid w:val="00AF7EA9"/>
    <w:rsid w:val="00B01495"/>
    <w:rsid w:val="00B01AC5"/>
    <w:rsid w:val="00B02084"/>
    <w:rsid w:val="00B02128"/>
    <w:rsid w:val="00B02CFD"/>
    <w:rsid w:val="00B02D06"/>
    <w:rsid w:val="00B04026"/>
    <w:rsid w:val="00B0406A"/>
    <w:rsid w:val="00B04852"/>
    <w:rsid w:val="00B048C8"/>
    <w:rsid w:val="00B05389"/>
    <w:rsid w:val="00B05542"/>
    <w:rsid w:val="00B056D9"/>
    <w:rsid w:val="00B05973"/>
    <w:rsid w:val="00B05A13"/>
    <w:rsid w:val="00B05A5E"/>
    <w:rsid w:val="00B06A00"/>
    <w:rsid w:val="00B06FDF"/>
    <w:rsid w:val="00B07266"/>
    <w:rsid w:val="00B07300"/>
    <w:rsid w:val="00B075CB"/>
    <w:rsid w:val="00B0796E"/>
    <w:rsid w:val="00B07A35"/>
    <w:rsid w:val="00B109C0"/>
    <w:rsid w:val="00B10F72"/>
    <w:rsid w:val="00B11C2D"/>
    <w:rsid w:val="00B12CD7"/>
    <w:rsid w:val="00B12FB4"/>
    <w:rsid w:val="00B136A2"/>
    <w:rsid w:val="00B13878"/>
    <w:rsid w:val="00B142B4"/>
    <w:rsid w:val="00B15014"/>
    <w:rsid w:val="00B151BA"/>
    <w:rsid w:val="00B15456"/>
    <w:rsid w:val="00B15895"/>
    <w:rsid w:val="00B16118"/>
    <w:rsid w:val="00B16459"/>
    <w:rsid w:val="00B165FC"/>
    <w:rsid w:val="00B16825"/>
    <w:rsid w:val="00B175E2"/>
    <w:rsid w:val="00B17C88"/>
    <w:rsid w:val="00B17D30"/>
    <w:rsid w:val="00B2044A"/>
    <w:rsid w:val="00B20A45"/>
    <w:rsid w:val="00B20D52"/>
    <w:rsid w:val="00B210BB"/>
    <w:rsid w:val="00B21B83"/>
    <w:rsid w:val="00B2231E"/>
    <w:rsid w:val="00B22B21"/>
    <w:rsid w:val="00B23087"/>
    <w:rsid w:val="00B235B9"/>
    <w:rsid w:val="00B237D7"/>
    <w:rsid w:val="00B238E5"/>
    <w:rsid w:val="00B2405A"/>
    <w:rsid w:val="00B2478B"/>
    <w:rsid w:val="00B2494C"/>
    <w:rsid w:val="00B256F1"/>
    <w:rsid w:val="00B2570E"/>
    <w:rsid w:val="00B25BDA"/>
    <w:rsid w:val="00B25CEB"/>
    <w:rsid w:val="00B264FE"/>
    <w:rsid w:val="00B26B98"/>
    <w:rsid w:val="00B2772C"/>
    <w:rsid w:val="00B27896"/>
    <w:rsid w:val="00B27960"/>
    <w:rsid w:val="00B27D23"/>
    <w:rsid w:val="00B27E99"/>
    <w:rsid w:val="00B308CD"/>
    <w:rsid w:val="00B3105A"/>
    <w:rsid w:val="00B31855"/>
    <w:rsid w:val="00B31980"/>
    <w:rsid w:val="00B31996"/>
    <w:rsid w:val="00B31A5C"/>
    <w:rsid w:val="00B31B00"/>
    <w:rsid w:val="00B31C3F"/>
    <w:rsid w:val="00B31FF6"/>
    <w:rsid w:val="00B3338B"/>
    <w:rsid w:val="00B3379E"/>
    <w:rsid w:val="00B33C84"/>
    <w:rsid w:val="00B34102"/>
    <w:rsid w:val="00B34BFE"/>
    <w:rsid w:val="00B34E78"/>
    <w:rsid w:val="00B35219"/>
    <w:rsid w:val="00B353A5"/>
    <w:rsid w:val="00B3684E"/>
    <w:rsid w:val="00B37229"/>
    <w:rsid w:val="00B37579"/>
    <w:rsid w:val="00B37671"/>
    <w:rsid w:val="00B40348"/>
    <w:rsid w:val="00B403D8"/>
    <w:rsid w:val="00B404E1"/>
    <w:rsid w:val="00B404FA"/>
    <w:rsid w:val="00B40829"/>
    <w:rsid w:val="00B415EA"/>
    <w:rsid w:val="00B4200B"/>
    <w:rsid w:val="00B4212F"/>
    <w:rsid w:val="00B42B62"/>
    <w:rsid w:val="00B4415D"/>
    <w:rsid w:val="00B44B42"/>
    <w:rsid w:val="00B45528"/>
    <w:rsid w:val="00B4580D"/>
    <w:rsid w:val="00B460BA"/>
    <w:rsid w:val="00B46212"/>
    <w:rsid w:val="00B4621E"/>
    <w:rsid w:val="00B47100"/>
    <w:rsid w:val="00B471B8"/>
    <w:rsid w:val="00B475C9"/>
    <w:rsid w:val="00B47961"/>
    <w:rsid w:val="00B479E5"/>
    <w:rsid w:val="00B47F0A"/>
    <w:rsid w:val="00B5125F"/>
    <w:rsid w:val="00B52804"/>
    <w:rsid w:val="00B52AC8"/>
    <w:rsid w:val="00B52BBA"/>
    <w:rsid w:val="00B52F45"/>
    <w:rsid w:val="00B531BC"/>
    <w:rsid w:val="00B53B40"/>
    <w:rsid w:val="00B53F57"/>
    <w:rsid w:val="00B542E0"/>
    <w:rsid w:val="00B54875"/>
    <w:rsid w:val="00B54C57"/>
    <w:rsid w:val="00B55259"/>
    <w:rsid w:val="00B55A64"/>
    <w:rsid w:val="00B56013"/>
    <w:rsid w:val="00B566EA"/>
    <w:rsid w:val="00B569EE"/>
    <w:rsid w:val="00B575B8"/>
    <w:rsid w:val="00B60064"/>
    <w:rsid w:val="00B60869"/>
    <w:rsid w:val="00B609DF"/>
    <w:rsid w:val="00B60ADF"/>
    <w:rsid w:val="00B60D1C"/>
    <w:rsid w:val="00B60FFD"/>
    <w:rsid w:val="00B6106D"/>
    <w:rsid w:val="00B6142C"/>
    <w:rsid w:val="00B61844"/>
    <w:rsid w:val="00B62957"/>
    <w:rsid w:val="00B6295F"/>
    <w:rsid w:val="00B632DA"/>
    <w:rsid w:val="00B635CE"/>
    <w:rsid w:val="00B636E8"/>
    <w:rsid w:val="00B63B01"/>
    <w:rsid w:val="00B64428"/>
    <w:rsid w:val="00B644A7"/>
    <w:rsid w:val="00B646D9"/>
    <w:rsid w:val="00B64A7A"/>
    <w:rsid w:val="00B665D9"/>
    <w:rsid w:val="00B6677B"/>
    <w:rsid w:val="00B66839"/>
    <w:rsid w:val="00B66897"/>
    <w:rsid w:val="00B66CD8"/>
    <w:rsid w:val="00B66D41"/>
    <w:rsid w:val="00B673D9"/>
    <w:rsid w:val="00B6788C"/>
    <w:rsid w:val="00B67B38"/>
    <w:rsid w:val="00B67EBF"/>
    <w:rsid w:val="00B70E50"/>
    <w:rsid w:val="00B71496"/>
    <w:rsid w:val="00B71738"/>
    <w:rsid w:val="00B717C7"/>
    <w:rsid w:val="00B72626"/>
    <w:rsid w:val="00B72781"/>
    <w:rsid w:val="00B7310A"/>
    <w:rsid w:val="00B73839"/>
    <w:rsid w:val="00B73BA4"/>
    <w:rsid w:val="00B73FEA"/>
    <w:rsid w:val="00B74411"/>
    <w:rsid w:val="00B74745"/>
    <w:rsid w:val="00B74C43"/>
    <w:rsid w:val="00B7511B"/>
    <w:rsid w:val="00B75430"/>
    <w:rsid w:val="00B75C57"/>
    <w:rsid w:val="00B76145"/>
    <w:rsid w:val="00B76383"/>
    <w:rsid w:val="00B76588"/>
    <w:rsid w:val="00B76B72"/>
    <w:rsid w:val="00B76F49"/>
    <w:rsid w:val="00B770CA"/>
    <w:rsid w:val="00B7770E"/>
    <w:rsid w:val="00B779C7"/>
    <w:rsid w:val="00B80377"/>
    <w:rsid w:val="00B811C4"/>
    <w:rsid w:val="00B81411"/>
    <w:rsid w:val="00B81452"/>
    <w:rsid w:val="00B817BD"/>
    <w:rsid w:val="00B81E48"/>
    <w:rsid w:val="00B81F45"/>
    <w:rsid w:val="00B82373"/>
    <w:rsid w:val="00B82592"/>
    <w:rsid w:val="00B83501"/>
    <w:rsid w:val="00B8513A"/>
    <w:rsid w:val="00B85147"/>
    <w:rsid w:val="00B85E5F"/>
    <w:rsid w:val="00B86712"/>
    <w:rsid w:val="00B878CF"/>
    <w:rsid w:val="00B87F22"/>
    <w:rsid w:val="00B90215"/>
    <w:rsid w:val="00B906F3"/>
    <w:rsid w:val="00B90D5B"/>
    <w:rsid w:val="00B91C33"/>
    <w:rsid w:val="00B9273F"/>
    <w:rsid w:val="00B929A9"/>
    <w:rsid w:val="00B93012"/>
    <w:rsid w:val="00B9314F"/>
    <w:rsid w:val="00B93407"/>
    <w:rsid w:val="00B935D6"/>
    <w:rsid w:val="00B93B94"/>
    <w:rsid w:val="00B93D78"/>
    <w:rsid w:val="00B94454"/>
    <w:rsid w:val="00B94965"/>
    <w:rsid w:val="00B95572"/>
    <w:rsid w:val="00B95B9D"/>
    <w:rsid w:val="00B95BAE"/>
    <w:rsid w:val="00B9645A"/>
    <w:rsid w:val="00B96C18"/>
    <w:rsid w:val="00B97A7F"/>
    <w:rsid w:val="00BA00AC"/>
    <w:rsid w:val="00BA0660"/>
    <w:rsid w:val="00BA09D5"/>
    <w:rsid w:val="00BA0BBB"/>
    <w:rsid w:val="00BA180F"/>
    <w:rsid w:val="00BA2490"/>
    <w:rsid w:val="00BA259B"/>
    <w:rsid w:val="00BA3756"/>
    <w:rsid w:val="00BA37F9"/>
    <w:rsid w:val="00BA38CC"/>
    <w:rsid w:val="00BA4D07"/>
    <w:rsid w:val="00BA5315"/>
    <w:rsid w:val="00BA5359"/>
    <w:rsid w:val="00BA559E"/>
    <w:rsid w:val="00BA6274"/>
    <w:rsid w:val="00BA64A6"/>
    <w:rsid w:val="00BA66C1"/>
    <w:rsid w:val="00BA6BAA"/>
    <w:rsid w:val="00BA7554"/>
    <w:rsid w:val="00BB01E0"/>
    <w:rsid w:val="00BB032E"/>
    <w:rsid w:val="00BB17AE"/>
    <w:rsid w:val="00BB1A22"/>
    <w:rsid w:val="00BB1C01"/>
    <w:rsid w:val="00BB1FEB"/>
    <w:rsid w:val="00BB3911"/>
    <w:rsid w:val="00BB3BAF"/>
    <w:rsid w:val="00BB3EC4"/>
    <w:rsid w:val="00BB3F43"/>
    <w:rsid w:val="00BB424C"/>
    <w:rsid w:val="00BB42BF"/>
    <w:rsid w:val="00BB4EE2"/>
    <w:rsid w:val="00BB5470"/>
    <w:rsid w:val="00BB552E"/>
    <w:rsid w:val="00BB571F"/>
    <w:rsid w:val="00BB579D"/>
    <w:rsid w:val="00BB5D2D"/>
    <w:rsid w:val="00BB65F8"/>
    <w:rsid w:val="00BBD908"/>
    <w:rsid w:val="00BC0D9F"/>
    <w:rsid w:val="00BC0E1B"/>
    <w:rsid w:val="00BC0E44"/>
    <w:rsid w:val="00BC1071"/>
    <w:rsid w:val="00BC1AC3"/>
    <w:rsid w:val="00BC203C"/>
    <w:rsid w:val="00BC2313"/>
    <w:rsid w:val="00BC2C76"/>
    <w:rsid w:val="00BC2FBD"/>
    <w:rsid w:val="00BC3336"/>
    <w:rsid w:val="00BC34A8"/>
    <w:rsid w:val="00BC38D4"/>
    <w:rsid w:val="00BC4630"/>
    <w:rsid w:val="00BC498A"/>
    <w:rsid w:val="00BC5030"/>
    <w:rsid w:val="00BC6794"/>
    <w:rsid w:val="00BC6A76"/>
    <w:rsid w:val="00BC78D5"/>
    <w:rsid w:val="00BD058F"/>
    <w:rsid w:val="00BD0659"/>
    <w:rsid w:val="00BD08D8"/>
    <w:rsid w:val="00BD1BFE"/>
    <w:rsid w:val="00BD1DA0"/>
    <w:rsid w:val="00BD1EB3"/>
    <w:rsid w:val="00BD239A"/>
    <w:rsid w:val="00BD3872"/>
    <w:rsid w:val="00BD38DA"/>
    <w:rsid w:val="00BD4140"/>
    <w:rsid w:val="00BD5096"/>
    <w:rsid w:val="00BD55F8"/>
    <w:rsid w:val="00BD63A6"/>
    <w:rsid w:val="00BD64CF"/>
    <w:rsid w:val="00BD66F8"/>
    <w:rsid w:val="00BD717A"/>
    <w:rsid w:val="00BD76B3"/>
    <w:rsid w:val="00BD7C0E"/>
    <w:rsid w:val="00BD7DB6"/>
    <w:rsid w:val="00BE042E"/>
    <w:rsid w:val="00BE153A"/>
    <w:rsid w:val="00BE1850"/>
    <w:rsid w:val="00BE190B"/>
    <w:rsid w:val="00BE19FA"/>
    <w:rsid w:val="00BE2A3F"/>
    <w:rsid w:val="00BE3511"/>
    <w:rsid w:val="00BE3D1C"/>
    <w:rsid w:val="00BE4471"/>
    <w:rsid w:val="00BE4779"/>
    <w:rsid w:val="00BE4F15"/>
    <w:rsid w:val="00BE51D2"/>
    <w:rsid w:val="00BE5835"/>
    <w:rsid w:val="00BE61CB"/>
    <w:rsid w:val="00BE640D"/>
    <w:rsid w:val="00BE6DD9"/>
    <w:rsid w:val="00BE6F77"/>
    <w:rsid w:val="00BE7015"/>
    <w:rsid w:val="00BE704E"/>
    <w:rsid w:val="00BE784B"/>
    <w:rsid w:val="00BE7F07"/>
    <w:rsid w:val="00BE7F14"/>
    <w:rsid w:val="00BF034D"/>
    <w:rsid w:val="00BF19DA"/>
    <w:rsid w:val="00BF3445"/>
    <w:rsid w:val="00BF3ED7"/>
    <w:rsid w:val="00BF4427"/>
    <w:rsid w:val="00BF4E89"/>
    <w:rsid w:val="00BF5F87"/>
    <w:rsid w:val="00BF6B55"/>
    <w:rsid w:val="00BF7320"/>
    <w:rsid w:val="00BF7CB0"/>
    <w:rsid w:val="00C005BC"/>
    <w:rsid w:val="00C005DF"/>
    <w:rsid w:val="00C0174C"/>
    <w:rsid w:val="00C027DB"/>
    <w:rsid w:val="00C02D44"/>
    <w:rsid w:val="00C03094"/>
    <w:rsid w:val="00C03337"/>
    <w:rsid w:val="00C039D7"/>
    <w:rsid w:val="00C042A9"/>
    <w:rsid w:val="00C046D3"/>
    <w:rsid w:val="00C04AC8"/>
    <w:rsid w:val="00C04E80"/>
    <w:rsid w:val="00C05135"/>
    <w:rsid w:val="00C05444"/>
    <w:rsid w:val="00C0547F"/>
    <w:rsid w:val="00C05B1C"/>
    <w:rsid w:val="00C0689C"/>
    <w:rsid w:val="00C078C2"/>
    <w:rsid w:val="00C07C49"/>
    <w:rsid w:val="00C1089E"/>
    <w:rsid w:val="00C10A76"/>
    <w:rsid w:val="00C10E79"/>
    <w:rsid w:val="00C13300"/>
    <w:rsid w:val="00C13A95"/>
    <w:rsid w:val="00C13DD2"/>
    <w:rsid w:val="00C13EC7"/>
    <w:rsid w:val="00C140E9"/>
    <w:rsid w:val="00C15047"/>
    <w:rsid w:val="00C1628D"/>
    <w:rsid w:val="00C17036"/>
    <w:rsid w:val="00C170DD"/>
    <w:rsid w:val="00C17136"/>
    <w:rsid w:val="00C171EB"/>
    <w:rsid w:val="00C17242"/>
    <w:rsid w:val="00C1756F"/>
    <w:rsid w:val="00C179C0"/>
    <w:rsid w:val="00C20200"/>
    <w:rsid w:val="00C20204"/>
    <w:rsid w:val="00C20640"/>
    <w:rsid w:val="00C20F3F"/>
    <w:rsid w:val="00C21565"/>
    <w:rsid w:val="00C21638"/>
    <w:rsid w:val="00C2178B"/>
    <w:rsid w:val="00C21800"/>
    <w:rsid w:val="00C235A1"/>
    <w:rsid w:val="00C23EA3"/>
    <w:rsid w:val="00C2401A"/>
    <w:rsid w:val="00C24742"/>
    <w:rsid w:val="00C247F7"/>
    <w:rsid w:val="00C24AB9"/>
    <w:rsid w:val="00C25D5D"/>
    <w:rsid w:val="00C25EC0"/>
    <w:rsid w:val="00C25F18"/>
    <w:rsid w:val="00C268B2"/>
    <w:rsid w:val="00C27662"/>
    <w:rsid w:val="00C27E95"/>
    <w:rsid w:val="00C30553"/>
    <w:rsid w:val="00C30AC0"/>
    <w:rsid w:val="00C30DC3"/>
    <w:rsid w:val="00C30EC2"/>
    <w:rsid w:val="00C3120E"/>
    <w:rsid w:val="00C3128E"/>
    <w:rsid w:val="00C31654"/>
    <w:rsid w:val="00C3191D"/>
    <w:rsid w:val="00C31EDF"/>
    <w:rsid w:val="00C3203B"/>
    <w:rsid w:val="00C328D8"/>
    <w:rsid w:val="00C32FF5"/>
    <w:rsid w:val="00C337A2"/>
    <w:rsid w:val="00C337B2"/>
    <w:rsid w:val="00C33A2A"/>
    <w:rsid w:val="00C33F16"/>
    <w:rsid w:val="00C33FE9"/>
    <w:rsid w:val="00C34270"/>
    <w:rsid w:val="00C34B18"/>
    <w:rsid w:val="00C35993"/>
    <w:rsid w:val="00C35B98"/>
    <w:rsid w:val="00C35BB9"/>
    <w:rsid w:val="00C3644D"/>
    <w:rsid w:val="00C367FB"/>
    <w:rsid w:val="00C36F6C"/>
    <w:rsid w:val="00C3713A"/>
    <w:rsid w:val="00C378CA"/>
    <w:rsid w:val="00C379DE"/>
    <w:rsid w:val="00C40588"/>
    <w:rsid w:val="00C40A60"/>
    <w:rsid w:val="00C417F7"/>
    <w:rsid w:val="00C419A7"/>
    <w:rsid w:val="00C42306"/>
    <w:rsid w:val="00C427BA"/>
    <w:rsid w:val="00C429B8"/>
    <w:rsid w:val="00C4378A"/>
    <w:rsid w:val="00C437F9"/>
    <w:rsid w:val="00C4435D"/>
    <w:rsid w:val="00C443BA"/>
    <w:rsid w:val="00C44826"/>
    <w:rsid w:val="00C45695"/>
    <w:rsid w:val="00C459F6"/>
    <w:rsid w:val="00C477B3"/>
    <w:rsid w:val="00C47DF4"/>
    <w:rsid w:val="00C47FB9"/>
    <w:rsid w:val="00C50505"/>
    <w:rsid w:val="00C508DA"/>
    <w:rsid w:val="00C514E8"/>
    <w:rsid w:val="00C51C91"/>
    <w:rsid w:val="00C5219F"/>
    <w:rsid w:val="00C5226D"/>
    <w:rsid w:val="00C52A6A"/>
    <w:rsid w:val="00C55186"/>
    <w:rsid w:val="00C5525E"/>
    <w:rsid w:val="00C55260"/>
    <w:rsid w:val="00C55821"/>
    <w:rsid w:val="00C55D56"/>
    <w:rsid w:val="00C562E9"/>
    <w:rsid w:val="00C57330"/>
    <w:rsid w:val="00C573D3"/>
    <w:rsid w:val="00C57D09"/>
    <w:rsid w:val="00C60843"/>
    <w:rsid w:val="00C619E1"/>
    <w:rsid w:val="00C62156"/>
    <w:rsid w:val="00C628CD"/>
    <w:rsid w:val="00C631B7"/>
    <w:rsid w:val="00C63995"/>
    <w:rsid w:val="00C64E35"/>
    <w:rsid w:val="00C65245"/>
    <w:rsid w:val="00C65AAA"/>
    <w:rsid w:val="00C65E14"/>
    <w:rsid w:val="00C65F5D"/>
    <w:rsid w:val="00C6632E"/>
    <w:rsid w:val="00C670C0"/>
    <w:rsid w:val="00C67604"/>
    <w:rsid w:val="00C679BD"/>
    <w:rsid w:val="00C706B8"/>
    <w:rsid w:val="00C7095A"/>
    <w:rsid w:val="00C70D77"/>
    <w:rsid w:val="00C71BA5"/>
    <w:rsid w:val="00C71CD3"/>
    <w:rsid w:val="00C73684"/>
    <w:rsid w:val="00C73EA6"/>
    <w:rsid w:val="00C73EDA"/>
    <w:rsid w:val="00C744DF"/>
    <w:rsid w:val="00C76057"/>
    <w:rsid w:val="00C76502"/>
    <w:rsid w:val="00C76911"/>
    <w:rsid w:val="00C76A81"/>
    <w:rsid w:val="00C77525"/>
    <w:rsid w:val="00C8141E"/>
    <w:rsid w:val="00C81483"/>
    <w:rsid w:val="00C81973"/>
    <w:rsid w:val="00C81982"/>
    <w:rsid w:val="00C825C8"/>
    <w:rsid w:val="00C82901"/>
    <w:rsid w:val="00C8292A"/>
    <w:rsid w:val="00C835A0"/>
    <w:rsid w:val="00C83C5B"/>
    <w:rsid w:val="00C83EC3"/>
    <w:rsid w:val="00C844D9"/>
    <w:rsid w:val="00C84945"/>
    <w:rsid w:val="00C84987"/>
    <w:rsid w:val="00C84E2D"/>
    <w:rsid w:val="00C85A09"/>
    <w:rsid w:val="00C8605B"/>
    <w:rsid w:val="00C86115"/>
    <w:rsid w:val="00C86213"/>
    <w:rsid w:val="00C864DB"/>
    <w:rsid w:val="00C869ED"/>
    <w:rsid w:val="00C86B45"/>
    <w:rsid w:val="00C87259"/>
    <w:rsid w:val="00C87608"/>
    <w:rsid w:val="00C900B3"/>
    <w:rsid w:val="00C9057E"/>
    <w:rsid w:val="00C90DAA"/>
    <w:rsid w:val="00C910D3"/>
    <w:rsid w:val="00C91159"/>
    <w:rsid w:val="00C9157D"/>
    <w:rsid w:val="00C91814"/>
    <w:rsid w:val="00C91A25"/>
    <w:rsid w:val="00C92788"/>
    <w:rsid w:val="00C932A5"/>
    <w:rsid w:val="00C93B4B"/>
    <w:rsid w:val="00C93D25"/>
    <w:rsid w:val="00C94080"/>
    <w:rsid w:val="00C94085"/>
    <w:rsid w:val="00C95ABB"/>
    <w:rsid w:val="00C96A3B"/>
    <w:rsid w:val="00C96BED"/>
    <w:rsid w:val="00C975AF"/>
    <w:rsid w:val="00C97DDA"/>
    <w:rsid w:val="00CA04BF"/>
    <w:rsid w:val="00CA0AE5"/>
    <w:rsid w:val="00CA0D25"/>
    <w:rsid w:val="00CA0D3F"/>
    <w:rsid w:val="00CA16B7"/>
    <w:rsid w:val="00CA171D"/>
    <w:rsid w:val="00CA1874"/>
    <w:rsid w:val="00CA1B90"/>
    <w:rsid w:val="00CA1D6B"/>
    <w:rsid w:val="00CA1DD8"/>
    <w:rsid w:val="00CA1EEA"/>
    <w:rsid w:val="00CA2120"/>
    <w:rsid w:val="00CA282E"/>
    <w:rsid w:val="00CA2A8D"/>
    <w:rsid w:val="00CA316F"/>
    <w:rsid w:val="00CA3328"/>
    <w:rsid w:val="00CA4236"/>
    <w:rsid w:val="00CA442C"/>
    <w:rsid w:val="00CA4860"/>
    <w:rsid w:val="00CA4A6B"/>
    <w:rsid w:val="00CA50C6"/>
    <w:rsid w:val="00CA52D4"/>
    <w:rsid w:val="00CA53C1"/>
    <w:rsid w:val="00CA53E4"/>
    <w:rsid w:val="00CA5A5C"/>
    <w:rsid w:val="00CA60A2"/>
    <w:rsid w:val="00CA6611"/>
    <w:rsid w:val="00CA666F"/>
    <w:rsid w:val="00CA718E"/>
    <w:rsid w:val="00CA7459"/>
    <w:rsid w:val="00CA76F7"/>
    <w:rsid w:val="00CA784C"/>
    <w:rsid w:val="00CA7C2B"/>
    <w:rsid w:val="00CB0D37"/>
    <w:rsid w:val="00CB0E03"/>
    <w:rsid w:val="00CB1669"/>
    <w:rsid w:val="00CB1862"/>
    <w:rsid w:val="00CB1EDF"/>
    <w:rsid w:val="00CB2602"/>
    <w:rsid w:val="00CB2C29"/>
    <w:rsid w:val="00CB38C1"/>
    <w:rsid w:val="00CB3A72"/>
    <w:rsid w:val="00CB3B4D"/>
    <w:rsid w:val="00CB3B6D"/>
    <w:rsid w:val="00CB3D77"/>
    <w:rsid w:val="00CB48F9"/>
    <w:rsid w:val="00CB54D5"/>
    <w:rsid w:val="00CB5A79"/>
    <w:rsid w:val="00CB70CD"/>
    <w:rsid w:val="00CB722B"/>
    <w:rsid w:val="00CC0039"/>
    <w:rsid w:val="00CC0A1F"/>
    <w:rsid w:val="00CC14E2"/>
    <w:rsid w:val="00CC269C"/>
    <w:rsid w:val="00CC275F"/>
    <w:rsid w:val="00CC282C"/>
    <w:rsid w:val="00CC30C5"/>
    <w:rsid w:val="00CC3327"/>
    <w:rsid w:val="00CC390B"/>
    <w:rsid w:val="00CC405B"/>
    <w:rsid w:val="00CC4CAE"/>
    <w:rsid w:val="00CC4E2C"/>
    <w:rsid w:val="00CC5717"/>
    <w:rsid w:val="00CC630B"/>
    <w:rsid w:val="00CC6503"/>
    <w:rsid w:val="00CC69B5"/>
    <w:rsid w:val="00CC6C56"/>
    <w:rsid w:val="00CC7EB5"/>
    <w:rsid w:val="00CD0629"/>
    <w:rsid w:val="00CD0706"/>
    <w:rsid w:val="00CD1C28"/>
    <w:rsid w:val="00CD2AA2"/>
    <w:rsid w:val="00CD2F7C"/>
    <w:rsid w:val="00CD3040"/>
    <w:rsid w:val="00CD34C0"/>
    <w:rsid w:val="00CD3A10"/>
    <w:rsid w:val="00CD40A5"/>
    <w:rsid w:val="00CD53EA"/>
    <w:rsid w:val="00CD65FC"/>
    <w:rsid w:val="00CD6881"/>
    <w:rsid w:val="00CD6DA2"/>
    <w:rsid w:val="00CE01AE"/>
    <w:rsid w:val="00CE0A1B"/>
    <w:rsid w:val="00CE1161"/>
    <w:rsid w:val="00CE15C2"/>
    <w:rsid w:val="00CE3905"/>
    <w:rsid w:val="00CE395D"/>
    <w:rsid w:val="00CE3E2E"/>
    <w:rsid w:val="00CE52EB"/>
    <w:rsid w:val="00CE5975"/>
    <w:rsid w:val="00CE5B43"/>
    <w:rsid w:val="00CE6060"/>
    <w:rsid w:val="00CE6623"/>
    <w:rsid w:val="00CE6722"/>
    <w:rsid w:val="00CE6D40"/>
    <w:rsid w:val="00CE6FC3"/>
    <w:rsid w:val="00CE729F"/>
    <w:rsid w:val="00CE7537"/>
    <w:rsid w:val="00CE790C"/>
    <w:rsid w:val="00CF0CBF"/>
    <w:rsid w:val="00CF1BC8"/>
    <w:rsid w:val="00CF298F"/>
    <w:rsid w:val="00CF2EFD"/>
    <w:rsid w:val="00CF3156"/>
    <w:rsid w:val="00CF3535"/>
    <w:rsid w:val="00CF38D2"/>
    <w:rsid w:val="00CF3D19"/>
    <w:rsid w:val="00CF463C"/>
    <w:rsid w:val="00CF4AFB"/>
    <w:rsid w:val="00CF5909"/>
    <w:rsid w:val="00CF5C9B"/>
    <w:rsid w:val="00CF5E28"/>
    <w:rsid w:val="00CF632D"/>
    <w:rsid w:val="00CF64C5"/>
    <w:rsid w:val="00CF6C59"/>
    <w:rsid w:val="00CF6D28"/>
    <w:rsid w:val="00CF713C"/>
    <w:rsid w:val="00CF76C2"/>
    <w:rsid w:val="00D0020E"/>
    <w:rsid w:val="00D00403"/>
    <w:rsid w:val="00D00521"/>
    <w:rsid w:val="00D0063E"/>
    <w:rsid w:val="00D006F7"/>
    <w:rsid w:val="00D00EF8"/>
    <w:rsid w:val="00D016DC"/>
    <w:rsid w:val="00D01A0D"/>
    <w:rsid w:val="00D02783"/>
    <w:rsid w:val="00D0287E"/>
    <w:rsid w:val="00D0361D"/>
    <w:rsid w:val="00D03B0E"/>
    <w:rsid w:val="00D04132"/>
    <w:rsid w:val="00D04222"/>
    <w:rsid w:val="00D04D87"/>
    <w:rsid w:val="00D052AA"/>
    <w:rsid w:val="00D05A0C"/>
    <w:rsid w:val="00D05F06"/>
    <w:rsid w:val="00D06384"/>
    <w:rsid w:val="00D075B6"/>
    <w:rsid w:val="00D077D6"/>
    <w:rsid w:val="00D07DC9"/>
    <w:rsid w:val="00D10279"/>
    <w:rsid w:val="00D1078C"/>
    <w:rsid w:val="00D108E6"/>
    <w:rsid w:val="00D10C10"/>
    <w:rsid w:val="00D10E3A"/>
    <w:rsid w:val="00D117CB"/>
    <w:rsid w:val="00D11BC2"/>
    <w:rsid w:val="00D11CD2"/>
    <w:rsid w:val="00D12217"/>
    <w:rsid w:val="00D12500"/>
    <w:rsid w:val="00D127EC"/>
    <w:rsid w:val="00D12B0A"/>
    <w:rsid w:val="00D12B66"/>
    <w:rsid w:val="00D12E87"/>
    <w:rsid w:val="00D13184"/>
    <w:rsid w:val="00D133DB"/>
    <w:rsid w:val="00D13727"/>
    <w:rsid w:val="00D1376C"/>
    <w:rsid w:val="00D14183"/>
    <w:rsid w:val="00D14818"/>
    <w:rsid w:val="00D14D8A"/>
    <w:rsid w:val="00D153F4"/>
    <w:rsid w:val="00D1568D"/>
    <w:rsid w:val="00D16574"/>
    <w:rsid w:val="00D16BCD"/>
    <w:rsid w:val="00D178CF"/>
    <w:rsid w:val="00D17C88"/>
    <w:rsid w:val="00D17FB4"/>
    <w:rsid w:val="00D2052E"/>
    <w:rsid w:val="00D20681"/>
    <w:rsid w:val="00D2073C"/>
    <w:rsid w:val="00D20E3E"/>
    <w:rsid w:val="00D21A27"/>
    <w:rsid w:val="00D21DDF"/>
    <w:rsid w:val="00D22431"/>
    <w:rsid w:val="00D225FB"/>
    <w:rsid w:val="00D22923"/>
    <w:rsid w:val="00D22CDA"/>
    <w:rsid w:val="00D22FFA"/>
    <w:rsid w:val="00D2389F"/>
    <w:rsid w:val="00D23AA3"/>
    <w:rsid w:val="00D23C72"/>
    <w:rsid w:val="00D2423E"/>
    <w:rsid w:val="00D244A6"/>
    <w:rsid w:val="00D245BF"/>
    <w:rsid w:val="00D24FD2"/>
    <w:rsid w:val="00D252D1"/>
    <w:rsid w:val="00D2550E"/>
    <w:rsid w:val="00D25733"/>
    <w:rsid w:val="00D257AE"/>
    <w:rsid w:val="00D25AF9"/>
    <w:rsid w:val="00D26264"/>
    <w:rsid w:val="00D263E7"/>
    <w:rsid w:val="00D26A9C"/>
    <w:rsid w:val="00D26E57"/>
    <w:rsid w:val="00D2783B"/>
    <w:rsid w:val="00D27E62"/>
    <w:rsid w:val="00D27F67"/>
    <w:rsid w:val="00D30000"/>
    <w:rsid w:val="00D30819"/>
    <w:rsid w:val="00D31041"/>
    <w:rsid w:val="00D310C8"/>
    <w:rsid w:val="00D313CE"/>
    <w:rsid w:val="00D31519"/>
    <w:rsid w:val="00D316D2"/>
    <w:rsid w:val="00D31E5C"/>
    <w:rsid w:val="00D3256A"/>
    <w:rsid w:val="00D325B8"/>
    <w:rsid w:val="00D32EF2"/>
    <w:rsid w:val="00D33301"/>
    <w:rsid w:val="00D3361C"/>
    <w:rsid w:val="00D33B06"/>
    <w:rsid w:val="00D34030"/>
    <w:rsid w:val="00D34835"/>
    <w:rsid w:val="00D34EBB"/>
    <w:rsid w:val="00D35B77"/>
    <w:rsid w:val="00D35EA6"/>
    <w:rsid w:val="00D36393"/>
    <w:rsid w:val="00D36ACA"/>
    <w:rsid w:val="00D373AE"/>
    <w:rsid w:val="00D37636"/>
    <w:rsid w:val="00D37E86"/>
    <w:rsid w:val="00D4003E"/>
    <w:rsid w:val="00D419A9"/>
    <w:rsid w:val="00D41E17"/>
    <w:rsid w:val="00D42288"/>
    <w:rsid w:val="00D42375"/>
    <w:rsid w:val="00D426F9"/>
    <w:rsid w:val="00D4281C"/>
    <w:rsid w:val="00D42CF3"/>
    <w:rsid w:val="00D43057"/>
    <w:rsid w:val="00D43225"/>
    <w:rsid w:val="00D43D1F"/>
    <w:rsid w:val="00D43EB7"/>
    <w:rsid w:val="00D441B2"/>
    <w:rsid w:val="00D44599"/>
    <w:rsid w:val="00D4468B"/>
    <w:rsid w:val="00D45395"/>
    <w:rsid w:val="00D47203"/>
    <w:rsid w:val="00D477D5"/>
    <w:rsid w:val="00D47FFE"/>
    <w:rsid w:val="00D5023B"/>
    <w:rsid w:val="00D514DC"/>
    <w:rsid w:val="00D5151E"/>
    <w:rsid w:val="00D51960"/>
    <w:rsid w:val="00D51B48"/>
    <w:rsid w:val="00D525C3"/>
    <w:rsid w:val="00D526D0"/>
    <w:rsid w:val="00D52F74"/>
    <w:rsid w:val="00D53387"/>
    <w:rsid w:val="00D53AE6"/>
    <w:rsid w:val="00D53BA7"/>
    <w:rsid w:val="00D53BCC"/>
    <w:rsid w:val="00D53C54"/>
    <w:rsid w:val="00D543EC"/>
    <w:rsid w:val="00D54ACC"/>
    <w:rsid w:val="00D54B5F"/>
    <w:rsid w:val="00D54CAD"/>
    <w:rsid w:val="00D55B0B"/>
    <w:rsid w:val="00D55E42"/>
    <w:rsid w:val="00D561C5"/>
    <w:rsid w:val="00D56349"/>
    <w:rsid w:val="00D56A96"/>
    <w:rsid w:val="00D56D75"/>
    <w:rsid w:val="00D6069D"/>
    <w:rsid w:val="00D61AD9"/>
    <w:rsid w:val="00D62EC2"/>
    <w:rsid w:val="00D635F2"/>
    <w:rsid w:val="00D6360B"/>
    <w:rsid w:val="00D63629"/>
    <w:rsid w:val="00D63A32"/>
    <w:rsid w:val="00D63C15"/>
    <w:rsid w:val="00D645CF"/>
    <w:rsid w:val="00D645F9"/>
    <w:rsid w:val="00D64A73"/>
    <w:rsid w:val="00D65A28"/>
    <w:rsid w:val="00D6663B"/>
    <w:rsid w:val="00D66C43"/>
    <w:rsid w:val="00D66F2E"/>
    <w:rsid w:val="00D67EA6"/>
    <w:rsid w:val="00D700C0"/>
    <w:rsid w:val="00D7073B"/>
    <w:rsid w:val="00D70D83"/>
    <w:rsid w:val="00D71266"/>
    <w:rsid w:val="00D717EA"/>
    <w:rsid w:val="00D7182A"/>
    <w:rsid w:val="00D719CB"/>
    <w:rsid w:val="00D71AFC"/>
    <w:rsid w:val="00D722B6"/>
    <w:rsid w:val="00D725D5"/>
    <w:rsid w:val="00D72774"/>
    <w:rsid w:val="00D73048"/>
    <w:rsid w:val="00D7370C"/>
    <w:rsid w:val="00D73B46"/>
    <w:rsid w:val="00D7568B"/>
    <w:rsid w:val="00D758FF"/>
    <w:rsid w:val="00D766BC"/>
    <w:rsid w:val="00D7670D"/>
    <w:rsid w:val="00D7679A"/>
    <w:rsid w:val="00D769DE"/>
    <w:rsid w:val="00D76C18"/>
    <w:rsid w:val="00D771D6"/>
    <w:rsid w:val="00D7753B"/>
    <w:rsid w:val="00D808CC"/>
    <w:rsid w:val="00D810CC"/>
    <w:rsid w:val="00D8112B"/>
    <w:rsid w:val="00D81472"/>
    <w:rsid w:val="00D820A4"/>
    <w:rsid w:val="00D820E3"/>
    <w:rsid w:val="00D82121"/>
    <w:rsid w:val="00D822D7"/>
    <w:rsid w:val="00D82810"/>
    <w:rsid w:val="00D82B22"/>
    <w:rsid w:val="00D82C65"/>
    <w:rsid w:val="00D8347E"/>
    <w:rsid w:val="00D83FCA"/>
    <w:rsid w:val="00D84109"/>
    <w:rsid w:val="00D84482"/>
    <w:rsid w:val="00D846DB"/>
    <w:rsid w:val="00D85081"/>
    <w:rsid w:val="00D85BCB"/>
    <w:rsid w:val="00D86071"/>
    <w:rsid w:val="00D86B41"/>
    <w:rsid w:val="00D86DF3"/>
    <w:rsid w:val="00D872B0"/>
    <w:rsid w:val="00D87871"/>
    <w:rsid w:val="00D87B66"/>
    <w:rsid w:val="00D90465"/>
    <w:rsid w:val="00D905BF"/>
    <w:rsid w:val="00D90FD0"/>
    <w:rsid w:val="00D90FF1"/>
    <w:rsid w:val="00D91157"/>
    <w:rsid w:val="00D91444"/>
    <w:rsid w:val="00D91918"/>
    <w:rsid w:val="00D91AF6"/>
    <w:rsid w:val="00D91B17"/>
    <w:rsid w:val="00D91EC5"/>
    <w:rsid w:val="00D938E3"/>
    <w:rsid w:val="00D93DB7"/>
    <w:rsid w:val="00D93ED8"/>
    <w:rsid w:val="00D93F2D"/>
    <w:rsid w:val="00D943FF"/>
    <w:rsid w:val="00D948AB"/>
    <w:rsid w:val="00D948FB"/>
    <w:rsid w:val="00D94A41"/>
    <w:rsid w:val="00D94DE8"/>
    <w:rsid w:val="00D94F0F"/>
    <w:rsid w:val="00D94F5D"/>
    <w:rsid w:val="00D956D2"/>
    <w:rsid w:val="00D95DE7"/>
    <w:rsid w:val="00D9613F"/>
    <w:rsid w:val="00D961AF"/>
    <w:rsid w:val="00D96C1B"/>
    <w:rsid w:val="00DA091B"/>
    <w:rsid w:val="00DA0A80"/>
    <w:rsid w:val="00DA1365"/>
    <w:rsid w:val="00DA29F7"/>
    <w:rsid w:val="00DA2A59"/>
    <w:rsid w:val="00DA319E"/>
    <w:rsid w:val="00DA3334"/>
    <w:rsid w:val="00DA34CA"/>
    <w:rsid w:val="00DA3771"/>
    <w:rsid w:val="00DA39BF"/>
    <w:rsid w:val="00DA3B83"/>
    <w:rsid w:val="00DA4960"/>
    <w:rsid w:val="00DA4B85"/>
    <w:rsid w:val="00DA5E68"/>
    <w:rsid w:val="00DA79E5"/>
    <w:rsid w:val="00DB006B"/>
    <w:rsid w:val="00DB0078"/>
    <w:rsid w:val="00DB08B5"/>
    <w:rsid w:val="00DB0CA6"/>
    <w:rsid w:val="00DB0D5B"/>
    <w:rsid w:val="00DB14F7"/>
    <w:rsid w:val="00DB16EB"/>
    <w:rsid w:val="00DB19F1"/>
    <w:rsid w:val="00DB2428"/>
    <w:rsid w:val="00DB2C9C"/>
    <w:rsid w:val="00DB2D01"/>
    <w:rsid w:val="00DB3938"/>
    <w:rsid w:val="00DB3D6E"/>
    <w:rsid w:val="00DB4025"/>
    <w:rsid w:val="00DB47D4"/>
    <w:rsid w:val="00DB4AAF"/>
    <w:rsid w:val="00DB4E20"/>
    <w:rsid w:val="00DB5889"/>
    <w:rsid w:val="00DB601B"/>
    <w:rsid w:val="00DB6438"/>
    <w:rsid w:val="00DB64C8"/>
    <w:rsid w:val="00DB6D52"/>
    <w:rsid w:val="00DB73D9"/>
    <w:rsid w:val="00DB7588"/>
    <w:rsid w:val="00DB7DC0"/>
    <w:rsid w:val="00DC0056"/>
    <w:rsid w:val="00DC0200"/>
    <w:rsid w:val="00DC02FA"/>
    <w:rsid w:val="00DC06BA"/>
    <w:rsid w:val="00DC0C15"/>
    <w:rsid w:val="00DC1437"/>
    <w:rsid w:val="00DC1AAC"/>
    <w:rsid w:val="00DC1BAB"/>
    <w:rsid w:val="00DC1C5E"/>
    <w:rsid w:val="00DC21BD"/>
    <w:rsid w:val="00DC2920"/>
    <w:rsid w:val="00DC2E9C"/>
    <w:rsid w:val="00DC31BC"/>
    <w:rsid w:val="00DC3866"/>
    <w:rsid w:val="00DC3A13"/>
    <w:rsid w:val="00DC3B83"/>
    <w:rsid w:val="00DC3E8C"/>
    <w:rsid w:val="00DC3F49"/>
    <w:rsid w:val="00DC465A"/>
    <w:rsid w:val="00DC4F4B"/>
    <w:rsid w:val="00DC50E3"/>
    <w:rsid w:val="00DC59AF"/>
    <w:rsid w:val="00DC6048"/>
    <w:rsid w:val="00DC6928"/>
    <w:rsid w:val="00DC6AB6"/>
    <w:rsid w:val="00DC6E76"/>
    <w:rsid w:val="00DC756F"/>
    <w:rsid w:val="00DC76EF"/>
    <w:rsid w:val="00DC7AC1"/>
    <w:rsid w:val="00DD0310"/>
    <w:rsid w:val="00DD0EB7"/>
    <w:rsid w:val="00DD1026"/>
    <w:rsid w:val="00DD1168"/>
    <w:rsid w:val="00DD116B"/>
    <w:rsid w:val="00DD1204"/>
    <w:rsid w:val="00DD1434"/>
    <w:rsid w:val="00DD15C2"/>
    <w:rsid w:val="00DD1771"/>
    <w:rsid w:val="00DD23F7"/>
    <w:rsid w:val="00DD27E3"/>
    <w:rsid w:val="00DD2C7C"/>
    <w:rsid w:val="00DD3079"/>
    <w:rsid w:val="00DD39A9"/>
    <w:rsid w:val="00DD3FC2"/>
    <w:rsid w:val="00DD488B"/>
    <w:rsid w:val="00DD5DA5"/>
    <w:rsid w:val="00DD5DA6"/>
    <w:rsid w:val="00DD6694"/>
    <w:rsid w:val="00DD6999"/>
    <w:rsid w:val="00DD6EE2"/>
    <w:rsid w:val="00DD6FD1"/>
    <w:rsid w:val="00DD7132"/>
    <w:rsid w:val="00DD72CD"/>
    <w:rsid w:val="00DD735E"/>
    <w:rsid w:val="00DE01AC"/>
    <w:rsid w:val="00DE0844"/>
    <w:rsid w:val="00DE0ADB"/>
    <w:rsid w:val="00DE140D"/>
    <w:rsid w:val="00DE163C"/>
    <w:rsid w:val="00DE1657"/>
    <w:rsid w:val="00DE1AE6"/>
    <w:rsid w:val="00DE1FD3"/>
    <w:rsid w:val="00DE252D"/>
    <w:rsid w:val="00DE25C3"/>
    <w:rsid w:val="00DE2F2C"/>
    <w:rsid w:val="00DE3318"/>
    <w:rsid w:val="00DE439D"/>
    <w:rsid w:val="00DE44CD"/>
    <w:rsid w:val="00DE44DA"/>
    <w:rsid w:val="00DE476B"/>
    <w:rsid w:val="00DE48BB"/>
    <w:rsid w:val="00DE4A3A"/>
    <w:rsid w:val="00DE4E08"/>
    <w:rsid w:val="00DE5303"/>
    <w:rsid w:val="00DE5A0D"/>
    <w:rsid w:val="00DE62F4"/>
    <w:rsid w:val="00DE6D7A"/>
    <w:rsid w:val="00DF04D0"/>
    <w:rsid w:val="00DF05F8"/>
    <w:rsid w:val="00DF0AF1"/>
    <w:rsid w:val="00DF0F3A"/>
    <w:rsid w:val="00DF12F4"/>
    <w:rsid w:val="00DF17D4"/>
    <w:rsid w:val="00DF233C"/>
    <w:rsid w:val="00DF23A6"/>
    <w:rsid w:val="00DF27D0"/>
    <w:rsid w:val="00DF2AEB"/>
    <w:rsid w:val="00DF3969"/>
    <w:rsid w:val="00DF3BF3"/>
    <w:rsid w:val="00DF3C90"/>
    <w:rsid w:val="00DF3D13"/>
    <w:rsid w:val="00DF4297"/>
    <w:rsid w:val="00DF4615"/>
    <w:rsid w:val="00DF4B5D"/>
    <w:rsid w:val="00DF4C47"/>
    <w:rsid w:val="00DF5AE1"/>
    <w:rsid w:val="00DF5D13"/>
    <w:rsid w:val="00DF6103"/>
    <w:rsid w:val="00DF6807"/>
    <w:rsid w:val="00DF6BA4"/>
    <w:rsid w:val="00E013D9"/>
    <w:rsid w:val="00E01467"/>
    <w:rsid w:val="00E02276"/>
    <w:rsid w:val="00E022D6"/>
    <w:rsid w:val="00E02F0A"/>
    <w:rsid w:val="00E035CE"/>
    <w:rsid w:val="00E036D9"/>
    <w:rsid w:val="00E03A4D"/>
    <w:rsid w:val="00E03B1A"/>
    <w:rsid w:val="00E03C14"/>
    <w:rsid w:val="00E03E29"/>
    <w:rsid w:val="00E03F40"/>
    <w:rsid w:val="00E0521E"/>
    <w:rsid w:val="00E052AB"/>
    <w:rsid w:val="00E053B8"/>
    <w:rsid w:val="00E053D8"/>
    <w:rsid w:val="00E05408"/>
    <w:rsid w:val="00E055B3"/>
    <w:rsid w:val="00E056EE"/>
    <w:rsid w:val="00E05720"/>
    <w:rsid w:val="00E05FAF"/>
    <w:rsid w:val="00E06005"/>
    <w:rsid w:val="00E063F4"/>
    <w:rsid w:val="00E0779C"/>
    <w:rsid w:val="00E07BC2"/>
    <w:rsid w:val="00E07CDE"/>
    <w:rsid w:val="00E108DD"/>
    <w:rsid w:val="00E10D38"/>
    <w:rsid w:val="00E10F29"/>
    <w:rsid w:val="00E114FF"/>
    <w:rsid w:val="00E115E3"/>
    <w:rsid w:val="00E11606"/>
    <w:rsid w:val="00E11C28"/>
    <w:rsid w:val="00E11C49"/>
    <w:rsid w:val="00E11D99"/>
    <w:rsid w:val="00E1224D"/>
    <w:rsid w:val="00E125CA"/>
    <w:rsid w:val="00E133E3"/>
    <w:rsid w:val="00E1369F"/>
    <w:rsid w:val="00E13CD2"/>
    <w:rsid w:val="00E15447"/>
    <w:rsid w:val="00E15854"/>
    <w:rsid w:val="00E15EC4"/>
    <w:rsid w:val="00E15F6B"/>
    <w:rsid w:val="00E15FEC"/>
    <w:rsid w:val="00E16BBC"/>
    <w:rsid w:val="00E16FE3"/>
    <w:rsid w:val="00E17152"/>
    <w:rsid w:val="00E20052"/>
    <w:rsid w:val="00E20187"/>
    <w:rsid w:val="00E2042D"/>
    <w:rsid w:val="00E20491"/>
    <w:rsid w:val="00E20B1F"/>
    <w:rsid w:val="00E20E12"/>
    <w:rsid w:val="00E2138E"/>
    <w:rsid w:val="00E218A6"/>
    <w:rsid w:val="00E2216F"/>
    <w:rsid w:val="00E2303B"/>
    <w:rsid w:val="00E23203"/>
    <w:rsid w:val="00E2367F"/>
    <w:rsid w:val="00E23923"/>
    <w:rsid w:val="00E23DFB"/>
    <w:rsid w:val="00E23E1E"/>
    <w:rsid w:val="00E24384"/>
    <w:rsid w:val="00E24411"/>
    <w:rsid w:val="00E24BBA"/>
    <w:rsid w:val="00E24D1D"/>
    <w:rsid w:val="00E2506C"/>
    <w:rsid w:val="00E25AA3"/>
    <w:rsid w:val="00E25F18"/>
    <w:rsid w:val="00E267A9"/>
    <w:rsid w:val="00E26B54"/>
    <w:rsid w:val="00E26D26"/>
    <w:rsid w:val="00E27E86"/>
    <w:rsid w:val="00E3044F"/>
    <w:rsid w:val="00E3066F"/>
    <w:rsid w:val="00E31250"/>
    <w:rsid w:val="00E316A2"/>
    <w:rsid w:val="00E325AD"/>
    <w:rsid w:val="00E334C7"/>
    <w:rsid w:val="00E33B92"/>
    <w:rsid w:val="00E34494"/>
    <w:rsid w:val="00E34670"/>
    <w:rsid w:val="00E3532C"/>
    <w:rsid w:val="00E3533B"/>
    <w:rsid w:val="00E35453"/>
    <w:rsid w:val="00E356A2"/>
    <w:rsid w:val="00E35C46"/>
    <w:rsid w:val="00E361A3"/>
    <w:rsid w:val="00E368DB"/>
    <w:rsid w:val="00E36C4A"/>
    <w:rsid w:val="00E371DB"/>
    <w:rsid w:val="00E3732D"/>
    <w:rsid w:val="00E37474"/>
    <w:rsid w:val="00E37B92"/>
    <w:rsid w:val="00E37BEF"/>
    <w:rsid w:val="00E37CB6"/>
    <w:rsid w:val="00E4001A"/>
    <w:rsid w:val="00E40174"/>
    <w:rsid w:val="00E4022B"/>
    <w:rsid w:val="00E40CCC"/>
    <w:rsid w:val="00E422F8"/>
    <w:rsid w:val="00E42DFD"/>
    <w:rsid w:val="00E437CB"/>
    <w:rsid w:val="00E43832"/>
    <w:rsid w:val="00E43B13"/>
    <w:rsid w:val="00E4441B"/>
    <w:rsid w:val="00E4476E"/>
    <w:rsid w:val="00E45293"/>
    <w:rsid w:val="00E45F1E"/>
    <w:rsid w:val="00E46BCA"/>
    <w:rsid w:val="00E46EF7"/>
    <w:rsid w:val="00E47296"/>
    <w:rsid w:val="00E47363"/>
    <w:rsid w:val="00E47616"/>
    <w:rsid w:val="00E47CA9"/>
    <w:rsid w:val="00E50D94"/>
    <w:rsid w:val="00E514B2"/>
    <w:rsid w:val="00E5158A"/>
    <w:rsid w:val="00E518CB"/>
    <w:rsid w:val="00E518D6"/>
    <w:rsid w:val="00E519B3"/>
    <w:rsid w:val="00E5283D"/>
    <w:rsid w:val="00E52883"/>
    <w:rsid w:val="00E531E0"/>
    <w:rsid w:val="00E53233"/>
    <w:rsid w:val="00E53C8A"/>
    <w:rsid w:val="00E53DC4"/>
    <w:rsid w:val="00E54138"/>
    <w:rsid w:val="00E542B5"/>
    <w:rsid w:val="00E54AD0"/>
    <w:rsid w:val="00E54F36"/>
    <w:rsid w:val="00E55282"/>
    <w:rsid w:val="00E55922"/>
    <w:rsid w:val="00E55B37"/>
    <w:rsid w:val="00E56845"/>
    <w:rsid w:val="00E56E8B"/>
    <w:rsid w:val="00E57030"/>
    <w:rsid w:val="00E570E8"/>
    <w:rsid w:val="00E578AD"/>
    <w:rsid w:val="00E606A0"/>
    <w:rsid w:val="00E60E28"/>
    <w:rsid w:val="00E61543"/>
    <w:rsid w:val="00E62508"/>
    <w:rsid w:val="00E62546"/>
    <w:rsid w:val="00E625A7"/>
    <w:rsid w:val="00E625CD"/>
    <w:rsid w:val="00E6262D"/>
    <w:rsid w:val="00E62BAD"/>
    <w:rsid w:val="00E62EF5"/>
    <w:rsid w:val="00E633B3"/>
    <w:rsid w:val="00E6371E"/>
    <w:rsid w:val="00E64157"/>
    <w:rsid w:val="00E644EF"/>
    <w:rsid w:val="00E64989"/>
    <w:rsid w:val="00E64AC6"/>
    <w:rsid w:val="00E6535A"/>
    <w:rsid w:val="00E6722A"/>
    <w:rsid w:val="00E67555"/>
    <w:rsid w:val="00E67AE0"/>
    <w:rsid w:val="00E709D5"/>
    <w:rsid w:val="00E7141D"/>
    <w:rsid w:val="00E7151B"/>
    <w:rsid w:val="00E71BE8"/>
    <w:rsid w:val="00E71D5B"/>
    <w:rsid w:val="00E71FF9"/>
    <w:rsid w:val="00E7202B"/>
    <w:rsid w:val="00E72723"/>
    <w:rsid w:val="00E746BA"/>
    <w:rsid w:val="00E754FB"/>
    <w:rsid w:val="00E75785"/>
    <w:rsid w:val="00E75B41"/>
    <w:rsid w:val="00E75F91"/>
    <w:rsid w:val="00E763D3"/>
    <w:rsid w:val="00E76514"/>
    <w:rsid w:val="00E7677C"/>
    <w:rsid w:val="00E76ED4"/>
    <w:rsid w:val="00E77502"/>
    <w:rsid w:val="00E77841"/>
    <w:rsid w:val="00E80514"/>
    <w:rsid w:val="00E80558"/>
    <w:rsid w:val="00E80A3A"/>
    <w:rsid w:val="00E80E51"/>
    <w:rsid w:val="00E80E95"/>
    <w:rsid w:val="00E8195B"/>
    <w:rsid w:val="00E81BCD"/>
    <w:rsid w:val="00E81DBC"/>
    <w:rsid w:val="00E820D1"/>
    <w:rsid w:val="00E823F5"/>
    <w:rsid w:val="00E82B95"/>
    <w:rsid w:val="00E82CD9"/>
    <w:rsid w:val="00E83244"/>
    <w:rsid w:val="00E8420D"/>
    <w:rsid w:val="00E84375"/>
    <w:rsid w:val="00E84B34"/>
    <w:rsid w:val="00E84DD7"/>
    <w:rsid w:val="00E854DA"/>
    <w:rsid w:val="00E856DD"/>
    <w:rsid w:val="00E85F1D"/>
    <w:rsid w:val="00E8658C"/>
    <w:rsid w:val="00E865D8"/>
    <w:rsid w:val="00E86912"/>
    <w:rsid w:val="00E8693C"/>
    <w:rsid w:val="00E87465"/>
    <w:rsid w:val="00E87B3D"/>
    <w:rsid w:val="00E87C76"/>
    <w:rsid w:val="00E87F42"/>
    <w:rsid w:val="00E9075D"/>
    <w:rsid w:val="00E90A42"/>
    <w:rsid w:val="00E91539"/>
    <w:rsid w:val="00E91B25"/>
    <w:rsid w:val="00E91D86"/>
    <w:rsid w:val="00E9313A"/>
    <w:rsid w:val="00E9369B"/>
    <w:rsid w:val="00E94047"/>
    <w:rsid w:val="00E94635"/>
    <w:rsid w:val="00E946F6"/>
    <w:rsid w:val="00E9520A"/>
    <w:rsid w:val="00E95651"/>
    <w:rsid w:val="00E95692"/>
    <w:rsid w:val="00E95A52"/>
    <w:rsid w:val="00E95C05"/>
    <w:rsid w:val="00E960AB"/>
    <w:rsid w:val="00E96E33"/>
    <w:rsid w:val="00E97069"/>
    <w:rsid w:val="00E9710A"/>
    <w:rsid w:val="00E97184"/>
    <w:rsid w:val="00E971C1"/>
    <w:rsid w:val="00EA0091"/>
    <w:rsid w:val="00EA0202"/>
    <w:rsid w:val="00EA0598"/>
    <w:rsid w:val="00EA06C9"/>
    <w:rsid w:val="00EA0FA3"/>
    <w:rsid w:val="00EA1CB1"/>
    <w:rsid w:val="00EA1D52"/>
    <w:rsid w:val="00EA2E94"/>
    <w:rsid w:val="00EA2F97"/>
    <w:rsid w:val="00EA3562"/>
    <w:rsid w:val="00EA3606"/>
    <w:rsid w:val="00EA3A25"/>
    <w:rsid w:val="00EA44FA"/>
    <w:rsid w:val="00EA48F2"/>
    <w:rsid w:val="00EA4901"/>
    <w:rsid w:val="00EA5448"/>
    <w:rsid w:val="00EA5AE6"/>
    <w:rsid w:val="00EA5F4E"/>
    <w:rsid w:val="00EA60A1"/>
    <w:rsid w:val="00EA66C4"/>
    <w:rsid w:val="00EA7206"/>
    <w:rsid w:val="00EA7250"/>
    <w:rsid w:val="00EB05F7"/>
    <w:rsid w:val="00EB07CD"/>
    <w:rsid w:val="00EB0CAA"/>
    <w:rsid w:val="00EB1530"/>
    <w:rsid w:val="00EB1602"/>
    <w:rsid w:val="00EB1B88"/>
    <w:rsid w:val="00EB2DB0"/>
    <w:rsid w:val="00EB3296"/>
    <w:rsid w:val="00EB38B2"/>
    <w:rsid w:val="00EB40AB"/>
    <w:rsid w:val="00EB4238"/>
    <w:rsid w:val="00EB446E"/>
    <w:rsid w:val="00EB49FC"/>
    <w:rsid w:val="00EB4CFE"/>
    <w:rsid w:val="00EB4DA4"/>
    <w:rsid w:val="00EB632E"/>
    <w:rsid w:val="00EB6792"/>
    <w:rsid w:val="00EB6817"/>
    <w:rsid w:val="00EB6E2C"/>
    <w:rsid w:val="00EB6FD6"/>
    <w:rsid w:val="00EB73A3"/>
    <w:rsid w:val="00EB73E3"/>
    <w:rsid w:val="00EB744A"/>
    <w:rsid w:val="00EB76C1"/>
    <w:rsid w:val="00EB7BDE"/>
    <w:rsid w:val="00EC0C30"/>
    <w:rsid w:val="00EC0D27"/>
    <w:rsid w:val="00EC1016"/>
    <w:rsid w:val="00EC1091"/>
    <w:rsid w:val="00EC2F17"/>
    <w:rsid w:val="00EC380F"/>
    <w:rsid w:val="00EC3836"/>
    <w:rsid w:val="00EC3D27"/>
    <w:rsid w:val="00EC4012"/>
    <w:rsid w:val="00EC4096"/>
    <w:rsid w:val="00EC486C"/>
    <w:rsid w:val="00EC4C6C"/>
    <w:rsid w:val="00EC4C75"/>
    <w:rsid w:val="00EC4E61"/>
    <w:rsid w:val="00EC517F"/>
    <w:rsid w:val="00EC5F91"/>
    <w:rsid w:val="00EC60AC"/>
    <w:rsid w:val="00EC6624"/>
    <w:rsid w:val="00EC6AF4"/>
    <w:rsid w:val="00EC722C"/>
    <w:rsid w:val="00EC77B9"/>
    <w:rsid w:val="00EC7C18"/>
    <w:rsid w:val="00EC7CE2"/>
    <w:rsid w:val="00EC7F13"/>
    <w:rsid w:val="00ED0336"/>
    <w:rsid w:val="00ED0FFD"/>
    <w:rsid w:val="00ED1463"/>
    <w:rsid w:val="00ED14D7"/>
    <w:rsid w:val="00ED1920"/>
    <w:rsid w:val="00ED1C10"/>
    <w:rsid w:val="00ED20C3"/>
    <w:rsid w:val="00ED2932"/>
    <w:rsid w:val="00ED2A06"/>
    <w:rsid w:val="00ED3597"/>
    <w:rsid w:val="00ED36A4"/>
    <w:rsid w:val="00ED4014"/>
    <w:rsid w:val="00ED4821"/>
    <w:rsid w:val="00ED48AC"/>
    <w:rsid w:val="00ED48B1"/>
    <w:rsid w:val="00ED49B4"/>
    <w:rsid w:val="00ED6297"/>
    <w:rsid w:val="00ED64DC"/>
    <w:rsid w:val="00ED6608"/>
    <w:rsid w:val="00ED6B17"/>
    <w:rsid w:val="00ED782C"/>
    <w:rsid w:val="00ED7FB0"/>
    <w:rsid w:val="00EE0919"/>
    <w:rsid w:val="00EE0CE9"/>
    <w:rsid w:val="00EE19D0"/>
    <w:rsid w:val="00EE1A99"/>
    <w:rsid w:val="00EE1BC0"/>
    <w:rsid w:val="00EE1E53"/>
    <w:rsid w:val="00EE1EC7"/>
    <w:rsid w:val="00EE297F"/>
    <w:rsid w:val="00EE2ED0"/>
    <w:rsid w:val="00EE2F5F"/>
    <w:rsid w:val="00EE31C3"/>
    <w:rsid w:val="00EE3E22"/>
    <w:rsid w:val="00EE4091"/>
    <w:rsid w:val="00EE43C2"/>
    <w:rsid w:val="00EE4504"/>
    <w:rsid w:val="00EE4720"/>
    <w:rsid w:val="00EE578A"/>
    <w:rsid w:val="00EE5887"/>
    <w:rsid w:val="00EE59EC"/>
    <w:rsid w:val="00EE62DA"/>
    <w:rsid w:val="00EE631C"/>
    <w:rsid w:val="00EE6332"/>
    <w:rsid w:val="00EE6932"/>
    <w:rsid w:val="00EE71CB"/>
    <w:rsid w:val="00EE7B71"/>
    <w:rsid w:val="00EF0414"/>
    <w:rsid w:val="00EF0806"/>
    <w:rsid w:val="00EF0AE2"/>
    <w:rsid w:val="00EF26C6"/>
    <w:rsid w:val="00EF2A46"/>
    <w:rsid w:val="00EF35A7"/>
    <w:rsid w:val="00EF3D59"/>
    <w:rsid w:val="00EF4B59"/>
    <w:rsid w:val="00EF510B"/>
    <w:rsid w:val="00EF5167"/>
    <w:rsid w:val="00EF51A8"/>
    <w:rsid w:val="00EF53CA"/>
    <w:rsid w:val="00EF592C"/>
    <w:rsid w:val="00EF6267"/>
    <w:rsid w:val="00EF62FD"/>
    <w:rsid w:val="00EF6303"/>
    <w:rsid w:val="00EF658E"/>
    <w:rsid w:val="00EF704C"/>
    <w:rsid w:val="00F00844"/>
    <w:rsid w:val="00F009E8"/>
    <w:rsid w:val="00F00C00"/>
    <w:rsid w:val="00F01458"/>
    <w:rsid w:val="00F019AF"/>
    <w:rsid w:val="00F01A53"/>
    <w:rsid w:val="00F02193"/>
    <w:rsid w:val="00F03465"/>
    <w:rsid w:val="00F03469"/>
    <w:rsid w:val="00F038E9"/>
    <w:rsid w:val="00F03CA0"/>
    <w:rsid w:val="00F03E4D"/>
    <w:rsid w:val="00F044C3"/>
    <w:rsid w:val="00F04730"/>
    <w:rsid w:val="00F04AA1"/>
    <w:rsid w:val="00F0556D"/>
    <w:rsid w:val="00F057BC"/>
    <w:rsid w:val="00F05F38"/>
    <w:rsid w:val="00F06226"/>
    <w:rsid w:val="00F07037"/>
    <w:rsid w:val="00F076DA"/>
    <w:rsid w:val="00F07861"/>
    <w:rsid w:val="00F10318"/>
    <w:rsid w:val="00F10926"/>
    <w:rsid w:val="00F10EBC"/>
    <w:rsid w:val="00F115C1"/>
    <w:rsid w:val="00F11CA2"/>
    <w:rsid w:val="00F11F71"/>
    <w:rsid w:val="00F1229F"/>
    <w:rsid w:val="00F130AF"/>
    <w:rsid w:val="00F131BB"/>
    <w:rsid w:val="00F13872"/>
    <w:rsid w:val="00F138EA"/>
    <w:rsid w:val="00F1394C"/>
    <w:rsid w:val="00F13E15"/>
    <w:rsid w:val="00F1450C"/>
    <w:rsid w:val="00F1536E"/>
    <w:rsid w:val="00F15775"/>
    <w:rsid w:val="00F15B49"/>
    <w:rsid w:val="00F15C48"/>
    <w:rsid w:val="00F15CBD"/>
    <w:rsid w:val="00F168F6"/>
    <w:rsid w:val="00F16BA1"/>
    <w:rsid w:val="00F1715B"/>
    <w:rsid w:val="00F178CA"/>
    <w:rsid w:val="00F17A7E"/>
    <w:rsid w:val="00F17B42"/>
    <w:rsid w:val="00F20A4D"/>
    <w:rsid w:val="00F20D9A"/>
    <w:rsid w:val="00F21252"/>
    <w:rsid w:val="00F212A3"/>
    <w:rsid w:val="00F21746"/>
    <w:rsid w:val="00F22879"/>
    <w:rsid w:val="00F2288A"/>
    <w:rsid w:val="00F22AC8"/>
    <w:rsid w:val="00F243B2"/>
    <w:rsid w:val="00F24C6E"/>
    <w:rsid w:val="00F24D83"/>
    <w:rsid w:val="00F24DD6"/>
    <w:rsid w:val="00F25179"/>
    <w:rsid w:val="00F25724"/>
    <w:rsid w:val="00F257E6"/>
    <w:rsid w:val="00F25B41"/>
    <w:rsid w:val="00F25FDA"/>
    <w:rsid w:val="00F26714"/>
    <w:rsid w:val="00F26F4C"/>
    <w:rsid w:val="00F27352"/>
    <w:rsid w:val="00F275AF"/>
    <w:rsid w:val="00F3002F"/>
    <w:rsid w:val="00F300C9"/>
    <w:rsid w:val="00F30B64"/>
    <w:rsid w:val="00F31461"/>
    <w:rsid w:val="00F316A9"/>
    <w:rsid w:val="00F32AF8"/>
    <w:rsid w:val="00F32F5E"/>
    <w:rsid w:val="00F331C0"/>
    <w:rsid w:val="00F33384"/>
    <w:rsid w:val="00F33CBA"/>
    <w:rsid w:val="00F33EA6"/>
    <w:rsid w:val="00F34919"/>
    <w:rsid w:val="00F34A11"/>
    <w:rsid w:val="00F34C51"/>
    <w:rsid w:val="00F3514F"/>
    <w:rsid w:val="00F35B4C"/>
    <w:rsid w:val="00F35F98"/>
    <w:rsid w:val="00F36550"/>
    <w:rsid w:val="00F36DB9"/>
    <w:rsid w:val="00F37ED9"/>
    <w:rsid w:val="00F40881"/>
    <w:rsid w:val="00F40B08"/>
    <w:rsid w:val="00F40B1B"/>
    <w:rsid w:val="00F40C28"/>
    <w:rsid w:val="00F410FA"/>
    <w:rsid w:val="00F417DC"/>
    <w:rsid w:val="00F41C0C"/>
    <w:rsid w:val="00F421DD"/>
    <w:rsid w:val="00F426FE"/>
    <w:rsid w:val="00F42ECA"/>
    <w:rsid w:val="00F4301D"/>
    <w:rsid w:val="00F43A28"/>
    <w:rsid w:val="00F43AFF"/>
    <w:rsid w:val="00F45333"/>
    <w:rsid w:val="00F454B6"/>
    <w:rsid w:val="00F45C19"/>
    <w:rsid w:val="00F45E53"/>
    <w:rsid w:val="00F46148"/>
    <w:rsid w:val="00F46746"/>
    <w:rsid w:val="00F46B2E"/>
    <w:rsid w:val="00F46FAB"/>
    <w:rsid w:val="00F47131"/>
    <w:rsid w:val="00F47765"/>
    <w:rsid w:val="00F500FE"/>
    <w:rsid w:val="00F50FCF"/>
    <w:rsid w:val="00F51B7B"/>
    <w:rsid w:val="00F525DB"/>
    <w:rsid w:val="00F53DEA"/>
    <w:rsid w:val="00F543B4"/>
    <w:rsid w:val="00F54F53"/>
    <w:rsid w:val="00F552AE"/>
    <w:rsid w:val="00F553E3"/>
    <w:rsid w:val="00F5548E"/>
    <w:rsid w:val="00F55506"/>
    <w:rsid w:val="00F55A46"/>
    <w:rsid w:val="00F56304"/>
    <w:rsid w:val="00F568F0"/>
    <w:rsid w:val="00F56FF0"/>
    <w:rsid w:val="00F572C0"/>
    <w:rsid w:val="00F57349"/>
    <w:rsid w:val="00F57909"/>
    <w:rsid w:val="00F604D6"/>
    <w:rsid w:val="00F6080C"/>
    <w:rsid w:val="00F60830"/>
    <w:rsid w:val="00F60FA5"/>
    <w:rsid w:val="00F61173"/>
    <w:rsid w:val="00F61768"/>
    <w:rsid w:val="00F61853"/>
    <w:rsid w:val="00F622AB"/>
    <w:rsid w:val="00F62E4A"/>
    <w:rsid w:val="00F6347F"/>
    <w:rsid w:val="00F63E85"/>
    <w:rsid w:val="00F63FF9"/>
    <w:rsid w:val="00F64835"/>
    <w:rsid w:val="00F6490C"/>
    <w:rsid w:val="00F65361"/>
    <w:rsid w:val="00F65C70"/>
    <w:rsid w:val="00F660C1"/>
    <w:rsid w:val="00F6616E"/>
    <w:rsid w:val="00F665C6"/>
    <w:rsid w:val="00F6696A"/>
    <w:rsid w:val="00F669DF"/>
    <w:rsid w:val="00F66D33"/>
    <w:rsid w:val="00F66E3F"/>
    <w:rsid w:val="00F66E75"/>
    <w:rsid w:val="00F66EEA"/>
    <w:rsid w:val="00F67312"/>
    <w:rsid w:val="00F67398"/>
    <w:rsid w:val="00F67ED6"/>
    <w:rsid w:val="00F70803"/>
    <w:rsid w:val="00F71BC1"/>
    <w:rsid w:val="00F71D83"/>
    <w:rsid w:val="00F720C2"/>
    <w:rsid w:val="00F72CC4"/>
    <w:rsid w:val="00F72DDB"/>
    <w:rsid w:val="00F73D33"/>
    <w:rsid w:val="00F752D6"/>
    <w:rsid w:val="00F7592A"/>
    <w:rsid w:val="00F75975"/>
    <w:rsid w:val="00F75FB1"/>
    <w:rsid w:val="00F7673C"/>
    <w:rsid w:val="00F76C39"/>
    <w:rsid w:val="00F76F7F"/>
    <w:rsid w:val="00F774E8"/>
    <w:rsid w:val="00F77539"/>
    <w:rsid w:val="00F7754F"/>
    <w:rsid w:val="00F806B5"/>
    <w:rsid w:val="00F80706"/>
    <w:rsid w:val="00F80E07"/>
    <w:rsid w:val="00F8176C"/>
    <w:rsid w:val="00F81BF9"/>
    <w:rsid w:val="00F81C3D"/>
    <w:rsid w:val="00F81DF1"/>
    <w:rsid w:val="00F82411"/>
    <w:rsid w:val="00F8325F"/>
    <w:rsid w:val="00F833AD"/>
    <w:rsid w:val="00F837F8"/>
    <w:rsid w:val="00F845D0"/>
    <w:rsid w:val="00F845F5"/>
    <w:rsid w:val="00F84A3C"/>
    <w:rsid w:val="00F84D0C"/>
    <w:rsid w:val="00F8582E"/>
    <w:rsid w:val="00F85BF6"/>
    <w:rsid w:val="00F85C80"/>
    <w:rsid w:val="00F87710"/>
    <w:rsid w:val="00F87934"/>
    <w:rsid w:val="00F909C9"/>
    <w:rsid w:val="00F90A0D"/>
    <w:rsid w:val="00F90ABC"/>
    <w:rsid w:val="00F91130"/>
    <w:rsid w:val="00F91DD3"/>
    <w:rsid w:val="00F92B20"/>
    <w:rsid w:val="00F93CCC"/>
    <w:rsid w:val="00F94999"/>
    <w:rsid w:val="00F94B67"/>
    <w:rsid w:val="00F94C70"/>
    <w:rsid w:val="00F94D25"/>
    <w:rsid w:val="00F951DB"/>
    <w:rsid w:val="00F95775"/>
    <w:rsid w:val="00F968B6"/>
    <w:rsid w:val="00F96A55"/>
    <w:rsid w:val="00F9738C"/>
    <w:rsid w:val="00F973C6"/>
    <w:rsid w:val="00F97CAD"/>
    <w:rsid w:val="00F97E80"/>
    <w:rsid w:val="00FA0695"/>
    <w:rsid w:val="00FA06AD"/>
    <w:rsid w:val="00FA0F67"/>
    <w:rsid w:val="00FA0F86"/>
    <w:rsid w:val="00FA10DC"/>
    <w:rsid w:val="00FA10F9"/>
    <w:rsid w:val="00FA1868"/>
    <w:rsid w:val="00FA1FEB"/>
    <w:rsid w:val="00FA24DB"/>
    <w:rsid w:val="00FA2B61"/>
    <w:rsid w:val="00FA2D72"/>
    <w:rsid w:val="00FA3149"/>
    <w:rsid w:val="00FA365F"/>
    <w:rsid w:val="00FA3A24"/>
    <w:rsid w:val="00FA3BF8"/>
    <w:rsid w:val="00FA3D80"/>
    <w:rsid w:val="00FA3F20"/>
    <w:rsid w:val="00FA40BC"/>
    <w:rsid w:val="00FA4141"/>
    <w:rsid w:val="00FA4384"/>
    <w:rsid w:val="00FA556C"/>
    <w:rsid w:val="00FA55EE"/>
    <w:rsid w:val="00FA58CB"/>
    <w:rsid w:val="00FA5AE1"/>
    <w:rsid w:val="00FA5DD7"/>
    <w:rsid w:val="00FA6A98"/>
    <w:rsid w:val="00FA7518"/>
    <w:rsid w:val="00FA76D2"/>
    <w:rsid w:val="00FA777C"/>
    <w:rsid w:val="00FA7D0C"/>
    <w:rsid w:val="00FA7E77"/>
    <w:rsid w:val="00FB0850"/>
    <w:rsid w:val="00FB131B"/>
    <w:rsid w:val="00FB1CE2"/>
    <w:rsid w:val="00FB1F3E"/>
    <w:rsid w:val="00FB2289"/>
    <w:rsid w:val="00FB2613"/>
    <w:rsid w:val="00FB2B1B"/>
    <w:rsid w:val="00FB3049"/>
    <w:rsid w:val="00FB309D"/>
    <w:rsid w:val="00FB3112"/>
    <w:rsid w:val="00FB313B"/>
    <w:rsid w:val="00FB35D4"/>
    <w:rsid w:val="00FB35EB"/>
    <w:rsid w:val="00FB3C8E"/>
    <w:rsid w:val="00FB4869"/>
    <w:rsid w:val="00FB499D"/>
    <w:rsid w:val="00FB4D85"/>
    <w:rsid w:val="00FB5681"/>
    <w:rsid w:val="00FB5A90"/>
    <w:rsid w:val="00FB5E24"/>
    <w:rsid w:val="00FB6283"/>
    <w:rsid w:val="00FB6295"/>
    <w:rsid w:val="00FB62C9"/>
    <w:rsid w:val="00FB6321"/>
    <w:rsid w:val="00FB641A"/>
    <w:rsid w:val="00FB6A18"/>
    <w:rsid w:val="00FB6EFA"/>
    <w:rsid w:val="00FB6F52"/>
    <w:rsid w:val="00FB7546"/>
    <w:rsid w:val="00FBFE24"/>
    <w:rsid w:val="00FC054D"/>
    <w:rsid w:val="00FC0CF5"/>
    <w:rsid w:val="00FC159D"/>
    <w:rsid w:val="00FC1EFD"/>
    <w:rsid w:val="00FC223E"/>
    <w:rsid w:val="00FC25BF"/>
    <w:rsid w:val="00FC268C"/>
    <w:rsid w:val="00FC2747"/>
    <w:rsid w:val="00FC2753"/>
    <w:rsid w:val="00FC310B"/>
    <w:rsid w:val="00FC3148"/>
    <w:rsid w:val="00FC341B"/>
    <w:rsid w:val="00FC3BA8"/>
    <w:rsid w:val="00FC3D8C"/>
    <w:rsid w:val="00FC487F"/>
    <w:rsid w:val="00FC48E5"/>
    <w:rsid w:val="00FC4F05"/>
    <w:rsid w:val="00FC51A8"/>
    <w:rsid w:val="00FC5BBE"/>
    <w:rsid w:val="00FC5C47"/>
    <w:rsid w:val="00FC68D6"/>
    <w:rsid w:val="00FC693E"/>
    <w:rsid w:val="00FC7324"/>
    <w:rsid w:val="00FD051C"/>
    <w:rsid w:val="00FD1691"/>
    <w:rsid w:val="00FD241F"/>
    <w:rsid w:val="00FD2464"/>
    <w:rsid w:val="00FD248F"/>
    <w:rsid w:val="00FD2A64"/>
    <w:rsid w:val="00FD2B68"/>
    <w:rsid w:val="00FD2D82"/>
    <w:rsid w:val="00FD2E6D"/>
    <w:rsid w:val="00FD32DB"/>
    <w:rsid w:val="00FD3A5D"/>
    <w:rsid w:val="00FD41AB"/>
    <w:rsid w:val="00FD5592"/>
    <w:rsid w:val="00FD55D4"/>
    <w:rsid w:val="00FD56BC"/>
    <w:rsid w:val="00FD5F99"/>
    <w:rsid w:val="00FD6598"/>
    <w:rsid w:val="00FD67D1"/>
    <w:rsid w:val="00FD6F48"/>
    <w:rsid w:val="00FD775C"/>
    <w:rsid w:val="00FE0D73"/>
    <w:rsid w:val="00FE0E25"/>
    <w:rsid w:val="00FE0EEB"/>
    <w:rsid w:val="00FE1303"/>
    <w:rsid w:val="00FE17C4"/>
    <w:rsid w:val="00FE190D"/>
    <w:rsid w:val="00FE1CEB"/>
    <w:rsid w:val="00FE222B"/>
    <w:rsid w:val="00FE2B0C"/>
    <w:rsid w:val="00FE2EB0"/>
    <w:rsid w:val="00FE3A1D"/>
    <w:rsid w:val="00FE56BF"/>
    <w:rsid w:val="00FE5E85"/>
    <w:rsid w:val="00FE6537"/>
    <w:rsid w:val="00FE6675"/>
    <w:rsid w:val="00FE66A1"/>
    <w:rsid w:val="00FE69B1"/>
    <w:rsid w:val="00FE6CBC"/>
    <w:rsid w:val="00FE7454"/>
    <w:rsid w:val="00FE7929"/>
    <w:rsid w:val="00FE7A28"/>
    <w:rsid w:val="00FE7E6E"/>
    <w:rsid w:val="00FE7F0B"/>
    <w:rsid w:val="00FF02F9"/>
    <w:rsid w:val="00FF0732"/>
    <w:rsid w:val="00FF07B9"/>
    <w:rsid w:val="00FF16F8"/>
    <w:rsid w:val="00FF1A43"/>
    <w:rsid w:val="00FF20E0"/>
    <w:rsid w:val="00FF2168"/>
    <w:rsid w:val="00FF23E7"/>
    <w:rsid w:val="00FF2641"/>
    <w:rsid w:val="00FF267E"/>
    <w:rsid w:val="00FF2C9E"/>
    <w:rsid w:val="00FF3A45"/>
    <w:rsid w:val="00FF3F62"/>
    <w:rsid w:val="00FF3FFB"/>
    <w:rsid w:val="00FF4E73"/>
    <w:rsid w:val="00FF4F3B"/>
    <w:rsid w:val="00FF583C"/>
    <w:rsid w:val="00FF590E"/>
    <w:rsid w:val="00FF6096"/>
    <w:rsid w:val="00FF6265"/>
    <w:rsid w:val="00FF639F"/>
    <w:rsid w:val="00FF6FC3"/>
    <w:rsid w:val="00FF7122"/>
    <w:rsid w:val="00FF7370"/>
    <w:rsid w:val="016D2A26"/>
    <w:rsid w:val="0200CC11"/>
    <w:rsid w:val="021A2564"/>
    <w:rsid w:val="02220807"/>
    <w:rsid w:val="02863989"/>
    <w:rsid w:val="03A4975C"/>
    <w:rsid w:val="0557E453"/>
    <w:rsid w:val="077F9A52"/>
    <w:rsid w:val="0793110E"/>
    <w:rsid w:val="0805AF2D"/>
    <w:rsid w:val="080B84CC"/>
    <w:rsid w:val="08403A7A"/>
    <w:rsid w:val="0886DB75"/>
    <w:rsid w:val="09CC474B"/>
    <w:rsid w:val="09FF3EAF"/>
    <w:rsid w:val="0A0BA29F"/>
    <w:rsid w:val="0A3BD126"/>
    <w:rsid w:val="0A895602"/>
    <w:rsid w:val="0A9DA5D8"/>
    <w:rsid w:val="0AE022A2"/>
    <w:rsid w:val="0C025318"/>
    <w:rsid w:val="0C1AEEE7"/>
    <w:rsid w:val="0C6750FF"/>
    <w:rsid w:val="0C8D8652"/>
    <w:rsid w:val="0CFB2F11"/>
    <w:rsid w:val="0E545148"/>
    <w:rsid w:val="0E5F6F90"/>
    <w:rsid w:val="0E6286A9"/>
    <w:rsid w:val="0E7EFB79"/>
    <w:rsid w:val="0F838853"/>
    <w:rsid w:val="1163236F"/>
    <w:rsid w:val="12C8FCCB"/>
    <w:rsid w:val="12F73B35"/>
    <w:rsid w:val="13331801"/>
    <w:rsid w:val="13C7AB7C"/>
    <w:rsid w:val="13F855F8"/>
    <w:rsid w:val="147BDAB2"/>
    <w:rsid w:val="148FF933"/>
    <w:rsid w:val="15173414"/>
    <w:rsid w:val="151C8303"/>
    <w:rsid w:val="155A0E88"/>
    <w:rsid w:val="15673F5D"/>
    <w:rsid w:val="157CD70F"/>
    <w:rsid w:val="159806B8"/>
    <w:rsid w:val="159C30E6"/>
    <w:rsid w:val="15C7892C"/>
    <w:rsid w:val="15DCE9CD"/>
    <w:rsid w:val="160E1053"/>
    <w:rsid w:val="1627DDFE"/>
    <w:rsid w:val="166229A2"/>
    <w:rsid w:val="16713A50"/>
    <w:rsid w:val="17FD1E59"/>
    <w:rsid w:val="1829BC3E"/>
    <w:rsid w:val="18347F31"/>
    <w:rsid w:val="18559608"/>
    <w:rsid w:val="19A969D1"/>
    <w:rsid w:val="19E93405"/>
    <w:rsid w:val="1A29F4C8"/>
    <w:rsid w:val="1A419154"/>
    <w:rsid w:val="1A5B0604"/>
    <w:rsid w:val="1AB213A1"/>
    <w:rsid w:val="1ADFFFDA"/>
    <w:rsid w:val="1B179767"/>
    <w:rsid w:val="1B181DAB"/>
    <w:rsid w:val="1B88F057"/>
    <w:rsid w:val="1C02A30E"/>
    <w:rsid w:val="1C02EAC0"/>
    <w:rsid w:val="1C33BD25"/>
    <w:rsid w:val="1C84A226"/>
    <w:rsid w:val="1C9341B2"/>
    <w:rsid w:val="1D074BB9"/>
    <w:rsid w:val="1E05E689"/>
    <w:rsid w:val="1EB1EE83"/>
    <w:rsid w:val="1EE0E66C"/>
    <w:rsid w:val="1F2321BF"/>
    <w:rsid w:val="1F4BAAB7"/>
    <w:rsid w:val="1F77C5C2"/>
    <w:rsid w:val="1FF00EE4"/>
    <w:rsid w:val="2119CCE6"/>
    <w:rsid w:val="215CE959"/>
    <w:rsid w:val="21C25056"/>
    <w:rsid w:val="221C44DD"/>
    <w:rsid w:val="22C125AB"/>
    <w:rsid w:val="2305F0C4"/>
    <w:rsid w:val="2317BA0A"/>
    <w:rsid w:val="234E4A89"/>
    <w:rsid w:val="2367134A"/>
    <w:rsid w:val="23A0A9B4"/>
    <w:rsid w:val="24189549"/>
    <w:rsid w:val="241DD842"/>
    <w:rsid w:val="243383BB"/>
    <w:rsid w:val="2489FF24"/>
    <w:rsid w:val="25197CB6"/>
    <w:rsid w:val="2566E261"/>
    <w:rsid w:val="25D127F4"/>
    <w:rsid w:val="26EAA47A"/>
    <w:rsid w:val="279FC003"/>
    <w:rsid w:val="2880CBBA"/>
    <w:rsid w:val="288505D4"/>
    <w:rsid w:val="28BDDD58"/>
    <w:rsid w:val="2916943E"/>
    <w:rsid w:val="292A69D9"/>
    <w:rsid w:val="29534F10"/>
    <w:rsid w:val="29719F9C"/>
    <w:rsid w:val="297654DE"/>
    <w:rsid w:val="298ADAE4"/>
    <w:rsid w:val="298CB64C"/>
    <w:rsid w:val="2993E46B"/>
    <w:rsid w:val="29A28144"/>
    <w:rsid w:val="2A3A3BDA"/>
    <w:rsid w:val="2AECA54D"/>
    <w:rsid w:val="2B059075"/>
    <w:rsid w:val="2B0CD84A"/>
    <w:rsid w:val="2B2AFD60"/>
    <w:rsid w:val="2B41BAD5"/>
    <w:rsid w:val="2B717AC8"/>
    <w:rsid w:val="2B9FB9B1"/>
    <w:rsid w:val="2C57C09A"/>
    <w:rsid w:val="2C6A4104"/>
    <w:rsid w:val="2E7453CA"/>
    <w:rsid w:val="2EFD1F30"/>
    <w:rsid w:val="2FAAAEDD"/>
    <w:rsid w:val="2FC972EB"/>
    <w:rsid w:val="2FFCBDED"/>
    <w:rsid w:val="3025C747"/>
    <w:rsid w:val="30C053FC"/>
    <w:rsid w:val="31633EEA"/>
    <w:rsid w:val="31864998"/>
    <w:rsid w:val="31A96136"/>
    <w:rsid w:val="31AC7228"/>
    <w:rsid w:val="31E25A75"/>
    <w:rsid w:val="3323AB9A"/>
    <w:rsid w:val="339345EF"/>
    <w:rsid w:val="348B61E1"/>
    <w:rsid w:val="3546346F"/>
    <w:rsid w:val="35DD37B7"/>
    <w:rsid w:val="3644E9F4"/>
    <w:rsid w:val="3698E84A"/>
    <w:rsid w:val="36D02051"/>
    <w:rsid w:val="36D7A856"/>
    <w:rsid w:val="36F77494"/>
    <w:rsid w:val="36FAD26A"/>
    <w:rsid w:val="381A9055"/>
    <w:rsid w:val="3849D2F4"/>
    <w:rsid w:val="384A6335"/>
    <w:rsid w:val="3927F0C4"/>
    <w:rsid w:val="39A2BE34"/>
    <w:rsid w:val="39D4DB39"/>
    <w:rsid w:val="3A6551FC"/>
    <w:rsid w:val="3A7EE205"/>
    <w:rsid w:val="3AAE97FD"/>
    <w:rsid w:val="3ACFDA71"/>
    <w:rsid w:val="3B3ADE29"/>
    <w:rsid w:val="3BB1FD59"/>
    <w:rsid w:val="3C47BAB8"/>
    <w:rsid w:val="3C4CBD7D"/>
    <w:rsid w:val="3C52093B"/>
    <w:rsid w:val="3C839DB8"/>
    <w:rsid w:val="3D5F6F3A"/>
    <w:rsid w:val="3DBDC023"/>
    <w:rsid w:val="3DD8CF84"/>
    <w:rsid w:val="3E066A96"/>
    <w:rsid w:val="3E175245"/>
    <w:rsid w:val="3E2B624F"/>
    <w:rsid w:val="3E9FA374"/>
    <w:rsid w:val="3EB80959"/>
    <w:rsid w:val="3EF822D8"/>
    <w:rsid w:val="3F0A00D8"/>
    <w:rsid w:val="3F11B799"/>
    <w:rsid w:val="3F21D92A"/>
    <w:rsid w:val="3F7B8864"/>
    <w:rsid w:val="4043F802"/>
    <w:rsid w:val="40A213D8"/>
    <w:rsid w:val="40B33694"/>
    <w:rsid w:val="419A92D2"/>
    <w:rsid w:val="41CE4799"/>
    <w:rsid w:val="427D42B2"/>
    <w:rsid w:val="42B353EA"/>
    <w:rsid w:val="42FCE13B"/>
    <w:rsid w:val="43768201"/>
    <w:rsid w:val="444F9945"/>
    <w:rsid w:val="4528074E"/>
    <w:rsid w:val="4533ED02"/>
    <w:rsid w:val="457E8A90"/>
    <w:rsid w:val="46876B72"/>
    <w:rsid w:val="46972F78"/>
    <w:rsid w:val="46CD4017"/>
    <w:rsid w:val="46DB25DF"/>
    <w:rsid w:val="4718F1B3"/>
    <w:rsid w:val="476DFAAC"/>
    <w:rsid w:val="4791DB65"/>
    <w:rsid w:val="49249B2D"/>
    <w:rsid w:val="496D984B"/>
    <w:rsid w:val="4AA1D3F7"/>
    <w:rsid w:val="4AD338CD"/>
    <w:rsid w:val="4B2A2F0E"/>
    <w:rsid w:val="4BDD3C66"/>
    <w:rsid w:val="4C2CA40F"/>
    <w:rsid w:val="4C48217C"/>
    <w:rsid w:val="4C5EBE94"/>
    <w:rsid w:val="4C650170"/>
    <w:rsid w:val="4C651806"/>
    <w:rsid w:val="4D08382F"/>
    <w:rsid w:val="4D2C037E"/>
    <w:rsid w:val="4D7070EB"/>
    <w:rsid w:val="4DECC09F"/>
    <w:rsid w:val="4E01B444"/>
    <w:rsid w:val="4E40DCD6"/>
    <w:rsid w:val="4E5A9CC0"/>
    <w:rsid w:val="4E993319"/>
    <w:rsid w:val="4EA8BF14"/>
    <w:rsid w:val="4EB57DD4"/>
    <w:rsid w:val="4F6BB654"/>
    <w:rsid w:val="4FB44079"/>
    <w:rsid w:val="4FE06848"/>
    <w:rsid w:val="4FEC8964"/>
    <w:rsid w:val="50D05ACC"/>
    <w:rsid w:val="50D179A0"/>
    <w:rsid w:val="513C8602"/>
    <w:rsid w:val="514A8F1A"/>
    <w:rsid w:val="5185C5D0"/>
    <w:rsid w:val="5220D33B"/>
    <w:rsid w:val="523F5B26"/>
    <w:rsid w:val="525E4554"/>
    <w:rsid w:val="52B5D34A"/>
    <w:rsid w:val="530BA780"/>
    <w:rsid w:val="540F0709"/>
    <w:rsid w:val="541D2935"/>
    <w:rsid w:val="541E024B"/>
    <w:rsid w:val="54363F31"/>
    <w:rsid w:val="54E9CBE0"/>
    <w:rsid w:val="55D4ED87"/>
    <w:rsid w:val="55F4A699"/>
    <w:rsid w:val="562AFF3C"/>
    <w:rsid w:val="567D2050"/>
    <w:rsid w:val="57151346"/>
    <w:rsid w:val="57AC9A48"/>
    <w:rsid w:val="57BAA03A"/>
    <w:rsid w:val="57D6EB5F"/>
    <w:rsid w:val="57EA1790"/>
    <w:rsid w:val="58AD1A65"/>
    <w:rsid w:val="58BEF31E"/>
    <w:rsid w:val="591D8D09"/>
    <w:rsid w:val="59553053"/>
    <w:rsid w:val="59582A82"/>
    <w:rsid w:val="59A62956"/>
    <w:rsid w:val="59F21C0C"/>
    <w:rsid w:val="5A995008"/>
    <w:rsid w:val="5B1F1A7D"/>
    <w:rsid w:val="5B5AE517"/>
    <w:rsid w:val="5B8D9AA5"/>
    <w:rsid w:val="5BCAEBD0"/>
    <w:rsid w:val="5BF63768"/>
    <w:rsid w:val="5C42006A"/>
    <w:rsid w:val="5D1111A8"/>
    <w:rsid w:val="5D4E5B7C"/>
    <w:rsid w:val="5D52B930"/>
    <w:rsid w:val="5D56A63A"/>
    <w:rsid w:val="5D7331B9"/>
    <w:rsid w:val="5D88ECB8"/>
    <w:rsid w:val="5DAE19FE"/>
    <w:rsid w:val="5E12802E"/>
    <w:rsid w:val="5E46FBAD"/>
    <w:rsid w:val="5E761B96"/>
    <w:rsid w:val="5F01F364"/>
    <w:rsid w:val="5F2C7B9C"/>
    <w:rsid w:val="5F41BBC3"/>
    <w:rsid w:val="5F520585"/>
    <w:rsid w:val="5F6D78B9"/>
    <w:rsid w:val="5F8332BB"/>
    <w:rsid w:val="5FB72A78"/>
    <w:rsid w:val="60082A7F"/>
    <w:rsid w:val="601D0A06"/>
    <w:rsid w:val="60B8F837"/>
    <w:rsid w:val="61AC3BC2"/>
    <w:rsid w:val="6210C8CE"/>
    <w:rsid w:val="62162977"/>
    <w:rsid w:val="62C576D4"/>
    <w:rsid w:val="62DF9AD9"/>
    <w:rsid w:val="62E9FCE6"/>
    <w:rsid w:val="644A502C"/>
    <w:rsid w:val="645EC0B2"/>
    <w:rsid w:val="6531902D"/>
    <w:rsid w:val="6590304D"/>
    <w:rsid w:val="6596C5C7"/>
    <w:rsid w:val="65F09B4D"/>
    <w:rsid w:val="65F9E48E"/>
    <w:rsid w:val="662498A6"/>
    <w:rsid w:val="6635E815"/>
    <w:rsid w:val="667C51B6"/>
    <w:rsid w:val="66C245F3"/>
    <w:rsid w:val="66DFB574"/>
    <w:rsid w:val="670DC6A5"/>
    <w:rsid w:val="67B79E63"/>
    <w:rsid w:val="67F90ED6"/>
    <w:rsid w:val="68AA361B"/>
    <w:rsid w:val="6A30648E"/>
    <w:rsid w:val="6A3B38D8"/>
    <w:rsid w:val="6A69B4BF"/>
    <w:rsid w:val="6A939283"/>
    <w:rsid w:val="6AC0A9E8"/>
    <w:rsid w:val="6AF97BB3"/>
    <w:rsid w:val="6B8F597E"/>
    <w:rsid w:val="6BE7477D"/>
    <w:rsid w:val="6C31340A"/>
    <w:rsid w:val="6C94B754"/>
    <w:rsid w:val="6CA7751D"/>
    <w:rsid w:val="6D79AB9B"/>
    <w:rsid w:val="6D921C15"/>
    <w:rsid w:val="6DD00014"/>
    <w:rsid w:val="6EA736F9"/>
    <w:rsid w:val="6EBD39B1"/>
    <w:rsid w:val="6F378425"/>
    <w:rsid w:val="6F42AAC8"/>
    <w:rsid w:val="6FAAA6A7"/>
    <w:rsid w:val="6FAB42B4"/>
    <w:rsid w:val="6FD29B9E"/>
    <w:rsid w:val="70540DF5"/>
    <w:rsid w:val="70690476"/>
    <w:rsid w:val="7076C9EC"/>
    <w:rsid w:val="715F3879"/>
    <w:rsid w:val="717F6110"/>
    <w:rsid w:val="71A5B1B6"/>
    <w:rsid w:val="71BF4869"/>
    <w:rsid w:val="71C08371"/>
    <w:rsid w:val="71C27812"/>
    <w:rsid w:val="71FBB4B1"/>
    <w:rsid w:val="73E618DD"/>
    <w:rsid w:val="74C02DD8"/>
    <w:rsid w:val="75231E75"/>
    <w:rsid w:val="75569B6E"/>
    <w:rsid w:val="757E2843"/>
    <w:rsid w:val="75A6107D"/>
    <w:rsid w:val="75A766D9"/>
    <w:rsid w:val="76061626"/>
    <w:rsid w:val="77174286"/>
    <w:rsid w:val="7745EC57"/>
    <w:rsid w:val="77C20763"/>
    <w:rsid w:val="77C66070"/>
    <w:rsid w:val="77C757ED"/>
    <w:rsid w:val="77F39938"/>
    <w:rsid w:val="78152543"/>
    <w:rsid w:val="785255EB"/>
    <w:rsid w:val="7852BE67"/>
    <w:rsid w:val="788150CC"/>
    <w:rsid w:val="7966DFB5"/>
    <w:rsid w:val="79DF30F1"/>
    <w:rsid w:val="7A20DAB9"/>
    <w:rsid w:val="7AAEC2DD"/>
    <w:rsid w:val="7ACF3F3E"/>
    <w:rsid w:val="7B05A0BD"/>
    <w:rsid w:val="7B06225D"/>
    <w:rsid w:val="7B3D7813"/>
    <w:rsid w:val="7B49711A"/>
    <w:rsid w:val="7C2C2524"/>
    <w:rsid w:val="7D7C93F6"/>
    <w:rsid w:val="7DEFEB22"/>
    <w:rsid w:val="7EA75A7A"/>
    <w:rsid w:val="7EFAA28B"/>
    <w:rsid w:val="7F1577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AB1A"/>
  <w15:docId w15:val="{77CE7475-393D-49C6-A8AF-EAED4ABE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B4"/>
    <w:pPr>
      <w:spacing w:after="0"/>
      <w:jc w:val="both"/>
    </w:pPr>
    <w:rPr>
      <w:rFonts w:cstheme="minorHAnsi"/>
    </w:rPr>
  </w:style>
  <w:style w:type="paragraph" w:styleId="Heading1">
    <w:name w:val="heading 1"/>
    <w:basedOn w:val="Normal"/>
    <w:next w:val="Normal"/>
    <w:link w:val="Heading1Char"/>
    <w:uiPriority w:val="9"/>
    <w:qFormat/>
    <w:rsid w:val="00FB5E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5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24"/>
    <w:rPr>
      <w:rFonts w:asciiTheme="majorHAnsi" w:eastAsiaTheme="majorEastAsia" w:hAnsiTheme="majorHAnsi" w:cstheme="majorBidi"/>
      <w:color w:val="2E74B5" w:themeColor="accent1" w:themeShade="BF"/>
      <w:sz w:val="32"/>
      <w:szCs w:val="32"/>
    </w:rPr>
  </w:style>
  <w:style w:type="paragraph" w:customStyle="1" w:styleId="Default">
    <w:name w:val="Default"/>
    <w:rsid w:val="0010362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7732C"/>
    <w:rPr>
      <w:color w:val="0563C1" w:themeColor="hyperlink"/>
      <w:u w:val="single"/>
    </w:rPr>
  </w:style>
  <w:style w:type="paragraph" w:styleId="ListParagraph">
    <w:name w:val="List Paragraph"/>
    <w:basedOn w:val="Normal"/>
    <w:link w:val="ListParagraphChar"/>
    <w:uiPriority w:val="34"/>
    <w:qFormat/>
    <w:rsid w:val="0017732C"/>
    <w:pPr>
      <w:ind w:left="720"/>
      <w:contextualSpacing/>
    </w:pPr>
  </w:style>
  <w:style w:type="character" w:customStyle="1" w:styleId="ListParagraphChar">
    <w:name w:val="List Paragraph Char"/>
    <w:basedOn w:val="DefaultParagraphFont"/>
    <w:link w:val="ListParagraph"/>
    <w:uiPriority w:val="34"/>
    <w:rsid w:val="00C17136"/>
  </w:style>
  <w:style w:type="paragraph" w:styleId="CommentText">
    <w:name w:val="annotation text"/>
    <w:basedOn w:val="Normal"/>
    <w:link w:val="CommentTextChar"/>
    <w:uiPriority w:val="99"/>
    <w:unhideWhenUsed/>
    <w:rsid w:val="00940834"/>
    <w:pPr>
      <w:spacing w:line="240" w:lineRule="auto"/>
    </w:pPr>
    <w:rPr>
      <w:sz w:val="20"/>
      <w:szCs w:val="20"/>
    </w:rPr>
  </w:style>
  <w:style w:type="character" w:customStyle="1" w:styleId="CommentTextChar">
    <w:name w:val="Comment Text Char"/>
    <w:basedOn w:val="DefaultParagraphFont"/>
    <w:link w:val="CommentText"/>
    <w:uiPriority w:val="99"/>
    <w:rsid w:val="00940834"/>
    <w:rPr>
      <w:sz w:val="20"/>
      <w:szCs w:val="20"/>
    </w:rPr>
  </w:style>
  <w:style w:type="character" w:styleId="CommentReference">
    <w:name w:val="annotation reference"/>
    <w:basedOn w:val="DefaultParagraphFont"/>
    <w:uiPriority w:val="99"/>
    <w:semiHidden/>
    <w:unhideWhenUsed/>
    <w:rsid w:val="00940834"/>
    <w:rPr>
      <w:sz w:val="16"/>
      <w:szCs w:val="16"/>
    </w:rPr>
  </w:style>
  <w:style w:type="paragraph" w:styleId="BalloonText">
    <w:name w:val="Balloon Text"/>
    <w:basedOn w:val="Normal"/>
    <w:link w:val="BalloonTextChar"/>
    <w:uiPriority w:val="99"/>
    <w:semiHidden/>
    <w:unhideWhenUsed/>
    <w:rsid w:val="009408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4"/>
    <w:rPr>
      <w:rFonts w:ascii="Segoe UI" w:hAnsi="Segoe UI" w:cs="Segoe UI"/>
      <w:sz w:val="18"/>
      <w:szCs w:val="18"/>
    </w:rPr>
  </w:style>
  <w:style w:type="paragraph" w:styleId="Header">
    <w:name w:val="header"/>
    <w:basedOn w:val="Normal"/>
    <w:link w:val="HeaderChar"/>
    <w:uiPriority w:val="99"/>
    <w:unhideWhenUsed/>
    <w:rsid w:val="002E48DD"/>
    <w:pPr>
      <w:tabs>
        <w:tab w:val="center" w:pos="4513"/>
        <w:tab w:val="right" w:pos="9026"/>
      </w:tabs>
      <w:spacing w:line="240" w:lineRule="auto"/>
    </w:pPr>
  </w:style>
  <w:style w:type="character" w:customStyle="1" w:styleId="HeaderChar">
    <w:name w:val="Header Char"/>
    <w:basedOn w:val="DefaultParagraphFont"/>
    <w:link w:val="Header"/>
    <w:uiPriority w:val="99"/>
    <w:rsid w:val="002E48DD"/>
  </w:style>
  <w:style w:type="paragraph" w:styleId="Footer">
    <w:name w:val="footer"/>
    <w:basedOn w:val="Normal"/>
    <w:link w:val="FooterChar"/>
    <w:uiPriority w:val="99"/>
    <w:unhideWhenUsed/>
    <w:rsid w:val="002E48DD"/>
    <w:pPr>
      <w:tabs>
        <w:tab w:val="center" w:pos="4513"/>
        <w:tab w:val="right" w:pos="9026"/>
      </w:tabs>
      <w:spacing w:line="240" w:lineRule="auto"/>
    </w:pPr>
  </w:style>
  <w:style w:type="character" w:customStyle="1" w:styleId="FooterChar">
    <w:name w:val="Footer Char"/>
    <w:basedOn w:val="DefaultParagraphFont"/>
    <w:link w:val="Footer"/>
    <w:uiPriority w:val="99"/>
    <w:rsid w:val="002E48DD"/>
  </w:style>
  <w:style w:type="paragraph" w:customStyle="1" w:styleId="SoANormal">
    <w:name w:val="SoA Normal"/>
    <w:basedOn w:val="Normal"/>
    <w:qFormat/>
    <w:rsid w:val="00C17136"/>
    <w:pPr>
      <w:spacing w:line="240" w:lineRule="auto"/>
    </w:pPr>
    <w:rPr>
      <w:rFonts w:ascii="Arial" w:eastAsia="Times New Roman" w:hAnsi="Arial" w:cs="Times New Roman"/>
      <w:szCs w:val="24"/>
      <w:lang w:eastAsia="en-GB"/>
    </w:rPr>
  </w:style>
  <w:style w:type="paragraph" w:customStyle="1" w:styleId="NewSoAHeading">
    <w:name w:val="NewSoAHeading"/>
    <w:basedOn w:val="Normal"/>
    <w:link w:val="NewSoAHeadingChar"/>
    <w:qFormat/>
    <w:rsid w:val="00C17136"/>
    <w:pPr>
      <w:spacing w:after="120" w:line="240" w:lineRule="auto"/>
    </w:pPr>
    <w:rPr>
      <w:rFonts w:ascii="Arial" w:eastAsia="Times New Roman" w:hAnsi="Arial" w:cs="Arial"/>
      <w:b/>
      <w:sz w:val="24"/>
      <w:szCs w:val="24"/>
      <w:lang w:eastAsia="en-GB"/>
    </w:rPr>
  </w:style>
  <w:style w:type="character" w:customStyle="1" w:styleId="NewSoAHeadingChar">
    <w:name w:val="NewSoAHeading Char"/>
    <w:basedOn w:val="DefaultParagraphFont"/>
    <w:link w:val="NewSoAHeading"/>
    <w:rsid w:val="00C17136"/>
    <w:rPr>
      <w:rFonts w:ascii="Arial" w:eastAsia="Times New Roman" w:hAnsi="Arial" w:cs="Arial"/>
      <w:b/>
      <w:sz w:val="24"/>
      <w:szCs w:val="24"/>
      <w:lang w:eastAsia="en-GB"/>
    </w:rPr>
  </w:style>
  <w:style w:type="paragraph" w:customStyle="1" w:styleId="NewSoABody">
    <w:name w:val="NewSoABody"/>
    <w:basedOn w:val="Normal"/>
    <w:link w:val="NewSoABodyChar"/>
    <w:qFormat/>
    <w:rsid w:val="00C17136"/>
    <w:pPr>
      <w:autoSpaceDE w:val="0"/>
      <w:autoSpaceDN w:val="0"/>
      <w:adjustRightInd w:val="0"/>
      <w:spacing w:after="180" w:line="240" w:lineRule="auto"/>
    </w:pPr>
    <w:rPr>
      <w:rFonts w:ascii="Arial" w:eastAsia="Times New Roman" w:hAnsi="Arial" w:cs="Arial"/>
      <w:szCs w:val="24"/>
      <w:lang w:eastAsia="en-GB"/>
    </w:rPr>
  </w:style>
  <w:style w:type="character" w:customStyle="1" w:styleId="NewSoABodyChar">
    <w:name w:val="NewSoABody Char"/>
    <w:basedOn w:val="DefaultParagraphFont"/>
    <w:link w:val="NewSoABody"/>
    <w:rsid w:val="00C17136"/>
    <w:rPr>
      <w:rFonts w:ascii="Arial" w:eastAsia="Times New Roman" w:hAnsi="Arial" w:cs="Arial"/>
      <w:szCs w:val="24"/>
      <w:lang w:eastAsia="en-GB"/>
    </w:rPr>
  </w:style>
  <w:style w:type="paragraph" w:customStyle="1" w:styleId="Pa30">
    <w:name w:val="Pa30"/>
    <w:basedOn w:val="Default"/>
    <w:next w:val="Default"/>
    <w:uiPriority w:val="99"/>
    <w:rsid w:val="00C17136"/>
    <w:pPr>
      <w:spacing w:line="201" w:lineRule="atLeast"/>
    </w:pPr>
    <w:rPr>
      <w:rFonts w:ascii="FS Lola" w:eastAsia="Calibri" w:hAnsi="FS Lola" w:cs="Times New Roman"/>
      <w:color w:val="auto"/>
      <w:lang w:eastAsia="en-GB"/>
    </w:rPr>
  </w:style>
  <w:style w:type="paragraph" w:customStyle="1" w:styleId="VAHeadingLevel3">
    <w:name w:val="VA Heading Level 3"/>
    <w:basedOn w:val="Normal"/>
    <w:link w:val="VAHeadingLevel3Char"/>
    <w:qFormat/>
    <w:rsid w:val="00A6442F"/>
    <w:pPr>
      <w:numPr>
        <w:ilvl w:val="2"/>
      </w:numPr>
      <w:tabs>
        <w:tab w:val="left" w:pos="1985"/>
      </w:tabs>
      <w:spacing w:line="276" w:lineRule="auto"/>
    </w:pPr>
    <w:rPr>
      <w:rFonts w:eastAsia="Times New Roman" w:cs="Times New Roman"/>
      <w:bCs/>
      <w:color w:val="C00000"/>
    </w:rPr>
  </w:style>
  <w:style w:type="character" w:customStyle="1" w:styleId="VAHeadingLevel3Char">
    <w:name w:val="VA Heading Level 3 Char"/>
    <w:basedOn w:val="DefaultParagraphFont"/>
    <w:link w:val="VAHeadingLevel3"/>
    <w:rsid w:val="00A6442F"/>
    <w:rPr>
      <w:rFonts w:eastAsia="Times New Roman" w:cs="Times New Roman"/>
      <w:bCs/>
      <w:color w:val="C00000"/>
    </w:rPr>
  </w:style>
  <w:style w:type="paragraph" w:customStyle="1" w:styleId="VAHeadingLevel2">
    <w:name w:val="VA Heading Level 2"/>
    <w:link w:val="VAHeadingLevel2Char"/>
    <w:qFormat/>
    <w:rsid w:val="002A1ADD"/>
    <w:pPr>
      <w:numPr>
        <w:ilvl w:val="1"/>
      </w:numPr>
      <w:tabs>
        <w:tab w:val="left" w:pos="1418"/>
      </w:tabs>
      <w:spacing w:after="0" w:line="276" w:lineRule="auto"/>
    </w:pPr>
    <w:rPr>
      <w:rFonts w:eastAsia="Times New Roman" w:cs="Arial"/>
      <w:bCs/>
      <w:color w:val="C00000"/>
      <w:sz w:val="24"/>
      <w:szCs w:val="24"/>
    </w:rPr>
  </w:style>
  <w:style w:type="character" w:customStyle="1" w:styleId="VAHeadingLevel2Char">
    <w:name w:val="VA Heading Level 2 Char"/>
    <w:basedOn w:val="DefaultParagraphFont"/>
    <w:link w:val="VAHeadingLevel2"/>
    <w:rsid w:val="002A1ADD"/>
    <w:rPr>
      <w:rFonts w:eastAsia="Times New Roman" w:cs="Arial"/>
      <w:bCs/>
      <w:color w:val="C00000"/>
      <w:sz w:val="24"/>
      <w:szCs w:val="24"/>
    </w:rPr>
  </w:style>
  <w:style w:type="paragraph" w:customStyle="1" w:styleId="SoABody">
    <w:name w:val="SoA Body"/>
    <w:basedOn w:val="Heading1"/>
    <w:link w:val="SoABodyChar"/>
    <w:qFormat/>
    <w:rsid w:val="00FB5E24"/>
    <w:pPr>
      <w:keepNext w:val="0"/>
      <w:keepLines w:val="0"/>
      <w:spacing w:before="120" w:after="60" w:line="240" w:lineRule="auto"/>
      <w:ind w:left="851"/>
    </w:pPr>
    <w:rPr>
      <w:rFonts w:ascii="Arial" w:eastAsia="Times New Roman" w:hAnsi="Arial" w:cs="Times New Roman"/>
      <w:bCs/>
      <w:color w:val="000000" w:themeColor="text1"/>
      <w:kern w:val="32"/>
      <w:sz w:val="24"/>
      <w:lang w:eastAsia="en-GB"/>
    </w:rPr>
  </w:style>
  <w:style w:type="character" w:customStyle="1" w:styleId="SoABodyChar">
    <w:name w:val="SoA Body Char"/>
    <w:basedOn w:val="DefaultParagraphFont"/>
    <w:link w:val="SoABody"/>
    <w:rsid w:val="00FB5E24"/>
    <w:rPr>
      <w:rFonts w:ascii="Arial" w:eastAsia="Times New Roman" w:hAnsi="Arial" w:cs="Times New Roman"/>
      <w:bCs/>
      <w:color w:val="000000" w:themeColor="text1"/>
      <w:kern w:val="32"/>
      <w:sz w:val="24"/>
      <w:szCs w:val="32"/>
      <w:lang w:eastAsia="en-GB"/>
    </w:rPr>
  </w:style>
  <w:style w:type="paragraph" w:styleId="CommentSubject">
    <w:name w:val="annotation subject"/>
    <w:basedOn w:val="CommentText"/>
    <w:next w:val="CommentText"/>
    <w:link w:val="CommentSubjectChar"/>
    <w:uiPriority w:val="99"/>
    <w:semiHidden/>
    <w:unhideWhenUsed/>
    <w:rsid w:val="002049B6"/>
    <w:rPr>
      <w:b/>
      <w:bCs/>
    </w:rPr>
  </w:style>
  <w:style w:type="character" w:customStyle="1" w:styleId="CommentSubjectChar">
    <w:name w:val="Comment Subject Char"/>
    <w:basedOn w:val="CommentTextChar"/>
    <w:link w:val="CommentSubject"/>
    <w:uiPriority w:val="99"/>
    <w:semiHidden/>
    <w:rsid w:val="002049B6"/>
    <w:rPr>
      <w:b/>
      <w:bCs/>
      <w:sz w:val="20"/>
      <w:szCs w:val="20"/>
    </w:rPr>
  </w:style>
  <w:style w:type="paragraph" w:styleId="Revision">
    <w:name w:val="Revision"/>
    <w:hidden/>
    <w:uiPriority w:val="99"/>
    <w:semiHidden/>
    <w:rsid w:val="002049B6"/>
    <w:pPr>
      <w:spacing w:after="0" w:line="240" w:lineRule="auto"/>
    </w:pPr>
  </w:style>
  <w:style w:type="paragraph" w:styleId="FootnoteText">
    <w:name w:val="footnote text"/>
    <w:basedOn w:val="Normal"/>
    <w:link w:val="FootnoteTextChar"/>
    <w:uiPriority w:val="99"/>
    <w:unhideWhenUsed/>
    <w:rsid w:val="00E11C49"/>
    <w:pPr>
      <w:spacing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rsid w:val="00E11C49"/>
    <w:rPr>
      <w:rFonts w:ascii="Arial" w:eastAsia="Calibri" w:hAnsi="Arial" w:cs="Times New Roman"/>
      <w:sz w:val="20"/>
      <w:szCs w:val="20"/>
    </w:rPr>
  </w:style>
  <w:style w:type="character" w:styleId="FootnoteReference">
    <w:name w:val="footnote reference"/>
    <w:uiPriority w:val="99"/>
    <w:unhideWhenUsed/>
    <w:rsid w:val="00E11C49"/>
    <w:rPr>
      <w:vertAlign w:val="superscript"/>
    </w:rPr>
  </w:style>
  <w:style w:type="paragraph" w:styleId="NoSpacing">
    <w:name w:val="No Spacing"/>
    <w:uiPriority w:val="1"/>
    <w:qFormat/>
    <w:rsid w:val="00E56845"/>
    <w:pPr>
      <w:spacing w:after="0" w:line="240" w:lineRule="auto"/>
    </w:pPr>
    <w:rPr>
      <w:rFonts w:ascii="Calibri" w:eastAsia="Calibri" w:hAnsi="Calibri" w:cs="Times New Roman"/>
    </w:rPr>
  </w:style>
  <w:style w:type="table" w:styleId="TableGrid">
    <w:name w:val="Table Grid"/>
    <w:basedOn w:val="TableNormal"/>
    <w:uiPriority w:val="39"/>
    <w:rsid w:val="0030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4102"/>
    <w:pPr>
      <w:spacing w:after="384" w:line="240" w:lineRule="auto"/>
    </w:pPr>
    <w:rPr>
      <w:rFonts w:ascii="AvenirNextLTW02-Regular" w:eastAsia="Times New Roman" w:hAnsi="AvenirNextLTW02-Regular" w:cs="Times New Roman"/>
      <w:color w:val="4D4D4D"/>
      <w:sz w:val="24"/>
      <w:szCs w:val="24"/>
      <w:lang w:eastAsia="en-GB"/>
    </w:rPr>
  </w:style>
  <w:style w:type="paragraph" w:customStyle="1" w:styleId="Bullet">
    <w:name w:val="Bullet"/>
    <w:basedOn w:val="Normal"/>
    <w:link w:val="BulletChar"/>
    <w:qFormat/>
    <w:rsid w:val="005D747F"/>
    <w:pPr>
      <w:numPr>
        <w:numId w:val="2"/>
      </w:numPr>
      <w:spacing w:before="120" w:line="240" w:lineRule="auto"/>
      <w:ind w:left="357" w:hanging="357"/>
      <w:contextualSpacing/>
    </w:pPr>
    <w:rPr>
      <w:rFonts w:ascii="Verdana" w:eastAsia="Times New Roman" w:hAnsi="Verdana" w:cs="Verdana"/>
      <w:sz w:val="24"/>
      <w:szCs w:val="24"/>
      <w:lang w:eastAsia="en-GB"/>
    </w:rPr>
  </w:style>
  <w:style w:type="character" w:customStyle="1" w:styleId="BulletChar">
    <w:name w:val="Bullet Char"/>
    <w:basedOn w:val="DefaultParagraphFont"/>
    <w:link w:val="Bullet"/>
    <w:rsid w:val="005D747F"/>
    <w:rPr>
      <w:rFonts w:ascii="Verdana" w:eastAsia="Times New Roman" w:hAnsi="Verdana" w:cs="Verdana"/>
      <w:sz w:val="24"/>
      <w:szCs w:val="24"/>
      <w:lang w:eastAsia="en-GB"/>
    </w:rPr>
  </w:style>
  <w:style w:type="character" w:styleId="UnresolvedMention">
    <w:name w:val="Unresolved Mention"/>
    <w:basedOn w:val="DefaultParagraphFont"/>
    <w:uiPriority w:val="99"/>
    <w:semiHidden/>
    <w:unhideWhenUsed/>
    <w:rsid w:val="000C452E"/>
    <w:rPr>
      <w:color w:val="605E5C"/>
      <w:shd w:val="clear" w:color="auto" w:fill="E1DFDD"/>
    </w:rPr>
  </w:style>
  <w:style w:type="character" w:customStyle="1" w:styleId="VAHeadingChar">
    <w:name w:val="VA Heading Char"/>
    <w:basedOn w:val="DefaultParagraphFont"/>
    <w:link w:val="VAHeading"/>
    <w:locked/>
    <w:rsid w:val="00062F31"/>
    <w:rPr>
      <w:rFonts w:eastAsia="Calibri" w:cstheme="minorHAnsi"/>
      <w:bCs/>
      <w:smallCaps/>
      <w:color w:val="CC0000"/>
      <w:sz w:val="32"/>
      <w:szCs w:val="24"/>
    </w:rPr>
  </w:style>
  <w:style w:type="paragraph" w:customStyle="1" w:styleId="VAHeading">
    <w:name w:val="VA Heading"/>
    <w:basedOn w:val="Heading2"/>
    <w:link w:val="VAHeadingChar"/>
    <w:qFormat/>
    <w:rsid w:val="00062F31"/>
    <w:pPr>
      <w:keepLines w:val="0"/>
      <w:tabs>
        <w:tab w:val="left" w:pos="360"/>
        <w:tab w:val="left" w:pos="7740"/>
      </w:tabs>
      <w:spacing w:before="0" w:after="60" w:line="276" w:lineRule="auto"/>
      <w:contextualSpacing/>
    </w:pPr>
    <w:rPr>
      <w:rFonts w:asciiTheme="minorHAnsi" w:eastAsia="Calibri" w:hAnsiTheme="minorHAnsi" w:cstheme="minorHAnsi"/>
      <w:bCs/>
      <w:smallCaps/>
      <w:color w:val="CC0000"/>
      <w:sz w:val="32"/>
      <w:szCs w:val="24"/>
    </w:rPr>
  </w:style>
  <w:style w:type="character" w:customStyle="1" w:styleId="ChapterHeadingChar">
    <w:name w:val="Chapter Heading Char"/>
    <w:basedOn w:val="VAHeadingChar"/>
    <w:link w:val="ChapterHeading"/>
    <w:locked/>
    <w:rsid w:val="002A1ADD"/>
    <w:rPr>
      <w:rFonts w:asciiTheme="majorHAnsi" w:eastAsia="Calibri" w:hAnsiTheme="majorHAnsi" w:cs="Times New Roman"/>
      <w:b/>
      <w:bCs/>
      <w:smallCaps/>
      <w:color w:val="C00000"/>
      <w:sz w:val="36"/>
      <w:szCs w:val="36"/>
    </w:rPr>
  </w:style>
  <w:style w:type="paragraph" w:customStyle="1" w:styleId="ChapterHeading">
    <w:name w:val="Chapter Heading"/>
    <w:basedOn w:val="Heading2"/>
    <w:link w:val="ChapterHeadingChar"/>
    <w:qFormat/>
    <w:rsid w:val="002A1ADD"/>
    <w:pPr>
      <w:keepLines w:val="0"/>
      <w:tabs>
        <w:tab w:val="left" w:pos="360"/>
        <w:tab w:val="left" w:pos="7740"/>
      </w:tabs>
      <w:spacing w:before="0" w:after="60" w:line="276" w:lineRule="auto"/>
    </w:pPr>
    <w:rPr>
      <w:rFonts w:eastAsia="Calibri" w:cs="Times New Roman"/>
      <w:b/>
      <w:bCs/>
      <w:smallCaps/>
      <w:color w:val="C00000"/>
      <w:sz w:val="36"/>
      <w:szCs w:val="36"/>
    </w:rPr>
  </w:style>
  <w:style w:type="character" w:customStyle="1" w:styleId="FirebulletChar">
    <w:name w:val="Fire bullet Char"/>
    <w:basedOn w:val="DefaultParagraphFont"/>
    <w:link w:val="Firebullet"/>
    <w:locked/>
    <w:rsid w:val="00A6442F"/>
    <w:rPr>
      <w:rFonts w:ascii="Calibri" w:eastAsia="Calibri" w:hAnsi="Calibri" w:cs="Calibri"/>
    </w:rPr>
  </w:style>
  <w:style w:type="paragraph" w:customStyle="1" w:styleId="Firebullet">
    <w:name w:val="Fire bullet"/>
    <w:basedOn w:val="ListParagraph"/>
    <w:link w:val="FirebulletChar"/>
    <w:qFormat/>
    <w:rsid w:val="00A6442F"/>
    <w:pPr>
      <w:numPr>
        <w:numId w:val="20"/>
      </w:numPr>
      <w:spacing w:line="276" w:lineRule="auto"/>
    </w:pPr>
    <w:rPr>
      <w:rFonts w:ascii="Calibri" w:eastAsia="Calibri" w:hAnsi="Calibri" w:cs="Calibri"/>
    </w:rPr>
  </w:style>
  <w:style w:type="character" w:customStyle="1" w:styleId="Heading2Char">
    <w:name w:val="Heading 2 Char"/>
    <w:basedOn w:val="DefaultParagraphFont"/>
    <w:link w:val="Heading2"/>
    <w:uiPriority w:val="9"/>
    <w:semiHidden/>
    <w:rsid w:val="000D056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028FE"/>
    <w:pPr>
      <w:outlineLvl w:val="9"/>
    </w:pPr>
    <w:rPr>
      <w:lang w:val="en-US"/>
    </w:rPr>
  </w:style>
  <w:style w:type="paragraph" w:styleId="TOC2">
    <w:name w:val="toc 2"/>
    <w:basedOn w:val="Normal"/>
    <w:next w:val="Normal"/>
    <w:autoRedefine/>
    <w:uiPriority w:val="39"/>
    <w:unhideWhenUsed/>
    <w:rsid w:val="003028FE"/>
    <w:pPr>
      <w:spacing w:after="100"/>
      <w:ind w:left="220"/>
    </w:pPr>
  </w:style>
  <w:style w:type="paragraph" w:styleId="TOC1">
    <w:name w:val="toc 1"/>
    <w:basedOn w:val="Normal"/>
    <w:next w:val="Normal"/>
    <w:autoRedefine/>
    <w:uiPriority w:val="39"/>
    <w:unhideWhenUsed/>
    <w:rsid w:val="003028FE"/>
    <w:pPr>
      <w:spacing w:after="100"/>
    </w:pPr>
  </w:style>
  <w:style w:type="paragraph" w:customStyle="1" w:styleId="RedBullet">
    <w:name w:val="Red Bullet"/>
    <w:basedOn w:val="ListParagraph"/>
    <w:link w:val="RedBulletChar"/>
    <w:qFormat/>
    <w:rsid w:val="00F2288A"/>
    <w:pPr>
      <w:numPr>
        <w:numId w:val="6"/>
      </w:numPr>
      <w:spacing w:line="276" w:lineRule="auto"/>
      <w:contextualSpacing w:val="0"/>
    </w:pPr>
    <w:rPr>
      <w:rFonts w:eastAsia="Times New Roman" w:cs="Times New Roman"/>
      <w:color w:val="000000" w:themeColor="text1"/>
      <w:sz w:val="20"/>
      <w:szCs w:val="20"/>
    </w:rPr>
  </w:style>
  <w:style w:type="character" w:customStyle="1" w:styleId="RedBulletChar">
    <w:name w:val="Red Bullet Char"/>
    <w:basedOn w:val="DefaultParagraphFont"/>
    <w:link w:val="RedBullet"/>
    <w:rsid w:val="00F2288A"/>
    <w:rPr>
      <w:rFonts w:eastAsia="Times New Roman" w:cs="Times New Roman"/>
      <w:color w:val="000000" w:themeColor="text1"/>
      <w:sz w:val="20"/>
      <w:szCs w:val="20"/>
    </w:rPr>
  </w:style>
  <w:style w:type="paragraph" w:customStyle="1" w:styleId="TableHeadingWhite">
    <w:name w:val="Table Heading (White)"/>
    <w:basedOn w:val="Normal"/>
    <w:link w:val="TableHeadingWhiteChar"/>
    <w:qFormat/>
    <w:rsid w:val="0025262D"/>
    <w:pPr>
      <w:jc w:val="center"/>
    </w:pPr>
    <w:rPr>
      <w:b/>
      <w:bCs/>
      <w:color w:val="FFFFFF" w:themeColor="background1"/>
      <w:lang w:eastAsia="en-GB"/>
    </w:rPr>
  </w:style>
  <w:style w:type="character" w:customStyle="1" w:styleId="TableHeadingWhiteChar">
    <w:name w:val="Table Heading (White) Char"/>
    <w:basedOn w:val="DefaultParagraphFont"/>
    <w:link w:val="TableHeadingWhite"/>
    <w:rsid w:val="0025262D"/>
    <w:rPr>
      <w:rFonts w:cstheme="minorHAnsi"/>
      <w:b/>
      <w:bCs/>
      <w:color w:val="FFFFFF" w:themeColor="background1"/>
      <w:lang w:eastAsia="en-GB"/>
    </w:rPr>
  </w:style>
  <w:style w:type="paragraph" w:customStyle="1" w:styleId="Bulletscolouredtext">
    <w:name w:val="Bullets (coloured text)"/>
    <w:basedOn w:val="VAHeadingLevel3"/>
    <w:link w:val="BulletscolouredtextChar"/>
    <w:autoRedefine/>
    <w:qFormat/>
    <w:rsid w:val="00185B98"/>
    <w:pPr>
      <w:numPr>
        <w:ilvl w:val="0"/>
        <w:numId w:val="22"/>
      </w:numPr>
      <w:tabs>
        <w:tab w:val="clear" w:pos="1985"/>
      </w:tabs>
      <w:ind w:left="426" w:hanging="284"/>
    </w:pPr>
    <w:rPr>
      <w:rFonts w:ascii="Calibri" w:hAnsi="Calibri" w:cstheme="minorHAnsi"/>
      <w:sz w:val="20"/>
      <w:szCs w:val="24"/>
    </w:rPr>
  </w:style>
  <w:style w:type="character" w:customStyle="1" w:styleId="BulletscolouredtextChar">
    <w:name w:val="Bullets (coloured text) Char"/>
    <w:basedOn w:val="VAHeadingLevel3Char"/>
    <w:link w:val="Bulletscolouredtext"/>
    <w:rsid w:val="00185B98"/>
    <w:rPr>
      <w:rFonts w:ascii="Calibri" w:eastAsia="Times New Roman" w:hAnsi="Calibri" w:cstheme="minorHAnsi"/>
      <w:bCs/>
      <w:color w:val="C00000"/>
      <w:sz w:val="20"/>
      <w:szCs w:val="24"/>
    </w:rPr>
  </w:style>
  <w:style w:type="character" w:styleId="Mention">
    <w:name w:val="Mention"/>
    <w:basedOn w:val="DefaultParagraphFont"/>
    <w:uiPriority w:val="99"/>
    <w:unhideWhenUsed/>
    <w:rsid w:val="00FA5AE1"/>
    <w:rPr>
      <w:color w:val="2B579A"/>
      <w:shd w:val="clear" w:color="auto" w:fill="E1DFDD"/>
    </w:rPr>
  </w:style>
  <w:style w:type="character" w:styleId="PlaceholderText">
    <w:name w:val="Placeholder Text"/>
    <w:basedOn w:val="DefaultParagraphFont"/>
    <w:uiPriority w:val="99"/>
    <w:semiHidden/>
    <w:rsid w:val="005428E8"/>
    <w:rPr>
      <w:color w:val="666666"/>
    </w:rPr>
  </w:style>
  <w:style w:type="paragraph" w:styleId="EndnoteText">
    <w:name w:val="endnote text"/>
    <w:basedOn w:val="Normal"/>
    <w:uiPriority w:val="99"/>
    <w:semiHidden/>
    <w:unhideWhenUsed/>
    <w:rsid w:val="2489FF24"/>
    <w:pPr>
      <w:spacing w:line="240" w:lineRule="auto"/>
    </w:pPr>
    <w:rPr>
      <w:sz w:val="20"/>
      <w:szCs w:val="20"/>
    </w:rPr>
  </w:style>
  <w:style w:type="character" w:styleId="EndnoteReference">
    <w:name w:val="endnote reference"/>
    <w:basedOn w:val="DefaultParagraphFont"/>
    <w:uiPriority w:val="99"/>
    <w:semiHidden/>
    <w:unhideWhenUsed/>
    <w:rsid w:val="2489F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24">
      <w:bodyDiv w:val="1"/>
      <w:marLeft w:val="0"/>
      <w:marRight w:val="0"/>
      <w:marTop w:val="0"/>
      <w:marBottom w:val="0"/>
      <w:divBdr>
        <w:top w:val="none" w:sz="0" w:space="0" w:color="auto"/>
        <w:left w:val="none" w:sz="0" w:space="0" w:color="auto"/>
        <w:bottom w:val="none" w:sz="0" w:space="0" w:color="auto"/>
        <w:right w:val="none" w:sz="0" w:space="0" w:color="auto"/>
      </w:divBdr>
    </w:div>
    <w:div w:id="552840">
      <w:bodyDiv w:val="1"/>
      <w:marLeft w:val="0"/>
      <w:marRight w:val="0"/>
      <w:marTop w:val="0"/>
      <w:marBottom w:val="0"/>
      <w:divBdr>
        <w:top w:val="none" w:sz="0" w:space="0" w:color="auto"/>
        <w:left w:val="none" w:sz="0" w:space="0" w:color="auto"/>
        <w:bottom w:val="none" w:sz="0" w:space="0" w:color="auto"/>
        <w:right w:val="none" w:sz="0" w:space="0" w:color="auto"/>
      </w:divBdr>
    </w:div>
    <w:div w:id="594015">
      <w:bodyDiv w:val="1"/>
      <w:marLeft w:val="0"/>
      <w:marRight w:val="0"/>
      <w:marTop w:val="0"/>
      <w:marBottom w:val="0"/>
      <w:divBdr>
        <w:top w:val="none" w:sz="0" w:space="0" w:color="auto"/>
        <w:left w:val="none" w:sz="0" w:space="0" w:color="auto"/>
        <w:bottom w:val="none" w:sz="0" w:space="0" w:color="auto"/>
        <w:right w:val="none" w:sz="0" w:space="0" w:color="auto"/>
      </w:divBdr>
    </w:div>
    <w:div w:id="933434">
      <w:bodyDiv w:val="1"/>
      <w:marLeft w:val="0"/>
      <w:marRight w:val="0"/>
      <w:marTop w:val="0"/>
      <w:marBottom w:val="0"/>
      <w:divBdr>
        <w:top w:val="none" w:sz="0" w:space="0" w:color="auto"/>
        <w:left w:val="none" w:sz="0" w:space="0" w:color="auto"/>
        <w:bottom w:val="none" w:sz="0" w:space="0" w:color="auto"/>
        <w:right w:val="none" w:sz="0" w:space="0" w:color="auto"/>
      </w:divBdr>
    </w:div>
    <w:div w:id="1277870">
      <w:bodyDiv w:val="1"/>
      <w:marLeft w:val="0"/>
      <w:marRight w:val="0"/>
      <w:marTop w:val="0"/>
      <w:marBottom w:val="0"/>
      <w:divBdr>
        <w:top w:val="none" w:sz="0" w:space="0" w:color="auto"/>
        <w:left w:val="none" w:sz="0" w:space="0" w:color="auto"/>
        <w:bottom w:val="none" w:sz="0" w:space="0" w:color="auto"/>
        <w:right w:val="none" w:sz="0" w:space="0" w:color="auto"/>
      </w:divBdr>
    </w:div>
    <w:div w:id="1901680">
      <w:bodyDiv w:val="1"/>
      <w:marLeft w:val="0"/>
      <w:marRight w:val="0"/>
      <w:marTop w:val="0"/>
      <w:marBottom w:val="0"/>
      <w:divBdr>
        <w:top w:val="none" w:sz="0" w:space="0" w:color="auto"/>
        <w:left w:val="none" w:sz="0" w:space="0" w:color="auto"/>
        <w:bottom w:val="none" w:sz="0" w:space="0" w:color="auto"/>
        <w:right w:val="none" w:sz="0" w:space="0" w:color="auto"/>
      </w:divBdr>
    </w:div>
    <w:div w:id="2246345">
      <w:bodyDiv w:val="1"/>
      <w:marLeft w:val="0"/>
      <w:marRight w:val="0"/>
      <w:marTop w:val="0"/>
      <w:marBottom w:val="0"/>
      <w:divBdr>
        <w:top w:val="none" w:sz="0" w:space="0" w:color="auto"/>
        <w:left w:val="none" w:sz="0" w:space="0" w:color="auto"/>
        <w:bottom w:val="none" w:sz="0" w:space="0" w:color="auto"/>
        <w:right w:val="none" w:sz="0" w:space="0" w:color="auto"/>
      </w:divBdr>
    </w:div>
    <w:div w:id="2320132">
      <w:bodyDiv w:val="1"/>
      <w:marLeft w:val="0"/>
      <w:marRight w:val="0"/>
      <w:marTop w:val="0"/>
      <w:marBottom w:val="0"/>
      <w:divBdr>
        <w:top w:val="none" w:sz="0" w:space="0" w:color="auto"/>
        <w:left w:val="none" w:sz="0" w:space="0" w:color="auto"/>
        <w:bottom w:val="none" w:sz="0" w:space="0" w:color="auto"/>
        <w:right w:val="none" w:sz="0" w:space="0" w:color="auto"/>
      </w:divBdr>
    </w:div>
    <w:div w:id="2365535">
      <w:bodyDiv w:val="1"/>
      <w:marLeft w:val="0"/>
      <w:marRight w:val="0"/>
      <w:marTop w:val="0"/>
      <w:marBottom w:val="0"/>
      <w:divBdr>
        <w:top w:val="none" w:sz="0" w:space="0" w:color="auto"/>
        <w:left w:val="none" w:sz="0" w:space="0" w:color="auto"/>
        <w:bottom w:val="none" w:sz="0" w:space="0" w:color="auto"/>
        <w:right w:val="none" w:sz="0" w:space="0" w:color="auto"/>
      </w:divBdr>
    </w:div>
    <w:div w:id="3020556">
      <w:bodyDiv w:val="1"/>
      <w:marLeft w:val="0"/>
      <w:marRight w:val="0"/>
      <w:marTop w:val="0"/>
      <w:marBottom w:val="0"/>
      <w:divBdr>
        <w:top w:val="none" w:sz="0" w:space="0" w:color="auto"/>
        <w:left w:val="none" w:sz="0" w:space="0" w:color="auto"/>
        <w:bottom w:val="none" w:sz="0" w:space="0" w:color="auto"/>
        <w:right w:val="none" w:sz="0" w:space="0" w:color="auto"/>
      </w:divBdr>
    </w:div>
    <w:div w:id="3480295">
      <w:bodyDiv w:val="1"/>
      <w:marLeft w:val="0"/>
      <w:marRight w:val="0"/>
      <w:marTop w:val="0"/>
      <w:marBottom w:val="0"/>
      <w:divBdr>
        <w:top w:val="none" w:sz="0" w:space="0" w:color="auto"/>
        <w:left w:val="none" w:sz="0" w:space="0" w:color="auto"/>
        <w:bottom w:val="none" w:sz="0" w:space="0" w:color="auto"/>
        <w:right w:val="none" w:sz="0" w:space="0" w:color="auto"/>
      </w:divBdr>
    </w:div>
    <w:div w:id="3484316">
      <w:bodyDiv w:val="1"/>
      <w:marLeft w:val="0"/>
      <w:marRight w:val="0"/>
      <w:marTop w:val="0"/>
      <w:marBottom w:val="0"/>
      <w:divBdr>
        <w:top w:val="none" w:sz="0" w:space="0" w:color="auto"/>
        <w:left w:val="none" w:sz="0" w:space="0" w:color="auto"/>
        <w:bottom w:val="none" w:sz="0" w:space="0" w:color="auto"/>
        <w:right w:val="none" w:sz="0" w:space="0" w:color="auto"/>
      </w:divBdr>
    </w:div>
    <w:div w:id="3485475">
      <w:bodyDiv w:val="1"/>
      <w:marLeft w:val="0"/>
      <w:marRight w:val="0"/>
      <w:marTop w:val="0"/>
      <w:marBottom w:val="0"/>
      <w:divBdr>
        <w:top w:val="none" w:sz="0" w:space="0" w:color="auto"/>
        <w:left w:val="none" w:sz="0" w:space="0" w:color="auto"/>
        <w:bottom w:val="none" w:sz="0" w:space="0" w:color="auto"/>
        <w:right w:val="none" w:sz="0" w:space="0" w:color="auto"/>
      </w:divBdr>
    </w:div>
    <w:div w:id="4132961">
      <w:bodyDiv w:val="1"/>
      <w:marLeft w:val="0"/>
      <w:marRight w:val="0"/>
      <w:marTop w:val="0"/>
      <w:marBottom w:val="0"/>
      <w:divBdr>
        <w:top w:val="none" w:sz="0" w:space="0" w:color="auto"/>
        <w:left w:val="none" w:sz="0" w:space="0" w:color="auto"/>
        <w:bottom w:val="none" w:sz="0" w:space="0" w:color="auto"/>
        <w:right w:val="none" w:sz="0" w:space="0" w:color="auto"/>
      </w:divBdr>
    </w:div>
    <w:div w:id="4553535">
      <w:bodyDiv w:val="1"/>
      <w:marLeft w:val="0"/>
      <w:marRight w:val="0"/>
      <w:marTop w:val="0"/>
      <w:marBottom w:val="0"/>
      <w:divBdr>
        <w:top w:val="none" w:sz="0" w:space="0" w:color="auto"/>
        <w:left w:val="none" w:sz="0" w:space="0" w:color="auto"/>
        <w:bottom w:val="none" w:sz="0" w:space="0" w:color="auto"/>
        <w:right w:val="none" w:sz="0" w:space="0" w:color="auto"/>
      </w:divBdr>
    </w:div>
    <w:div w:id="4674830">
      <w:bodyDiv w:val="1"/>
      <w:marLeft w:val="0"/>
      <w:marRight w:val="0"/>
      <w:marTop w:val="0"/>
      <w:marBottom w:val="0"/>
      <w:divBdr>
        <w:top w:val="none" w:sz="0" w:space="0" w:color="auto"/>
        <w:left w:val="none" w:sz="0" w:space="0" w:color="auto"/>
        <w:bottom w:val="none" w:sz="0" w:space="0" w:color="auto"/>
        <w:right w:val="none" w:sz="0" w:space="0" w:color="auto"/>
      </w:divBdr>
    </w:div>
    <w:div w:id="4789644">
      <w:bodyDiv w:val="1"/>
      <w:marLeft w:val="0"/>
      <w:marRight w:val="0"/>
      <w:marTop w:val="0"/>
      <w:marBottom w:val="0"/>
      <w:divBdr>
        <w:top w:val="none" w:sz="0" w:space="0" w:color="auto"/>
        <w:left w:val="none" w:sz="0" w:space="0" w:color="auto"/>
        <w:bottom w:val="none" w:sz="0" w:space="0" w:color="auto"/>
        <w:right w:val="none" w:sz="0" w:space="0" w:color="auto"/>
      </w:divBdr>
    </w:div>
    <w:div w:id="4870577">
      <w:bodyDiv w:val="1"/>
      <w:marLeft w:val="0"/>
      <w:marRight w:val="0"/>
      <w:marTop w:val="0"/>
      <w:marBottom w:val="0"/>
      <w:divBdr>
        <w:top w:val="none" w:sz="0" w:space="0" w:color="auto"/>
        <w:left w:val="none" w:sz="0" w:space="0" w:color="auto"/>
        <w:bottom w:val="none" w:sz="0" w:space="0" w:color="auto"/>
        <w:right w:val="none" w:sz="0" w:space="0" w:color="auto"/>
      </w:divBdr>
    </w:div>
    <w:div w:id="5518736">
      <w:bodyDiv w:val="1"/>
      <w:marLeft w:val="0"/>
      <w:marRight w:val="0"/>
      <w:marTop w:val="0"/>
      <w:marBottom w:val="0"/>
      <w:divBdr>
        <w:top w:val="none" w:sz="0" w:space="0" w:color="auto"/>
        <w:left w:val="none" w:sz="0" w:space="0" w:color="auto"/>
        <w:bottom w:val="none" w:sz="0" w:space="0" w:color="auto"/>
        <w:right w:val="none" w:sz="0" w:space="0" w:color="auto"/>
      </w:divBdr>
    </w:div>
    <w:div w:id="5905308">
      <w:bodyDiv w:val="1"/>
      <w:marLeft w:val="0"/>
      <w:marRight w:val="0"/>
      <w:marTop w:val="0"/>
      <w:marBottom w:val="0"/>
      <w:divBdr>
        <w:top w:val="none" w:sz="0" w:space="0" w:color="auto"/>
        <w:left w:val="none" w:sz="0" w:space="0" w:color="auto"/>
        <w:bottom w:val="none" w:sz="0" w:space="0" w:color="auto"/>
        <w:right w:val="none" w:sz="0" w:space="0" w:color="auto"/>
      </w:divBdr>
    </w:div>
    <w:div w:id="6181158">
      <w:bodyDiv w:val="1"/>
      <w:marLeft w:val="0"/>
      <w:marRight w:val="0"/>
      <w:marTop w:val="0"/>
      <w:marBottom w:val="0"/>
      <w:divBdr>
        <w:top w:val="none" w:sz="0" w:space="0" w:color="auto"/>
        <w:left w:val="none" w:sz="0" w:space="0" w:color="auto"/>
        <w:bottom w:val="none" w:sz="0" w:space="0" w:color="auto"/>
        <w:right w:val="none" w:sz="0" w:space="0" w:color="auto"/>
      </w:divBdr>
    </w:div>
    <w:div w:id="7025683">
      <w:bodyDiv w:val="1"/>
      <w:marLeft w:val="0"/>
      <w:marRight w:val="0"/>
      <w:marTop w:val="0"/>
      <w:marBottom w:val="0"/>
      <w:divBdr>
        <w:top w:val="none" w:sz="0" w:space="0" w:color="auto"/>
        <w:left w:val="none" w:sz="0" w:space="0" w:color="auto"/>
        <w:bottom w:val="none" w:sz="0" w:space="0" w:color="auto"/>
        <w:right w:val="none" w:sz="0" w:space="0" w:color="auto"/>
      </w:divBdr>
    </w:div>
    <w:div w:id="8336291">
      <w:bodyDiv w:val="1"/>
      <w:marLeft w:val="0"/>
      <w:marRight w:val="0"/>
      <w:marTop w:val="0"/>
      <w:marBottom w:val="0"/>
      <w:divBdr>
        <w:top w:val="none" w:sz="0" w:space="0" w:color="auto"/>
        <w:left w:val="none" w:sz="0" w:space="0" w:color="auto"/>
        <w:bottom w:val="none" w:sz="0" w:space="0" w:color="auto"/>
        <w:right w:val="none" w:sz="0" w:space="0" w:color="auto"/>
      </w:divBdr>
    </w:div>
    <w:div w:id="8913084">
      <w:bodyDiv w:val="1"/>
      <w:marLeft w:val="0"/>
      <w:marRight w:val="0"/>
      <w:marTop w:val="0"/>
      <w:marBottom w:val="0"/>
      <w:divBdr>
        <w:top w:val="none" w:sz="0" w:space="0" w:color="auto"/>
        <w:left w:val="none" w:sz="0" w:space="0" w:color="auto"/>
        <w:bottom w:val="none" w:sz="0" w:space="0" w:color="auto"/>
        <w:right w:val="none" w:sz="0" w:space="0" w:color="auto"/>
      </w:divBdr>
    </w:div>
    <w:div w:id="9600333">
      <w:bodyDiv w:val="1"/>
      <w:marLeft w:val="0"/>
      <w:marRight w:val="0"/>
      <w:marTop w:val="0"/>
      <w:marBottom w:val="0"/>
      <w:divBdr>
        <w:top w:val="none" w:sz="0" w:space="0" w:color="auto"/>
        <w:left w:val="none" w:sz="0" w:space="0" w:color="auto"/>
        <w:bottom w:val="none" w:sz="0" w:space="0" w:color="auto"/>
        <w:right w:val="none" w:sz="0" w:space="0" w:color="auto"/>
      </w:divBdr>
    </w:div>
    <w:div w:id="10881143">
      <w:bodyDiv w:val="1"/>
      <w:marLeft w:val="0"/>
      <w:marRight w:val="0"/>
      <w:marTop w:val="0"/>
      <w:marBottom w:val="0"/>
      <w:divBdr>
        <w:top w:val="none" w:sz="0" w:space="0" w:color="auto"/>
        <w:left w:val="none" w:sz="0" w:space="0" w:color="auto"/>
        <w:bottom w:val="none" w:sz="0" w:space="0" w:color="auto"/>
        <w:right w:val="none" w:sz="0" w:space="0" w:color="auto"/>
      </w:divBdr>
    </w:div>
    <w:div w:id="10960625">
      <w:bodyDiv w:val="1"/>
      <w:marLeft w:val="0"/>
      <w:marRight w:val="0"/>
      <w:marTop w:val="0"/>
      <w:marBottom w:val="0"/>
      <w:divBdr>
        <w:top w:val="none" w:sz="0" w:space="0" w:color="auto"/>
        <w:left w:val="none" w:sz="0" w:space="0" w:color="auto"/>
        <w:bottom w:val="none" w:sz="0" w:space="0" w:color="auto"/>
        <w:right w:val="none" w:sz="0" w:space="0" w:color="auto"/>
      </w:divBdr>
    </w:div>
    <w:div w:id="11298751">
      <w:bodyDiv w:val="1"/>
      <w:marLeft w:val="0"/>
      <w:marRight w:val="0"/>
      <w:marTop w:val="0"/>
      <w:marBottom w:val="0"/>
      <w:divBdr>
        <w:top w:val="none" w:sz="0" w:space="0" w:color="auto"/>
        <w:left w:val="none" w:sz="0" w:space="0" w:color="auto"/>
        <w:bottom w:val="none" w:sz="0" w:space="0" w:color="auto"/>
        <w:right w:val="none" w:sz="0" w:space="0" w:color="auto"/>
      </w:divBdr>
    </w:div>
    <w:div w:id="12150768">
      <w:bodyDiv w:val="1"/>
      <w:marLeft w:val="0"/>
      <w:marRight w:val="0"/>
      <w:marTop w:val="0"/>
      <w:marBottom w:val="0"/>
      <w:divBdr>
        <w:top w:val="none" w:sz="0" w:space="0" w:color="auto"/>
        <w:left w:val="none" w:sz="0" w:space="0" w:color="auto"/>
        <w:bottom w:val="none" w:sz="0" w:space="0" w:color="auto"/>
        <w:right w:val="none" w:sz="0" w:space="0" w:color="auto"/>
      </w:divBdr>
    </w:div>
    <w:div w:id="12808152">
      <w:bodyDiv w:val="1"/>
      <w:marLeft w:val="0"/>
      <w:marRight w:val="0"/>
      <w:marTop w:val="0"/>
      <w:marBottom w:val="0"/>
      <w:divBdr>
        <w:top w:val="none" w:sz="0" w:space="0" w:color="auto"/>
        <w:left w:val="none" w:sz="0" w:space="0" w:color="auto"/>
        <w:bottom w:val="none" w:sz="0" w:space="0" w:color="auto"/>
        <w:right w:val="none" w:sz="0" w:space="0" w:color="auto"/>
      </w:divBdr>
    </w:div>
    <w:div w:id="12922188">
      <w:bodyDiv w:val="1"/>
      <w:marLeft w:val="0"/>
      <w:marRight w:val="0"/>
      <w:marTop w:val="0"/>
      <w:marBottom w:val="0"/>
      <w:divBdr>
        <w:top w:val="none" w:sz="0" w:space="0" w:color="auto"/>
        <w:left w:val="none" w:sz="0" w:space="0" w:color="auto"/>
        <w:bottom w:val="none" w:sz="0" w:space="0" w:color="auto"/>
        <w:right w:val="none" w:sz="0" w:space="0" w:color="auto"/>
      </w:divBdr>
    </w:div>
    <w:div w:id="13071821">
      <w:bodyDiv w:val="1"/>
      <w:marLeft w:val="0"/>
      <w:marRight w:val="0"/>
      <w:marTop w:val="0"/>
      <w:marBottom w:val="0"/>
      <w:divBdr>
        <w:top w:val="none" w:sz="0" w:space="0" w:color="auto"/>
        <w:left w:val="none" w:sz="0" w:space="0" w:color="auto"/>
        <w:bottom w:val="none" w:sz="0" w:space="0" w:color="auto"/>
        <w:right w:val="none" w:sz="0" w:space="0" w:color="auto"/>
      </w:divBdr>
    </w:div>
    <w:div w:id="14506389">
      <w:bodyDiv w:val="1"/>
      <w:marLeft w:val="0"/>
      <w:marRight w:val="0"/>
      <w:marTop w:val="0"/>
      <w:marBottom w:val="0"/>
      <w:divBdr>
        <w:top w:val="none" w:sz="0" w:space="0" w:color="auto"/>
        <w:left w:val="none" w:sz="0" w:space="0" w:color="auto"/>
        <w:bottom w:val="none" w:sz="0" w:space="0" w:color="auto"/>
        <w:right w:val="none" w:sz="0" w:space="0" w:color="auto"/>
      </w:divBdr>
    </w:div>
    <w:div w:id="14885749">
      <w:bodyDiv w:val="1"/>
      <w:marLeft w:val="0"/>
      <w:marRight w:val="0"/>
      <w:marTop w:val="0"/>
      <w:marBottom w:val="0"/>
      <w:divBdr>
        <w:top w:val="none" w:sz="0" w:space="0" w:color="auto"/>
        <w:left w:val="none" w:sz="0" w:space="0" w:color="auto"/>
        <w:bottom w:val="none" w:sz="0" w:space="0" w:color="auto"/>
        <w:right w:val="none" w:sz="0" w:space="0" w:color="auto"/>
      </w:divBdr>
    </w:div>
    <w:div w:id="15859895">
      <w:bodyDiv w:val="1"/>
      <w:marLeft w:val="0"/>
      <w:marRight w:val="0"/>
      <w:marTop w:val="0"/>
      <w:marBottom w:val="0"/>
      <w:divBdr>
        <w:top w:val="none" w:sz="0" w:space="0" w:color="auto"/>
        <w:left w:val="none" w:sz="0" w:space="0" w:color="auto"/>
        <w:bottom w:val="none" w:sz="0" w:space="0" w:color="auto"/>
        <w:right w:val="none" w:sz="0" w:space="0" w:color="auto"/>
      </w:divBdr>
    </w:div>
    <w:div w:id="15890370">
      <w:bodyDiv w:val="1"/>
      <w:marLeft w:val="0"/>
      <w:marRight w:val="0"/>
      <w:marTop w:val="0"/>
      <w:marBottom w:val="0"/>
      <w:divBdr>
        <w:top w:val="none" w:sz="0" w:space="0" w:color="auto"/>
        <w:left w:val="none" w:sz="0" w:space="0" w:color="auto"/>
        <w:bottom w:val="none" w:sz="0" w:space="0" w:color="auto"/>
        <w:right w:val="none" w:sz="0" w:space="0" w:color="auto"/>
      </w:divBdr>
    </w:div>
    <w:div w:id="16543425">
      <w:bodyDiv w:val="1"/>
      <w:marLeft w:val="0"/>
      <w:marRight w:val="0"/>
      <w:marTop w:val="0"/>
      <w:marBottom w:val="0"/>
      <w:divBdr>
        <w:top w:val="none" w:sz="0" w:space="0" w:color="auto"/>
        <w:left w:val="none" w:sz="0" w:space="0" w:color="auto"/>
        <w:bottom w:val="none" w:sz="0" w:space="0" w:color="auto"/>
        <w:right w:val="none" w:sz="0" w:space="0" w:color="auto"/>
      </w:divBdr>
    </w:div>
    <w:div w:id="16933776">
      <w:bodyDiv w:val="1"/>
      <w:marLeft w:val="0"/>
      <w:marRight w:val="0"/>
      <w:marTop w:val="0"/>
      <w:marBottom w:val="0"/>
      <w:divBdr>
        <w:top w:val="none" w:sz="0" w:space="0" w:color="auto"/>
        <w:left w:val="none" w:sz="0" w:space="0" w:color="auto"/>
        <w:bottom w:val="none" w:sz="0" w:space="0" w:color="auto"/>
        <w:right w:val="none" w:sz="0" w:space="0" w:color="auto"/>
      </w:divBdr>
    </w:div>
    <w:div w:id="17002157">
      <w:bodyDiv w:val="1"/>
      <w:marLeft w:val="0"/>
      <w:marRight w:val="0"/>
      <w:marTop w:val="0"/>
      <w:marBottom w:val="0"/>
      <w:divBdr>
        <w:top w:val="none" w:sz="0" w:space="0" w:color="auto"/>
        <w:left w:val="none" w:sz="0" w:space="0" w:color="auto"/>
        <w:bottom w:val="none" w:sz="0" w:space="0" w:color="auto"/>
        <w:right w:val="none" w:sz="0" w:space="0" w:color="auto"/>
      </w:divBdr>
    </w:div>
    <w:div w:id="17050731">
      <w:bodyDiv w:val="1"/>
      <w:marLeft w:val="0"/>
      <w:marRight w:val="0"/>
      <w:marTop w:val="0"/>
      <w:marBottom w:val="0"/>
      <w:divBdr>
        <w:top w:val="none" w:sz="0" w:space="0" w:color="auto"/>
        <w:left w:val="none" w:sz="0" w:space="0" w:color="auto"/>
        <w:bottom w:val="none" w:sz="0" w:space="0" w:color="auto"/>
        <w:right w:val="none" w:sz="0" w:space="0" w:color="auto"/>
      </w:divBdr>
    </w:div>
    <w:div w:id="18240553">
      <w:bodyDiv w:val="1"/>
      <w:marLeft w:val="0"/>
      <w:marRight w:val="0"/>
      <w:marTop w:val="0"/>
      <w:marBottom w:val="0"/>
      <w:divBdr>
        <w:top w:val="none" w:sz="0" w:space="0" w:color="auto"/>
        <w:left w:val="none" w:sz="0" w:space="0" w:color="auto"/>
        <w:bottom w:val="none" w:sz="0" w:space="0" w:color="auto"/>
        <w:right w:val="none" w:sz="0" w:space="0" w:color="auto"/>
      </w:divBdr>
    </w:div>
    <w:div w:id="19015355">
      <w:bodyDiv w:val="1"/>
      <w:marLeft w:val="0"/>
      <w:marRight w:val="0"/>
      <w:marTop w:val="0"/>
      <w:marBottom w:val="0"/>
      <w:divBdr>
        <w:top w:val="none" w:sz="0" w:space="0" w:color="auto"/>
        <w:left w:val="none" w:sz="0" w:space="0" w:color="auto"/>
        <w:bottom w:val="none" w:sz="0" w:space="0" w:color="auto"/>
        <w:right w:val="none" w:sz="0" w:space="0" w:color="auto"/>
      </w:divBdr>
    </w:div>
    <w:div w:id="20009224">
      <w:bodyDiv w:val="1"/>
      <w:marLeft w:val="0"/>
      <w:marRight w:val="0"/>
      <w:marTop w:val="0"/>
      <w:marBottom w:val="0"/>
      <w:divBdr>
        <w:top w:val="none" w:sz="0" w:space="0" w:color="auto"/>
        <w:left w:val="none" w:sz="0" w:space="0" w:color="auto"/>
        <w:bottom w:val="none" w:sz="0" w:space="0" w:color="auto"/>
        <w:right w:val="none" w:sz="0" w:space="0" w:color="auto"/>
      </w:divBdr>
    </w:div>
    <w:div w:id="20858122">
      <w:bodyDiv w:val="1"/>
      <w:marLeft w:val="0"/>
      <w:marRight w:val="0"/>
      <w:marTop w:val="0"/>
      <w:marBottom w:val="0"/>
      <w:divBdr>
        <w:top w:val="none" w:sz="0" w:space="0" w:color="auto"/>
        <w:left w:val="none" w:sz="0" w:space="0" w:color="auto"/>
        <w:bottom w:val="none" w:sz="0" w:space="0" w:color="auto"/>
        <w:right w:val="none" w:sz="0" w:space="0" w:color="auto"/>
      </w:divBdr>
    </w:div>
    <w:div w:id="21516863">
      <w:bodyDiv w:val="1"/>
      <w:marLeft w:val="0"/>
      <w:marRight w:val="0"/>
      <w:marTop w:val="0"/>
      <w:marBottom w:val="0"/>
      <w:divBdr>
        <w:top w:val="none" w:sz="0" w:space="0" w:color="auto"/>
        <w:left w:val="none" w:sz="0" w:space="0" w:color="auto"/>
        <w:bottom w:val="none" w:sz="0" w:space="0" w:color="auto"/>
        <w:right w:val="none" w:sz="0" w:space="0" w:color="auto"/>
      </w:divBdr>
    </w:div>
    <w:div w:id="22095416">
      <w:bodyDiv w:val="1"/>
      <w:marLeft w:val="0"/>
      <w:marRight w:val="0"/>
      <w:marTop w:val="0"/>
      <w:marBottom w:val="0"/>
      <w:divBdr>
        <w:top w:val="none" w:sz="0" w:space="0" w:color="auto"/>
        <w:left w:val="none" w:sz="0" w:space="0" w:color="auto"/>
        <w:bottom w:val="none" w:sz="0" w:space="0" w:color="auto"/>
        <w:right w:val="none" w:sz="0" w:space="0" w:color="auto"/>
      </w:divBdr>
    </w:div>
    <w:div w:id="22219582">
      <w:bodyDiv w:val="1"/>
      <w:marLeft w:val="0"/>
      <w:marRight w:val="0"/>
      <w:marTop w:val="0"/>
      <w:marBottom w:val="0"/>
      <w:divBdr>
        <w:top w:val="none" w:sz="0" w:space="0" w:color="auto"/>
        <w:left w:val="none" w:sz="0" w:space="0" w:color="auto"/>
        <w:bottom w:val="none" w:sz="0" w:space="0" w:color="auto"/>
        <w:right w:val="none" w:sz="0" w:space="0" w:color="auto"/>
      </w:divBdr>
    </w:div>
    <w:div w:id="22295012">
      <w:bodyDiv w:val="1"/>
      <w:marLeft w:val="0"/>
      <w:marRight w:val="0"/>
      <w:marTop w:val="0"/>
      <w:marBottom w:val="0"/>
      <w:divBdr>
        <w:top w:val="none" w:sz="0" w:space="0" w:color="auto"/>
        <w:left w:val="none" w:sz="0" w:space="0" w:color="auto"/>
        <w:bottom w:val="none" w:sz="0" w:space="0" w:color="auto"/>
        <w:right w:val="none" w:sz="0" w:space="0" w:color="auto"/>
      </w:divBdr>
    </w:div>
    <w:div w:id="23213203">
      <w:bodyDiv w:val="1"/>
      <w:marLeft w:val="0"/>
      <w:marRight w:val="0"/>
      <w:marTop w:val="0"/>
      <w:marBottom w:val="0"/>
      <w:divBdr>
        <w:top w:val="none" w:sz="0" w:space="0" w:color="auto"/>
        <w:left w:val="none" w:sz="0" w:space="0" w:color="auto"/>
        <w:bottom w:val="none" w:sz="0" w:space="0" w:color="auto"/>
        <w:right w:val="none" w:sz="0" w:space="0" w:color="auto"/>
      </w:divBdr>
    </w:div>
    <w:div w:id="23406875">
      <w:bodyDiv w:val="1"/>
      <w:marLeft w:val="0"/>
      <w:marRight w:val="0"/>
      <w:marTop w:val="0"/>
      <w:marBottom w:val="0"/>
      <w:divBdr>
        <w:top w:val="none" w:sz="0" w:space="0" w:color="auto"/>
        <w:left w:val="none" w:sz="0" w:space="0" w:color="auto"/>
        <w:bottom w:val="none" w:sz="0" w:space="0" w:color="auto"/>
        <w:right w:val="none" w:sz="0" w:space="0" w:color="auto"/>
      </w:divBdr>
    </w:div>
    <w:div w:id="23680311">
      <w:bodyDiv w:val="1"/>
      <w:marLeft w:val="0"/>
      <w:marRight w:val="0"/>
      <w:marTop w:val="0"/>
      <w:marBottom w:val="0"/>
      <w:divBdr>
        <w:top w:val="none" w:sz="0" w:space="0" w:color="auto"/>
        <w:left w:val="none" w:sz="0" w:space="0" w:color="auto"/>
        <w:bottom w:val="none" w:sz="0" w:space="0" w:color="auto"/>
        <w:right w:val="none" w:sz="0" w:space="0" w:color="auto"/>
      </w:divBdr>
    </w:div>
    <w:div w:id="23797113">
      <w:bodyDiv w:val="1"/>
      <w:marLeft w:val="0"/>
      <w:marRight w:val="0"/>
      <w:marTop w:val="0"/>
      <w:marBottom w:val="0"/>
      <w:divBdr>
        <w:top w:val="none" w:sz="0" w:space="0" w:color="auto"/>
        <w:left w:val="none" w:sz="0" w:space="0" w:color="auto"/>
        <w:bottom w:val="none" w:sz="0" w:space="0" w:color="auto"/>
        <w:right w:val="none" w:sz="0" w:space="0" w:color="auto"/>
      </w:divBdr>
    </w:div>
    <w:div w:id="23869328">
      <w:bodyDiv w:val="1"/>
      <w:marLeft w:val="0"/>
      <w:marRight w:val="0"/>
      <w:marTop w:val="0"/>
      <w:marBottom w:val="0"/>
      <w:divBdr>
        <w:top w:val="none" w:sz="0" w:space="0" w:color="auto"/>
        <w:left w:val="none" w:sz="0" w:space="0" w:color="auto"/>
        <w:bottom w:val="none" w:sz="0" w:space="0" w:color="auto"/>
        <w:right w:val="none" w:sz="0" w:space="0" w:color="auto"/>
      </w:divBdr>
    </w:div>
    <w:div w:id="24183179">
      <w:bodyDiv w:val="1"/>
      <w:marLeft w:val="0"/>
      <w:marRight w:val="0"/>
      <w:marTop w:val="0"/>
      <w:marBottom w:val="0"/>
      <w:divBdr>
        <w:top w:val="none" w:sz="0" w:space="0" w:color="auto"/>
        <w:left w:val="none" w:sz="0" w:space="0" w:color="auto"/>
        <w:bottom w:val="none" w:sz="0" w:space="0" w:color="auto"/>
        <w:right w:val="none" w:sz="0" w:space="0" w:color="auto"/>
      </w:divBdr>
    </w:div>
    <w:div w:id="25566797">
      <w:bodyDiv w:val="1"/>
      <w:marLeft w:val="0"/>
      <w:marRight w:val="0"/>
      <w:marTop w:val="0"/>
      <w:marBottom w:val="0"/>
      <w:divBdr>
        <w:top w:val="none" w:sz="0" w:space="0" w:color="auto"/>
        <w:left w:val="none" w:sz="0" w:space="0" w:color="auto"/>
        <w:bottom w:val="none" w:sz="0" w:space="0" w:color="auto"/>
        <w:right w:val="none" w:sz="0" w:space="0" w:color="auto"/>
      </w:divBdr>
    </w:div>
    <w:div w:id="25952563">
      <w:bodyDiv w:val="1"/>
      <w:marLeft w:val="0"/>
      <w:marRight w:val="0"/>
      <w:marTop w:val="0"/>
      <w:marBottom w:val="0"/>
      <w:divBdr>
        <w:top w:val="none" w:sz="0" w:space="0" w:color="auto"/>
        <w:left w:val="none" w:sz="0" w:space="0" w:color="auto"/>
        <w:bottom w:val="none" w:sz="0" w:space="0" w:color="auto"/>
        <w:right w:val="none" w:sz="0" w:space="0" w:color="auto"/>
      </w:divBdr>
    </w:div>
    <w:div w:id="26225359">
      <w:bodyDiv w:val="1"/>
      <w:marLeft w:val="0"/>
      <w:marRight w:val="0"/>
      <w:marTop w:val="0"/>
      <w:marBottom w:val="0"/>
      <w:divBdr>
        <w:top w:val="none" w:sz="0" w:space="0" w:color="auto"/>
        <w:left w:val="none" w:sz="0" w:space="0" w:color="auto"/>
        <w:bottom w:val="none" w:sz="0" w:space="0" w:color="auto"/>
        <w:right w:val="none" w:sz="0" w:space="0" w:color="auto"/>
      </w:divBdr>
    </w:div>
    <w:div w:id="27071879">
      <w:bodyDiv w:val="1"/>
      <w:marLeft w:val="0"/>
      <w:marRight w:val="0"/>
      <w:marTop w:val="0"/>
      <w:marBottom w:val="0"/>
      <w:divBdr>
        <w:top w:val="none" w:sz="0" w:space="0" w:color="auto"/>
        <w:left w:val="none" w:sz="0" w:space="0" w:color="auto"/>
        <w:bottom w:val="none" w:sz="0" w:space="0" w:color="auto"/>
        <w:right w:val="none" w:sz="0" w:space="0" w:color="auto"/>
      </w:divBdr>
    </w:div>
    <w:div w:id="27533103">
      <w:bodyDiv w:val="1"/>
      <w:marLeft w:val="0"/>
      <w:marRight w:val="0"/>
      <w:marTop w:val="0"/>
      <w:marBottom w:val="0"/>
      <w:divBdr>
        <w:top w:val="none" w:sz="0" w:space="0" w:color="auto"/>
        <w:left w:val="none" w:sz="0" w:space="0" w:color="auto"/>
        <w:bottom w:val="none" w:sz="0" w:space="0" w:color="auto"/>
        <w:right w:val="none" w:sz="0" w:space="0" w:color="auto"/>
      </w:divBdr>
    </w:div>
    <w:div w:id="28116747">
      <w:bodyDiv w:val="1"/>
      <w:marLeft w:val="0"/>
      <w:marRight w:val="0"/>
      <w:marTop w:val="0"/>
      <w:marBottom w:val="0"/>
      <w:divBdr>
        <w:top w:val="none" w:sz="0" w:space="0" w:color="auto"/>
        <w:left w:val="none" w:sz="0" w:space="0" w:color="auto"/>
        <w:bottom w:val="none" w:sz="0" w:space="0" w:color="auto"/>
        <w:right w:val="none" w:sz="0" w:space="0" w:color="auto"/>
      </w:divBdr>
    </w:div>
    <w:div w:id="28343344">
      <w:bodyDiv w:val="1"/>
      <w:marLeft w:val="0"/>
      <w:marRight w:val="0"/>
      <w:marTop w:val="0"/>
      <w:marBottom w:val="0"/>
      <w:divBdr>
        <w:top w:val="none" w:sz="0" w:space="0" w:color="auto"/>
        <w:left w:val="none" w:sz="0" w:space="0" w:color="auto"/>
        <w:bottom w:val="none" w:sz="0" w:space="0" w:color="auto"/>
        <w:right w:val="none" w:sz="0" w:space="0" w:color="auto"/>
      </w:divBdr>
    </w:div>
    <w:div w:id="29189656">
      <w:bodyDiv w:val="1"/>
      <w:marLeft w:val="0"/>
      <w:marRight w:val="0"/>
      <w:marTop w:val="0"/>
      <w:marBottom w:val="0"/>
      <w:divBdr>
        <w:top w:val="none" w:sz="0" w:space="0" w:color="auto"/>
        <w:left w:val="none" w:sz="0" w:space="0" w:color="auto"/>
        <w:bottom w:val="none" w:sz="0" w:space="0" w:color="auto"/>
        <w:right w:val="none" w:sz="0" w:space="0" w:color="auto"/>
      </w:divBdr>
    </w:div>
    <w:div w:id="29846612">
      <w:bodyDiv w:val="1"/>
      <w:marLeft w:val="0"/>
      <w:marRight w:val="0"/>
      <w:marTop w:val="0"/>
      <w:marBottom w:val="0"/>
      <w:divBdr>
        <w:top w:val="none" w:sz="0" w:space="0" w:color="auto"/>
        <w:left w:val="none" w:sz="0" w:space="0" w:color="auto"/>
        <w:bottom w:val="none" w:sz="0" w:space="0" w:color="auto"/>
        <w:right w:val="none" w:sz="0" w:space="0" w:color="auto"/>
      </w:divBdr>
    </w:div>
    <w:div w:id="30812473">
      <w:bodyDiv w:val="1"/>
      <w:marLeft w:val="0"/>
      <w:marRight w:val="0"/>
      <w:marTop w:val="0"/>
      <w:marBottom w:val="0"/>
      <w:divBdr>
        <w:top w:val="none" w:sz="0" w:space="0" w:color="auto"/>
        <w:left w:val="none" w:sz="0" w:space="0" w:color="auto"/>
        <w:bottom w:val="none" w:sz="0" w:space="0" w:color="auto"/>
        <w:right w:val="none" w:sz="0" w:space="0" w:color="auto"/>
      </w:divBdr>
    </w:div>
    <w:div w:id="30999281">
      <w:bodyDiv w:val="1"/>
      <w:marLeft w:val="0"/>
      <w:marRight w:val="0"/>
      <w:marTop w:val="0"/>
      <w:marBottom w:val="0"/>
      <w:divBdr>
        <w:top w:val="none" w:sz="0" w:space="0" w:color="auto"/>
        <w:left w:val="none" w:sz="0" w:space="0" w:color="auto"/>
        <w:bottom w:val="none" w:sz="0" w:space="0" w:color="auto"/>
        <w:right w:val="none" w:sz="0" w:space="0" w:color="auto"/>
      </w:divBdr>
    </w:div>
    <w:div w:id="32199549">
      <w:bodyDiv w:val="1"/>
      <w:marLeft w:val="0"/>
      <w:marRight w:val="0"/>
      <w:marTop w:val="0"/>
      <w:marBottom w:val="0"/>
      <w:divBdr>
        <w:top w:val="none" w:sz="0" w:space="0" w:color="auto"/>
        <w:left w:val="none" w:sz="0" w:space="0" w:color="auto"/>
        <w:bottom w:val="none" w:sz="0" w:space="0" w:color="auto"/>
        <w:right w:val="none" w:sz="0" w:space="0" w:color="auto"/>
      </w:divBdr>
    </w:div>
    <w:div w:id="32389661">
      <w:bodyDiv w:val="1"/>
      <w:marLeft w:val="0"/>
      <w:marRight w:val="0"/>
      <w:marTop w:val="0"/>
      <w:marBottom w:val="0"/>
      <w:divBdr>
        <w:top w:val="none" w:sz="0" w:space="0" w:color="auto"/>
        <w:left w:val="none" w:sz="0" w:space="0" w:color="auto"/>
        <w:bottom w:val="none" w:sz="0" w:space="0" w:color="auto"/>
        <w:right w:val="none" w:sz="0" w:space="0" w:color="auto"/>
      </w:divBdr>
    </w:div>
    <w:div w:id="32656829">
      <w:bodyDiv w:val="1"/>
      <w:marLeft w:val="0"/>
      <w:marRight w:val="0"/>
      <w:marTop w:val="0"/>
      <w:marBottom w:val="0"/>
      <w:divBdr>
        <w:top w:val="none" w:sz="0" w:space="0" w:color="auto"/>
        <w:left w:val="none" w:sz="0" w:space="0" w:color="auto"/>
        <w:bottom w:val="none" w:sz="0" w:space="0" w:color="auto"/>
        <w:right w:val="none" w:sz="0" w:space="0" w:color="auto"/>
      </w:divBdr>
    </w:div>
    <w:div w:id="33040955">
      <w:bodyDiv w:val="1"/>
      <w:marLeft w:val="0"/>
      <w:marRight w:val="0"/>
      <w:marTop w:val="0"/>
      <w:marBottom w:val="0"/>
      <w:divBdr>
        <w:top w:val="none" w:sz="0" w:space="0" w:color="auto"/>
        <w:left w:val="none" w:sz="0" w:space="0" w:color="auto"/>
        <w:bottom w:val="none" w:sz="0" w:space="0" w:color="auto"/>
        <w:right w:val="none" w:sz="0" w:space="0" w:color="auto"/>
      </w:divBdr>
    </w:div>
    <w:div w:id="33191084">
      <w:bodyDiv w:val="1"/>
      <w:marLeft w:val="0"/>
      <w:marRight w:val="0"/>
      <w:marTop w:val="0"/>
      <w:marBottom w:val="0"/>
      <w:divBdr>
        <w:top w:val="none" w:sz="0" w:space="0" w:color="auto"/>
        <w:left w:val="none" w:sz="0" w:space="0" w:color="auto"/>
        <w:bottom w:val="none" w:sz="0" w:space="0" w:color="auto"/>
        <w:right w:val="none" w:sz="0" w:space="0" w:color="auto"/>
      </w:divBdr>
    </w:div>
    <w:div w:id="33504300">
      <w:bodyDiv w:val="1"/>
      <w:marLeft w:val="0"/>
      <w:marRight w:val="0"/>
      <w:marTop w:val="0"/>
      <w:marBottom w:val="0"/>
      <w:divBdr>
        <w:top w:val="none" w:sz="0" w:space="0" w:color="auto"/>
        <w:left w:val="none" w:sz="0" w:space="0" w:color="auto"/>
        <w:bottom w:val="none" w:sz="0" w:space="0" w:color="auto"/>
        <w:right w:val="none" w:sz="0" w:space="0" w:color="auto"/>
      </w:divBdr>
    </w:div>
    <w:div w:id="35012303">
      <w:bodyDiv w:val="1"/>
      <w:marLeft w:val="0"/>
      <w:marRight w:val="0"/>
      <w:marTop w:val="0"/>
      <w:marBottom w:val="0"/>
      <w:divBdr>
        <w:top w:val="none" w:sz="0" w:space="0" w:color="auto"/>
        <w:left w:val="none" w:sz="0" w:space="0" w:color="auto"/>
        <w:bottom w:val="none" w:sz="0" w:space="0" w:color="auto"/>
        <w:right w:val="none" w:sz="0" w:space="0" w:color="auto"/>
      </w:divBdr>
    </w:div>
    <w:div w:id="35933999">
      <w:bodyDiv w:val="1"/>
      <w:marLeft w:val="0"/>
      <w:marRight w:val="0"/>
      <w:marTop w:val="0"/>
      <w:marBottom w:val="0"/>
      <w:divBdr>
        <w:top w:val="none" w:sz="0" w:space="0" w:color="auto"/>
        <w:left w:val="none" w:sz="0" w:space="0" w:color="auto"/>
        <w:bottom w:val="none" w:sz="0" w:space="0" w:color="auto"/>
        <w:right w:val="none" w:sz="0" w:space="0" w:color="auto"/>
      </w:divBdr>
    </w:div>
    <w:div w:id="36050396">
      <w:bodyDiv w:val="1"/>
      <w:marLeft w:val="0"/>
      <w:marRight w:val="0"/>
      <w:marTop w:val="0"/>
      <w:marBottom w:val="0"/>
      <w:divBdr>
        <w:top w:val="none" w:sz="0" w:space="0" w:color="auto"/>
        <w:left w:val="none" w:sz="0" w:space="0" w:color="auto"/>
        <w:bottom w:val="none" w:sz="0" w:space="0" w:color="auto"/>
        <w:right w:val="none" w:sz="0" w:space="0" w:color="auto"/>
      </w:divBdr>
    </w:div>
    <w:div w:id="36056156">
      <w:bodyDiv w:val="1"/>
      <w:marLeft w:val="0"/>
      <w:marRight w:val="0"/>
      <w:marTop w:val="0"/>
      <w:marBottom w:val="0"/>
      <w:divBdr>
        <w:top w:val="none" w:sz="0" w:space="0" w:color="auto"/>
        <w:left w:val="none" w:sz="0" w:space="0" w:color="auto"/>
        <w:bottom w:val="none" w:sz="0" w:space="0" w:color="auto"/>
        <w:right w:val="none" w:sz="0" w:space="0" w:color="auto"/>
      </w:divBdr>
    </w:div>
    <w:div w:id="36442233">
      <w:bodyDiv w:val="1"/>
      <w:marLeft w:val="0"/>
      <w:marRight w:val="0"/>
      <w:marTop w:val="0"/>
      <w:marBottom w:val="0"/>
      <w:divBdr>
        <w:top w:val="none" w:sz="0" w:space="0" w:color="auto"/>
        <w:left w:val="none" w:sz="0" w:space="0" w:color="auto"/>
        <w:bottom w:val="none" w:sz="0" w:space="0" w:color="auto"/>
        <w:right w:val="none" w:sz="0" w:space="0" w:color="auto"/>
      </w:divBdr>
    </w:div>
    <w:div w:id="37121460">
      <w:bodyDiv w:val="1"/>
      <w:marLeft w:val="0"/>
      <w:marRight w:val="0"/>
      <w:marTop w:val="0"/>
      <w:marBottom w:val="0"/>
      <w:divBdr>
        <w:top w:val="none" w:sz="0" w:space="0" w:color="auto"/>
        <w:left w:val="none" w:sz="0" w:space="0" w:color="auto"/>
        <w:bottom w:val="none" w:sz="0" w:space="0" w:color="auto"/>
        <w:right w:val="none" w:sz="0" w:space="0" w:color="auto"/>
      </w:divBdr>
    </w:div>
    <w:div w:id="37776999">
      <w:bodyDiv w:val="1"/>
      <w:marLeft w:val="0"/>
      <w:marRight w:val="0"/>
      <w:marTop w:val="0"/>
      <w:marBottom w:val="0"/>
      <w:divBdr>
        <w:top w:val="none" w:sz="0" w:space="0" w:color="auto"/>
        <w:left w:val="none" w:sz="0" w:space="0" w:color="auto"/>
        <w:bottom w:val="none" w:sz="0" w:space="0" w:color="auto"/>
        <w:right w:val="none" w:sz="0" w:space="0" w:color="auto"/>
      </w:divBdr>
    </w:div>
    <w:div w:id="37780518">
      <w:bodyDiv w:val="1"/>
      <w:marLeft w:val="0"/>
      <w:marRight w:val="0"/>
      <w:marTop w:val="0"/>
      <w:marBottom w:val="0"/>
      <w:divBdr>
        <w:top w:val="none" w:sz="0" w:space="0" w:color="auto"/>
        <w:left w:val="none" w:sz="0" w:space="0" w:color="auto"/>
        <w:bottom w:val="none" w:sz="0" w:space="0" w:color="auto"/>
        <w:right w:val="none" w:sz="0" w:space="0" w:color="auto"/>
      </w:divBdr>
    </w:div>
    <w:div w:id="38014203">
      <w:bodyDiv w:val="1"/>
      <w:marLeft w:val="0"/>
      <w:marRight w:val="0"/>
      <w:marTop w:val="0"/>
      <w:marBottom w:val="0"/>
      <w:divBdr>
        <w:top w:val="none" w:sz="0" w:space="0" w:color="auto"/>
        <w:left w:val="none" w:sz="0" w:space="0" w:color="auto"/>
        <w:bottom w:val="none" w:sz="0" w:space="0" w:color="auto"/>
        <w:right w:val="none" w:sz="0" w:space="0" w:color="auto"/>
      </w:divBdr>
    </w:div>
    <w:div w:id="38632265">
      <w:bodyDiv w:val="1"/>
      <w:marLeft w:val="0"/>
      <w:marRight w:val="0"/>
      <w:marTop w:val="0"/>
      <w:marBottom w:val="0"/>
      <w:divBdr>
        <w:top w:val="none" w:sz="0" w:space="0" w:color="auto"/>
        <w:left w:val="none" w:sz="0" w:space="0" w:color="auto"/>
        <w:bottom w:val="none" w:sz="0" w:space="0" w:color="auto"/>
        <w:right w:val="none" w:sz="0" w:space="0" w:color="auto"/>
      </w:divBdr>
    </w:div>
    <w:div w:id="39138934">
      <w:bodyDiv w:val="1"/>
      <w:marLeft w:val="0"/>
      <w:marRight w:val="0"/>
      <w:marTop w:val="0"/>
      <w:marBottom w:val="0"/>
      <w:divBdr>
        <w:top w:val="none" w:sz="0" w:space="0" w:color="auto"/>
        <w:left w:val="none" w:sz="0" w:space="0" w:color="auto"/>
        <w:bottom w:val="none" w:sz="0" w:space="0" w:color="auto"/>
        <w:right w:val="none" w:sz="0" w:space="0" w:color="auto"/>
      </w:divBdr>
    </w:div>
    <w:div w:id="39985655">
      <w:bodyDiv w:val="1"/>
      <w:marLeft w:val="0"/>
      <w:marRight w:val="0"/>
      <w:marTop w:val="0"/>
      <w:marBottom w:val="0"/>
      <w:divBdr>
        <w:top w:val="none" w:sz="0" w:space="0" w:color="auto"/>
        <w:left w:val="none" w:sz="0" w:space="0" w:color="auto"/>
        <w:bottom w:val="none" w:sz="0" w:space="0" w:color="auto"/>
        <w:right w:val="none" w:sz="0" w:space="0" w:color="auto"/>
      </w:divBdr>
    </w:div>
    <w:div w:id="40712613">
      <w:bodyDiv w:val="1"/>
      <w:marLeft w:val="0"/>
      <w:marRight w:val="0"/>
      <w:marTop w:val="0"/>
      <w:marBottom w:val="0"/>
      <w:divBdr>
        <w:top w:val="none" w:sz="0" w:space="0" w:color="auto"/>
        <w:left w:val="none" w:sz="0" w:space="0" w:color="auto"/>
        <w:bottom w:val="none" w:sz="0" w:space="0" w:color="auto"/>
        <w:right w:val="none" w:sz="0" w:space="0" w:color="auto"/>
      </w:divBdr>
    </w:div>
    <w:div w:id="41103663">
      <w:bodyDiv w:val="1"/>
      <w:marLeft w:val="0"/>
      <w:marRight w:val="0"/>
      <w:marTop w:val="0"/>
      <w:marBottom w:val="0"/>
      <w:divBdr>
        <w:top w:val="none" w:sz="0" w:space="0" w:color="auto"/>
        <w:left w:val="none" w:sz="0" w:space="0" w:color="auto"/>
        <w:bottom w:val="none" w:sz="0" w:space="0" w:color="auto"/>
        <w:right w:val="none" w:sz="0" w:space="0" w:color="auto"/>
      </w:divBdr>
    </w:div>
    <w:div w:id="42019928">
      <w:bodyDiv w:val="1"/>
      <w:marLeft w:val="0"/>
      <w:marRight w:val="0"/>
      <w:marTop w:val="0"/>
      <w:marBottom w:val="0"/>
      <w:divBdr>
        <w:top w:val="none" w:sz="0" w:space="0" w:color="auto"/>
        <w:left w:val="none" w:sz="0" w:space="0" w:color="auto"/>
        <w:bottom w:val="none" w:sz="0" w:space="0" w:color="auto"/>
        <w:right w:val="none" w:sz="0" w:space="0" w:color="auto"/>
      </w:divBdr>
    </w:div>
    <w:div w:id="42948086">
      <w:bodyDiv w:val="1"/>
      <w:marLeft w:val="0"/>
      <w:marRight w:val="0"/>
      <w:marTop w:val="0"/>
      <w:marBottom w:val="0"/>
      <w:divBdr>
        <w:top w:val="none" w:sz="0" w:space="0" w:color="auto"/>
        <w:left w:val="none" w:sz="0" w:space="0" w:color="auto"/>
        <w:bottom w:val="none" w:sz="0" w:space="0" w:color="auto"/>
        <w:right w:val="none" w:sz="0" w:space="0" w:color="auto"/>
      </w:divBdr>
    </w:div>
    <w:div w:id="42951073">
      <w:bodyDiv w:val="1"/>
      <w:marLeft w:val="0"/>
      <w:marRight w:val="0"/>
      <w:marTop w:val="0"/>
      <w:marBottom w:val="0"/>
      <w:divBdr>
        <w:top w:val="none" w:sz="0" w:space="0" w:color="auto"/>
        <w:left w:val="none" w:sz="0" w:space="0" w:color="auto"/>
        <w:bottom w:val="none" w:sz="0" w:space="0" w:color="auto"/>
        <w:right w:val="none" w:sz="0" w:space="0" w:color="auto"/>
      </w:divBdr>
    </w:div>
    <w:div w:id="42952981">
      <w:bodyDiv w:val="1"/>
      <w:marLeft w:val="0"/>
      <w:marRight w:val="0"/>
      <w:marTop w:val="0"/>
      <w:marBottom w:val="0"/>
      <w:divBdr>
        <w:top w:val="none" w:sz="0" w:space="0" w:color="auto"/>
        <w:left w:val="none" w:sz="0" w:space="0" w:color="auto"/>
        <w:bottom w:val="none" w:sz="0" w:space="0" w:color="auto"/>
        <w:right w:val="none" w:sz="0" w:space="0" w:color="auto"/>
      </w:divBdr>
    </w:div>
    <w:div w:id="43255268">
      <w:bodyDiv w:val="1"/>
      <w:marLeft w:val="0"/>
      <w:marRight w:val="0"/>
      <w:marTop w:val="0"/>
      <w:marBottom w:val="0"/>
      <w:divBdr>
        <w:top w:val="none" w:sz="0" w:space="0" w:color="auto"/>
        <w:left w:val="none" w:sz="0" w:space="0" w:color="auto"/>
        <w:bottom w:val="none" w:sz="0" w:space="0" w:color="auto"/>
        <w:right w:val="none" w:sz="0" w:space="0" w:color="auto"/>
      </w:divBdr>
    </w:div>
    <w:div w:id="44648518">
      <w:bodyDiv w:val="1"/>
      <w:marLeft w:val="0"/>
      <w:marRight w:val="0"/>
      <w:marTop w:val="0"/>
      <w:marBottom w:val="0"/>
      <w:divBdr>
        <w:top w:val="none" w:sz="0" w:space="0" w:color="auto"/>
        <w:left w:val="none" w:sz="0" w:space="0" w:color="auto"/>
        <w:bottom w:val="none" w:sz="0" w:space="0" w:color="auto"/>
        <w:right w:val="none" w:sz="0" w:space="0" w:color="auto"/>
      </w:divBdr>
    </w:div>
    <w:div w:id="45568225">
      <w:bodyDiv w:val="1"/>
      <w:marLeft w:val="0"/>
      <w:marRight w:val="0"/>
      <w:marTop w:val="0"/>
      <w:marBottom w:val="0"/>
      <w:divBdr>
        <w:top w:val="none" w:sz="0" w:space="0" w:color="auto"/>
        <w:left w:val="none" w:sz="0" w:space="0" w:color="auto"/>
        <w:bottom w:val="none" w:sz="0" w:space="0" w:color="auto"/>
        <w:right w:val="none" w:sz="0" w:space="0" w:color="auto"/>
      </w:divBdr>
    </w:div>
    <w:div w:id="45952686">
      <w:bodyDiv w:val="1"/>
      <w:marLeft w:val="0"/>
      <w:marRight w:val="0"/>
      <w:marTop w:val="0"/>
      <w:marBottom w:val="0"/>
      <w:divBdr>
        <w:top w:val="none" w:sz="0" w:space="0" w:color="auto"/>
        <w:left w:val="none" w:sz="0" w:space="0" w:color="auto"/>
        <w:bottom w:val="none" w:sz="0" w:space="0" w:color="auto"/>
        <w:right w:val="none" w:sz="0" w:space="0" w:color="auto"/>
      </w:divBdr>
    </w:div>
    <w:div w:id="46536021">
      <w:bodyDiv w:val="1"/>
      <w:marLeft w:val="0"/>
      <w:marRight w:val="0"/>
      <w:marTop w:val="0"/>
      <w:marBottom w:val="0"/>
      <w:divBdr>
        <w:top w:val="none" w:sz="0" w:space="0" w:color="auto"/>
        <w:left w:val="none" w:sz="0" w:space="0" w:color="auto"/>
        <w:bottom w:val="none" w:sz="0" w:space="0" w:color="auto"/>
        <w:right w:val="none" w:sz="0" w:space="0" w:color="auto"/>
      </w:divBdr>
    </w:div>
    <w:div w:id="47608013">
      <w:bodyDiv w:val="1"/>
      <w:marLeft w:val="0"/>
      <w:marRight w:val="0"/>
      <w:marTop w:val="0"/>
      <w:marBottom w:val="0"/>
      <w:divBdr>
        <w:top w:val="none" w:sz="0" w:space="0" w:color="auto"/>
        <w:left w:val="none" w:sz="0" w:space="0" w:color="auto"/>
        <w:bottom w:val="none" w:sz="0" w:space="0" w:color="auto"/>
        <w:right w:val="none" w:sz="0" w:space="0" w:color="auto"/>
      </w:divBdr>
    </w:div>
    <w:div w:id="48964428">
      <w:bodyDiv w:val="1"/>
      <w:marLeft w:val="0"/>
      <w:marRight w:val="0"/>
      <w:marTop w:val="0"/>
      <w:marBottom w:val="0"/>
      <w:divBdr>
        <w:top w:val="none" w:sz="0" w:space="0" w:color="auto"/>
        <w:left w:val="none" w:sz="0" w:space="0" w:color="auto"/>
        <w:bottom w:val="none" w:sz="0" w:space="0" w:color="auto"/>
        <w:right w:val="none" w:sz="0" w:space="0" w:color="auto"/>
      </w:divBdr>
    </w:div>
    <w:div w:id="49503981">
      <w:bodyDiv w:val="1"/>
      <w:marLeft w:val="0"/>
      <w:marRight w:val="0"/>
      <w:marTop w:val="0"/>
      <w:marBottom w:val="0"/>
      <w:divBdr>
        <w:top w:val="none" w:sz="0" w:space="0" w:color="auto"/>
        <w:left w:val="none" w:sz="0" w:space="0" w:color="auto"/>
        <w:bottom w:val="none" w:sz="0" w:space="0" w:color="auto"/>
        <w:right w:val="none" w:sz="0" w:space="0" w:color="auto"/>
      </w:divBdr>
    </w:div>
    <w:div w:id="49616735">
      <w:bodyDiv w:val="1"/>
      <w:marLeft w:val="0"/>
      <w:marRight w:val="0"/>
      <w:marTop w:val="0"/>
      <w:marBottom w:val="0"/>
      <w:divBdr>
        <w:top w:val="none" w:sz="0" w:space="0" w:color="auto"/>
        <w:left w:val="none" w:sz="0" w:space="0" w:color="auto"/>
        <w:bottom w:val="none" w:sz="0" w:space="0" w:color="auto"/>
        <w:right w:val="none" w:sz="0" w:space="0" w:color="auto"/>
      </w:divBdr>
    </w:div>
    <w:div w:id="50006612">
      <w:bodyDiv w:val="1"/>
      <w:marLeft w:val="0"/>
      <w:marRight w:val="0"/>
      <w:marTop w:val="0"/>
      <w:marBottom w:val="0"/>
      <w:divBdr>
        <w:top w:val="none" w:sz="0" w:space="0" w:color="auto"/>
        <w:left w:val="none" w:sz="0" w:space="0" w:color="auto"/>
        <w:bottom w:val="none" w:sz="0" w:space="0" w:color="auto"/>
        <w:right w:val="none" w:sz="0" w:space="0" w:color="auto"/>
      </w:divBdr>
    </w:div>
    <w:div w:id="50203521">
      <w:bodyDiv w:val="1"/>
      <w:marLeft w:val="0"/>
      <w:marRight w:val="0"/>
      <w:marTop w:val="0"/>
      <w:marBottom w:val="0"/>
      <w:divBdr>
        <w:top w:val="none" w:sz="0" w:space="0" w:color="auto"/>
        <w:left w:val="none" w:sz="0" w:space="0" w:color="auto"/>
        <w:bottom w:val="none" w:sz="0" w:space="0" w:color="auto"/>
        <w:right w:val="none" w:sz="0" w:space="0" w:color="auto"/>
      </w:divBdr>
    </w:div>
    <w:div w:id="50466925">
      <w:bodyDiv w:val="1"/>
      <w:marLeft w:val="0"/>
      <w:marRight w:val="0"/>
      <w:marTop w:val="0"/>
      <w:marBottom w:val="0"/>
      <w:divBdr>
        <w:top w:val="none" w:sz="0" w:space="0" w:color="auto"/>
        <w:left w:val="none" w:sz="0" w:space="0" w:color="auto"/>
        <w:bottom w:val="none" w:sz="0" w:space="0" w:color="auto"/>
        <w:right w:val="none" w:sz="0" w:space="0" w:color="auto"/>
      </w:divBdr>
    </w:div>
    <w:div w:id="51123888">
      <w:bodyDiv w:val="1"/>
      <w:marLeft w:val="0"/>
      <w:marRight w:val="0"/>
      <w:marTop w:val="0"/>
      <w:marBottom w:val="0"/>
      <w:divBdr>
        <w:top w:val="none" w:sz="0" w:space="0" w:color="auto"/>
        <w:left w:val="none" w:sz="0" w:space="0" w:color="auto"/>
        <w:bottom w:val="none" w:sz="0" w:space="0" w:color="auto"/>
        <w:right w:val="none" w:sz="0" w:space="0" w:color="auto"/>
      </w:divBdr>
    </w:div>
    <w:div w:id="51393401">
      <w:bodyDiv w:val="1"/>
      <w:marLeft w:val="0"/>
      <w:marRight w:val="0"/>
      <w:marTop w:val="0"/>
      <w:marBottom w:val="0"/>
      <w:divBdr>
        <w:top w:val="none" w:sz="0" w:space="0" w:color="auto"/>
        <w:left w:val="none" w:sz="0" w:space="0" w:color="auto"/>
        <w:bottom w:val="none" w:sz="0" w:space="0" w:color="auto"/>
        <w:right w:val="none" w:sz="0" w:space="0" w:color="auto"/>
      </w:divBdr>
    </w:div>
    <w:div w:id="51542807">
      <w:bodyDiv w:val="1"/>
      <w:marLeft w:val="0"/>
      <w:marRight w:val="0"/>
      <w:marTop w:val="0"/>
      <w:marBottom w:val="0"/>
      <w:divBdr>
        <w:top w:val="none" w:sz="0" w:space="0" w:color="auto"/>
        <w:left w:val="none" w:sz="0" w:space="0" w:color="auto"/>
        <w:bottom w:val="none" w:sz="0" w:space="0" w:color="auto"/>
        <w:right w:val="none" w:sz="0" w:space="0" w:color="auto"/>
      </w:divBdr>
    </w:div>
    <w:div w:id="52312938">
      <w:bodyDiv w:val="1"/>
      <w:marLeft w:val="0"/>
      <w:marRight w:val="0"/>
      <w:marTop w:val="0"/>
      <w:marBottom w:val="0"/>
      <w:divBdr>
        <w:top w:val="none" w:sz="0" w:space="0" w:color="auto"/>
        <w:left w:val="none" w:sz="0" w:space="0" w:color="auto"/>
        <w:bottom w:val="none" w:sz="0" w:space="0" w:color="auto"/>
        <w:right w:val="none" w:sz="0" w:space="0" w:color="auto"/>
      </w:divBdr>
    </w:div>
    <w:div w:id="52430054">
      <w:bodyDiv w:val="1"/>
      <w:marLeft w:val="0"/>
      <w:marRight w:val="0"/>
      <w:marTop w:val="0"/>
      <w:marBottom w:val="0"/>
      <w:divBdr>
        <w:top w:val="none" w:sz="0" w:space="0" w:color="auto"/>
        <w:left w:val="none" w:sz="0" w:space="0" w:color="auto"/>
        <w:bottom w:val="none" w:sz="0" w:space="0" w:color="auto"/>
        <w:right w:val="none" w:sz="0" w:space="0" w:color="auto"/>
      </w:divBdr>
    </w:div>
    <w:div w:id="53311248">
      <w:bodyDiv w:val="1"/>
      <w:marLeft w:val="0"/>
      <w:marRight w:val="0"/>
      <w:marTop w:val="0"/>
      <w:marBottom w:val="0"/>
      <w:divBdr>
        <w:top w:val="none" w:sz="0" w:space="0" w:color="auto"/>
        <w:left w:val="none" w:sz="0" w:space="0" w:color="auto"/>
        <w:bottom w:val="none" w:sz="0" w:space="0" w:color="auto"/>
        <w:right w:val="none" w:sz="0" w:space="0" w:color="auto"/>
      </w:divBdr>
    </w:div>
    <w:div w:id="53428137">
      <w:bodyDiv w:val="1"/>
      <w:marLeft w:val="0"/>
      <w:marRight w:val="0"/>
      <w:marTop w:val="0"/>
      <w:marBottom w:val="0"/>
      <w:divBdr>
        <w:top w:val="none" w:sz="0" w:space="0" w:color="auto"/>
        <w:left w:val="none" w:sz="0" w:space="0" w:color="auto"/>
        <w:bottom w:val="none" w:sz="0" w:space="0" w:color="auto"/>
        <w:right w:val="none" w:sz="0" w:space="0" w:color="auto"/>
      </w:divBdr>
    </w:div>
    <w:div w:id="54086452">
      <w:bodyDiv w:val="1"/>
      <w:marLeft w:val="0"/>
      <w:marRight w:val="0"/>
      <w:marTop w:val="0"/>
      <w:marBottom w:val="0"/>
      <w:divBdr>
        <w:top w:val="none" w:sz="0" w:space="0" w:color="auto"/>
        <w:left w:val="none" w:sz="0" w:space="0" w:color="auto"/>
        <w:bottom w:val="none" w:sz="0" w:space="0" w:color="auto"/>
        <w:right w:val="none" w:sz="0" w:space="0" w:color="auto"/>
      </w:divBdr>
    </w:div>
    <w:div w:id="54746954">
      <w:bodyDiv w:val="1"/>
      <w:marLeft w:val="0"/>
      <w:marRight w:val="0"/>
      <w:marTop w:val="0"/>
      <w:marBottom w:val="0"/>
      <w:divBdr>
        <w:top w:val="none" w:sz="0" w:space="0" w:color="auto"/>
        <w:left w:val="none" w:sz="0" w:space="0" w:color="auto"/>
        <w:bottom w:val="none" w:sz="0" w:space="0" w:color="auto"/>
        <w:right w:val="none" w:sz="0" w:space="0" w:color="auto"/>
      </w:divBdr>
    </w:div>
    <w:div w:id="55401927">
      <w:bodyDiv w:val="1"/>
      <w:marLeft w:val="0"/>
      <w:marRight w:val="0"/>
      <w:marTop w:val="0"/>
      <w:marBottom w:val="0"/>
      <w:divBdr>
        <w:top w:val="none" w:sz="0" w:space="0" w:color="auto"/>
        <w:left w:val="none" w:sz="0" w:space="0" w:color="auto"/>
        <w:bottom w:val="none" w:sz="0" w:space="0" w:color="auto"/>
        <w:right w:val="none" w:sz="0" w:space="0" w:color="auto"/>
      </w:divBdr>
    </w:div>
    <w:div w:id="55667518">
      <w:bodyDiv w:val="1"/>
      <w:marLeft w:val="0"/>
      <w:marRight w:val="0"/>
      <w:marTop w:val="0"/>
      <w:marBottom w:val="0"/>
      <w:divBdr>
        <w:top w:val="none" w:sz="0" w:space="0" w:color="auto"/>
        <w:left w:val="none" w:sz="0" w:space="0" w:color="auto"/>
        <w:bottom w:val="none" w:sz="0" w:space="0" w:color="auto"/>
        <w:right w:val="none" w:sz="0" w:space="0" w:color="auto"/>
      </w:divBdr>
    </w:div>
    <w:div w:id="56054904">
      <w:bodyDiv w:val="1"/>
      <w:marLeft w:val="0"/>
      <w:marRight w:val="0"/>
      <w:marTop w:val="0"/>
      <w:marBottom w:val="0"/>
      <w:divBdr>
        <w:top w:val="none" w:sz="0" w:space="0" w:color="auto"/>
        <w:left w:val="none" w:sz="0" w:space="0" w:color="auto"/>
        <w:bottom w:val="none" w:sz="0" w:space="0" w:color="auto"/>
        <w:right w:val="none" w:sz="0" w:space="0" w:color="auto"/>
      </w:divBdr>
    </w:div>
    <w:div w:id="56366457">
      <w:bodyDiv w:val="1"/>
      <w:marLeft w:val="0"/>
      <w:marRight w:val="0"/>
      <w:marTop w:val="0"/>
      <w:marBottom w:val="0"/>
      <w:divBdr>
        <w:top w:val="none" w:sz="0" w:space="0" w:color="auto"/>
        <w:left w:val="none" w:sz="0" w:space="0" w:color="auto"/>
        <w:bottom w:val="none" w:sz="0" w:space="0" w:color="auto"/>
        <w:right w:val="none" w:sz="0" w:space="0" w:color="auto"/>
      </w:divBdr>
    </w:div>
    <w:div w:id="56436689">
      <w:bodyDiv w:val="1"/>
      <w:marLeft w:val="0"/>
      <w:marRight w:val="0"/>
      <w:marTop w:val="0"/>
      <w:marBottom w:val="0"/>
      <w:divBdr>
        <w:top w:val="none" w:sz="0" w:space="0" w:color="auto"/>
        <w:left w:val="none" w:sz="0" w:space="0" w:color="auto"/>
        <w:bottom w:val="none" w:sz="0" w:space="0" w:color="auto"/>
        <w:right w:val="none" w:sz="0" w:space="0" w:color="auto"/>
      </w:divBdr>
    </w:div>
    <w:div w:id="57090976">
      <w:bodyDiv w:val="1"/>
      <w:marLeft w:val="0"/>
      <w:marRight w:val="0"/>
      <w:marTop w:val="0"/>
      <w:marBottom w:val="0"/>
      <w:divBdr>
        <w:top w:val="none" w:sz="0" w:space="0" w:color="auto"/>
        <w:left w:val="none" w:sz="0" w:space="0" w:color="auto"/>
        <w:bottom w:val="none" w:sz="0" w:space="0" w:color="auto"/>
        <w:right w:val="none" w:sz="0" w:space="0" w:color="auto"/>
      </w:divBdr>
    </w:div>
    <w:div w:id="57363779">
      <w:bodyDiv w:val="1"/>
      <w:marLeft w:val="0"/>
      <w:marRight w:val="0"/>
      <w:marTop w:val="0"/>
      <w:marBottom w:val="0"/>
      <w:divBdr>
        <w:top w:val="none" w:sz="0" w:space="0" w:color="auto"/>
        <w:left w:val="none" w:sz="0" w:space="0" w:color="auto"/>
        <w:bottom w:val="none" w:sz="0" w:space="0" w:color="auto"/>
        <w:right w:val="none" w:sz="0" w:space="0" w:color="auto"/>
      </w:divBdr>
    </w:div>
    <w:div w:id="57367829">
      <w:bodyDiv w:val="1"/>
      <w:marLeft w:val="0"/>
      <w:marRight w:val="0"/>
      <w:marTop w:val="0"/>
      <w:marBottom w:val="0"/>
      <w:divBdr>
        <w:top w:val="none" w:sz="0" w:space="0" w:color="auto"/>
        <w:left w:val="none" w:sz="0" w:space="0" w:color="auto"/>
        <w:bottom w:val="none" w:sz="0" w:space="0" w:color="auto"/>
        <w:right w:val="none" w:sz="0" w:space="0" w:color="auto"/>
      </w:divBdr>
    </w:div>
    <w:div w:id="58140935">
      <w:bodyDiv w:val="1"/>
      <w:marLeft w:val="0"/>
      <w:marRight w:val="0"/>
      <w:marTop w:val="0"/>
      <w:marBottom w:val="0"/>
      <w:divBdr>
        <w:top w:val="none" w:sz="0" w:space="0" w:color="auto"/>
        <w:left w:val="none" w:sz="0" w:space="0" w:color="auto"/>
        <w:bottom w:val="none" w:sz="0" w:space="0" w:color="auto"/>
        <w:right w:val="none" w:sz="0" w:space="0" w:color="auto"/>
      </w:divBdr>
    </w:div>
    <w:div w:id="58405276">
      <w:bodyDiv w:val="1"/>
      <w:marLeft w:val="0"/>
      <w:marRight w:val="0"/>
      <w:marTop w:val="0"/>
      <w:marBottom w:val="0"/>
      <w:divBdr>
        <w:top w:val="none" w:sz="0" w:space="0" w:color="auto"/>
        <w:left w:val="none" w:sz="0" w:space="0" w:color="auto"/>
        <w:bottom w:val="none" w:sz="0" w:space="0" w:color="auto"/>
        <w:right w:val="none" w:sz="0" w:space="0" w:color="auto"/>
      </w:divBdr>
    </w:div>
    <w:div w:id="58527482">
      <w:bodyDiv w:val="1"/>
      <w:marLeft w:val="0"/>
      <w:marRight w:val="0"/>
      <w:marTop w:val="0"/>
      <w:marBottom w:val="0"/>
      <w:divBdr>
        <w:top w:val="none" w:sz="0" w:space="0" w:color="auto"/>
        <w:left w:val="none" w:sz="0" w:space="0" w:color="auto"/>
        <w:bottom w:val="none" w:sz="0" w:space="0" w:color="auto"/>
        <w:right w:val="none" w:sz="0" w:space="0" w:color="auto"/>
      </w:divBdr>
    </w:div>
    <w:div w:id="59332738">
      <w:bodyDiv w:val="1"/>
      <w:marLeft w:val="0"/>
      <w:marRight w:val="0"/>
      <w:marTop w:val="0"/>
      <w:marBottom w:val="0"/>
      <w:divBdr>
        <w:top w:val="none" w:sz="0" w:space="0" w:color="auto"/>
        <w:left w:val="none" w:sz="0" w:space="0" w:color="auto"/>
        <w:bottom w:val="none" w:sz="0" w:space="0" w:color="auto"/>
        <w:right w:val="none" w:sz="0" w:space="0" w:color="auto"/>
      </w:divBdr>
    </w:div>
    <w:div w:id="59789221">
      <w:bodyDiv w:val="1"/>
      <w:marLeft w:val="0"/>
      <w:marRight w:val="0"/>
      <w:marTop w:val="0"/>
      <w:marBottom w:val="0"/>
      <w:divBdr>
        <w:top w:val="none" w:sz="0" w:space="0" w:color="auto"/>
        <w:left w:val="none" w:sz="0" w:space="0" w:color="auto"/>
        <w:bottom w:val="none" w:sz="0" w:space="0" w:color="auto"/>
        <w:right w:val="none" w:sz="0" w:space="0" w:color="auto"/>
      </w:divBdr>
    </w:div>
    <w:div w:id="59989523">
      <w:bodyDiv w:val="1"/>
      <w:marLeft w:val="0"/>
      <w:marRight w:val="0"/>
      <w:marTop w:val="0"/>
      <w:marBottom w:val="0"/>
      <w:divBdr>
        <w:top w:val="none" w:sz="0" w:space="0" w:color="auto"/>
        <w:left w:val="none" w:sz="0" w:space="0" w:color="auto"/>
        <w:bottom w:val="none" w:sz="0" w:space="0" w:color="auto"/>
        <w:right w:val="none" w:sz="0" w:space="0" w:color="auto"/>
      </w:divBdr>
    </w:div>
    <w:div w:id="60714459">
      <w:bodyDiv w:val="1"/>
      <w:marLeft w:val="0"/>
      <w:marRight w:val="0"/>
      <w:marTop w:val="0"/>
      <w:marBottom w:val="0"/>
      <w:divBdr>
        <w:top w:val="none" w:sz="0" w:space="0" w:color="auto"/>
        <w:left w:val="none" w:sz="0" w:space="0" w:color="auto"/>
        <w:bottom w:val="none" w:sz="0" w:space="0" w:color="auto"/>
        <w:right w:val="none" w:sz="0" w:space="0" w:color="auto"/>
      </w:divBdr>
    </w:div>
    <w:div w:id="60759493">
      <w:bodyDiv w:val="1"/>
      <w:marLeft w:val="0"/>
      <w:marRight w:val="0"/>
      <w:marTop w:val="0"/>
      <w:marBottom w:val="0"/>
      <w:divBdr>
        <w:top w:val="none" w:sz="0" w:space="0" w:color="auto"/>
        <w:left w:val="none" w:sz="0" w:space="0" w:color="auto"/>
        <w:bottom w:val="none" w:sz="0" w:space="0" w:color="auto"/>
        <w:right w:val="none" w:sz="0" w:space="0" w:color="auto"/>
      </w:divBdr>
    </w:div>
    <w:div w:id="60831648">
      <w:bodyDiv w:val="1"/>
      <w:marLeft w:val="0"/>
      <w:marRight w:val="0"/>
      <w:marTop w:val="0"/>
      <w:marBottom w:val="0"/>
      <w:divBdr>
        <w:top w:val="none" w:sz="0" w:space="0" w:color="auto"/>
        <w:left w:val="none" w:sz="0" w:space="0" w:color="auto"/>
        <w:bottom w:val="none" w:sz="0" w:space="0" w:color="auto"/>
        <w:right w:val="none" w:sz="0" w:space="0" w:color="auto"/>
      </w:divBdr>
    </w:div>
    <w:div w:id="62027708">
      <w:bodyDiv w:val="1"/>
      <w:marLeft w:val="0"/>
      <w:marRight w:val="0"/>
      <w:marTop w:val="0"/>
      <w:marBottom w:val="0"/>
      <w:divBdr>
        <w:top w:val="none" w:sz="0" w:space="0" w:color="auto"/>
        <w:left w:val="none" w:sz="0" w:space="0" w:color="auto"/>
        <w:bottom w:val="none" w:sz="0" w:space="0" w:color="auto"/>
        <w:right w:val="none" w:sz="0" w:space="0" w:color="auto"/>
      </w:divBdr>
    </w:div>
    <w:div w:id="63794733">
      <w:bodyDiv w:val="1"/>
      <w:marLeft w:val="0"/>
      <w:marRight w:val="0"/>
      <w:marTop w:val="0"/>
      <w:marBottom w:val="0"/>
      <w:divBdr>
        <w:top w:val="none" w:sz="0" w:space="0" w:color="auto"/>
        <w:left w:val="none" w:sz="0" w:space="0" w:color="auto"/>
        <w:bottom w:val="none" w:sz="0" w:space="0" w:color="auto"/>
        <w:right w:val="none" w:sz="0" w:space="0" w:color="auto"/>
      </w:divBdr>
    </w:div>
    <w:div w:id="64888058">
      <w:bodyDiv w:val="1"/>
      <w:marLeft w:val="0"/>
      <w:marRight w:val="0"/>
      <w:marTop w:val="0"/>
      <w:marBottom w:val="0"/>
      <w:divBdr>
        <w:top w:val="none" w:sz="0" w:space="0" w:color="auto"/>
        <w:left w:val="none" w:sz="0" w:space="0" w:color="auto"/>
        <w:bottom w:val="none" w:sz="0" w:space="0" w:color="auto"/>
        <w:right w:val="none" w:sz="0" w:space="0" w:color="auto"/>
      </w:divBdr>
    </w:div>
    <w:div w:id="64963618">
      <w:bodyDiv w:val="1"/>
      <w:marLeft w:val="0"/>
      <w:marRight w:val="0"/>
      <w:marTop w:val="0"/>
      <w:marBottom w:val="0"/>
      <w:divBdr>
        <w:top w:val="none" w:sz="0" w:space="0" w:color="auto"/>
        <w:left w:val="none" w:sz="0" w:space="0" w:color="auto"/>
        <w:bottom w:val="none" w:sz="0" w:space="0" w:color="auto"/>
        <w:right w:val="none" w:sz="0" w:space="0" w:color="auto"/>
      </w:divBdr>
    </w:div>
    <w:div w:id="65153947">
      <w:bodyDiv w:val="1"/>
      <w:marLeft w:val="0"/>
      <w:marRight w:val="0"/>
      <w:marTop w:val="0"/>
      <w:marBottom w:val="0"/>
      <w:divBdr>
        <w:top w:val="none" w:sz="0" w:space="0" w:color="auto"/>
        <w:left w:val="none" w:sz="0" w:space="0" w:color="auto"/>
        <w:bottom w:val="none" w:sz="0" w:space="0" w:color="auto"/>
        <w:right w:val="none" w:sz="0" w:space="0" w:color="auto"/>
      </w:divBdr>
    </w:div>
    <w:div w:id="65228116">
      <w:bodyDiv w:val="1"/>
      <w:marLeft w:val="0"/>
      <w:marRight w:val="0"/>
      <w:marTop w:val="0"/>
      <w:marBottom w:val="0"/>
      <w:divBdr>
        <w:top w:val="none" w:sz="0" w:space="0" w:color="auto"/>
        <w:left w:val="none" w:sz="0" w:space="0" w:color="auto"/>
        <w:bottom w:val="none" w:sz="0" w:space="0" w:color="auto"/>
        <w:right w:val="none" w:sz="0" w:space="0" w:color="auto"/>
      </w:divBdr>
    </w:div>
    <w:div w:id="65617110">
      <w:bodyDiv w:val="1"/>
      <w:marLeft w:val="0"/>
      <w:marRight w:val="0"/>
      <w:marTop w:val="0"/>
      <w:marBottom w:val="0"/>
      <w:divBdr>
        <w:top w:val="none" w:sz="0" w:space="0" w:color="auto"/>
        <w:left w:val="none" w:sz="0" w:space="0" w:color="auto"/>
        <w:bottom w:val="none" w:sz="0" w:space="0" w:color="auto"/>
        <w:right w:val="none" w:sz="0" w:space="0" w:color="auto"/>
      </w:divBdr>
    </w:div>
    <w:div w:id="65811111">
      <w:bodyDiv w:val="1"/>
      <w:marLeft w:val="0"/>
      <w:marRight w:val="0"/>
      <w:marTop w:val="0"/>
      <w:marBottom w:val="0"/>
      <w:divBdr>
        <w:top w:val="none" w:sz="0" w:space="0" w:color="auto"/>
        <w:left w:val="none" w:sz="0" w:space="0" w:color="auto"/>
        <w:bottom w:val="none" w:sz="0" w:space="0" w:color="auto"/>
        <w:right w:val="none" w:sz="0" w:space="0" w:color="auto"/>
      </w:divBdr>
    </w:div>
    <w:div w:id="65959596">
      <w:bodyDiv w:val="1"/>
      <w:marLeft w:val="0"/>
      <w:marRight w:val="0"/>
      <w:marTop w:val="0"/>
      <w:marBottom w:val="0"/>
      <w:divBdr>
        <w:top w:val="none" w:sz="0" w:space="0" w:color="auto"/>
        <w:left w:val="none" w:sz="0" w:space="0" w:color="auto"/>
        <w:bottom w:val="none" w:sz="0" w:space="0" w:color="auto"/>
        <w:right w:val="none" w:sz="0" w:space="0" w:color="auto"/>
      </w:divBdr>
    </w:div>
    <w:div w:id="68580349">
      <w:bodyDiv w:val="1"/>
      <w:marLeft w:val="0"/>
      <w:marRight w:val="0"/>
      <w:marTop w:val="0"/>
      <w:marBottom w:val="0"/>
      <w:divBdr>
        <w:top w:val="none" w:sz="0" w:space="0" w:color="auto"/>
        <w:left w:val="none" w:sz="0" w:space="0" w:color="auto"/>
        <w:bottom w:val="none" w:sz="0" w:space="0" w:color="auto"/>
        <w:right w:val="none" w:sz="0" w:space="0" w:color="auto"/>
      </w:divBdr>
    </w:div>
    <w:div w:id="68843163">
      <w:bodyDiv w:val="1"/>
      <w:marLeft w:val="0"/>
      <w:marRight w:val="0"/>
      <w:marTop w:val="0"/>
      <w:marBottom w:val="0"/>
      <w:divBdr>
        <w:top w:val="none" w:sz="0" w:space="0" w:color="auto"/>
        <w:left w:val="none" w:sz="0" w:space="0" w:color="auto"/>
        <w:bottom w:val="none" w:sz="0" w:space="0" w:color="auto"/>
        <w:right w:val="none" w:sz="0" w:space="0" w:color="auto"/>
      </w:divBdr>
    </w:div>
    <w:div w:id="68962189">
      <w:bodyDiv w:val="1"/>
      <w:marLeft w:val="0"/>
      <w:marRight w:val="0"/>
      <w:marTop w:val="0"/>
      <w:marBottom w:val="0"/>
      <w:divBdr>
        <w:top w:val="none" w:sz="0" w:space="0" w:color="auto"/>
        <w:left w:val="none" w:sz="0" w:space="0" w:color="auto"/>
        <w:bottom w:val="none" w:sz="0" w:space="0" w:color="auto"/>
        <w:right w:val="none" w:sz="0" w:space="0" w:color="auto"/>
      </w:divBdr>
    </w:div>
    <w:div w:id="69621373">
      <w:bodyDiv w:val="1"/>
      <w:marLeft w:val="0"/>
      <w:marRight w:val="0"/>
      <w:marTop w:val="0"/>
      <w:marBottom w:val="0"/>
      <w:divBdr>
        <w:top w:val="none" w:sz="0" w:space="0" w:color="auto"/>
        <w:left w:val="none" w:sz="0" w:space="0" w:color="auto"/>
        <w:bottom w:val="none" w:sz="0" w:space="0" w:color="auto"/>
        <w:right w:val="none" w:sz="0" w:space="0" w:color="auto"/>
      </w:divBdr>
    </w:div>
    <w:div w:id="69737404">
      <w:bodyDiv w:val="1"/>
      <w:marLeft w:val="0"/>
      <w:marRight w:val="0"/>
      <w:marTop w:val="0"/>
      <w:marBottom w:val="0"/>
      <w:divBdr>
        <w:top w:val="none" w:sz="0" w:space="0" w:color="auto"/>
        <w:left w:val="none" w:sz="0" w:space="0" w:color="auto"/>
        <w:bottom w:val="none" w:sz="0" w:space="0" w:color="auto"/>
        <w:right w:val="none" w:sz="0" w:space="0" w:color="auto"/>
      </w:divBdr>
    </w:div>
    <w:div w:id="70274507">
      <w:bodyDiv w:val="1"/>
      <w:marLeft w:val="0"/>
      <w:marRight w:val="0"/>
      <w:marTop w:val="0"/>
      <w:marBottom w:val="0"/>
      <w:divBdr>
        <w:top w:val="none" w:sz="0" w:space="0" w:color="auto"/>
        <w:left w:val="none" w:sz="0" w:space="0" w:color="auto"/>
        <w:bottom w:val="none" w:sz="0" w:space="0" w:color="auto"/>
        <w:right w:val="none" w:sz="0" w:space="0" w:color="auto"/>
      </w:divBdr>
    </w:div>
    <w:div w:id="71781843">
      <w:bodyDiv w:val="1"/>
      <w:marLeft w:val="0"/>
      <w:marRight w:val="0"/>
      <w:marTop w:val="0"/>
      <w:marBottom w:val="0"/>
      <w:divBdr>
        <w:top w:val="none" w:sz="0" w:space="0" w:color="auto"/>
        <w:left w:val="none" w:sz="0" w:space="0" w:color="auto"/>
        <w:bottom w:val="none" w:sz="0" w:space="0" w:color="auto"/>
        <w:right w:val="none" w:sz="0" w:space="0" w:color="auto"/>
      </w:divBdr>
    </w:div>
    <w:div w:id="72288215">
      <w:bodyDiv w:val="1"/>
      <w:marLeft w:val="0"/>
      <w:marRight w:val="0"/>
      <w:marTop w:val="0"/>
      <w:marBottom w:val="0"/>
      <w:divBdr>
        <w:top w:val="none" w:sz="0" w:space="0" w:color="auto"/>
        <w:left w:val="none" w:sz="0" w:space="0" w:color="auto"/>
        <w:bottom w:val="none" w:sz="0" w:space="0" w:color="auto"/>
        <w:right w:val="none" w:sz="0" w:space="0" w:color="auto"/>
      </w:divBdr>
    </w:div>
    <w:div w:id="72358132">
      <w:bodyDiv w:val="1"/>
      <w:marLeft w:val="0"/>
      <w:marRight w:val="0"/>
      <w:marTop w:val="0"/>
      <w:marBottom w:val="0"/>
      <w:divBdr>
        <w:top w:val="none" w:sz="0" w:space="0" w:color="auto"/>
        <w:left w:val="none" w:sz="0" w:space="0" w:color="auto"/>
        <w:bottom w:val="none" w:sz="0" w:space="0" w:color="auto"/>
        <w:right w:val="none" w:sz="0" w:space="0" w:color="auto"/>
      </w:divBdr>
    </w:div>
    <w:div w:id="72436262">
      <w:bodyDiv w:val="1"/>
      <w:marLeft w:val="0"/>
      <w:marRight w:val="0"/>
      <w:marTop w:val="0"/>
      <w:marBottom w:val="0"/>
      <w:divBdr>
        <w:top w:val="none" w:sz="0" w:space="0" w:color="auto"/>
        <w:left w:val="none" w:sz="0" w:space="0" w:color="auto"/>
        <w:bottom w:val="none" w:sz="0" w:space="0" w:color="auto"/>
        <w:right w:val="none" w:sz="0" w:space="0" w:color="auto"/>
      </w:divBdr>
    </w:div>
    <w:div w:id="74711984">
      <w:bodyDiv w:val="1"/>
      <w:marLeft w:val="0"/>
      <w:marRight w:val="0"/>
      <w:marTop w:val="0"/>
      <w:marBottom w:val="0"/>
      <w:divBdr>
        <w:top w:val="none" w:sz="0" w:space="0" w:color="auto"/>
        <w:left w:val="none" w:sz="0" w:space="0" w:color="auto"/>
        <w:bottom w:val="none" w:sz="0" w:space="0" w:color="auto"/>
        <w:right w:val="none" w:sz="0" w:space="0" w:color="auto"/>
      </w:divBdr>
    </w:div>
    <w:div w:id="74785243">
      <w:bodyDiv w:val="1"/>
      <w:marLeft w:val="0"/>
      <w:marRight w:val="0"/>
      <w:marTop w:val="0"/>
      <w:marBottom w:val="0"/>
      <w:divBdr>
        <w:top w:val="none" w:sz="0" w:space="0" w:color="auto"/>
        <w:left w:val="none" w:sz="0" w:space="0" w:color="auto"/>
        <w:bottom w:val="none" w:sz="0" w:space="0" w:color="auto"/>
        <w:right w:val="none" w:sz="0" w:space="0" w:color="auto"/>
      </w:divBdr>
    </w:div>
    <w:div w:id="74935212">
      <w:bodyDiv w:val="1"/>
      <w:marLeft w:val="0"/>
      <w:marRight w:val="0"/>
      <w:marTop w:val="0"/>
      <w:marBottom w:val="0"/>
      <w:divBdr>
        <w:top w:val="none" w:sz="0" w:space="0" w:color="auto"/>
        <w:left w:val="none" w:sz="0" w:space="0" w:color="auto"/>
        <w:bottom w:val="none" w:sz="0" w:space="0" w:color="auto"/>
        <w:right w:val="none" w:sz="0" w:space="0" w:color="auto"/>
      </w:divBdr>
    </w:div>
    <w:div w:id="74982147">
      <w:bodyDiv w:val="1"/>
      <w:marLeft w:val="0"/>
      <w:marRight w:val="0"/>
      <w:marTop w:val="0"/>
      <w:marBottom w:val="0"/>
      <w:divBdr>
        <w:top w:val="none" w:sz="0" w:space="0" w:color="auto"/>
        <w:left w:val="none" w:sz="0" w:space="0" w:color="auto"/>
        <w:bottom w:val="none" w:sz="0" w:space="0" w:color="auto"/>
        <w:right w:val="none" w:sz="0" w:space="0" w:color="auto"/>
      </w:divBdr>
    </w:div>
    <w:div w:id="75320895">
      <w:bodyDiv w:val="1"/>
      <w:marLeft w:val="0"/>
      <w:marRight w:val="0"/>
      <w:marTop w:val="0"/>
      <w:marBottom w:val="0"/>
      <w:divBdr>
        <w:top w:val="none" w:sz="0" w:space="0" w:color="auto"/>
        <w:left w:val="none" w:sz="0" w:space="0" w:color="auto"/>
        <w:bottom w:val="none" w:sz="0" w:space="0" w:color="auto"/>
        <w:right w:val="none" w:sz="0" w:space="0" w:color="auto"/>
      </w:divBdr>
    </w:div>
    <w:div w:id="75981929">
      <w:bodyDiv w:val="1"/>
      <w:marLeft w:val="0"/>
      <w:marRight w:val="0"/>
      <w:marTop w:val="0"/>
      <w:marBottom w:val="0"/>
      <w:divBdr>
        <w:top w:val="none" w:sz="0" w:space="0" w:color="auto"/>
        <w:left w:val="none" w:sz="0" w:space="0" w:color="auto"/>
        <w:bottom w:val="none" w:sz="0" w:space="0" w:color="auto"/>
        <w:right w:val="none" w:sz="0" w:space="0" w:color="auto"/>
      </w:divBdr>
    </w:div>
    <w:div w:id="77021706">
      <w:bodyDiv w:val="1"/>
      <w:marLeft w:val="0"/>
      <w:marRight w:val="0"/>
      <w:marTop w:val="0"/>
      <w:marBottom w:val="0"/>
      <w:divBdr>
        <w:top w:val="none" w:sz="0" w:space="0" w:color="auto"/>
        <w:left w:val="none" w:sz="0" w:space="0" w:color="auto"/>
        <w:bottom w:val="none" w:sz="0" w:space="0" w:color="auto"/>
        <w:right w:val="none" w:sz="0" w:space="0" w:color="auto"/>
      </w:divBdr>
    </w:div>
    <w:div w:id="77406370">
      <w:bodyDiv w:val="1"/>
      <w:marLeft w:val="0"/>
      <w:marRight w:val="0"/>
      <w:marTop w:val="0"/>
      <w:marBottom w:val="0"/>
      <w:divBdr>
        <w:top w:val="none" w:sz="0" w:space="0" w:color="auto"/>
        <w:left w:val="none" w:sz="0" w:space="0" w:color="auto"/>
        <w:bottom w:val="none" w:sz="0" w:space="0" w:color="auto"/>
        <w:right w:val="none" w:sz="0" w:space="0" w:color="auto"/>
      </w:divBdr>
    </w:div>
    <w:div w:id="78328480">
      <w:bodyDiv w:val="1"/>
      <w:marLeft w:val="0"/>
      <w:marRight w:val="0"/>
      <w:marTop w:val="0"/>
      <w:marBottom w:val="0"/>
      <w:divBdr>
        <w:top w:val="none" w:sz="0" w:space="0" w:color="auto"/>
        <w:left w:val="none" w:sz="0" w:space="0" w:color="auto"/>
        <w:bottom w:val="none" w:sz="0" w:space="0" w:color="auto"/>
        <w:right w:val="none" w:sz="0" w:space="0" w:color="auto"/>
      </w:divBdr>
    </w:div>
    <w:div w:id="78717553">
      <w:bodyDiv w:val="1"/>
      <w:marLeft w:val="0"/>
      <w:marRight w:val="0"/>
      <w:marTop w:val="0"/>
      <w:marBottom w:val="0"/>
      <w:divBdr>
        <w:top w:val="none" w:sz="0" w:space="0" w:color="auto"/>
        <w:left w:val="none" w:sz="0" w:space="0" w:color="auto"/>
        <w:bottom w:val="none" w:sz="0" w:space="0" w:color="auto"/>
        <w:right w:val="none" w:sz="0" w:space="0" w:color="auto"/>
      </w:divBdr>
    </w:div>
    <w:div w:id="79329105">
      <w:bodyDiv w:val="1"/>
      <w:marLeft w:val="0"/>
      <w:marRight w:val="0"/>
      <w:marTop w:val="0"/>
      <w:marBottom w:val="0"/>
      <w:divBdr>
        <w:top w:val="none" w:sz="0" w:space="0" w:color="auto"/>
        <w:left w:val="none" w:sz="0" w:space="0" w:color="auto"/>
        <w:bottom w:val="none" w:sz="0" w:space="0" w:color="auto"/>
        <w:right w:val="none" w:sz="0" w:space="0" w:color="auto"/>
      </w:divBdr>
    </w:div>
    <w:div w:id="81995266">
      <w:bodyDiv w:val="1"/>
      <w:marLeft w:val="0"/>
      <w:marRight w:val="0"/>
      <w:marTop w:val="0"/>
      <w:marBottom w:val="0"/>
      <w:divBdr>
        <w:top w:val="none" w:sz="0" w:space="0" w:color="auto"/>
        <w:left w:val="none" w:sz="0" w:space="0" w:color="auto"/>
        <w:bottom w:val="none" w:sz="0" w:space="0" w:color="auto"/>
        <w:right w:val="none" w:sz="0" w:space="0" w:color="auto"/>
      </w:divBdr>
    </w:div>
    <w:div w:id="82071454">
      <w:bodyDiv w:val="1"/>
      <w:marLeft w:val="0"/>
      <w:marRight w:val="0"/>
      <w:marTop w:val="0"/>
      <w:marBottom w:val="0"/>
      <w:divBdr>
        <w:top w:val="none" w:sz="0" w:space="0" w:color="auto"/>
        <w:left w:val="none" w:sz="0" w:space="0" w:color="auto"/>
        <w:bottom w:val="none" w:sz="0" w:space="0" w:color="auto"/>
        <w:right w:val="none" w:sz="0" w:space="0" w:color="auto"/>
      </w:divBdr>
    </w:div>
    <w:div w:id="82340086">
      <w:bodyDiv w:val="1"/>
      <w:marLeft w:val="0"/>
      <w:marRight w:val="0"/>
      <w:marTop w:val="0"/>
      <w:marBottom w:val="0"/>
      <w:divBdr>
        <w:top w:val="none" w:sz="0" w:space="0" w:color="auto"/>
        <w:left w:val="none" w:sz="0" w:space="0" w:color="auto"/>
        <w:bottom w:val="none" w:sz="0" w:space="0" w:color="auto"/>
        <w:right w:val="none" w:sz="0" w:space="0" w:color="auto"/>
      </w:divBdr>
    </w:div>
    <w:div w:id="82575798">
      <w:bodyDiv w:val="1"/>
      <w:marLeft w:val="0"/>
      <w:marRight w:val="0"/>
      <w:marTop w:val="0"/>
      <w:marBottom w:val="0"/>
      <w:divBdr>
        <w:top w:val="none" w:sz="0" w:space="0" w:color="auto"/>
        <w:left w:val="none" w:sz="0" w:space="0" w:color="auto"/>
        <w:bottom w:val="none" w:sz="0" w:space="0" w:color="auto"/>
        <w:right w:val="none" w:sz="0" w:space="0" w:color="auto"/>
      </w:divBdr>
    </w:div>
    <w:div w:id="82647914">
      <w:bodyDiv w:val="1"/>
      <w:marLeft w:val="0"/>
      <w:marRight w:val="0"/>
      <w:marTop w:val="0"/>
      <w:marBottom w:val="0"/>
      <w:divBdr>
        <w:top w:val="none" w:sz="0" w:space="0" w:color="auto"/>
        <w:left w:val="none" w:sz="0" w:space="0" w:color="auto"/>
        <w:bottom w:val="none" w:sz="0" w:space="0" w:color="auto"/>
        <w:right w:val="none" w:sz="0" w:space="0" w:color="auto"/>
      </w:divBdr>
    </w:div>
    <w:div w:id="83577619">
      <w:bodyDiv w:val="1"/>
      <w:marLeft w:val="0"/>
      <w:marRight w:val="0"/>
      <w:marTop w:val="0"/>
      <w:marBottom w:val="0"/>
      <w:divBdr>
        <w:top w:val="none" w:sz="0" w:space="0" w:color="auto"/>
        <w:left w:val="none" w:sz="0" w:space="0" w:color="auto"/>
        <w:bottom w:val="none" w:sz="0" w:space="0" w:color="auto"/>
        <w:right w:val="none" w:sz="0" w:space="0" w:color="auto"/>
      </w:divBdr>
    </w:div>
    <w:div w:id="84958474">
      <w:bodyDiv w:val="1"/>
      <w:marLeft w:val="0"/>
      <w:marRight w:val="0"/>
      <w:marTop w:val="0"/>
      <w:marBottom w:val="0"/>
      <w:divBdr>
        <w:top w:val="none" w:sz="0" w:space="0" w:color="auto"/>
        <w:left w:val="none" w:sz="0" w:space="0" w:color="auto"/>
        <w:bottom w:val="none" w:sz="0" w:space="0" w:color="auto"/>
        <w:right w:val="none" w:sz="0" w:space="0" w:color="auto"/>
      </w:divBdr>
    </w:div>
    <w:div w:id="86463188">
      <w:bodyDiv w:val="1"/>
      <w:marLeft w:val="0"/>
      <w:marRight w:val="0"/>
      <w:marTop w:val="0"/>
      <w:marBottom w:val="0"/>
      <w:divBdr>
        <w:top w:val="none" w:sz="0" w:space="0" w:color="auto"/>
        <w:left w:val="none" w:sz="0" w:space="0" w:color="auto"/>
        <w:bottom w:val="none" w:sz="0" w:space="0" w:color="auto"/>
        <w:right w:val="none" w:sz="0" w:space="0" w:color="auto"/>
      </w:divBdr>
    </w:div>
    <w:div w:id="87314236">
      <w:bodyDiv w:val="1"/>
      <w:marLeft w:val="0"/>
      <w:marRight w:val="0"/>
      <w:marTop w:val="0"/>
      <w:marBottom w:val="0"/>
      <w:divBdr>
        <w:top w:val="none" w:sz="0" w:space="0" w:color="auto"/>
        <w:left w:val="none" w:sz="0" w:space="0" w:color="auto"/>
        <w:bottom w:val="none" w:sz="0" w:space="0" w:color="auto"/>
        <w:right w:val="none" w:sz="0" w:space="0" w:color="auto"/>
      </w:divBdr>
    </w:div>
    <w:div w:id="87892562">
      <w:bodyDiv w:val="1"/>
      <w:marLeft w:val="0"/>
      <w:marRight w:val="0"/>
      <w:marTop w:val="0"/>
      <w:marBottom w:val="0"/>
      <w:divBdr>
        <w:top w:val="none" w:sz="0" w:space="0" w:color="auto"/>
        <w:left w:val="none" w:sz="0" w:space="0" w:color="auto"/>
        <w:bottom w:val="none" w:sz="0" w:space="0" w:color="auto"/>
        <w:right w:val="none" w:sz="0" w:space="0" w:color="auto"/>
      </w:divBdr>
    </w:div>
    <w:div w:id="88042666">
      <w:bodyDiv w:val="1"/>
      <w:marLeft w:val="0"/>
      <w:marRight w:val="0"/>
      <w:marTop w:val="0"/>
      <w:marBottom w:val="0"/>
      <w:divBdr>
        <w:top w:val="none" w:sz="0" w:space="0" w:color="auto"/>
        <w:left w:val="none" w:sz="0" w:space="0" w:color="auto"/>
        <w:bottom w:val="none" w:sz="0" w:space="0" w:color="auto"/>
        <w:right w:val="none" w:sz="0" w:space="0" w:color="auto"/>
      </w:divBdr>
    </w:div>
    <w:div w:id="88548054">
      <w:bodyDiv w:val="1"/>
      <w:marLeft w:val="0"/>
      <w:marRight w:val="0"/>
      <w:marTop w:val="0"/>
      <w:marBottom w:val="0"/>
      <w:divBdr>
        <w:top w:val="none" w:sz="0" w:space="0" w:color="auto"/>
        <w:left w:val="none" w:sz="0" w:space="0" w:color="auto"/>
        <w:bottom w:val="none" w:sz="0" w:space="0" w:color="auto"/>
        <w:right w:val="none" w:sz="0" w:space="0" w:color="auto"/>
      </w:divBdr>
    </w:div>
    <w:div w:id="89472618">
      <w:bodyDiv w:val="1"/>
      <w:marLeft w:val="0"/>
      <w:marRight w:val="0"/>
      <w:marTop w:val="0"/>
      <w:marBottom w:val="0"/>
      <w:divBdr>
        <w:top w:val="none" w:sz="0" w:space="0" w:color="auto"/>
        <w:left w:val="none" w:sz="0" w:space="0" w:color="auto"/>
        <w:bottom w:val="none" w:sz="0" w:space="0" w:color="auto"/>
        <w:right w:val="none" w:sz="0" w:space="0" w:color="auto"/>
      </w:divBdr>
    </w:div>
    <w:div w:id="89815959">
      <w:bodyDiv w:val="1"/>
      <w:marLeft w:val="0"/>
      <w:marRight w:val="0"/>
      <w:marTop w:val="0"/>
      <w:marBottom w:val="0"/>
      <w:divBdr>
        <w:top w:val="none" w:sz="0" w:space="0" w:color="auto"/>
        <w:left w:val="none" w:sz="0" w:space="0" w:color="auto"/>
        <w:bottom w:val="none" w:sz="0" w:space="0" w:color="auto"/>
        <w:right w:val="none" w:sz="0" w:space="0" w:color="auto"/>
      </w:divBdr>
    </w:div>
    <w:div w:id="90131355">
      <w:bodyDiv w:val="1"/>
      <w:marLeft w:val="0"/>
      <w:marRight w:val="0"/>
      <w:marTop w:val="0"/>
      <w:marBottom w:val="0"/>
      <w:divBdr>
        <w:top w:val="none" w:sz="0" w:space="0" w:color="auto"/>
        <w:left w:val="none" w:sz="0" w:space="0" w:color="auto"/>
        <w:bottom w:val="none" w:sz="0" w:space="0" w:color="auto"/>
        <w:right w:val="none" w:sz="0" w:space="0" w:color="auto"/>
      </w:divBdr>
    </w:div>
    <w:div w:id="91053412">
      <w:bodyDiv w:val="1"/>
      <w:marLeft w:val="0"/>
      <w:marRight w:val="0"/>
      <w:marTop w:val="0"/>
      <w:marBottom w:val="0"/>
      <w:divBdr>
        <w:top w:val="none" w:sz="0" w:space="0" w:color="auto"/>
        <w:left w:val="none" w:sz="0" w:space="0" w:color="auto"/>
        <w:bottom w:val="none" w:sz="0" w:space="0" w:color="auto"/>
        <w:right w:val="none" w:sz="0" w:space="0" w:color="auto"/>
      </w:divBdr>
    </w:div>
    <w:div w:id="91363755">
      <w:bodyDiv w:val="1"/>
      <w:marLeft w:val="0"/>
      <w:marRight w:val="0"/>
      <w:marTop w:val="0"/>
      <w:marBottom w:val="0"/>
      <w:divBdr>
        <w:top w:val="none" w:sz="0" w:space="0" w:color="auto"/>
        <w:left w:val="none" w:sz="0" w:space="0" w:color="auto"/>
        <w:bottom w:val="none" w:sz="0" w:space="0" w:color="auto"/>
        <w:right w:val="none" w:sz="0" w:space="0" w:color="auto"/>
      </w:divBdr>
    </w:div>
    <w:div w:id="92282108">
      <w:bodyDiv w:val="1"/>
      <w:marLeft w:val="0"/>
      <w:marRight w:val="0"/>
      <w:marTop w:val="0"/>
      <w:marBottom w:val="0"/>
      <w:divBdr>
        <w:top w:val="none" w:sz="0" w:space="0" w:color="auto"/>
        <w:left w:val="none" w:sz="0" w:space="0" w:color="auto"/>
        <w:bottom w:val="none" w:sz="0" w:space="0" w:color="auto"/>
        <w:right w:val="none" w:sz="0" w:space="0" w:color="auto"/>
      </w:divBdr>
    </w:div>
    <w:div w:id="92283060">
      <w:bodyDiv w:val="1"/>
      <w:marLeft w:val="0"/>
      <w:marRight w:val="0"/>
      <w:marTop w:val="0"/>
      <w:marBottom w:val="0"/>
      <w:divBdr>
        <w:top w:val="none" w:sz="0" w:space="0" w:color="auto"/>
        <w:left w:val="none" w:sz="0" w:space="0" w:color="auto"/>
        <w:bottom w:val="none" w:sz="0" w:space="0" w:color="auto"/>
        <w:right w:val="none" w:sz="0" w:space="0" w:color="auto"/>
      </w:divBdr>
    </w:div>
    <w:div w:id="93324755">
      <w:bodyDiv w:val="1"/>
      <w:marLeft w:val="0"/>
      <w:marRight w:val="0"/>
      <w:marTop w:val="0"/>
      <w:marBottom w:val="0"/>
      <w:divBdr>
        <w:top w:val="none" w:sz="0" w:space="0" w:color="auto"/>
        <w:left w:val="none" w:sz="0" w:space="0" w:color="auto"/>
        <w:bottom w:val="none" w:sz="0" w:space="0" w:color="auto"/>
        <w:right w:val="none" w:sz="0" w:space="0" w:color="auto"/>
      </w:divBdr>
    </w:div>
    <w:div w:id="94446977">
      <w:bodyDiv w:val="1"/>
      <w:marLeft w:val="0"/>
      <w:marRight w:val="0"/>
      <w:marTop w:val="0"/>
      <w:marBottom w:val="0"/>
      <w:divBdr>
        <w:top w:val="none" w:sz="0" w:space="0" w:color="auto"/>
        <w:left w:val="none" w:sz="0" w:space="0" w:color="auto"/>
        <w:bottom w:val="none" w:sz="0" w:space="0" w:color="auto"/>
        <w:right w:val="none" w:sz="0" w:space="0" w:color="auto"/>
      </w:divBdr>
    </w:div>
    <w:div w:id="95098621">
      <w:bodyDiv w:val="1"/>
      <w:marLeft w:val="0"/>
      <w:marRight w:val="0"/>
      <w:marTop w:val="0"/>
      <w:marBottom w:val="0"/>
      <w:divBdr>
        <w:top w:val="none" w:sz="0" w:space="0" w:color="auto"/>
        <w:left w:val="none" w:sz="0" w:space="0" w:color="auto"/>
        <w:bottom w:val="none" w:sz="0" w:space="0" w:color="auto"/>
        <w:right w:val="none" w:sz="0" w:space="0" w:color="auto"/>
      </w:divBdr>
    </w:div>
    <w:div w:id="95292355">
      <w:bodyDiv w:val="1"/>
      <w:marLeft w:val="0"/>
      <w:marRight w:val="0"/>
      <w:marTop w:val="0"/>
      <w:marBottom w:val="0"/>
      <w:divBdr>
        <w:top w:val="none" w:sz="0" w:space="0" w:color="auto"/>
        <w:left w:val="none" w:sz="0" w:space="0" w:color="auto"/>
        <w:bottom w:val="none" w:sz="0" w:space="0" w:color="auto"/>
        <w:right w:val="none" w:sz="0" w:space="0" w:color="auto"/>
      </w:divBdr>
    </w:div>
    <w:div w:id="95643326">
      <w:bodyDiv w:val="1"/>
      <w:marLeft w:val="0"/>
      <w:marRight w:val="0"/>
      <w:marTop w:val="0"/>
      <w:marBottom w:val="0"/>
      <w:divBdr>
        <w:top w:val="none" w:sz="0" w:space="0" w:color="auto"/>
        <w:left w:val="none" w:sz="0" w:space="0" w:color="auto"/>
        <w:bottom w:val="none" w:sz="0" w:space="0" w:color="auto"/>
        <w:right w:val="none" w:sz="0" w:space="0" w:color="auto"/>
      </w:divBdr>
    </w:div>
    <w:div w:id="96604001">
      <w:bodyDiv w:val="1"/>
      <w:marLeft w:val="0"/>
      <w:marRight w:val="0"/>
      <w:marTop w:val="0"/>
      <w:marBottom w:val="0"/>
      <w:divBdr>
        <w:top w:val="none" w:sz="0" w:space="0" w:color="auto"/>
        <w:left w:val="none" w:sz="0" w:space="0" w:color="auto"/>
        <w:bottom w:val="none" w:sz="0" w:space="0" w:color="auto"/>
        <w:right w:val="none" w:sz="0" w:space="0" w:color="auto"/>
      </w:divBdr>
    </w:div>
    <w:div w:id="96994615">
      <w:bodyDiv w:val="1"/>
      <w:marLeft w:val="0"/>
      <w:marRight w:val="0"/>
      <w:marTop w:val="0"/>
      <w:marBottom w:val="0"/>
      <w:divBdr>
        <w:top w:val="none" w:sz="0" w:space="0" w:color="auto"/>
        <w:left w:val="none" w:sz="0" w:space="0" w:color="auto"/>
        <w:bottom w:val="none" w:sz="0" w:space="0" w:color="auto"/>
        <w:right w:val="none" w:sz="0" w:space="0" w:color="auto"/>
      </w:divBdr>
    </w:div>
    <w:div w:id="97724338">
      <w:bodyDiv w:val="1"/>
      <w:marLeft w:val="0"/>
      <w:marRight w:val="0"/>
      <w:marTop w:val="0"/>
      <w:marBottom w:val="0"/>
      <w:divBdr>
        <w:top w:val="none" w:sz="0" w:space="0" w:color="auto"/>
        <w:left w:val="none" w:sz="0" w:space="0" w:color="auto"/>
        <w:bottom w:val="none" w:sz="0" w:space="0" w:color="auto"/>
        <w:right w:val="none" w:sz="0" w:space="0" w:color="auto"/>
      </w:divBdr>
    </w:div>
    <w:div w:id="99108340">
      <w:bodyDiv w:val="1"/>
      <w:marLeft w:val="0"/>
      <w:marRight w:val="0"/>
      <w:marTop w:val="0"/>
      <w:marBottom w:val="0"/>
      <w:divBdr>
        <w:top w:val="none" w:sz="0" w:space="0" w:color="auto"/>
        <w:left w:val="none" w:sz="0" w:space="0" w:color="auto"/>
        <w:bottom w:val="none" w:sz="0" w:space="0" w:color="auto"/>
        <w:right w:val="none" w:sz="0" w:space="0" w:color="auto"/>
      </w:divBdr>
    </w:div>
    <w:div w:id="99377236">
      <w:bodyDiv w:val="1"/>
      <w:marLeft w:val="0"/>
      <w:marRight w:val="0"/>
      <w:marTop w:val="0"/>
      <w:marBottom w:val="0"/>
      <w:divBdr>
        <w:top w:val="none" w:sz="0" w:space="0" w:color="auto"/>
        <w:left w:val="none" w:sz="0" w:space="0" w:color="auto"/>
        <w:bottom w:val="none" w:sz="0" w:space="0" w:color="auto"/>
        <w:right w:val="none" w:sz="0" w:space="0" w:color="auto"/>
      </w:divBdr>
    </w:div>
    <w:div w:id="99763262">
      <w:bodyDiv w:val="1"/>
      <w:marLeft w:val="0"/>
      <w:marRight w:val="0"/>
      <w:marTop w:val="0"/>
      <w:marBottom w:val="0"/>
      <w:divBdr>
        <w:top w:val="none" w:sz="0" w:space="0" w:color="auto"/>
        <w:left w:val="none" w:sz="0" w:space="0" w:color="auto"/>
        <w:bottom w:val="none" w:sz="0" w:space="0" w:color="auto"/>
        <w:right w:val="none" w:sz="0" w:space="0" w:color="auto"/>
      </w:divBdr>
    </w:div>
    <w:div w:id="100078092">
      <w:bodyDiv w:val="1"/>
      <w:marLeft w:val="0"/>
      <w:marRight w:val="0"/>
      <w:marTop w:val="0"/>
      <w:marBottom w:val="0"/>
      <w:divBdr>
        <w:top w:val="none" w:sz="0" w:space="0" w:color="auto"/>
        <w:left w:val="none" w:sz="0" w:space="0" w:color="auto"/>
        <w:bottom w:val="none" w:sz="0" w:space="0" w:color="auto"/>
        <w:right w:val="none" w:sz="0" w:space="0" w:color="auto"/>
      </w:divBdr>
    </w:div>
    <w:div w:id="100338543">
      <w:bodyDiv w:val="1"/>
      <w:marLeft w:val="0"/>
      <w:marRight w:val="0"/>
      <w:marTop w:val="0"/>
      <w:marBottom w:val="0"/>
      <w:divBdr>
        <w:top w:val="none" w:sz="0" w:space="0" w:color="auto"/>
        <w:left w:val="none" w:sz="0" w:space="0" w:color="auto"/>
        <w:bottom w:val="none" w:sz="0" w:space="0" w:color="auto"/>
        <w:right w:val="none" w:sz="0" w:space="0" w:color="auto"/>
      </w:divBdr>
    </w:div>
    <w:div w:id="100422793">
      <w:bodyDiv w:val="1"/>
      <w:marLeft w:val="0"/>
      <w:marRight w:val="0"/>
      <w:marTop w:val="0"/>
      <w:marBottom w:val="0"/>
      <w:divBdr>
        <w:top w:val="none" w:sz="0" w:space="0" w:color="auto"/>
        <w:left w:val="none" w:sz="0" w:space="0" w:color="auto"/>
        <w:bottom w:val="none" w:sz="0" w:space="0" w:color="auto"/>
        <w:right w:val="none" w:sz="0" w:space="0" w:color="auto"/>
      </w:divBdr>
    </w:div>
    <w:div w:id="100494708">
      <w:bodyDiv w:val="1"/>
      <w:marLeft w:val="0"/>
      <w:marRight w:val="0"/>
      <w:marTop w:val="0"/>
      <w:marBottom w:val="0"/>
      <w:divBdr>
        <w:top w:val="none" w:sz="0" w:space="0" w:color="auto"/>
        <w:left w:val="none" w:sz="0" w:space="0" w:color="auto"/>
        <w:bottom w:val="none" w:sz="0" w:space="0" w:color="auto"/>
        <w:right w:val="none" w:sz="0" w:space="0" w:color="auto"/>
      </w:divBdr>
    </w:div>
    <w:div w:id="101608747">
      <w:bodyDiv w:val="1"/>
      <w:marLeft w:val="0"/>
      <w:marRight w:val="0"/>
      <w:marTop w:val="0"/>
      <w:marBottom w:val="0"/>
      <w:divBdr>
        <w:top w:val="none" w:sz="0" w:space="0" w:color="auto"/>
        <w:left w:val="none" w:sz="0" w:space="0" w:color="auto"/>
        <w:bottom w:val="none" w:sz="0" w:space="0" w:color="auto"/>
        <w:right w:val="none" w:sz="0" w:space="0" w:color="auto"/>
      </w:divBdr>
    </w:div>
    <w:div w:id="101654309">
      <w:bodyDiv w:val="1"/>
      <w:marLeft w:val="0"/>
      <w:marRight w:val="0"/>
      <w:marTop w:val="0"/>
      <w:marBottom w:val="0"/>
      <w:divBdr>
        <w:top w:val="none" w:sz="0" w:space="0" w:color="auto"/>
        <w:left w:val="none" w:sz="0" w:space="0" w:color="auto"/>
        <w:bottom w:val="none" w:sz="0" w:space="0" w:color="auto"/>
        <w:right w:val="none" w:sz="0" w:space="0" w:color="auto"/>
      </w:divBdr>
    </w:div>
    <w:div w:id="101806007">
      <w:bodyDiv w:val="1"/>
      <w:marLeft w:val="0"/>
      <w:marRight w:val="0"/>
      <w:marTop w:val="0"/>
      <w:marBottom w:val="0"/>
      <w:divBdr>
        <w:top w:val="none" w:sz="0" w:space="0" w:color="auto"/>
        <w:left w:val="none" w:sz="0" w:space="0" w:color="auto"/>
        <w:bottom w:val="none" w:sz="0" w:space="0" w:color="auto"/>
        <w:right w:val="none" w:sz="0" w:space="0" w:color="auto"/>
      </w:divBdr>
    </w:div>
    <w:div w:id="102506599">
      <w:bodyDiv w:val="1"/>
      <w:marLeft w:val="0"/>
      <w:marRight w:val="0"/>
      <w:marTop w:val="0"/>
      <w:marBottom w:val="0"/>
      <w:divBdr>
        <w:top w:val="none" w:sz="0" w:space="0" w:color="auto"/>
        <w:left w:val="none" w:sz="0" w:space="0" w:color="auto"/>
        <w:bottom w:val="none" w:sz="0" w:space="0" w:color="auto"/>
        <w:right w:val="none" w:sz="0" w:space="0" w:color="auto"/>
      </w:divBdr>
    </w:div>
    <w:div w:id="102725079">
      <w:bodyDiv w:val="1"/>
      <w:marLeft w:val="0"/>
      <w:marRight w:val="0"/>
      <w:marTop w:val="0"/>
      <w:marBottom w:val="0"/>
      <w:divBdr>
        <w:top w:val="none" w:sz="0" w:space="0" w:color="auto"/>
        <w:left w:val="none" w:sz="0" w:space="0" w:color="auto"/>
        <w:bottom w:val="none" w:sz="0" w:space="0" w:color="auto"/>
        <w:right w:val="none" w:sz="0" w:space="0" w:color="auto"/>
      </w:divBdr>
    </w:div>
    <w:div w:id="103889772">
      <w:bodyDiv w:val="1"/>
      <w:marLeft w:val="0"/>
      <w:marRight w:val="0"/>
      <w:marTop w:val="0"/>
      <w:marBottom w:val="0"/>
      <w:divBdr>
        <w:top w:val="none" w:sz="0" w:space="0" w:color="auto"/>
        <w:left w:val="none" w:sz="0" w:space="0" w:color="auto"/>
        <w:bottom w:val="none" w:sz="0" w:space="0" w:color="auto"/>
        <w:right w:val="none" w:sz="0" w:space="0" w:color="auto"/>
      </w:divBdr>
    </w:div>
    <w:div w:id="104544041">
      <w:bodyDiv w:val="1"/>
      <w:marLeft w:val="0"/>
      <w:marRight w:val="0"/>
      <w:marTop w:val="0"/>
      <w:marBottom w:val="0"/>
      <w:divBdr>
        <w:top w:val="none" w:sz="0" w:space="0" w:color="auto"/>
        <w:left w:val="none" w:sz="0" w:space="0" w:color="auto"/>
        <w:bottom w:val="none" w:sz="0" w:space="0" w:color="auto"/>
        <w:right w:val="none" w:sz="0" w:space="0" w:color="auto"/>
      </w:divBdr>
    </w:div>
    <w:div w:id="105656173">
      <w:bodyDiv w:val="1"/>
      <w:marLeft w:val="0"/>
      <w:marRight w:val="0"/>
      <w:marTop w:val="0"/>
      <w:marBottom w:val="0"/>
      <w:divBdr>
        <w:top w:val="none" w:sz="0" w:space="0" w:color="auto"/>
        <w:left w:val="none" w:sz="0" w:space="0" w:color="auto"/>
        <w:bottom w:val="none" w:sz="0" w:space="0" w:color="auto"/>
        <w:right w:val="none" w:sz="0" w:space="0" w:color="auto"/>
      </w:divBdr>
    </w:div>
    <w:div w:id="106318129">
      <w:bodyDiv w:val="1"/>
      <w:marLeft w:val="0"/>
      <w:marRight w:val="0"/>
      <w:marTop w:val="0"/>
      <w:marBottom w:val="0"/>
      <w:divBdr>
        <w:top w:val="none" w:sz="0" w:space="0" w:color="auto"/>
        <w:left w:val="none" w:sz="0" w:space="0" w:color="auto"/>
        <w:bottom w:val="none" w:sz="0" w:space="0" w:color="auto"/>
        <w:right w:val="none" w:sz="0" w:space="0" w:color="auto"/>
      </w:divBdr>
    </w:div>
    <w:div w:id="106631740">
      <w:bodyDiv w:val="1"/>
      <w:marLeft w:val="0"/>
      <w:marRight w:val="0"/>
      <w:marTop w:val="0"/>
      <w:marBottom w:val="0"/>
      <w:divBdr>
        <w:top w:val="none" w:sz="0" w:space="0" w:color="auto"/>
        <w:left w:val="none" w:sz="0" w:space="0" w:color="auto"/>
        <w:bottom w:val="none" w:sz="0" w:space="0" w:color="auto"/>
        <w:right w:val="none" w:sz="0" w:space="0" w:color="auto"/>
      </w:divBdr>
    </w:div>
    <w:div w:id="106698195">
      <w:bodyDiv w:val="1"/>
      <w:marLeft w:val="0"/>
      <w:marRight w:val="0"/>
      <w:marTop w:val="0"/>
      <w:marBottom w:val="0"/>
      <w:divBdr>
        <w:top w:val="none" w:sz="0" w:space="0" w:color="auto"/>
        <w:left w:val="none" w:sz="0" w:space="0" w:color="auto"/>
        <w:bottom w:val="none" w:sz="0" w:space="0" w:color="auto"/>
        <w:right w:val="none" w:sz="0" w:space="0" w:color="auto"/>
      </w:divBdr>
    </w:div>
    <w:div w:id="108548355">
      <w:bodyDiv w:val="1"/>
      <w:marLeft w:val="0"/>
      <w:marRight w:val="0"/>
      <w:marTop w:val="0"/>
      <w:marBottom w:val="0"/>
      <w:divBdr>
        <w:top w:val="none" w:sz="0" w:space="0" w:color="auto"/>
        <w:left w:val="none" w:sz="0" w:space="0" w:color="auto"/>
        <w:bottom w:val="none" w:sz="0" w:space="0" w:color="auto"/>
        <w:right w:val="none" w:sz="0" w:space="0" w:color="auto"/>
      </w:divBdr>
    </w:div>
    <w:div w:id="108554833">
      <w:bodyDiv w:val="1"/>
      <w:marLeft w:val="0"/>
      <w:marRight w:val="0"/>
      <w:marTop w:val="0"/>
      <w:marBottom w:val="0"/>
      <w:divBdr>
        <w:top w:val="none" w:sz="0" w:space="0" w:color="auto"/>
        <w:left w:val="none" w:sz="0" w:space="0" w:color="auto"/>
        <w:bottom w:val="none" w:sz="0" w:space="0" w:color="auto"/>
        <w:right w:val="none" w:sz="0" w:space="0" w:color="auto"/>
      </w:divBdr>
    </w:div>
    <w:div w:id="109324023">
      <w:bodyDiv w:val="1"/>
      <w:marLeft w:val="0"/>
      <w:marRight w:val="0"/>
      <w:marTop w:val="0"/>
      <w:marBottom w:val="0"/>
      <w:divBdr>
        <w:top w:val="none" w:sz="0" w:space="0" w:color="auto"/>
        <w:left w:val="none" w:sz="0" w:space="0" w:color="auto"/>
        <w:bottom w:val="none" w:sz="0" w:space="0" w:color="auto"/>
        <w:right w:val="none" w:sz="0" w:space="0" w:color="auto"/>
      </w:divBdr>
    </w:div>
    <w:div w:id="109521283">
      <w:bodyDiv w:val="1"/>
      <w:marLeft w:val="0"/>
      <w:marRight w:val="0"/>
      <w:marTop w:val="0"/>
      <w:marBottom w:val="0"/>
      <w:divBdr>
        <w:top w:val="none" w:sz="0" w:space="0" w:color="auto"/>
        <w:left w:val="none" w:sz="0" w:space="0" w:color="auto"/>
        <w:bottom w:val="none" w:sz="0" w:space="0" w:color="auto"/>
        <w:right w:val="none" w:sz="0" w:space="0" w:color="auto"/>
      </w:divBdr>
    </w:div>
    <w:div w:id="110051792">
      <w:bodyDiv w:val="1"/>
      <w:marLeft w:val="0"/>
      <w:marRight w:val="0"/>
      <w:marTop w:val="0"/>
      <w:marBottom w:val="0"/>
      <w:divBdr>
        <w:top w:val="none" w:sz="0" w:space="0" w:color="auto"/>
        <w:left w:val="none" w:sz="0" w:space="0" w:color="auto"/>
        <w:bottom w:val="none" w:sz="0" w:space="0" w:color="auto"/>
        <w:right w:val="none" w:sz="0" w:space="0" w:color="auto"/>
      </w:divBdr>
    </w:div>
    <w:div w:id="111360518">
      <w:bodyDiv w:val="1"/>
      <w:marLeft w:val="0"/>
      <w:marRight w:val="0"/>
      <w:marTop w:val="0"/>
      <w:marBottom w:val="0"/>
      <w:divBdr>
        <w:top w:val="none" w:sz="0" w:space="0" w:color="auto"/>
        <w:left w:val="none" w:sz="0" w:space="0" w:color="auto"/>
        <w:bottom w:val="none" w:sz="0" w:space="0" w:color="auto"/>
        <w:right w:val="none" w:sz="0" w:space="0" w:color="auto"/>
      </w:divBdr>
    </w:div>
    <w:div w:id="111557193">
      <w:bodyDiv w:val="1"/>
      <w:marLeft w:val="0"/>
      <w:marRight w:val="0"/>
      <w:marTop w:val="0"/>
      <w:marBottom w:val="0"/>
      <w:divBdr>
        <w:top w:val="none" w:sz="0" w:space="0" w:color="auto"/>
        <w:left w:val="none" w:sz="0" w:space="0" w:color="auto"/>
        <w:bottom w:val="none" w:sz="0" w:space="0" w:color="auto"/>
        <w:right w:val="none" w:sz="0" w:space="0" w:color="auto"/>
      </w:divBdr>
    </w:div>
    <w:div w:id="111900303">
      <w:bodyDiv w:val="1"/>
      <w:marLeft w:val="0"/>
      <w:marRight w:val="0"/>
      <w:marTop w:val="0"/>
      <w:marBottom w:val="0"/>
      <w:divBdr>
        <w:top w:val="none" w:sz="0" w:space="0" w:color="auto"/>
        <w:left w:val="none" w:sz="0" w:space="0" w:color="auto"/>
        <w:bottom w:val="none" w:sz="0" w:space="0" w:color="auto"/>
        <w:right w:val="none" w:sz="0" w:space="0" w:color="auto"/>
      </w:divBdr>
    </w:div>
    <w:div w:id="112791699">
      <w:bodyDiv w:val="1"/>
      <w:marLeft w:val="0"/>
      <w:marRight w:val="0"/>
      <w:marTop w:val="0"/>
      <w:marBottom w:val="0"/>
      <w:divBdr>
        <w:top w:val="none" w:sz="0" w:space="0" w:color="auto"/>
        <w:left w:val="none" w:sz="0" w:space="0" w:color="auto"/>
        <w:bottom w:val="none" w:sz="0" w:space="0" w:color="auto"/>
        <w:right w:val="none" w:sz="0" w:space="0" w:color="auto"/>
      </w:divBdr>
    </w:div>
    <w:div w:id="112986753">
      <w:bodyDiv w:val="1"/>
      <w:marLeft w:val="0"/>
      <w:marRight w:val="0"/>
      <w:marTop w:val="0"/>
      <w:marBottom w:val="0"/>
      <w:divBdr>
        <w:top w:val="none" w:sz="0" w:space="0" w:color="auto"/>
        <w:left w:val="none" w:sz="0" w:space="0" w:color="auto"/>
        <w:bottom w:val="none" w:sz="0" w:space="0" w:color="auto"/>
        <w:right w:val="none" w:sz="0" w:space="0" w:color="auto"/>
      </w:divBdr>
    </w:div>
    <w:div w:id="113868005">
      <w:bodyDiv w:val="1"/>
      <w:marLeft w:val="0"/>
      <w:marRight w:val="0"/>
      <w:marTop w:val="0"/>
      <w:marBottom w:val="0"/>
      <w:divBdr>
        <w:top w:val="none" w:sz="0" w:space="0" w:color="auto"/>
        <w:left w:val="none" w:sz="0" w:space="0" w:color="auto"/>
        <w:bottom w:val="none" w:sz="0" w:space="0" w:color="auto"/>
        <w:right w:val="none" w:sz="0" w:space="0" w:color="auto"/>
      </w:divBdr>
    </w:div>
    <w:div w:id="114063453">
      <w:bodyDiv w:val="1"/>
      <w:marLeft w:val="0"/>
      <w:marRight w:val="0"/>
      <w:marTop w:val="0"/>
      <w:marBottom w:val="0"/>
      <w:divBdr>
        <w:top w:val="none" w:sz="0" w:space="0" w:color="auto"/>
        <w:left w:val="none" w:sz="0" w:space="0" w:color="auto"/>
        <w:bottom w:val="none" w:sz="0" w:space="0" w:color="auto"/>
        <w:right w:val="none" w:sz="0" w:space="0" w:color="auto"/>
      </w:divBdr>
    </w:div>
    <w:div w:id="115410854">
      <w:bodyDiv w:val="1"/>
      <w:marLeft w:val="0"/>
      <w:marRight w:val="0"/>
      <w:marTop w:val="0"/>
      <w:marBottom w:val="0"/>
      <w:divBdr>
        <w:top w:val="none" w:sz="0" w:space="0" w:color="auto"/>
        <w:left w:val="none" w:sz="0" w:space="0" w:color="auto"/>
        <w:bottom w:val="none" w:sz="0" w:space="0" w:color="auto"/>
        <w:right w:val="none" w:sz="0" w:space="0" w:color="auto"/>
      </w:divBdr>
    </w:div>
    <w:div w:id="115606033">
      <w:bodyDiv w:val="1"/>
      <w:marLeft w:val="0"/>
      <w:marRight w:val="0"/>
      <w:marTop w:val="0"/>
      <w:marBottom w:val="0"/>
      <w:divBdr>
        <w:top w:val="none" w:sz="0" w:space="0" w:color="auto"/>
        <w:left w:val="none" w:sz="0" w:space="0" w:color="auto"/>
        <w:bottom w:val="none" w:sz="0" w:space="0" w:color="auto"/>
        <w:right w:val="none" w:sz="0" w:space="0" w:color="auto"/>
      </w:divBdr>
    </w:div>
    <w:div w:id="115762387">
      <w:bodyDiv w:val="1"/>
      <w:marLeft w:val="0"/>
      <w:marRight w:val="0"/>
      <w:marTop w:val="0"/>
      <w:marBottom w:val="0"/>
      <w:divBdr>
        <w:top w:val="none" w:sz="0" w:space="0" w:color="auto"/>
        <w:left w:val="none" w:sz="0" w:space="0" w:color="auto"/>
        <w:bottom w:val="none" w:sz="0" w:space="0" w:color="auto"/>
        <w:right w:val="none" w:sz="0" w:space="0" w:color="auto"/>
      </w:divBdr>
    </w:div>
    <w:div w:id="116022879">
      <w:bodyDiv w:val="1"/>
      <w:marLeft w:val="0"/>
      <w:marRight w:val="0"/>
      <w:marTop w:val="0"/>
      <w:marBottom w:val="0"/>
      <w:divBdr>
        <w:top w:val="none" w:sz="0" w:space="0" w:color="auto"/>
        <w:left w:val="none" w:sz="0" w:space="0" w:color="auto"/>
        <w:bottom w:val="none" w:sz="0" w:space="0" w:color="auto"/>
        <w:right w:val="none" w:sz="0" w:space="0" w:color="auto"/>
      </w:divBdr>
    </w:div>
    <w:div w:id="116292482">
      <w:bodyDiv w:val="1"/>
      <w:marLeft w:val="0"/>
      <w:marRight w:val="0"/>
      <w:marTop w:val="0"/>
      <w:marBottom w:val="0"/>
      <w:divBdr>
        <w:top w:val="none" w:sz="0" w:space="0" w:color="auto"/>
        <w:left w:val="none" w:sz="0" w:space="0" w:color="auto"/>
        <w:bottom w:val="none" w:sz="0" w:space="0" w:color="auto"/>
        <w:right w:val="none" w:sz="0" w:space="0" w:color="auto"/>
      </w:divBdr>
    </w:div>
    <w:div w:id="117139555">
      <w:bodyDiv w:val="1"/>
      <w:marLeft w:val="0"/>
      <w:marRight w:val="0"/>
      <w:marTop w:val="0"/>
      <w:marBottom w:val="0"/>
      <w:divBdr>
        <w:top w:val="none" w:sz="0" w:space="0" w:color="auto"/>
        <w:left w:val="none" w:sz="0" w:space="0" w:color="auto"/>
        <w:bottom w:val="none" w:sz="0" w:space="0" w:color="auto"/>
        <w:right w:val="none" w:sz="0" w:space="0" w:color="auto"/>
      </w:divBdr>
    </w:div>
    <w:div w:id="117797076">
      <w:bodyDiv w:val="1"/>
      <w:marLeft w:val="0"/>
      <w:marRight w:val="0"/>
      <w:marTop w:val="0"/>
      <w:marBottom w:val="0"/>
      <w:divBdr>
        <w:top w:val="none" w:sz="0" w:space="0" w:color="auto"/>
        <w:left w:val="none" w:sz="0" w:space="0" w:color="auto"/>
        <w:bottom w:val="none" w:sz="0" w:space="0" w:color="auto"/>
        <w:right w:val="none" w:sz="0" w:space="0" w:color="auto"/>
      </w:divBdr>
    </w:div>
    <w:div w:id="118770695">
      <w:bodyDiv w:val="1"/>
      <w:marLeft w:val="0"/>
      <w:marRight w:val="0"/>
      <w:marTop w:val="0"/>
      <w:marBottom w:val="0"/>
      <w:divBdr>
        <w:top w:val="none" w:sz="0" w:space="0" w:color="auto"/>
        <w:left w:val="none" w:sz="0" w:space="0" w:color="auto"/>
        <w:bottom w:val="none" w:sz="0" w:space="0" w:color="auto"/>
        <w:right w:val="none" w:sz="0" w:space="0" w:color="auto"/>
      </w:divBdr>
    </w:div>
    <w:div w:id="118836970">
      <w:bodyDiv w:val="1"/>
      <w:marLeft w:val="0"/>
      <w:marRight w:val="0"/>
      <w:marTop w:val="0"/>
      <w:marBottom w:val="0"/>
      <w:divBdr>
        <w:top w:val="none" w:sz="0" w:space="0" w:color="auto"/>
        <w:left w:val="none" w:sz="0" w:space="0" w:color="auto"/>
        <w:bottom w:val="none" w:sz="0" w:space="0" w:color="auto"/>
        <w:right w:val="none" w:sz="0" w:space="0" w:color="auto"/>
      </w:divBdr>
    </w:div>
    <w:div w:id="119343210">
      <w:bodyDiv w:val="1"/>
      <w:marLeft w:val="0"/>
      <w:marRight w:val="0"/>
      <w:marTop w:val="0"/>
      <w:marBottom w:val="0"/>
      <w:divBdr>
        <w:top w:val="none" w:sz="0" w:space="0" w:color="auto"/>
        <w:left w:val="none" w:sz="0" w:space="0" w:color="auto"/>
        <w:bottom w:val="none" w:sz="0" w:space="0" w:color="auto"/>
        <w:right w:val="none" w:sz="0" w:space="0" w:color="auto"/>
      </w:divBdr>
    </w:div>
    <w:div w:id="120001327">
      <w:bodyDiv w:val="1"/>
      <w:marLeft w:val="0"/>
      <w:marRight w:val="0"/>
      <w:marTop w:val="0"/>
      <w:marBottom w:val="0"/>
      <w:divBdr>
        <w:top w:val="none" w:sz="0" w:space="0" w:color="auto"/>
        <w:left w:val="none" w:sz="0" w:space="0" w:color="auto"/>
        <w:bottom w:val="none" w:sz="0" w:space="0" w:color="auto"/>
        <w:right w:val="none" w:sz="0" w:space="0" w:color="auto"/>
      </w:divBdr>
    </w:div>
    <w:div w:id="120541917">
      <w:bodyDiv w:val="1"/>
      <w:marLeft w:val="0"/>
      <w:marRight w:val="0"/>
      <w:marTop w:val="0"/>
      <w:marBottom w:val="0"/>
      <w:divBdr>
        <w:top w:val="none" w:sz="0" w:space="0" w:color="auto"/>
        <w:left w:val="none" w:sz="0" w:space="0" w:color="auto"/>
        <w:bottom w:val="none" w:sz="0" w:space="0" w:color="auto"/>
        <w:right w:val="none" w:sz="0" w:space="0" w:color="auto"/>
      </w:divBdr>
    </w:div>
    <w:div w:id="121577355">
      <w:bodyDiv w:val="1"/>
      <w:marLeft w:val="0"/>
      <w:marRight w:val="0"/>
      <w:marTop w:val="0"/>
      <w:marBottom w:val="0"/>
      <w:divBdr>
        <w:top w:val="none" w:sz="0" w:space="0" w:color="auto"/>
        <w:left w:val="none" w:sz="0" w:space="0" w:color="auto"/>
        <w:bottom w:val="none" w:sz="0" w:space="0" w:color="auto"/>
        <w:right w:val="none" w:sz="0" w:space="0" w:color="auto"/>
      </w:divBdr>
    </w:div>
    <w:div w:id="121732638">
      <w:bodyDiv w:val="1"/>
      <w:marLeft w:val="0"/>
      <w:marRight w:val="0"/>
      <w:marTop w:val="0"/>
      <w:marBottom w:val="0"/>
      <w:divBdr>
        <w:top w:val="none" w:sz="0" w:space="0" w:color="auto"/>
        <w:left w:val="none" w:sz="0" w:space="0" w:color="auto"/>
        <w:bottom w:val="none" w:sz="0" w:space="0" w:color="auto"/>
        <w:right w:val="none" w:sz="0" w:space="0" w:color="auto"/>
      </w:divBdr>
    </w:div>
    <w:div w:id="122383780">
      <w:bodyDiv w:val="1"/>
      <w:marLeft w:val="0"/>
      <w:marRight w:val="0"/>
      <w:marTop w:val="0"/>
      <w:marBottom w:val="0"/>
      <w:divBdr>
        <w:top w:val="none" w:sz="0" w:space="0" w:color="auto"/>
        <w:left w:val="none" w:sz="0" w:space="0" w:color="auto"/>
        <w:bottom w:val="none" w:sz="0" w:space="0" w:color="auto"/>
        <w:right w:val="none" w:sz="0" w:space="0" w:color="auto"/>
      </w:divBdr>
    </w:div>
    <w:div w:id="122426666">
      <w:bodyDiv w:val="1"/>
      <w:marLeft w:val="0"/>
      <w:marRight w:val="0"/>
      <w:marTop w:val="0"/>
      <w:marBottom w:val="0"/>
      <w:divBdr>
        <w:top w:val="none" w:sz="0" w:space="0" w:color="auto"/>
        <w:left w:val="none" w:sz="0" w:space="0" w:color="auto"/>
        <w:bottom w:val="none" w:sz="0" w:space="0" w:color="auto"/>
        <w:right w:val="none" w:sz="0" w:space="0" w:color="auto"/>
      </w:divBdr>
    </w:div>
    <w:div w:id="122500635">
      <w:bodyDiv w:val="1"/>
      <w:marLeft w:val="0"/>
      <w:marRight w:val="0"/>
      <w:marTop w:val="0"/>
      <w:marBottom w:val="0"/>
      <w:divBdr>
        <w:top w:val="none" w:sz="0" w:space="0" w:color="auto"/>
        <w:left w:val="none" w:sz="0" w:space="0" w:color="auto"/>
        <w:bottom w:val="none" w:sz="0" w:space="0" w:color="auto"/>
        <w:right w:val="none" w:sz="0" w:space="0" w:color="auto"/>
      </w:divBdr>
    </w:div>
    <w:div w:id="123431403">
      <w:bodyDiv w:val="1"/>
      <w:marLeft w:val="0"/>
      <w:marRight w:val="0"/>
      <w:marTop w:val="0"/>
      <w:marBottom w:val="0"/>
      <w:divBdr>
        <w:top w:val="none" w:sz="0" w:space="0" w:color="auto"/>
        <w:left w:val="none" w:sz="0" w:space="0" w:color="auto"/>
        <w:bottom w:val="none" w:sz="0" w:space="0" w:color="auto"/>
        <w:right w:val="none" w:sz="0" w:space="0" w:color="auto"/>
      </w:divBdr>
    </w:div>
    <w:div w:id="124127207">
      <w:bodyDiv w:val="1"/>
      <w:marLeft w:val="0"/>
      <w:marRight w:val="0"/>
      <w:marTop w:val="0"/>
      <w:marBottom w:val="0"/>
      <w:divBdr>
        <w:top w:val="none" w:sz="0" w:space="0" w:color="auto"/>
        <w:left w:val="none" w:sz="0" w:space="0" w:color="auto"/>
        <w:bottom w:val="none" w:sz="0" w:space="0" w:color="auto"/>
        <w:right w:val="none" w:sz="0" w:space="0" w:color="auto"/>
      </w:divBdr>
    </w:div>
    <w:div w:id="124157050">
      <w:bodyDiv w:val="1"/>
      <w:marLeft w:val="0"/>
      <w:marRight w:val="0"/>
      <w:marTop w:val="0"/>
      <w:marBottom w:val="0"/>
      <w:divBdr>
        <w:top w:val="none" w:sz="0" w:space="0" w:color="auto"/>
        <w:left w:val="none" w:sz="0" w:space="0" w:color="auto"/>
        <w:bottom w:val="none" w:sz="0" w:space="0" w:color="auto"/>
        <w:right w:val="none" w:sz="0" w:space="0" w:color="auto"/>
      </w:divBdr>
    </w:div>
    <w:div w:id="124395077">
      <w:bodyDiv w:val="1"/>
      <w:marLeft w:val="0"/>
      <w:marRight w:val="0"/>
      <w:marTop w:val="0"/>
      <w:marBottom w:val="0"/>
      <w:divBdr>
        <w:top w:val="none" w:sz="0" w:space="0" w:color="auto"/>
        <w:left w:val="none" w:sz="0" w:space="0" w:color="auto"/>
        <w:bottom w:val="none" w:sz="0" w:space="0" w:color="auto"/>
        <w:right w:val="none" w:sz="0" w:space="0" w:color="auto"/>
      </w:divBdr>
    </w:div>
    <w:div w:id="124736956">
      <w:bodyDiv w:val="1"/>
      <w:marLeft w:val="0"/>
      <w:marRight w:val="0"/>
      <w:marTop w:val="0"/>
      <w:marBottom w:val="0"/>
      <w:divBdr>
        <w:top w:val="none" w:sz="0" w:space="0" w:color="auto"/>
        <w:left w:val="none" w:sz="0" w:space="0" w:color="auto"/>
        <w:bottom w:val="none" w:sz="0" w:space="0" w:color="auto"/>
        <w:right w:val="none" w:sz="0" w:space="0" w:color="auto"/>
      </w:divBdr>
    </w:div>
    <w:div w:id="124930149">
      <w:bodyDiv w:val="1"/>
      <w:marLeft w:val="0"/>
      <w:marRight w:val="0"/>
      <w:marTop w:val="0"/>
      <w:marBottom w:val="0"/>
      <w:divBdr>
        <w:top w:val="none" w:sz="0" w:space="0" w:color="auto"/>
        <w:left w:val="none" w:sz="0" w:space="0" w:color="auto"/>
        <w:bottom w:val="none" w:sz="0" w:space="0" w:color="auto"/>
        <w:right w:val="none" w:sz="0" w:space="0" w:color="auto"/>
      </w:divBdr>
    </w:div>
    <w:div w:id="125006421">
      <w:bodyDiv w:val="1"/>
      <w:marLeft w:val="0"/>
      <w:marRight w:val="0"/>
      <w:marTop w:val="0"/>
      <w:marBottom w:val="0"/>
      <w:divBdr>
        <w:top w:val="none" w:sz="0" w:space="0" w:color="auto"/>
        <w:left w:val="none" w:sz="0" w:space="0" w:color="auto"/>
        <w:bottom w:val="none" w:sz="0" w:space="0" w:color="auto"/>
        <w:right w:val="none" w:sz="0" w:space="0" w:color="auto"/>
      </w:divBdr>
    </w:div>
    <w:div w:id="125858213">
      <w:bodyDiv w:val="1"/>
      <w:marLeft w:val="0"/>
      <w:marRight w:val="0"/>
      <w:marTop w:val="0"/>
      <w:marBottom w:val="0"/>
      <w:divBdr>
        <w:top w:val="none" w:sz="0" w:space="0" w:color="auto"/>
        <w:left w:val="none" w:sz="0" w:space="0" w:color="auto"/>
        <w:bottom w:val="none" w:sz="0" w:space="0" w:color="auto"/>
        <w:right w:val="none" w:sz="0" w:space="0" w:color="auto"/>
      </w:divBdr>
    </w:div>
    <w:div w:id="125974420">
      <w:bodyDiv w:val="1"/>
      <w:marLeft w:val="0"/>
      <w:marRight w:val="0"/>
      <w:marTop w:val="0"/>
      <w:marBottom w:val="0"/>
      <w:divBdr>
        <w:top w:val="none" w:sz="0" w:space="0" w:color="auto"/>
        <w:left w:val="none" w:sz="0" w:space="0" w:color="auto"/>
        <w:bottom w:val="none" w:sz="0" w:space="0" w:color="auto"/>
        <w:right w:val="none" w:sz="0" w:space="0" w:color="auto"/>
      </w:divBdr>
    </w:div>
    <w:div w:id="125978058">
      <w:bodyDiv w:val="1"/>
      <w:marLeft w:val="0"/>
      <w:marRight w:val="0"/>
      <w:marTop w:val="0"/>
      <w:marBottom w:val="0"/>
      <w:divBdr>
        <w:top w:val="none" w:sz="0" w:space="0" w:color="auto"/>
        <w:left w:val="none" w:sz="0" w:space="0" w:color="auto"/>
        <w:bottom w:val="none" w:sz="0" w:space="0" w:color="auto"/>
        <w:right w:val="none" w:sz="0" w:space="0" w:color="auto"/>
      </w:divBdr>
    </w:div>
    <w:div w:id="126554588">
      <w:bodyDiv w:val="1"/>
      <w:marLeft w:val="0"/>
      <w:marRight w:val="0"/>
      <w:marTop w:val="0"/>
      <w:marBottom w:val="0"/>
      <w:divBdr>
        <w:top w:val="none" w:sz="0" w:space="0" w:color="auto"/>
        <w:left w:val="none" w:sz="0" w:space="0" w:color="auto"/>
        <w:bottom w:val="none" w:sz="0" w:space="0" w:color="auto"/>
        <w:right w:val="none" w:sz="0" w:space="0" w:color="auto"/>
      </w:divBdr>
    </w:div>
    <w:div w:id="127211372">
      <w:bodyDiv w:val="1"/>
      <w:marLeft w:val="0"/>
      <w:marRight w:val="0"/>
      <w:marTop w:val="0"/>
      <w:marBottom w:val="0"/>
      <w:divBdr>
        <w:top w:val="none" w:sz="0" w:space="0" w:color="auto"/>
        <w:left w:val="none" w:sz="0" w:space="0" w:color="auto"/>
        <w:bottom w:val="none" w:sz="0" w:space="0" w:color="auto"/>
        <w:right w:val="none" w:sz="0" w:space="0" w:color="auto"/>
      </w:divBdr>
    </w:div>
    <w:div w:id="128599715">
      <w:bodyDiv w:val="1"/>
      <w:marLeft w:val="0"/>
      <w:marRight w:val="0"/>
      <w:marTop w:val="0"/>
      <w:marBottom w:val="0"/>
      <w:divBdr>
        <w:top w:val="none" w:sz="0" w:space="0" w:color="auto"/>
        <w:left w:val="none" w:sz="0" w:space="0" w:color="auto"/>
        <w:bottom w:val="none" w:sz="0" w:space="0" w:color="auto"/>
        <w:right w:val="none" w:sz="0" w:space="0" w:color="auto"/>
      </w:divBdr>
    </w:div>
    <w:div w:id="129249714">
      <w:bodyDiv w:val="1"/>
      <w:marLeft w:val="0"/>
      <w:marRight w:val="0"/>
      <w:marTop w:val="0"/>
      <w:marBottom w:val="0"/>
      <w:divBdr>
        <w:top w:val="none" w:sz="0" w:space="0" w:color="auto"/>
        <w:left w:val="none" w:sz="0" w:space="0" w:color="auto"/>
        <w:bottom w:val="none" w:sz="0" w:space="0" w:color="auto"/>
        <w:right w:val="none" w:sz="0" w:space="0" w:color="auto"/>
      </w:divBdr>
    </w:div>
    <w:div w:id="129400292">
      <w:bodyDiv w:val="1"/>
      <w:marLeft w:val="0"/>
      <w:marRight w:val="0"/>
      <w:marTop w:val="0"/>
      <w:marBottom w:val="0"/>
      <w:divBdr>
        <w:top w:val="none" w:sz="0" w:space="0" w:color="auto"/>
        <w:left w:val="none" w:sz="0" w:space="0" w:color="auto"/>
        <w:bottom w:val="none" w:sz="0" w:space="0" w:color="auto"/>
        <w:right w:val="none" w:sz="0" w:space="0" w:color="auto"/>
      </w:divBdr>
    </w:div>
    <w:div w:id="129830804">
      <w:bodyDiv w:val="1"/>
      <w:marLeft w:val="0"/>
      <w:marRight w:val="0"/>
      <w:marTop w:val="0"/>
      <w:marBottom w:val="0"/>
      <w:divBdr>
        <w:top w:val="none" w:sz="0" w:space="0" w:color="auto"/>
        <w:left w:val="none" w:sz="0" w:space="0" w:color="auto"/>
        <w:bottom w:val="none" w:sz="0" w:space="0" w:color="auto"/>
        <w:right w:val="none" w:sz="0" w:space="0" w:color="auto"/>
      </w:divBdr>
    </w:div>
    <w:div w:id="129902912">
      <w:bodyDiv w:val="1"/>
      <w:marLeft w:val="0"/>
      <w:marRight w:val="0"/>
      <w:marTop w:val="0"/>
      <w:marBottom w:val="0"/>
      <w:divBdr>
        <w:top w:val="none" w:sz="0" w:space="0" w:color="auto"/>
        <w:left w:val="none" w:sz="0" w:space="0" w:color="auto"/>
        <w:bottom w:val="none" w:sz="0" w:space="0" w:color="auto"/>
        <w:right w:val="none" w:sz="0" w:space="0" w:color="auto"/>
      </w:divBdr>
    </w:div>
    <w:div w:id="131027063">
      <w:bodyDiv w:val="1"/>
      <w:marLeft w:val="0"/>
      <w:marRight w:val="0"/>
      <w:marTop w:val="0"/>
      <w:marBottom w:val="0"/>
      <w:divBdr>
        <w:top w:val="none" w:sz="0" w:space="0" w:color="auto"/>
        <w:left w:val="none" w:sz="0" w:space="0" w:color="auto"/>
        <w:bottom w:val="none" w:sz="0" w:space="0" w:color="auto"/>
        <w:right w:val="none" w:sz="0" w:space="0" w:color="auto"/>
      </w:divBdr>
    </w:div>
    <w:div w:id="131411084">
      <w:bodyDiv w:val="1"/>
      <w:marLeft w:val="0"/>
      <w:marRight w:val="0"/>
      <w:marTop w:val="0"/>
      <w:marBottom w:val="0"/>
      <w:divBdr>
        <w:top w:val="none" w:sz="0" w:space="0" w:color="auto"/>
        <w:left w:val="none" w:sz="0" w:space="0" w:color="auto"/>
        <w:bottom w:val="none" w:sz="0" w:space="0" w:color="auto"/>
        <w:right w:val="none" w:sz="0" w:space="0" w:color="auto"/>
      </w:divBdr>
    </w:div>
    <w:div w:id="131556814">
      <w:bodyDiv w:val="1"/>
      <w:marLeft w:val="0"/>
      <w:marRight w:val="0"/>
      <w:marTop w:val="0"/>
      <w:marBottom w:val="0"/>
      <w:divBdr>
        <w:top w:val="none" w:sz="0" w:space="0" w:color="auto"/>
        <w:left w:val="none" w:sz="0" w:space="0" w:color="auto"/>
        <w:bottom w:val="none" w:sz="0" w:space="0" w:color="auto"/>
        <w:right w:val="none" w:sz="0" w:space="0" w:color="auto"/>
      </w:divBdr>
    </w:div>
    <w:div w:id="132217064">
      <w:bodyDiv w:val="1"/>
      <w:marLeft w:val="0"/>
      <w:marRight w:val="0"/>
      <w:marTop w:val="0"/>
      <w:marBottom w:val="0"/>
      <w:divBdr>
        <w:top w:val="none" w:sz="0" w:space="0" w:color="auto"/>
        <w:left w:val="none" w:sz="0" w:space="0" w:color="auto"/>
        <w:bottom w:val="none" w:sz="0" w:space="0" w:color="auto"/>
        <w:right w:val="none" w:sz="0" w:space="0" w:color="auto"/>
      </w:divBdr>
    </w:div>
    <w:div w:id="133261953">
      <w:bodyDiv w:val="1"/>
      <w:marLeft w:val="0"/>
      <w:marRight w:val="0"/>
      <w:marTop w:val="0"/>
      <w:marBottom w:val="0"/>
      <w:divBdr>
        <w:top w:val="none" w:sz="0" w:space="0" w:color="auto"/>
        <w:left w:val="none" w:sz="0" w:space="0" w:color="auto"/>
        <w:bottom w:val="none" w:sz="0" w:space="0" w:color="auto"/>
        <w:right w:val="none" w:sz="0" w:space="0" w:color="auto"/>
      </w:divBdr>
    </w:div>
    <w:div w:id="133332789">
      <w:bodyDiv w:val="1"/>
      <w:marLeft w:val="0"/>
      <w:marRight w:val="0"/>
      <w:marTop w:val="0"/>
      <w:marBottom w:val="0"/>
      <w:divBdr>
        <w:top w:val="none" w:sz="0" w:space="0" w:color="auto"/>
        <w:left w:val="none" w:sz="0" w:space="0" w:color="auto"/>
        <w:bottom w:val="none" w:sz="0" w:space="0" w:color="auto"/>
        <w:right w:val="none" w:sz="0" w:space="0" w:color="auto"/>
      </w:divBdr>
    </w:div>
    <w:div w:id="133571297">
      <w:bodyDiv w:val="1"/>
      <w:marLeft w:val="0"/>
      <w:marRight w:val="0"/>
      <w:marTop w:val="0"/>
      <w:marBottom w:val="0"/>
      <w:divBdr>
        <w:top w:val="none" w:sz="0" w:space="0" w:color="auto"/>
        <w:left w:val="none" w:sz="0" w:space="0" w:color="auto"/>
        <w:bottom w:val="none" w:sz="0" w:space="0" w:color="auto"/>
        <w:right w:val="none" w:sz="0" w:space="0" w:color="auto"/>
      </w:divBdr>
    </w:div>
    <w:div w:id="133983306">
      <w:bodyDiv w:val="1"/>
      <w:marLeft w:val="0"/>
      <w:marRight w:val="0"/>
      <w:marTop w:val="0"/>
      <w:marBottom w:val="0"/>
      <w:divBdr>
        <w:top w:val="none" w:sz="0" w:space="0" w:color="auto"/>
        <w:left w:val="none" w:sz="0" w:space="0" w:color="auto"/>
        <w:bottom w:val="none" w:sz="0" w:space="0" w:color="auto"/>
        <w:right w:val="none" w:sz="0" w:space="0" w:color="auto"/>
      </w:divBdr>
    </w:div>
    <w:div w:id="134107120">
      <w:bodyDiv w:val="1"/>
      <w:marLeft w:val="0"/>
      <w:marRight w:val="0"/>
      <w:marTop w:val="0"/>
      <w:marBottom w:val="0"/>
      <w:divBdr>
        <w:top w:val="none" w:sz="0" w:space="0" w:color="auto"/>
        <w:left w:val="none" w:sz="0" w:space="0" w:color="auto"/>
        <w:bottom w:val="none" w:sz="0" w:space="0" w:color="auto"/>
        <w:right w:val="none" w:sz="0" w:space="0" w:color="auto"/>
      </w:divBdr>
    </w:div>
    <w:div w:id="134182246">
      <w:bodyDiv w:val="1"/>
      <w:marLeft w:val="0"/>
      <w:marRight w:val="0"/>
      <w:marTop w:val="0"/>
      <w:marBottom w:val="0"/>
      <w:divBdr>
        <w:top w:val="none" w:sz="0" w:space="0" w:color="auto"/>
        <w:left w:val="none" w:sz="0" w:space="0" w:color="auto"/>
        <w:bottom w:val="none" w:sz="0" w:space="0" w:color="auto"/>
        <w:right w:val="none" w:sz="0" w:space="0" w:color="auto"/>
      </w:divBdr>
    </w:div>
    <w:div w:id="134681843">
      <w:bodyDiv w:val="1"/>
      <w:marLeft w:val="0"/>
      <w:marRight w:val="0"/>
      <w:marTop w:val="0"/>
      <w:marBottom w:val="0"/>
      <w:divBdr>
        <w:top w:val="none" w:sz="0" w:space="0" w:color="auto"/>
        <w:left w:val="none" w:sz="0" w:space="0" w:color="auto"/>
        <w:bottom w:val="none" w:sz="0" w:space="0" w:color="auto"/>
        <w:right w:val="none" w:sz="0" w:space="0" w:color="auto"/>
      </w:divBdr>
    </w:div>
    <w:div w:id="134758040">
      <w:bodyDiv w:val="1"/>
      <w:marLeft w:val="0"/>
      <w:marRight w:val="0"/>
      <w:marTop w:val="0"/>
      <w:marBottom w:val="0"/>
      <w:divBdr>
        <w:top w:val="none" w:sz="0" w:space="0" w:color="auto"/>
        <w:left w:val="none" w:sz="0" w:space="0" w:color="auto"/>
        <w:bottom w:val="none" w:sz="0" w:space="0" w:color="auto"/>
        <w:right w:val="none" w:sz="0" w:space="0" w:color="auto"/>
      </w:divBdr>
    </w:div>
    <w:div w:id="135415584">
      <w:bodyDiv w:val="1"/>
      <w:marLeft w:val="0"/>
      <w:marRight w:val="0"/>
      <w:marTop w:val="0"/>
      <w:marBottom w:val="0"/>
      <w:divBdr>
        <w:top w:val="none" w:sz="0" w:space="0" w:color="auto"/>
        <w:left w:val="none" w:sz="0" w:space="0" w:color="auto"/>
        <w:bottom w:val="none" w:sz="0" w:space="0" w:color="auto"/>
        <w:right w:val="none" w:sz="0" w:space="0" w:color="auto"/>
      </w:divBdr>
    </w:div>
    <w:div w:id="135492615">
      <w:bodyDiv w:val="1"/>
      <w:marLeft w:val="0"/>
      <w:marRight w:val="0"/>
      <w:marTop w:val="0"/>
      <w:marBottom w:val="0"/>
      <w:divBdr>
        <w:top w:val="none" w:sz="0" w:space="0" w:color="auto"/>
        <w:left w:val="none" w:sz="0" w:space="0" w:color="auto"/>
        <w:bottom w:val="none" w:sz="0" w:space="0" w:color="auto"/>
        <w:right w:val="none" w:sz="0" w:space="0" w:color="auto"/>
      </w:divBdr>
    </w:div>
    <w:div w:id="135874134">
      <w:bodyDiv w:val="1"/>
      <w:marLeft w:val="0"/>
      <w:marRight w:val="0"/>
      <w:marTop w:val="0"/>
      <w:marBottom w:val="0"/>
      <w:divBdr>
        <w:top w:val="none" w:sz="0" w:space="0" w:color="auto"/>
        <w:left w:val="none" w:sz="0" w:space="0" w:color="auto"/>
        <w:bottom w:val="none" w:sz="0" w:space="0" w:color="auto"/>
        <w:right w:val="none" w:sz="0" w:space="0" w:color="auto"/>
      </w:divBdr>
    </w:div>
    <w:div w:id="136190599">
      <w:bodyDiv w:val="1"/>
      <w:marLeft w:val="0"/>
      <w:marRight w:val="0"/>
      <w:marTop w:val="0"/>
      <w:marBottom w:val="0"/>
      <w:divBdr>
        <w:top w:val="none" w:sz="0" w:space="0" w:color="auto"/>
        <w:left w:val="none" w:sz="0" w:space="0" w:color="auto"/>
        <w:bottom w:val="none" w:sz="0" w:space="0" w:color="auto"/>
        <w:right w:val="none" w:sz="0" w:space="0" w:color="auto"/>
      </w:divBdr>
    </w:div>
    <w:div w:id="137840076">
      <w:bodyDiv w:val="1"/>
      <w:marLeft w:val="0"/>
      <w:marRight w:val="0"/>
      <w:marTop w:val="0"/>
      <w:marBottom w:val="0"/>
      <w:divBdr>
        <w:top w:val="none" w:sz="0" w:space="0" w:color="auto"/>
        <w:left w:val="none" w:sz="0" w:space="0" w:color="auto"/>
        <w:bottom w:val="none" w:sz="0" w:space="0" w:color="auto"/>
        <w:right w:val="none" w:sz="0" w:space="0" w:color="auto"/>
      </w:divBdr>
    </w:div>
    <w:div w:id="138113722">
      <w:bodyDiv w:val="1"/>
      <w:marLeft w:val="0"/>
      <w:marRight w:val="0"/>
      <w:marTop w:val="0"/>
      <w:marBottom w:val="0"/>
      <w:divBdr>
        <w:top w:val="none" w:sz="0" w:space="0" w:color="auto"/>
        <w:left w:val="none" w:sz="0" w:space="0" w:color="auto"/>
        <w:bottom w:val="none" w:sz="0" w:space="0" w:color="auto"/>
        <w:right w:val="none" w:sz="0" w:space="0" w:color="auto"/>
      </w:divBdr>
    </w:div>
    <w:div w:id="138116457">
      <w:bodyDiv w:val="1"/>
      <w:marLeft w:val="0"/>
      <w:marRight w:val="0"/>
      <w:marTop w:val="0"/>
      <w:marBottom w:val="0"/>
      <w:divBdr>
        <w:top w:val="none" w:sz="0" w:space="0" w:color="auto"/>
        <w:left w:val="none" w:sz="0" w:space="0" w:color="auto"/>
        <w:bottom w:val="none" w:sz="0" w:space="0" w:color="auto"/>
        <w:right w:val="none" w:sz="0" w:space="0" w:color="auto"/>
      </w:divBdr>
    </w:div>
    <w:div w:id="139273758">
      <w:bodyDiv w:val="1"/>
      <w:marLeft w:val="0"/>
      <w:marRight w:val="0"/>
      <w:marTop w:val="0"/>
      <w:marBottom w:val="0"/>
      <w:divBdr>
        <w:top w:val="none" w:sz="0" w:space="0" w:color="auto"/>
        <w:left w:val="none" w:sz="0" w:space="0" w:color="auto"/>
        <w:bottom w:val="none" w:sz="0" w:space="0" w:color="auto"/>
        <w:right w:val="none" w:sz="0" w:space="0" w:color="auto"/>
      </w:divBdr>
    </w:div>
    <w:div w:id="139276136">
      <w:bodyDiv w:val="1"/>
      <w:marLeft w:val="0"/>
      <w:marRight w:val="0"/>
      <w:marTop w:val="0"/>
      <w:marBottom w:val="0"/>
      <w:divBdr>
        <w:top w:val="none" w:sz="0" w:space="0" w:color="auto"/>
        <w:left w:val="none" w:sz="0" w:space="0" w:color="auto"/>
        <w:bottom w:val="none" w:sz="0" w:space="0" w:color="auto"/>
        <w:right w:val="none" w:sz="0" w:space="0" w:color="auto"/>
      </w:divBdr>
    </w:div>
    <w:div w:id="139276726">
      <w:bodyDiv w:val="1"/>
      <w:marLeft w:val="0"/>
      <w:marRight w:val="0"/>
      <w:marTop w:val="0"/>
      <w:marBottom w:val="0"/>
      <w:divBdr>
        <w:top w:val="none" w:sz="0" w:space="0" w:color="auto"/>
        <w:left w:val="none" w:sz="0" w:space="0" w:color="auto"/>
        <w:bottom w:val="none" w:sz="0" w:space="0" w:color="auto"/>
        <w:right w:val="none" w:sz="0" w:space="0" w:color="auto"/>
      </w:divBdr>
    </w:div>
    <w:div w:id="140121709">
      <w:bodyDiv w:val="1"/>
      <w:marLeft w:val="0"/>
      <w:marRight w:val="0"/>
      <w:marTop w:val="0"/>
      <w:marBottom w:val="0"/>
      <w:divBdr>
        <w:top w:val="none" w:sz="0" w:space="0" w:color="auto"/>
        <w:left w:val="none" w:sz="0" w:space="0" w:color="auto"/>
        <w:bottom w:val="none" w:sz="0" w:space="0" w:color="auto"/>
        <w:right w:val="none" w:sz="0" w:space="0" w:color="auto"/>
      </w:divBdr>
    </w:div>
    <w:div w:id="140200293">
      <w:bodyDiv w:val="1"/>
      <w:marLeft w:val="0"/>
      <w:marRight w:val="0"/>
      <w:marTop w:val="0"/>
      <w:marBottom w:val="0"/>
      <w:divBdr>
        <w:top w:val="none" w:sz="0" w:space="0" w:color="auto"/>
        <w:left w:val="none" w:sz="0" w:space="0" w:color="auto"/>
        <w:bottom w:val="none" w:sz="0" w:space="0" w:color="auto"/>
        <w:right w:val="none" w:sz="0" w:space="0" w:color="auto"/>
      </w:divBdr>
    </w:div>
    <w:div w:id="140387899">
      <w:bodyDiv w:val="1"/>
      <w:marLeft w:val="0"/>
      <w:marRight w:val="0"/>
      <w:marTop w:val="0"/>
      <w:marBottom w:val="0"/>
      <w:divBdr>
        <w:top w:val="none" w:sz="0" w:space="0" w:color="auto"/>
        <w:left w:val="none" w:sz="0" w:space="0" w:color="auto"/>
        <w:bottom w:val="none" w:sz="0" w:space="0" w:color="auto"/>
        <w:right w:val="none" w:sz="0" w:space="0" w:color="auto"/>
      </w:divBdr>
    </w:div>
    <w:div w:id="140654926">
      <w:bodyDiv w:val="1"/>
      <w:marLeft w:val="0"/>
      <w:marRight w:val="0"/>
      <w:marTop w:val="0"/>
      <w:marBottom w:val="0"/>
      <w:divBdr>
        <w:top w:val="none" w:sz="0" w:space="0" w:color="auto"/>
        <w:left w:val="none" w:sz="0" w:space="0" w:color="auto"/>
        <w:bottom w:val="none" w:sz="0" w:space="0" w:color="auto"/>
        <w:right w:val="none" w:sz="0" w:space="0" w:color="auto"/>
      </w:divBdr>
    </w:div>
    <w:div w:id="141116416">
      <w:bodyDiv w:val="1"/>
      <w:marLeft w:val="0"/>
      <w:marRight w:val="0"/>
      <w:marTop w:val="0"/>
      <w:marBottom w:val="0"/>
      <w:divBdr>
        <w:top w:val="none" w:sz="0" w:space="0" w:color="auto"/>
        <w:left w:val="none" w:sz="0" w:space="0" w:color="auto"/>
        <w:bottom w:val="none" w:sz="0" w:space="0" w:color="auto"/>
        <w:right w:val="none" w:sz="0" w:space="0" w:color="auto"/>
      </w:divBdr>
    </w:div>
    <w:div w:id="141511180">
      <w:bodyDiv w:val="1"/>
      <w:marLeft w:val="0"/>
      <w:marRight w:val="0"/>
      <w:marTop w:val="0"/>
      <w:marBottom w:val="0"/>
      <w:divBdr>
        <w:top w:val="none" w:sz="0" w:space="0" w:color="auto"/>
        <w:left w:val="none" w:sz="0" w:space="0" w:color="auto"/>
        <w:bottom w:val="none" w:sz="0" w:space="0" w:color="auto"/>
        <w:right w:val="none" w:sz="0" w:space="0" w:color="auto"/>
      </w:divBdr>
    </w:div>
    <w:div w:id="141822056">
      <w:bodyDiv w:val="1"/>
      <w:marLeft w:val="0"/>
      <w:marRight w:val="0"/>
      <w:marTop w:val="0"/>
      <w:marBottom w:val="0"/>
      <w:divBdr>
        <w:top w:val="none" w:sz="0" w:space="0" w:color="auto"/>
        <w:left w:val="none" w:sz="0" w:space="0" w:color="auto"/>
        <w:bottom w:val="none" w:sz="0" w:space="0" w:color="auto"/>
        <w:right w:val="none" w:sz="0" w:space="0" w:color="auto"/>
      </w:divBdr>
    </w:div>
    <w:div w:id="142089507">
      <w:bodyDiv w:val="1"/>
      <w:marLeft w:val="0"/>
      <w:marRight w:val="0"/>
      <w:marTop w:val="0"/>
      <w:marBottom w:val="0"/>
      <w:divBdr>
        <w:top w:val="none" w:sz="0" w:space="0" w:color="auto"/>
        <w:left w:val="none" w:sz="0" w:space="0" w:color="auto"/>
        <w:bottom w:val="none" w:sz="0" w:space="0" w:color="auto"/>
        <w:right w:val="none" w:sz="0" w:space="0" w:color="auto"/>
      </w:divBdr>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3163236">
      <w:bodyDiv w:val="1"/>
      <w:marLeft w:val="0"/>
      <w:marRight w:val="0"/>
      <w:marTop w:val="0"/>
      <w:marBottom w:val="0"/>
      <w:divBdr>
        <w:top w:val="none" w:sz="0" w:space="0" w:color="auto"/>
        <w:left w:val="none" w:sz="0" w:space="0" w:color="auto"/>
        <w:bottom w:val="none" w:sz="0" w:space="0" w:color="auto"/>
        <w:right w:val="none" w:sz="0" w:space="0" w:color="auto"/>
      </w:divBdr>
    </w:div>
    <w:div w:id="143353577">
      <w:bodyDiv w:val="1"/>
      <w:marLeft w:val="0"/>
      <w:marRight w:val="0"/>
      <w:marTop w:val="0"/>
      <w:marBottom w:val="0"/>
      <w:divBdr>
        <w:top w:val="none" w:sz="0" w:space="0" w:color="auto"/>
        <w:left w:val="none" w:sz="0" w:space="0" w:color="auto"/>
        <w:bottom w:val="none" w:sz="0" w:space="0" w:color="auto"/>
        <w:right w:val="none" w:sz="0" w:space="0" w:color="auto"/>
      </w:divBdr>
    </w:div>
    <w:div w:id="143400505">
      <w:bodyDiv w:val="1"/>
      <w:marLeft w:val="0"/>
      <w:marRight w:val="0"/>
      <w:marTop w:val="0"/>
      <w:marBottom w:val="0"/>
      <w:divBdr>
        <w:top w:val="none" w:sz="0" w:space="0" w:color="auto"/>
        <w:left w:val="none" w:sz="0" w:space="0" w:color="auto"/>
        <w:bottom w:val="none" w:sz="0" w:space="0" w:color="auto"/>
        <w:right w:val="none" w:sz="0" w:space="0" w:color="auto"/>
      </w:divBdr>
    </w:div>
    <w:div w:id="143402430">
      <w:bodyDiv w:val="1"/>
      <w:marLeft w:val="0"/>
      <w:marRight w:val="0"/>
      <w:marTop w:val="0"/>
      <w:marBottom w:val="0"/>
      <w:divBdr>
        <w:top w:val="none" w:sz="0" w:space="0" w:color="auto"/>
        <w:left w:val="none" w:sz="0" w:space="0" w:color="auto"/>
        <w:bottom w:val="none" w:sz="0" w:space="0" w:color="auto"/>
        <w:right w:val="none" w:sz="0" w:space="0" w:color="auto"/>
      </w:divBdr>
    </w:div>
    <w:div w:id="143856516">
      <w:bodyDiv w:val="1"/>
      <w:marLeft w:val="0"/>
      <w:marRight w:val="0"/>
      <w:marTop w:val="0"/>
      <w:marBottom w:val="0"/>
      <w:divBdr>
        <w:top w:val="none" w:sz="0" w:space="0" w:color="auto"/>
        <w:left w:val="none" w:sz="0" w:space="0" w:color="auto"/>
        <w:bottom w:val="none" w:sz="0" w:space="0" w:color="auto"/>
        <w:right w:val="none" w:sz="0" w:space="0" w:color="auto"/>
      </w:divBdr>
    </w:div>
    <w:div w:id="144205918">
      <w:bodyDiv w:val="1"/>
      <w:marLeft w:val="0"/>
      <w:marRight w:val="0"/>
      <w:marTop w:val="0"/>
      <w:marBottom w:val="0"/>
      <w:divBdr>
        <w:top w:val="none" w:sz="0" w:space="0" w:color="auto"/>
        <w:left w:val="none" w:sz="0" w:space="0" w:color="auto"/>
        <w:bottom w:val="none" w:sz="0" w:space="0" w:color="auto"/>
        <w:right w:val="none" w:sz="0" w:space="0" w:color="auto"/>
      </w:divBdr>
    </w:div>
    <w:div w:id="145051508">
      <w:bodyDiv w:val="1"/>
      <w:marLeft w:val="0"/>
      <w:marRight w:val="0"/>
      <w:marTop w:val="0"/>
      <w:marBottom w:val="0"/>
      <w:divBdr>
        <w:top w:val="none" w:sz="0" w:space="0" w:color="auto"/>
        <w:left w:val="none" w:sz="0" w:space="0" w:color="auto"/>
        <w:bottom w:val="none" w:sz="0" w:space="0" w:color="auto"/>
        <w:right w:val="none" w:sz="0" w:space="0" w:color="auto"/>
      </w:divBdr>
    </w:div>
    <w:div w:id="145316883">
      <w:bodyDiv w:val="1"/>
      <w:marLeft w:val="0"/>
      <w:marRight w:val="0"/>
      <w:marTop w:val="0"/>
      <w:marBottom w:val="0"/>
      <w:divBdr>
        <w:top w:val="none" w:sz="0" w:space="0" w:color="auto"/>
        <w:left w:val="none" w:sz="0" w:space="0" w:color="auto"/>
        <w:bottom w:val="none" w:sz="0" w:space="0" w:color="auto"/>
        <w:right w:val="none" w:sz="0" w:space="0" w:color="auto"/>
      </w:divBdr>
    </w:div>
    <w:div w:id="146359305">
      <w:bodyDiv w:val="1"/>
      <w:marLeft w:val="0"/>
      <w:marRight w:val="0"/>
      <w:marTop w:val="0"/>
      <w:marBottom w:val="0"/>
      <w:divBdr>
        <w:top w:val="none" w:sz="0" w:space="0" w:color="auto"/>
        <w:left w:val="none" w:sz="0" w:space="0" w:color="auto"/>
        <w:bottom w:val="none" w:sz="0" w:space="0" w:color="auto"/>
        <w:right w:val="none" w:sz="0" w:space="0" w:color="auto"/>
      </w:divBdr>
    </w:div>
    <w:div w:id="146629609">
      <w:bodyDiv w:val="1"/>
      <w:marLeft w:val="0"/>
      <w:marRight w:val="0"/>
      <w:marTop w:val="0"/>
      <w:marBottom w:val="0"/>
      <w:divBdr>
        <w:top w:val="none" w:sz="0" w:space="0" w:color="auto"/>
        <w:left w:val="none" w:sz="0" w:space="0" w:color="auto"/>
        <w:bottom w:val="none" w:sz="0" w:space="0" w:color="auto"/>
        <w:right w:val="none" w:sz="0" w:space="0" w:color="auto"/>
      </w:divBdr>
    </w:div>
    <w:div w:id="146635617">
      <w:bodyDiv w:val="1"/>
      <w:marLeft w:val="0"/>
      <w:marRight w:val="0"/>
      <w:marTop w:val="0"/>
      <w:marBottom w:val="0"/>
      <w:divBdr>
        <w:top w:val="none" w:sz="0" w:space="0" w:color="auto"/>
        <w:left w:val="none" w:sz="0" w:space="0" w:color="auto"/>
        <w:bottom w:val="none" w:sz="0" w:space="0" w:color="auto"/>
        <w:right w:val="none" w:sz="0" w:space="0" w:color="auto"/>
      </w:divBdr>
    </w:div>
    <w:div w:id="147480521">
      <w:bodyDiv w:val="1"/>
      <w:marLeft w:val="0"/>
      <w:marRight w:val="0"/>
      <w:marTop w:val="0"/>
      <w:marBottom w:val="0"/>
      <w:divBdr>
        <w:top w:val="none" w:sz="0" w:space="0" w:color="auto"/>
        <w:left w:val="none" w:sz="0" w:space="0" w:color="auto"/>
        <w:bottom w:val="none" w:sz="0" w:space="0" w:color="auto"/>
        <w:right w:val="none" w:sz="0" w:space="0" w:color="auto"/>
      </w:divBdr>
    </w:div>
    <w:div w:id="148404067">
      <w:bodyDiv w:val="1"/>
      <w:marLeft w:val="0"/>
      <w:marRight w:val="0"/>
      <w:marTop w:val="0"/>
      <w:marBottom w:val="0"/>
      <w:divBdr>
        <w:top w:val="none" w:sz="0" w:space="0" w:color="auto"/>
        <w:left w:val="none" w:sz="0" w:space="0" w:color="auto"/>
        <w:bottom w:val="none" w:sz="0" w:space="0" w:color="auto"/>
        <w:right w:val="none" w:sz="0" w:space="0" w:color="auto"/>
      </w:divBdr>
    </w:div>
    <w:div w:id="148525863">
      <w:bodyDiv w:val="1"/>
      <w:marLeft w:val="0"/>
      <w:marRight w:val="0"/>
      <w:marTop w:val="0"/>
      <w:marBottom w:val="0"/>
      <w:divBdr>
        <w:top w:val="none" w:sz="0" w:space="0" w:color="auto"/>
        <w:left w:val="none" w:sz="0" w:space="0" w:color="auto"/>
        <w:bottom w:val="none" w:sz="0" w:space="0" w:color="auto"/>
        <w:right w:val="none" w:sz="0" w:space="0" w:color="auto"/>
      </w:divBdr>
    </w:div>
    <w:div w:id="148594058">
      <w:bodyDiv w:val="1"/>
      <w:marLeft w:val="0"/>
      <w:marRight w:val="0"/>
      <w:marTop w:val="0"/>
      <w:marBottom w:val="0"/>
      <w:divBdr>
        <w:top w:val="none" w:sz="0" w:space="0" w:color="auto"/>
        <w:left w:val="none" w:sz="0" w:space="0" w:color="auto"/>
        <w:bottom w:val="none" w:sz="0" w:space="0" w:color="auto"/>
        <w:right w:val="none" w:sz="0" w:space="0" w:color="auto"/>
      </w:divBdr>
    </w:div>
    <w:div w:id="148718714">
      <w:bodyDiv w:val="1"/>
      <w:marLeft w:val="0"/>
      <w:marRight w:val="0"/>
      <w:marTop w:val="0"/>
      <w:marBottom w:val="0"/>
      <w:divBdr>
        <w:top w:val="none" w:sz="0" w:space="0" w:color="auto"/>
        <w:left w:val="none" w:sz="0" w:space="0" w:color="auto"/>
        <w:bottom w:val="none" w:sz="0" w:space="0" w:color="auto"/>
        <w:right w:val="none" w:sz="0" w:space="0" w:color="auto"/>
      </w:divBdr>
    </w:div>
    <w:div w:id="149298654">
      <w:bodyDiv w:val="1"/>
      <w:marLeft w:val="0"/>
      <w:marRight w:val="0"/>
      <w:marTop w:val="0"/>
      <w:marBottom w:val="0"/>
      <w:divBdr>
        <w:top w:val="none" w:sz="0" w:space="0" w:color="auto"/>
        <w:left w:val="none" w:sz="0" w:space="0" w:color="auto"/>
        <w:bottom w:val="none" w:sz="0" w:space="0" w:color="auto"/>
        <w:right w:val="none" w:sz="0" w:space="0" w:color="auto"/>
      </w:divBdr>
    </w:div>
    <w:div w:id="149835930">
      <w:bodyDiv w:val="1"/>
      <w:marLeft w:val="0"/>
      <w:marRight w:val="0"/>
      <w:marTop w:val="0"/>
      <w:marBottom w:val="0"/>
      <w:divBdr>
        <w:top w:val="none" w:sz="0" w:space="0" w:color="auto"/>
        <w:left w:val="none" w:sz="0" w:space="0" w:color="auto"/>
        <w:bottom w:val="none" w:sz="0" w:space="0" w:color="auto"/>
        <w:right w:val="none" w:sz="0" w:space="0" w:color="auto"/>
      </w:divBdr>
    </w:div>
    <w:div w:id="150491563">
      <w:bodyDiv w:val="1"/>
      <w:marLeft w:val="0"/>
      <w:marRight w:val="0"/>
      <w:marTop w:val="0"/>
      <w:marBottom w:val="0"/>
      <w:divBdr>
        <w:top w:val="none" w:sz="0" w:space="0" w:color="auto"/>
        <w:left w:val="none" w:sz="0" w:space="0" w:color="auto"/>
        <w:bottom w:val="none" w:sz="0" w:space="0" w:color="auto"/>
        <w:right w:val="none" w:sz="0" w:space="0" w:color="auto"/>
      </w:divBdr>
    </w:div>
    <w:div w:id="150827265">
      <w:bodyDiv w:val="1"/>
      <w:marLeft w:val="0"/>
      <w:marRight w:val="0"/>
      <w:marTop w:val="0"/>
      <w:marBottom w:val="0"/>
      <w:divBdr>
        <w:top w:val="none" w:sz="0" w:space="0" w:color="auto"/>
        <w:left w:val="none" w:sz="0" w:space="0" w:color="auto"/>
        <w:bottom w:val="none" w:sz="0" w:space="0" w:color="auto"/>
        <w:right w:val="none" w:sz="0" w:space="0" w:color="auto"/>
      </w:divBdr>
    </w:div>
    <w:div w:id="151413497">
      <w:bodyDiv w:val="1"/>
      <w:marLeft w:val="0"/>
      <w:marRight w:val="0"/>
      <w:marTop w:val="0"/>
      <w:marBottom w:val="0"/>
      <w:divBdr>
        <w:top w:val="none" w:sz="0" w:space="0" w:color="auto"/>
        <w:left w:val="none" w:sz="0" w:space="0" w:color="auto"/>
        <w:bottom w:val="none" w:sz="0" w:space="0" w:color="auto"/>
        <w:right w:val="none" w:sz="0" w:space="0" w:color="auto"/>
      </w:divBdr>
    </w:div>
    <w:div w:id="152767869">
      <w:bodyDiv w:val="1"/>
      <w:marLeft w:val="0"/>
      <w:marRight w:val="0"/>
      <w:marTop w:val="0"/>
      <w:marBottom w:val="0"/>
      <w:divBdr>
        <w:top w:val="none" w:sz="0" w:space="0" w:color="auto"/>
        <w:left w:val="none" w:sz="0" w:space="0" w:color="auto"/>
        <w:bottom w:val="none" w:sz="0" w:space="0" w:color="auto"/>
        <w:right w:val="none" w:sz="0" w:space="0" w:color="auto"/>
      </w:divBdr>
    </w:div>
    <w:div w:id="153767509">
      <w:bodyDiv w:val="1"/>
      <w:marLeft w:val="0"/>
      <w:marRight w:val="0"/>
      <w:marTop w:val="0"/>
      <w:marBottom w:val="0"/>
      <w:divBdr>
        <w:top w:val="none" w:sz="0" w:space="0" w:color="auto"/>
        <w:left w:val="none" w:sz="0" w:space="0" w:color="auto"/>
        <w:bottom w:val="none" w:sz="0" w:space="0" w:color="auto"/>
        <w:right w:val="none" w:sz="0" w:space="0" w:color="auto"/>
      </w:divBdr>
    </w:div>
    <w:div w:id="154342973">
      <w:bodyDiv w:val="1"/>
      <w:marLeft w:val="0"/>
      <w:marRight w:val="0"/>
      <w:marTop w:val="0"/>
      <w:marBottom w:val="0"/>
      <w:divBdr>
        <w:top w:val="none" w:sz="0" w:space="0" w:color="auto"/>
        <w:left w:val="none" w:sz="0" w:space="0" w:color="auto"/>
        <w:bottom w:val="none" w:sz="0" w:space="0" w:color="auto"/>
        <w:right w:val="none" w:sz="0" w:space="0" w:color="auto"/>
      </w:divBdr>
    </w:div>
    <w:div w:id="154805863">
      <w:bodyDiv w:val="1"/>
      <w:marLeft w:val="0"/>
      <w:marRight w:val="0"/>
      <w:marTop w:val="0"/>
      <w:marBottom w:val="0"/>
      <w:divBdr>
        <w:top w:val="none" w:sz="0" w:space="0" w:color="auto"/>
        <w:left w:val="none" w:sz="0" w:space="0" w:color="auto"/>
        <w:bottom w:val="none" w:sz="0" w:space="0" w:color="auto"/>
        <w:right w:val="none" w:sz="0" w:space="0" w:color="auto"/>
      </w:divBdr>
    </w:div>
    <w:div w:id="155925742">
      <w:bodyDiv w:val="1"/>
      <w:marLeft w:val="0"/>
      <w:marRight w:val="0"/>
      <w:marTop w:val="0"/>
      <w:marBottom w:val="0"/>
      <w:divBdr>
        <w:top w:val="none" w:sz="0" w:space="0" w:color="auto"/>
        <w:left w:val="none" w:sz="0" w:space="0" w:color="auto"/>
        <w:bottom w:val="none" w:sz="0" w:space="0" w:color="auto"/>
        <w:right w:val="none" w:sz="0" w:space="0" w:color="auto"/>
      </w:divBdr>
    </w:div>
    <w:div w:id="156699136">
      <w:bodyDiv w:val="1"/>
      <w:marLeft w:val="0"/>
      <w:marRight w:val="0"/>
      <w:marTop w:val="0"/>
      <w:marBottom w:val="0"/>
      <w:divBdr>
        <w:top w:val="none" w:sz="0" w:space="0" w:color="auto"/>
        <w:left w:val="none" w:sz="0" w:space="0" w:color="auto"/>
        <w:bottom w:val="none" w:sz="0" w:space="0" w:color="auto"/>
        <w:right w:val="none" w:sz="0" w:space="0" w:color="auto"/>
      </w:divBdr>
    </w:div>
    <w:div w:id="156770180">
      <w:bodyDiv w:val="1"/>
      <w:marLeft w:val="0"/>
      <w:marRight w:val="0"/>
      <w:marTop w:val="0"/>
      <w:marBottom w:val="0"/>
      <w:divBdr>
        <w:top w:val="none" w:sz="0" w:space="0" w:color="auto"/>
        <w:left w:val="none" w:sz="0" w:space="0" w:color="auto"/>
        <w:bottom w:val="none" w:sz="0" w:space="0" w:color="auto"/>
        <w:right w:val="none" w:sz="0" w:space="0" w:color="auto"/>
      </w:divBdr>
    </w:div>
    <w:div w:id="157423473">
      <w:bodyDiv w:val="1"/>
      <w:marLeft w:val="0"/>
      <w:marRight w:val="0"/>
      <w:marTop w:val="0"/>
      <w:marBottom w:val="0"/>
      <w:divBdr>
        <w:top w:val="none" w:sz="0" w:space="0" w:color="auto"/>
        <w:left w:val="none" w:sz="0" w:space="0" w:color="auto"/>
        <w:bottom w:val="none" w:sz="0" w:space="0" w:color="auto"/>
        <w:right w:val="none" w:sz="0" w:space="0" w:color="auto"/>
      </w:divBdr>
    </w:div>
    <w:div w:id="157502198">
      <w:bodyDiv w:val="1"/>
      <w:marLeft w:val="0"/>
      <w:marRight w:val="0"/>
      <w:marTop w:val="0"/>
      <w:marBottom w:val="0"/>
      <w:divBdr>
        <w:top w:val="none" w:sz="0" w:space="0" w:color="auto"/>
        <w:left w:val="none" w:sz="0" w:space="0" w:color="auto"/>
        <w:bottom w:val="none" w:sz="0" w:space="0" w:color="auto"/>
        <w:right w:val="none" w:sz="0" w:space="0" w:color="auto"/>
      </w:divBdr>
    </w:div>
    <w:div w:id="157622156">
      <w:bodyDiv w:val="1"/>
      <w:marLeft w:val="0"/>
      <w:marRight w:val="0"/>
      <w:marTop w:val="0"/>
      <w:marBottom w:val="0"/>
      <w:divBdr>
        <w:top w:val="none" w:sz="0" w:space="0" w:color="auto"/>
        <w:left w:val="none" w:sz="0" w:space="0" w:color="auto"/>
        <w:bottom w:val="none" w:sz="0" w:space="0" w:color="auto"/>
        <w:right w:val="none" w:sz="0" w:space="0" w:color="auto"/>
      </w:divBdr>
    </w:div>
    <w:div w:id="158154748">
      <w:bodyDiv w:val="1"/>
      <w:marLeft w:val="0"/>
      <w:marRight w:val="0"/>
      <w:marTop w:val="0"/>
      <w:marBottom w:val="0"/>
      <w:divBdr>
        <w:top w:val="none" w:sz="0" w:space="0" w:color="auto"/>
        <w:left w:val="none" w:sz="0" w:space="0" w:color="auto"/>
        <w:bottom w:val="none" w:sz="0" w:space="0" w:color="auto"/>
        <w:right w:val="none" w:sz="0" w:space="0" w:color="auto"/>
      </w:divBdr>
    </w:div>
    <w:div w:id="158733927">
      <w:bodyDiv w:val="1"/>
      <w:marLeft w:val="0"/>
      <w:marRight w:val="0"/>
      <w:marTop w:val="0"/>
      <w:marBottom w:val="0"/>
      <w:divBdr>
        <w:top w:val="none" w:sz="0" w:space="0" w:color="auto"/>
        <w:left w:val="none" w:sz="0" w:space="0" w:color="auto"/>
        <w:bottom w:val="none" w:sz="0" w:space="0" w:color="auto"/>
        <w:right w:val="none" w:sz="0" w:space="0" w:color="auto"/>
      </w:divBdr>
    </w:div>
    <w:div w:id="159272031">
      <w:bodyDiv w:val="1"/>
      <w:marLeft w:val="0"/>
      <w:marRight w:val="0"/>
      <w:marTop w:val="0"/>
      <w:marBottom w:val="0"/>
      <w:divBdr>
        <w:top w:val="none" w:sz="0" w:space="0" w:color="auto"/>
        <w:left w:val="none" w:sz="0" w:space="0" w:color="auto"/>
        <w:bottom w:val="none" w:sz="0" w:space="0" w:color="auto"/>
        <w:right w:val="none" w:sz="0" w:space="0" w:color="auto"/>
      </w:divBdr>
    </w:div>
    <w:div w:id="159544747">
      <w:bodyDiv w:val="1"/>
      <w:marLeft w:val="0"/>
      <w:marRight w:val="0"/>
      <w:marTop w:val="0"/>
      <w:marBottom w:val="0"/>
      <w:divBdr>
        <w:top w:val="none" w:sz="0" w:space="0" w:color="auto"/>
        <w:left w:val="none" w:sz="0" w:space="0" w:color="auto"/>
        <w:bottom w:val="none" w:sz="0" w:space="0" w:color="auto"/>
        <w:right w:val="none" w:sz="0" w:space="0" w:color="auto"/>
      </w:divBdr>
    </w:div>
    <w:div w:id="159851280">
      <w:bodyDiv w:val="1"/>
      <w:marLeft w:val="0"/>
      <w:marRight w:val="0"/>
      <w:marTop w:val="0"/>
      <w:marBottom w:val="0"/>
      <w:divBdr>
        <w:top w:val="none" w:sz="0" w:space="0" w:color="auto"/>
        <w:left w:val="none" w:sz="0" w:space="0" w:color="auto"/>
        <w:bottom w:val="none" w:sz="0" w:space="0" w:color="auto"/>
        <w:right w:val="none" w:sz="0" w:space="0" w:color="auto"/>
      </w:divBdr>
    </w:div>
    <w:div w:id="160045325">
      <w:bodyDiv w:val="1"/>
      <w:marLeft w:val="0"/>
      <w:marRight w:val="0"/>
      <w:marTop w:val="0"/>
      <w:marBottom w:val="0"/>
      <w:divBdr>
        <w:top w:val="none" w:sz="0" w:space="0" w:color="auto"/>
        <w:left w:val="none" w:sz="0" w:space="0" w:color="auto"/>
        <w:bottom w:val="none" w:sz="0" w:space="0" w:color="auto"/>
        <w:right w:val="none" w:sz="0" w:space="0" w:color="auto"/>
      </w:divBdr>
    </w:div>
    <w:div w:id="160705720">
      <w:bodyDiv w:val="1"/>
      <w:marLeft w:val="0"/>
      <w:marRight w:val="0"/>
      <w:marTop w:val="0"/>
      <w:marBottom w:val="0"/>
      <w:divBdr>
        <w:top w:val="none" w:sz="0" w:space="0" w:color="auto"/>
        <w:left w:val="none" w:sz="0" w:space="0" w:color="auto"/>
        <w:bottom w:val="none" w:sz="0" w:space="0" w:color="auto"/>
        <w:right w:val="none" w:sz="0" w:space="0" w:color="auto"/>
      </w:divBdr>
    </w:div>
    <w:div w:id="161429967">
      <w:bodyDiv w:val="1"/>
      <w:marLeft w:val="0"/>
      <w:marRight w:val="0"/>
      <w:marTop w:val="0"/>
      <w:marBottom w:val="0"/>
      <w:divBdr>
        <w:top w:val="none" w:sz="0" w:space="0" w:color="auto"/>
        <w:left w:val="none" w:sz="0" w:space="0" w:color="auto"/>
        <w:bottom w:val="none" w:sz="0" w:space="0" w:color="auto"/>
        <w:right w:val="none" w:sz="0" w:space="0" w:color="auto"/>
      </w:divBdr>
    </w:div>
    <w:div w:id="161512021">
      <w:bodyDiv w:val="1"/>
      <w:marLeft w:val="0"/>
      <w:marRight w:val="0"/>
      <w:marTop w:val="0"/>
      <w:marBottom w:val="0"/>
      <w:divBdr>
        <w:top w:val="none" w:sz="0" w:space="0" w:color="auto"/>
        <w:left w:val="none" w:sz="0" w:space="0" w:color="auto"/>
        <w:bottom w:val="none" w:sz="0" w:space="0" w:color="auto"/>
        <w:right w:val="none" w:sz="0" w:space="0" w:color="auto"/>
      </w:divBdr>
    </w:div>
    <w:div w:id="161703818">
      <w:bodyDiv w:val="1"/>
      <w:marLeft w:val="0"/>
      <w:marRight w:val="0"/>
      <w:marTop w:val="0"/>
      <w:marBottom w:val="0"/>
      <w:divBdr>
        <w:top w:val="none" w:sz="0" w:space="0" w:color="auto"/>
        <w:left w:val="none" w:sz="0" w:space="0" w:color="auto"/>
        <w:bottom w:val="none" w:sz="0" w:space="0" w:color="auto"/>
        <w:right w:val="none" w:sz="0" w:space="0" w:color="auto"/>
      </w:divBdr>
    </w:div>
    <w:div w:id="161704285">
      <w:bodyDiv w:val="1"/>
      <w:marLeft w:val="0"/>
      <w:marRight w:val="0"/>
      <w:marTop w:val="0"/>
      <w:marBottom w:val="0"/>
      <w:divBdr>
        <w:top w:val="none" w:sz="0" w:space="0" w:color="auto"/>
        <w:left w:val="none" w:sz="0" w:space="0" w:color="auto"/>
        <w:bottom w:val="none" w:sz="0" w:space="0" w:color="auto"/>
        <w:right w:val="none" w:sz="0" w:space="0" w:color="auto"/>
      </w:divBdr>
    </w:div>
    <w:div w:id="162399630">
      <w:bodyDiv w:val="1"/>
      <w:marLeft w:val="0"/>
      <w:marRight w:val="0"/>
      <w:marTop w:val="0"/>
      <w:marBottom w:val="0"/>
      <w:divBdr>
        <w:top w:val="none" w:sz="0" w:space="0" w:color="auto"/>
        <w:left w:val="none" w:sz="0" w:space="0" w:color="auto"/>
        <w:bottom w:val="none" w:sz="0" w:space="0" w:color="auto"/>
        <w:right w:val="none" w:sz="0" w:space="0" w:color="auto"/>
      </w:divBdr>
    </w:div>
    <w:div w:id="162744624">
      <w:bodyDiv w:val="1"/>
      <w:marLeft w:val="0"/>
      <w:marRight w:val="0"/>
      <w:marTop w:val="0"/>
      <w:marBottom w:val="0"/>
      <w:divBdr>
        <w:top w:val="none" w:sz="0" w:space="0" w:color="auto"/>
        <w:left w:val="none" w:sz="0" w:space="0" w:color="auto"/>
        <w:bottom w:val="none" w:sz="0" w:space="0" w:color="auto"/>
        <w:right w:val="none" w:sz="0" w:space="0" w:color="auto"/>
      </w:divBdr>
    </w:div>
    <w:div w:id="162861190">
      <w:bodyDiv w:val="1"/>
      <w:marLeft w:val="0"/>
      <w:marRight w:val="0"/>
      <w:marTop w:val="0"/>
      <w:marBottom w:val="0"/>
      <w:divBdr>
        <w:top w:val="none" w:sz="0" w:space="0" w:color="auto"/>
        <w:left w:val="none" w:sz="0" w:space="0" w:color="auto"/>
        <w:bottom w:val="none" w:sz="0" w:space="0" w:color="auto"/>
        <w:right w:val="none" w:sz="0" w:space="0" w:color="auto"/>
      </w:divBdr>
    </w:div>
    <w:div w:id="162866215">
      <w:bodyDiv w:val="1"/>
      <w:marLeft w:val="0"/>
      <w:marRight w:val="0"/>
      <w:marTop w:val="0"/>
      <w:marBottom w:val="0"/>
      <w:divBdr>
        <w:top w:val="none" w:sz="0" w:space="0" w:color="auto"/>
        <w:left w:val="none" w:sz="0" w:space="0" w:color="auto"/>
        <w:bottom w:val="none" w:sz="0" w:space="0" w:color="auto"/>
        <w:right w:val="none" w:sz="0" w:space="0" w:color="auto"/>
      </w:divBdr>
    </w:div>
    <w:div w:id="163209092">
      <w:bodyDiv w:val="1"/>
      <w:marLeft w:val="0"/>
      <w:marRight w:val="0"/>
      <w:marTop w:val="0"/>
      <w:marBottom w:val="0"/>
      <w:divBdr>
        <w:top w:val="none" w:sz="0" w:space="0" w:color="auto"/>
        <w:left w:val="none" w:sz="0" w:space="0" w:color="auto"/>
        <w:bottom w:val="none" w:sz="0" w:space="0" w:color="auto"/>
        <w:right w:val="none" w:sz="0" w:space="0" w:color="auto"/>
      </w:divBdr>
    </w:div>
    <w:div w:id="163325460">
      <w:bodyDiv w:val="1"/>
      <w:marLeft w:val="0"/>
      <w:marRight w:val="0"/>
      <w:marTop w:val="0"/>
      <w:marBottom w:val="0"/>
      <w:divBdr>
        <w:top w:val="none" w:sz="0" w:space="0" w:color="auto"/>
        <w:left w:val="none" w:sz="0" w:space="0" w:color="auto"/>
        <w:bottom w:val="none" w:sz="0" w:space="0" w:color="auto"/>
        <w:right w:val="none" w:sz="0" w:space="0" w:color="auto"/>
      </w:divBdr>
    </w:div>
    <w:div w:id="165294834">
      <w:bodyDiv w:val="1"/>
      <w:marLeft w:val="0"/>
      <w:marRight w:val="0"/>
      <w:marTop w:val="0"/>
      <w:marBottom w:val="0"/>
      <w:divBdr>
        <w:top w:val="none" w:sz="0" w:space="0" w:color="auto"/>
        <w:left w:val="none" w:sz="0" w:space="0" w:color="auto"/>
        <w:bottom w:val="none" w:sz="0" w:space="0" w:color="auto"/>
        <w:right w:val="none" w:sz="0" w:space="0" w:color="auto"/>
      </w:divBdr>
    </w:div>
    <w:div w:id="165442607">
      <w:bodyDiv w:val="1"/>
      <w:marLeft w:val="0"/>
      <w:marRight w:val="0"/>
      <w:marTop w:val="0"/>
      <w:marBottom w:val="0"/>
      <w:divBdr>
        <w:top w:val="none" w:sz="0" w:space="0" w:color="auto"/>
        <w:left w:val="none" w:sz="0" w:space="0" w:color="auto"/>
        <w:bottom w:val="none" w:sz="0" w:space="0" w:color="auto"/>
        <w:right w:val="none" w:sz="0" w:space="0" w:color="auto"/>
      </w:divBdr>
    </w:div>
    <w:div w:id="165487792">
      <w:bodyDiv w:val="1"/>
      <w:marLeft w:val="0"/>
      <w:marRight w:val="0"/>
      <w:marTop w:val="0"/>
      <w:marBottom w:val="0"/>
      <w:divBdr>
        <w:top w:val="none" w:sz="0" w:space="0" w:color="auto"/>
        <w:left w:val="none" w:sz="0" w:space="0" w:color="auto"/>
        <w:bottom w:val="none" w:sz="0" w:space="0" w:color="auto"/>
        <w:right w:val="none" w:sz="0" w:space="0" w:color="auto"/>
      </w:divBdr>
    </w:div>
    <w:div w:id="166097258">
      <w:bodyDiv w:val="1"/>
      <w:marLeft w:val="0"/>
      <w:marRight w:val="0"/>
      <w:marTop w:val="0"/>
      <w:marBottom w:val="0"/>
      <w:divBdr>
        <w:top w:val="none" w:sz="0" w:space="0" w:color="auto"/>
        <w:left w:val="none" w:sz="0" w:space="0" w:color="auto"/>
        <w:bottom w:val="none" w:sz="0" w:space="0" w:color="auto"/>
        <w:right w:val="none" w:sz="0" w:space="0" w:color="auto"/>
      </w:divBdr>
    </w:div>
    <w:div w:id="166482571">
      <w:bodyDiv w:val="1"/>
      <w:marLeft w:val="0"/>
      <w:marRight w:val="0"/>
      <w:marTop w:val="0"/>
      <w:marBottom w:val="0"/>
      <w:divBdr>
        <w:top w:val="none" w:sz="0" w:space="0" w:color="auto"/>
        <w:left w:val="none" w:sz="0" w:space="0" w:color="auto"/>
        <w:bottom w:val="none" w:sz="0" w:space="0" w:color="auto"/>
        <w:right w:val="none" w:sz="0" w:space="0" w:color="auto"/>
      </w:divBdr>
    </w:div>
    <w:div w:id="166945174">
      <w:bodyDiv w:val="1"/>
      <w:marLeft w:val="0"/>
      <w:marRight w:val="0"/>
      <w:marTop w:val="0"/>
      <w:marBottom w:val="0"/>
      <w:divBdr>
        <w:top w:val="none" w:sz="0" w:space="0" w:color="auto"/>
        <w:left w:val="none" w:sz="0" w:space="0" w:color="auto"/>
        <w:bottom w:val="none" w:sz="0" w:space="0" w:color="auto"/>
        <w:right w:val="none" w:sz="0" w:space="0" w:color="auto"/>
      </w:divBdr>
    </w:div>
    <w:div w:id="167064065">
      <w:bodyDiv w:val="1"/>
      <w:marLeft w:val="0"/>
      <w:marRight w:val="0"/>
      <w:marTop w:val="0"/>
      <w:marBottom w:val="0"/>
      <w:divBdr>
        <w:top w:val="none" w:sz="0" w:space="0" w:color="auto"/>
        <w:left w:val="none" w:sz="0" w:space="0" w:color="auto"/>
        <w:bottom w:val="none" w:sz="0" w:space="0" w:color="auto"/>
        <w:right w:val="none" w:sz="0" w:space="0" w:color="auto"/>
      </w:divBdr>
    </w:div>
    <w:div w:id="167407165">
      <w:bodyDiv w:val="1"/>
      <w:marLeft w:val="0"/>
      <w:marRight w:val="0"/>
      <w:marTop w:val="0"/>
      <w:marBottom w:val="0"/>
      <w:divBdr>
        <w:top w:val="none" w:sz="0" w:space="0" w:color="auto"/>
        <w:left w:val="none" w:sz="0" w:space="0" w:color="auto"/>
        <w:bottom w:val="none" w:sz="0" w:space="0" w:color="auto"/>
        <w:right w:val="none" w:sz="0" w:space="0" w:color="auto"/>
      </w:divBdr>
    </w:div>
    <w:div w:id="167528317">
      <w:bodyDiv w:val="1"/>
      <w:marLeft w:val="0"/>
      <w:marRight w:val="0"/>
      <w:marTop w:val="0"/>
      <w:marBottom w:val="0"/>
      <w:divBdr>
        <w:top w:val="none" w:sz="0" w:space="0" w:color="auto"/>
        <w:left w:val="none" w:sz="0" w:space="0" w:color="auto"/>
        <w:bottom w:val="none" w:sz="0" w:space="0" w:color="auto"/>
        <w:right w:val="none" w:sz="0" w:space="0" w:color="auto"/>
      </w:divBdr>
    </w:div>
    <w:div w:id="167673241">
      <w:bodyDiv w:val="1"/>
      <w:marLeft w:val="0"/>
      <w:marRight w:val="0"/>
      <w:marTop w:val="0"/>
      <w:marBottom w:val="0"/>
      <w:divBdr>
        <w:top w:val="none" w:sz="0" w:space="0" w:color="auto"/>
        <w:left w:val="none" w:sz="0" w:space="0" w:color="auto"/>
        <w:bottom w:val="none" w:sz="0" w:space="0" w:color="auto"/>
        <w:right w:val="none" w:sz="0" w:space="0" w:color="auto"/>
      </w:divBdr>
    </w:div>
    <w:div w:id="168058724">
      <w:bodyDiv w:val="1"/>
      <w:marLeft w:val="0"/>
      <w:marRight w:val="0"/>
      <w:marTop w:val="0"/>
      <w:marBottom w:val="0"/>
      <w:divBdr>
        <w:top w:val="none" w:sz="0" w:space="0" w:color="auto"/>
        <w:left w:val="none" w:sz="0" w:space="0" w:color="auto"/>
        <w:bottom w:val="none" w:sz="0" w:space="0" w:color="auto"/>
        <w:right w:val="none" w:sz="0" w:space="0" w:color="auto"/>
      </w:divBdr>
    </w:div>
    <w:div w:id="168371555">
      <w:bodyDiv w:val="1"/>
      <w:marLeft w:val="0"/>
      <w:marRight w:val="0"/>
      <w:marTop w:val="0"/>
      <w:marBottom w:val="0"/>
      <w:divBdr>
        <w:top w:val="none" w:sz="0" w:space="0" w:color="auto"/>
        <w:left w:val="none" w:sz="0" w:space="0" w:color="auto"/>
        <w:bottom w:val="none" w:sz="0" w:space="0" w:color="auto"/>
        <w:right w:val="none" w:sz="0" w:space="0" w:color="auto"/>
      </w:divBdr>
    </w:div>
    <w:div w:id="168952433">
      <w:bodyDiv w:val="1"/>
      <w:marLeft w:val="0"/>
      <w:marRight w:val="0"/>
      <w:marTop w:val="0"/>
      <w:marBottom w:val="0"/>
      <w:divBdr>
        <w:top w:val="none" w:sz="0" w:space="0" w:color="auto"/>
        <w:left w:val="none" w:sz="0" w:space="0" w:color="auto"/>
        <w:bottom w:val="none" w:sz="0" w:space="0" w:color="auto"/>
        <w:right w:val="none" w:sz="0" w:space="0" w:color="auto"/>
      </w:divBdr>
    </w:div>
    <w:div w:id="171377055">
      <w:bodyDiv w:val="1"/>
      <w:marLeft w:val="0"/>
      <w:marRight w:val="0"/>
      <w:marTop w:val="0"/>
      <w:marBottom w:val="0"/>
      <w:divBdr>
        <w:top w:val="none" w:sz="0" w:space="0" w:color="auto"/>
        <w:left w:val="none" w:sz="0" w:space="0" w:color="auto"/>
        <w:bottom w:val="none" w:sz="0" w:space="0" w:color="auto"/>
        <w:right w:val="none" w:sz="0" w:space="0" w:color="auto"/>
      </w:divBdr>
    </w:div>
    <w:div w:id="171922892">
      <w:bodyDiv w:val="1"/>
      <w:marLeft w:val="0"/>
      <w:marRight w:val="0"/>
      <w:marTop w:val="0"/>
      <w:marBottom w:val="0"/>
      <w:divBdr>
        <w:top w:val="none" w:sz="0" w:space="0" w:color="auto"/>
        <w:left w:val="none" w:sz="0" w:space="0" w:color="auto"/>
        <w:bottom w:val="none" w:sz="0" w:space="0" w:color="auto"/>
        <w:right w:val="none" w:sz="0" w:space="0" w:color="auto"/>
      </w:divBdr>
    </w:div>
    <w:div w:id="171998081">
      <w:bodyDiv w:val="1"/>
      <w:marLeft w:val="0"/>
      <w:marRight w:val="0"/>
      <w:marTop w:val="0"/>
      <w:marBottom w:val="0"/>
      <w:divBdr>
        <w:top w:val="none" w:sz="0" w:space="0" w:color="auto"/>
        <w:left w:val="none" w:sz="0" w:space="0" w:color="auto"/>
        <w:bottom w:val="none" w:sz="0" w:space="0" w:color="auto"/>
        <w:right w:val="none" w:sz="0" w:space="0" w:color="auto"/>
      </w:divBdr>
    </w:div>
    <w:div w:id="172115763">
      <w:bodyDiv w:val="1"/>
      <w:marLeft w:val="0"/>
      <w:marRight w:val="0"/>
      <w:marTop w:val="0"/>
      <w:marBottom w:val="0"/>
      <w:divBdr>
        <w:top w:val="none" w:sz="0" w:space="0" w:color="auto"/>
        <w:left w:val="none" w:sz="0" w:space="0" w:color="auto"/>
        <w:bottom w:val="none" w:sz="0" w:space="0" w:color="auto"/>
        <w:right w:val="none" w:sz="0" w:space="0" w:color="auto"/>
      </w:divBdr>
    </w:div>
    <w:div w:id="172308795">
      <w:bodyDiv w:val="1"/>
      <w:marLeft w:val="0"/>
      <w:marRight w:val="0"/>
      <w:marTop w:val="0"/>
      <w:marBottom w:val="0"/>
      <w:divBdr>
        <w:top w:val="none" w:sz="0" w:space="0" w:color="auto"/>
        <w:left w:val="none" w:sz="0" w:space="0" w:color="auto"/>
        <w:bottom w:val="none" w:sz="0" w:space="0" w:color="auto"/>
        <w:right w:val="none" w:sz="0" w:space="0" w:color="auto"/>
      </w:divBdr>
    </w:div>
    <w:div w:id="172645602">
      <w:bodyDiv w:val="1"/>
      <w:marLeft w:val="0"/>
      <w:marRight w:val="0"/>
      <w:marTop w:val="0"/>
      <w:marBottom w:val="0"/>
      <w:divBdr>
        <w:top w:val="none" w:sz="0" w:space="0" w:color="auto"/>
        <w:left w:val="none" w:sz="0" w:space="0" w:color="auto"/>
        <w:bottom w:val="none" w:sz="0" w:space="0" w:color="auto"/>
        <w:right w:val="none" w:sz="0" w:space="0" w:color="auto"/>
      </w:divBdr>
    </w:div>
    <w:div w:id="172843421">
      <w:bodyDiv w:val="1"/>
      <w:marLeft w:val="0"/>
      <w:marRight w:val="0"/>
      <w:marTop w:val="0"/>
      <w:marBottom w:val="0"/>
      <w:divBdr>
        <w:top w:val="none" w:sz="0" w:space="0" w:color="auto"/>
        <w:left w:val="none" w:sz="0" w:space="0" w:color="auto"/>
        <w:bottom w:val="none" w:sz="0" w:space="0" w:color="auto"/>
        <w:right w:val="none" w:sz="0" w:space="0" w:color="auto"/>
      </w:divBdr>
    </w:div>
    <w:div w:id="173498945">
      <w:bodyDiv w:val="1"/>
      <w:marLeft w:val="0"/>
      <w:marRight w:val="0"/>
      <w:marTop w:val="0"/>
      <w:marBottom w:val="0"/>
      <w:divBdr>
        <w:top w:val="none" w:sz="0" w:space="0" w:color="auto"/>
        <w:left w:val="none" w:sz="0" w:space="0" w:color="auto"/>
        <w:bottom w:val="none" w:sz="0" w:space="0" w:color="auto"/>
        <w:right w:val="none" w:sz="0" w:space="0" w:color="auto"/>
      </w:divBdr>
    </w:div>
    <w:div w:id="173888967">
      <w:bodyDiv w:val="1"/>
      <w:marLeft w:val="0"/>
      <w:marRight w:val="0"/>
      <w:marTop w:val="0"/>
      <w:marBottom w:val="0"/>
      <w:divBdr>
        <w:top w:val="none" w:sz="0" w:space="0" w:color="auto"/>
        <w:left w:val="none" w:sz="0" w:space="0" w:color="auto"/>
        <w:bottom w:val="none" w:sz="0" w:space="0" w:color="auto"/>
        <w:right w:val="none" w:sz="0" w:space="0" w:color="auto"/>
      </w:divBdr>
    </w:div>
    <w:div w:id="174540292">
      <w:bodyDiv w:val="1"/>
      <w:marLeft w:val="0"/>
      <w:marRight w:val="0"/>
      <w:marTop w:val="0"/>
      <w:marBottom w:val="0"/>
      <w:divBdr>
        <w:top w:val="none" w:sz="0" w:space="0" w:color="auto"/>
        <w:left w:val="none" w:sz="0" w:space="0" w:color="auto"/>
        <w:bottom w:val="none" w:sz="0" w:space="0" w:color="auto"/>
        <w:right w:val="none" w:sz="0" w:space="0" w:color="auto"/>
      </w:divBdr>
    </w:div>
    <w:div w:id="176042136">
      <w:bodyDiv w:val="1"/>
      <w:marLeft w:val="0"/>
      <w:marRight w:val="0"/>
      <w:marTop w:val="0"/>
      <w:marBottom w:val="0"/>
      <w:divBdr>
        <w:top w:val="none" w:sz="0" w:space="0" w:color="auto"/>
        <w:left w:val="none" w:sz="0" w:space="0" w:color="auto"/>
        <w:bottom w:val="none" w:sz="0" w:space="0" w:color="auto"/>
        <w:right w:val="none" w:sz="0" w:space="0" w:color="auto"/>
      </w:divBdr>
    </w:div>
    <w:div w:id="176425193">
      <w:bodyDiv w:val="1"/>
      <w:marLeft w:val="0"/>
      <w:marRight w:val="0"/>
      <w:marTop w:val="0"/>
      <w:marBottom w:val="0"/>
      <w:divBdr>
        <w:top w:val="none" w:sz="0" w:space="0" w:color="auto"/>
        <w:left w:val="none" w:sz="0" w:space="0" w:color="auto"/>
        <w:bottom w:val="none" w:sz="0" w:space="0" w:color="auto"/>
        <w:right w:val="none" w:sz="0" w:space="0" w:color="auto"/>
      </w:divBdr>
    </w:div>
    <w:div w:id="176428689">
      <w:bodyDiv w:val="1"/>
      <w:marLeft w:val="0"/>
      <w:marRight w:val="0"/>
      <w:marTop w:val="0"/>
      <w:marBottom w:val="0"/>
      <w:divBdr>
        <w:top w:val="none" w:sz="0" w:space="0" w:color="auto"/>
        <w:left w:val="none" w:sz="0" w:space="0" w:color="auto"/>
        <w:bottom w:val="none" w:sz="0" w:space="0" w:color="auto"/>
        <w:right w:val="none" w:sz="0" w:space="0" w:color="auto"/>
      </w:divBdr>
    </w:div>
    <w:div w:id="176775711">
      <w:bodyDiv w:val="1"/>
      <w:marLeft w:val="0"/>
      <w:marRight w:val="0"/>
      <w:marTop w:val="0"/>
      <w:marBottom w:val="0"/>
      <w:divBdr>
        <w:top w:val="none" w:sz="0" w:space="0" w:color="auto"/>
        <w:left w:val="none" w:sz="0" w:space="0" w:color="auto"/>
        <w:bottom w:val="none" w:sz="0" w:space="0" w:color="auto"/>
        <w:right w:val="none" w:sz="0" w:space="0" w:color="auto"/>
      </w:divBdr>
    </w:div>
    <w:div w:id="176818165">
      <w:bodyDiv w:val="1"/>
      <w:marLeft w:val="0"/>
      <w:marRight w:val="0"/>
      <w:marTop w:val="0"/>
      <w:marBottom w:val="0"/>
      <w:divBdr>
        <w:top w:val="none" w:sz="0" w:space="0" w:color="auto"/>
        <w:left w:val="none" w:sz="0" w:space="0" w:color="auto"/>
        <w:bottom w:val="none" w:sz="0" w:space="0" w:color="auto"/>
        <w:right w:val="none" w:sz="0" w:space="0" w:color="auto"/>
      </w:divBdr>
    </w:div>
    <w:div w:id="177275044">
      <w:bodyDiv w:val="1"/>
      <w:marLeft w:val="0"/>
      <w:marRight w:val="0"/>
      <w:marTop w:val="0"/>
      <w:marBottom w:val="0"/>
      <w:divBdr>
        <w:top w:val="none" w:sz="0" w:space="0" w:color="auto"/>
        <w:left w:val="none" w:sz="0" w:space="0" w:color="auto"/>
        <w:bottom w:val="none" w:sz="0" w:space="0" w:color="auto"/>
        <w:right w:val="none" w:sz="0" w:space="0" w:color="auto"/>
      </w:divBdr>
    </w:div>
    <w:div w:id="177280630">
      <w:bodyDiv w:val="1"/>
      <w:marLeft w:val="0"/>
      <w:marRight w:val="0"/>
      <w:marTop w:val="0"/>
      <w:marBottom w:val="0"/>
      <w:divBdr>
        <w:top w:val="none" w:sz="0" w:space="0" w:color="auto"/>
        <w:left w:val="none" w:sz="0" w:space="0" w:color="auto"/>
        <w:bottom w:val="none" w:sz="0" w:space="0" w:color="auto"/>
        <w:right w:val="none" w:sz="0" w:space="0" w:color="auto"/>
      </w:divBdr>
    </w:div>
    <w:div w:id="177282870">
      <w:bodyDiv w:val="1"/>
      <w:marLeft w:val="0"/>
      <w:marRight w:val="0"/>
      <w:marTop w:val="0"/>
      <w:marBottom w:val="0"/>
      <w:divBdr>
        <w:top w:val="none" w:sz="0" w:space="0" w:color="auto"/>
        <w:left w:val="none" w:sz="0" w:space="0" w:color="auto"/>
        <w:bottom w:val="none" w:sz="0" w:space="0" w:color="auto"/>
        <w:right w:val="none" w:sz="0" w:space="0" w:color="auto"/>
      </w:divBdr>
    </w:div>
    <w:div w:id="178199855">
      <w:bodyDiv w:val="1"/>
      <w:marLeft w:val="0"/>
      <w:marRight w:val="0"/>
      <w:marTop w:val="0"/>
      <w:marBottom w:val="0"/>
      <w:divBdr>
        <w:top w:val="none" w:sz="0" w:space="0" w:color="auto"/>
        <w:left w:val="none" w:sz="0" w:space="0" w:color="auto"/>
        <w:bottom w:val="none" w:sz="0" w:space="0" w:color="auto"/>
        <w:right w:val="none" w:sz="0" w:space="0" w:color="auto"/>
      </w:divBdr>
    </w:div>
    <w:div w:id="178469063">
      <w:bodyDiv w:val="1"/>
      <w:marLeft w:val="0"/>
      <w:marRight w:val="0"/>
      <w:marTop w:val="0"/>
      <w:marBottom w:val="0"/>
      <w:divBdr>
        <w:top w:val="none" w:sz="0" w:space="0" w:color="auto"/>
        <w:left w:val="none" w:sz="0" w:space="0" w:color="auto"/>
        <w:bottom w:val="none" w:sz="0" w:space="0" w:color="auto"/>
        <w:right w:val="none" w:sz="0" w:space="0" w:color="auto"/>
      </w:divBdr>
    </w:div>
    <w:div w:id="178928952">
      <w:bodyDiv w:val="1"/>
      <w:marLeft w:val="0"/>
      <w:marRight w:val="0"/>
      <w:marTop w:val="0"/>
      <w:marBottom w:val="0"/>
      <w:divBdr>
        <w:top w:val="none" w:sz="0" w:space="0" w:color="auto"/>
        <w:left w:val="none" w:sz="0" w:space="0" w:color="auto"/>
        <w:bottom w:val="none" w:sz="0" w:space="0" w:color="auto"/>
        <w:right w:val="none" w:sz="0" w:space="0" w:color="auto"/>
      </w:divBdr>
    </w:div>
    <w:div w:id="179009941">
      <w:bodyDiv w:val="1"/>
      <w:marLeft w:val="0"/>
      <w:marRight w:val="0"/>
      <w:marTop w:val="0"/>
      <w:marBottom w:val="0"/>
      <w:divBdr>
        <w:top w:val="none" w:sz="0" w:space="0" w:color="auto"/>
        <w:left w:val="none" w:sz="0" w:space="0" w:color="auto"/>
        <w:bottom w:val="none" w:sz="0" w:space="0" w:color="auto"/>
        <w:right w:val="none" w:sz="0" w:space="0" w:color="auto"/>
      </w:divBdr>
    </w:div>
    <w:div w:id="179315419">
      <w:bodyDiv w:val="1"/>
      <w:marLeft w:val="0"/>
      <w:marRight w:val="0"/>
      <w:marTop w:val="0"/>
      <w:marBottom w:val="0"/>
      <w:divBdr>
        <w:top w:val="none" w:sz="0" w:space="0" w:color="auto"/>
        <w:left w:val="none" w:sz="0" w:space="0" w:color="auto"/>
        <w:bottom w:val="none" w:sz="0" w:space="0" w:color="auto"/>
        <w:right w:val="none" w:sz="0" w:space="0" w:color="auto"/>
      </w:divBdr>
    </w:div>
    <w:div w:id="179439284">
      <w:bodyDiv w:val="1"/>
      <w:marLeft w:val="0"/>
      <w:marRight w:val="0"/>
      <w:marTop w:val="0"/>
      <w:marBottom w:val="0"/>
      <w:divBdr>
        <w:top w:val="none" w:sz="0" w:space="0" w:color="auto"/>
        <w:left w:val="none" w:sz="0" w:space="0" w:color="auto"/>
        <w:bottom w:val="none" w:sz="0" w:space="0" w:color="auto"/>
        <w:right w:val="none" w:sz="0" w:space="0" w:color="auto"/>
      </w:divBdr>
    </w:div>
    <w:div w:id="179783307">
      <w:bodyDiv w:val="1"/>
      <w:marLeft w:val="0"/>
      <w:marRight w:val="0"/>
      <w:marTop w:val="0"/>
      <w:marBottom w:val="0"/>
      <w:divBdr>
        <w:top w:val="none" w:sz="0" w:space="0" w:color="auto"/>
        <w:left w:val="none" w:sz="0" w:space="0" w:color="auto"/>
        <w:bottom w:val="none" w:sz="0" w:space="0" w:color="auto"/>
        <w:right w:val="none" w:sz="0" w:space="0" w:color="auto"/>
      </w:divBdr>
    </w:div>
    <w:div w:id="179852978">
      <w:bodyDiv w:val="1"/>
      <w:marLeft w:val="0"/>
      <w:marRight w:val="0"/>
      <w:marTop w:val="0"/>
      <w:marBottom w:val="0"/>
      <w:divBdr>
        <w:top w:val="none" w:sz="0" w:space="0" w:color="auto"/>
        <w:left w:val="none" w:sz="0" w:space="0" w:color="auto"/>
        <w:bottom w:val="none" w:sz="0" w:space="0" w:color="auto"/>
        <w:right w:val="none" w:sz="0" w:space="0" w:color="auto"/>
      </w:divBdr>
    </w:div>
    <w:div w:id="180439928">
      <w:bodyDiv w:val="1"/>
      <w:marLeft w:val="0"/>
      <w:marRight w:val="0"/>
      <w:marTop w:val="0"/>
      <w:marBottom w:val="0"/>
      <w:divBdr>
        <w:top w:val="none" w:sz="0" w:space="0" w:color="auto"/>
        <w:left w:val="none" w:sz="0" w:space="0" w:color="auto"/>
        <w:bottom w:val="none" w:sz="0" w:space="0" w:color="auto"/>
        <w:right w:val="none" w:sz="0" w:space="0" w:color="auto"/>
      </w:divBdr>
    </w:div>
    <w:div w:id="180629351">
      <w:bodyDiv w:val="1"/>
      <w:marLeft w:val="0"/>
      <w:marRight w:val="0"/>
      <w:marTop w:val="0"/>
      <w:marBottom w:val="0"/>
      <w:divBdr>
        <w:top w:val="none" w:sz="0" w:space="0" w:color="auto"/>
        <w:left w:val="none" w:sz="0" w:space="0" w:color="auto"/>
        <w:bottom w:val="none" w:sz="0" w:space="0" w:color="auto"/>
        <w:right w:val="none" w:sz="0" w:space="0" w:color="auto"/>
      </w:divBdr>
    </w:div>
    <w:div w:id="180748902">
      <w:bodyDiv w:val="1"/>
      <w:marLeft w:val="0"/>
      <w:marRight w:val="0"/>
      <w:marTop w:val="0"/>
      <w:marBottom w:val="0"/>
      <w:divBdr>
        <w:top w:val="none" w:sz="0" w:space="0" w:color="auto"/>
        <w:left w:val="none" w:sz="0" w:space="0" w:color="auto"/>
        <w:bottom w:val="none" w:sz="0" w:space="0" w:color="auto"/>
        <w:right w:val="none" w:sz="0" w:space="0" w:color="auto"/>
      </w:divBdr>
    </w:div>
    <w:div w:id="181167998">
      <w:bodyDiv w:val="1"/>
      <w:marLeft w:val="0"/>
      <w:marRight w:val="0"/>
      <w:marTop w:val="0"/>
      <w:marBottom w:val="0"/>
      <w:divBdr>
        <w:top w:val="none" w:sz="0" w:space="0" w:color="auto"/>
        <w:left w:val="none" w:sz="0" w:space="0" w:color="auto"/>
        <w:bottom w:val="none" w:sz="0" w:space="0" w:color="auto"/>
        <w:right w:val="none" w:sz="0" w:space="0" w:color="auto"/>
      </w:divBdr>
    </w:div>
    <w:div w:id="181283820">
      <w:bodyDiv w:val="1"/>
      <w:marLeft w:val="0"/>
      <w:marRight w:val="0"/>
      <w:marTop w:val="0"/>
      <w:marBottom w:val="0"/>
      <w:divBdr>
        <w:top w:val="none" w:sz="0" w:space="0" w:color="auto"/>
        <w:left w:val="none" w:sz="0" w:space="0" w:color="auto"/>
        <w:bottom w:val="none" w:sz="0" w:space="0" w:color="auto"/>
        <w:right w:val="none" w:sz="0" w:space="0" w:color="auto"/>
      </w:divBdr>
    </w:div>
    <w:div w:id="181631991">
      <w:bodyDiv w:val="1"/>
      <w:marLeft w:val="0"/>
      <w:marRight w:val="0"/>
      <w:marTop w:val="0"/>
      <w:marBottom w:val="0"/>
      <w:divBdr>
        <w:top w:val="none" w:sz="0" w:space="0" w:color="auto"/>
        <w:left w:val="none" w:sz="0" w:space="0" w:color="auto"/>
        <w:bottom w:val="none" w:sz="0" w:space="0" w:color="auto"/>
        <w:right w:val="none" w:sz="0" w:space="0" w:color="auto"/>
      </w:divBdr>
    </w:div>
    <w:div w:id="182012641">
      <w:bodyDiv w:val="1"/>
      <w:marLeft w:val="0"/>
      <w:marRight w:val="0"/>
      <w:marTop w:val="0"/>
      <w:marBottom w:val="0"/>
      <w:divBdr>
        <w:top w:val="none" w:sz="0" w:space="0" w:color="auto"/>
        <w:left w:val="none" w:sz="0" w:space="0" w:color="auto"/>
        <w:bottom w:val="none" w:sz="0" w:space="0" w:color="auto"/>
        <w:right w:val="none" w:sz="0" w:space="0" w:color="auto"/>
      </w:divBdr>
    </w:div>
    <w:div w:id="182018410">
      <w:bodyDiv w:val="1"/>
      <w:marLeft w:val="0"/>
      <w:marRight w:val="0"/>
      <w:marTop w:val="0"/>
      <w:marBottom w:val="0"/>
      <w:divBdr>
        <w:top w:val="none" w:sz="0" w:space="0" w:color="auto"/>
        <w:left w:val="none" w:sz="0" w:space="0" w:color="auto"/>
        <w:bottom w:val="none" w:sz="0" w:space="0" w:color="auto"/>
        <w:right w:val="none" w:sz="0" w:space="0" w:color="auto"/>
      </w:divBdr>
    </w:div>
    <w:div w:id="182863628">
      <w:bodyDiv w:val="1"/>
      <w:marLeft w:val="0"/>
      <w:marRight w:val="0"/>
      <w:marTop w:val="0"/>
      <w:marBottom w:val="0"/>
      <w:divBdr>
        <w:top w:val="none" w:sz="0" w:space="0" w:color="auto"/>
        <w:left w:val="none" w:sz="0" w:space="0" w:color="auto"/>
        <w:bottom w:val="none" w:sz="0" w:space="0" w:color="auto"/>
        <w:right w:val="none" w:sz="0" w:space="0" w:color="auto"/>
      </w:divBdr>
    </w:div>
    <w:div w:id="183981322">
      <w:bodyDiv w:val="1"/>
      <w:marLeft w:val="0"/>
      <w:marRight w:val="0"/>
      <w:marTop w:val="0"/>
      <w:marBottom w:val="0"/>
      <w:divBdr>
        <w:top w:val="none" w:sz="0" w:space="0" w:color="auto"/>
        <w:left w:val="none" w:sz="0" w:space="0" w:color="auto"/>
        <w:bottom w:val="none" w:sz="0" w:space="0" w:color="auto"/>
        <w:right w:val="none" w:sz="0" w:space="0" w:color="auto"/>
      </w:divBdr>
    </w:div>
    <w:div w:id="185488694">
      <w:bodyDiv w:val="1"/>
      <w:marLeft w:val="0"/>
      <w:marRight w:val="0"/>
      <w:marTop w:val="0"/>
      <w:marBottom w:val="0"/>
      <w:divBdr>
        <w:top w:val="none" w:sz="0" w:space="0" w:color="auto"/>
        <w:left w:val="none" w:sz="0" w:space="0" w:color="auto"/>
        <w:bottom w:val="none" w:sz="0" w:space="0" w:color="auto"/>
        <w:right w:val="none" w:sz="0" w:space="0" w:color="auto"/>
      </w:divBdr>
    </w:div>
    <w:div w:id="185489970">
      <w:bodyDiv w:val="1"/>
      <w:marLeft w:val="0"/>
      <w:marRight w:val="0"/>
      <w:marTop w:val="0"/>
      <w:marBottom w:val="0"/>
      <w:divBdr>
        <w:top w:val="none" w:sz="0" w:space="0" w:color="auto"/>
        <w:left w:val="none" w:sz="0" w:space="0" w:color="auto"/>
        <w:bottom w:val="none" w:sz="0" w:space="0" w:color="auto"/>
        <w:right w:val="none" w:sz="0" w:space="0" w:color="auto"/>
      </w:divBdr>
    </w:div>
    <w:div w:id="185559846">
      <w:bodyDiv w:val="1"/>
      <w:marLeft w:val="0"/>
      <w:marRight w:val="0"/>
      <w:marTop w:val="0"/>
      <w:marBottom w:val="0"/>
      <w:divBdr>
        <w:top w:val="none" w:sz="0" w:space="0" w:color="auto"/>
        <w:left w:val="none" w:sz="0" w:space="0" w:color="auto"/>
        <w:bottom w:val="none" w:sz="0" w:space="0" w:color="auto"/>
        <w:right w:val="none" w:sz="0" w:space="0" w:color="auto"/>
      </w:divBdr>
    </w:div>
    <w:div w:id="186062494">
      <w:bodyDiv w:val="1"/>
      <w:marLeft w:val="0"/>
      <w:marRight w:val="0"/>
      <w:marTop w:val="0"/>
      <w:marBottom w:val="0"/>
      <w:divBdr>
        <w:top w:val="none" w:sz="0" w:space="0" w:color="auto"/>
        <w:left w:val="none" w:sz="0" w:space="0" w:color="auto"/>
        <w:bottom w:val="none" w:sz="0" w:space="0" w:color="auto"/>
        <w:right w:val="none" w:sz="0" w:space="0" w:color="auto"/>
      </w:divBdr>
    </w:div>
    <w:div w:id="187108992">
      <w:bodyDiv w:val="1"/>
      <w:marLeft w:val="0"/>
      <w:marRight w:val="0"/>
      <w:marTop w:val="0"/>
      <w:marBottom w:val="0"/>
      <w:divBdr>
        <w:top w:val="none" w:sz="0" w:space="0" w:color="auto"/>
        <w:left w:val="none" w:sz="0" w:space="0" w:color="auto"/>
        <w:bottom w:val="none" w:sz="0" w:space="0" w:color="auto"/>
        <w:right w:val="none" w:sz="0" w:space="0" w:color="auto"/>
      </w:divBdr>
    </w:div>
    <w:div w:id="187371508">
      <w:bodyDiv w:val="1"/>
      <w:marLeft w:val="0"/>
      <w:marRight w:val="0"/>
      <w:marTop w:val="0"/>
      <w:marBottom w:val="0"/>
      <w:divBdr>
        <w:top w:val="none" w:sz="0" w:space="0" w:color="auto"/>
        <w:left w:val="none" w:sz="0" w:space="0" w:color="auto"/>
        <w:bottom w:val="none" w:sz="0" w:space="0" w:color="auto"/>
        <w:right w:val="none" w:sz="0" w:space="0" w:color="auto"/>
      </w:divBdr>
    </w:div>
    <w:div w:id="187456402">
      <w:bodyDiv w:val="1"/>
      <w:marLeft w:val="0"/>
      <w:marRight w:val="0"/>
      <w:marTop w:val="0"/>
      <w:marBottom w:val="0"/>
      <w:divBdr>
        <w:top w:val="none" w:sz="0" w:space="0" w:color="auto"/>
        <w:left w:val="none" w:sz="0" w:space="0" w:color="auto"/>
        <w:bottom w:val="none" w:sz="0" w:space="0" w:color="auto"/>
        <w:right w:val="none" w:sz="0" w:space="0" w:color="auto"/>
      </w:divBdr>
    </w:div>
    <w:div w:id="187723676">
      <w:bodyDiv w:val="1"/>
      <w:marLeft w:val="0"/>
      <w:marRight w:val="0"/>
      <w:marTop w:val="0"/>
      <w:marBottom w:val="0"/>
      <w:divBdr>
        <w:top w:val="none" w:sz="0" w:space="0" w:color="auto"/>
        <w:left w:val="none" w:sz="0" w:space="0" w:color="auto"/>
        <w:bottom w:val="none" w:sz="0" w:space="0" w:color="auto"/>
        <w:right w:val="none" w:sz="0" w:space="0" w:color="auto"/>
      </w:divBdr>
    </w:div>
    <w:div w:id="187960122">
      <w:bodyDiv w:val="1"/>
      <w:marLeft w:val="0"/>
      <w:marRight w:val="0"/>
      <w:marTop w:val="0"/>
      <w:marBottom w:val="0"/>
      <w:divBdr>
        <w:top w:val="none" w:sz="0" w:space="0" w:color="auto"/>
        <w:left w:val="none" w:sz="0" w:space="0" w:color="auto"/>
        <w:bottom w:val="none" w:sz="0" w:space="0" w:color="auto"/>
        <w:right w:val="none" w:sz="0" w:space="0" w:color="auto"/>
      </w:divBdr>
    </w:div>
    <w:div w:id="189224890">
      <w:bodyDiv w:val="1"/>
      <w:marLeft w:val="0"/>
      <w:marRight w:val="0"/>
      <w:marTop w:val="0"/>
      <w:marBottom w:val="0"/>
      <w:divBdr>
        <w:top w:val="none" w:sz="0" w:space="0" w:color="auto"/>
        <w:left w:val="none" w:sz="0" w:space="0" w:color="auto"/>
        <w:bottom w:val="none" w:sz="0" w:space="0" w:color="auto"/>
        <w:right w:val="none" w:sz="0" w:space="0" w:color="auto"/>
      </w:divBdr>
    </w:div>
    <w:div w:id="189422231">
      <w:bodyDiv w:val="1"/>
      <w:marLeft w:val="0"/>
      <w:marRight w:val="0"/>
      <w:marTop w:val="0"/>
      <w:marBottom w:val="0"/>
      <w:divBdr>
        <w:top w:val="none" w:sz="0" w:space="0" w:color="auto"/>
        <w:left w:val="none" w:sz="0" w:space="0" w:color="auto"/>
        <w:bottom w:val="none" w:sz="0" w:space="0" w:color="auto"/>
        <w:right w:val="none" w:sz="0" w:space="0" w:color="auto"/>
      </w:divBdr>
    </w:div>
    <w:div w:id="189807110">
      <w:bodyDiv w:val="1"/>
      <w:marLeft w:val="0"/>
      <w:marRight w:val="0"/>
      <w:marTop w:val="0"/>
      <w:marBottom w:val="0"/>
      <w:divBdr>
        <w:top w:val="none" w:sz="0" w:space="0" w:color="auto"/>
        <w:left w:val="none" w:sz="0" w:space="0" w:color="auto"/>
        <w:bottom w:val="none" w:sz="0" w:space="0" w:color="auto"/>
        <w:right w:val="none" w:sz="0" w:space="0" w:color="auto"/>
      </w:divBdr>
    </w:div>
    <w:div w:id="190075046">
      <w:bodyDiv w:val="1"/>
      <w:marLeft w:val="0"/>
      <w:marRight w:val="0"/>
      <w:marTop w:val="0"/>
      <w:marBottom w:val="0"/>
      <w:divBdr>
        <w:top w:val="none" w:sz="0" w:space="0" w:color="auto"/>
        <w:left w:val="none" w:sz="0" w:space="0" w:color="auto"/>
        <w:bottom w:val="none" w:sz="0" w:space="0" w:color="auto"/>
        <w:right w:val="none" w:sz="0" w:space="0" w:color="auto"/>
      </w:divBdr>
    </w:div>
    <w:div w:id="190338040">
      <w:bodyDiv w:val="1"/>
      <w:marLeft w:val="0"/>
      <w:marRight w:val="0"/>
      <w:marTop w:val="0"/>
      <w:marBottom w:val="0"/>
      <w:divBdr>
        <w:top w:val="none" w:sz="0" w:space="0" w:color="auto"/>
        <w:left w:val="none" w:sz="0" w:space="0" w:color="auto"/>
        <w:bottom w:val="none" w:sz="0" w:space="0" w:color="auto"/>
        <w:right w:val="none" w:sz="0" w:space="0" w:color="auto"/>
      </w:divBdr>
    </w:div>
    <w:div w:id="190539410">
      <w:bodyDiv w:val="1"/>
      <w:marLeft w:val="0"/>
      <w:marRight w:val="0"/>
      <w:marTop w:val="0"/>
      <w:marBottom w:val="0"/>
      <w:divBdr>
        <w:top w:val="none" w:sz="0" w:space="0" w:color="auto"/>
        <w:left w:val="none" w:sz="0" w:space="0" w:color="auto"/>
        <w:bottom w:val="none" w:sz="0" w:space="0" w:color="auto"/>
        <w:right w:val="none" w:sz="0" w:space="0" w:color="auto"/>
      </w:divBdr>
    </w:div>
    <w:div w:id="191190903">
      <w:bodyDiv w:val="1"/>
      <w:marLeft w:val="0"/>
      <w:marRight w:val="0"/>
      <w:marTop w:val="0"/>
      <w:marBottom w:val="0"/>
      <w:divBdr>
        <w:top w:val="none" w:sz="0" w:space="0" w:color="auto"/>
        <w:left w:val="none" w:sz="0" w:space="0" w:color="auto"/>
        <w:bottom w:val="none" w:sz="0" w:space="0" w:color="auto"/>
        <w:right w:val="none" w:sz="0" w:space="0" w:color="auto"/>
      </w:divBdr>
    </w:div>
    <w:div w:id="191503767">
      <w:bodyDiv w:val="1"/>
      <w:marLeft w:val="0"/>
      <w:marRight w:val="0"/>
      <w:marTop w:val="0"/>
      <w:marBottom w:val="0"/>
      <w:divBdr>
        <w:top w:val="none" w:sz="0" w:space="0" w:color="auto"/>
        <w:left w:val="none" w:sz="0" w:space="0" w:color="auto"/>
        <w:bottom w:val="none" w:sz="0" w:space="0" w:color="auto"/>
        <w:right w:val="none" w:sz="0" w:space="0" w:color="auto"/>
      </w:divBdr>
    </w:div>
    <w:div w:id="192041064">
      <w:bodyDiv w:val="1"/>
      <w:marLeft w:val="0"/>
      <w:marRight w:val="0"/>
      <w:marTop w:val="0"/>
      <w:marBottom w:val="0"/>
      <w:divBdr>
        <w:top w:val="none" w:sz="0" w:space="0" w:color="auto"/>
        <w:left w:val="none" w:sz="0" w:space="0" w:color="auto"/>
        <w:bottom w:val="none" w:sz="0" w:space="0" w:color="auto"/>
        <w:right w:val="none" w:sz="0" w:space="0" w:color="auto"/>
      </w:divBdr>
    </w:div>
    <w:div w:id="192694794">
      <w:bodyDiv w:val="1"/>
      <w:marLeft w:val="0"/>
      <w:marRight w:val="0"/>
      <w:marTop w:val="0"/>
      <w:marBottom w:val="0"/>
      <w:divBdr>
        <w:top w:val="none" w:sz="0" w:space="0" w:color="auto"/>
        <w:left w:val="none" w:sz="0" w:space="0" w:color="auto"/>
        <w:bottom w:val="none" w:sz="0" w:space="0" w:color="auto"/>
        <w:right w:val="none" w:sz="0" w:space="0" w:color="auto"/>
      </w:divBdr>
    </w:div>
    <w:div w:id="192959116">
      <w:bodyDiv w:val="1"/>
      <w:marLeft w:val="0"/>
      <w:marRight w:val="0"/>
      <w:marTop w:val="0"/>
      <w:marBottom w:val="0"/>
      <w:divBdr>
        <w:top w:val="none" w:sz="0" w:space="0" w:color="auto"/>
        <w:left w:val="none" w:sz="0" w:space="0" w:color="auto"/>
        <w:bottom w:val="none" w:sz="0" w:space="0" w:color="auto"/>
        <w:right w:val="none" w:sz="0" w:space="0" w:color="auto"/>
      </w:divBdr>
    </w:div>
    <w:div w:id="193464976">
      <w:bodyDiv w:val="1"/>
      <w:marLeft w:val="0"/>
      <w:marRight w:val="0"/>
      <w:marTop w:val="0"/>
      <w:marBottom w:val="0"/>
      <w:divBdr>
        <w:top w:val="none" w:sz="0" w:space="0" w:color="auto"/>
        <w:left w:val="none" w:sz="0" w:space="0" w:color="auto"/>
        <w:bottom w:val="none" w:sz="0" w:space="0" w:color="auto"/>
        <w:right w:val="none" w:sz="0" w:space="0" w:color="auto"/>
      </w:divBdr>
    </w:div>
    <w:div w:id="193808228">
      <w:bodyDiv w:val="1"/>
      <w:marLeft w:val="0"/>
      <w:marRight w:val="0"/>
      <w:marTop w:val="0"/>
      <w:marBottom w:val="0"/>
      <w:divBdr>
        <w:top w:val="none" w:sz="0" w:space="0" w:color="auto"/>
        <w:left w:val="none" w:sz="0" w:space="0" w:color="auto"/>
        <w:bottom w:val="none" w:sz="0" w:space="0" w:color="auto"/>
        <w:right w:val="none" w:sz="0" w:space="0" w:color="auto"/>
      </w:divBdr>
    </w:div>
    <w:div w:id="193881747">
      <w:bodyDiv w:val="1"/>
      <w:marLeft w:val="0"/>
      <w:marRight w:val="0"/>
      <w:marTop w:val="0"/>
      <w:marBottom w:val="0"/>
      <w:divBdr>
        <w:top w:val="none" w:sz="0" w:space="0" w:color="auto"/>
        <w:left w:val="none" w:sz="0" w:space="0" w:color="auto"/>
        <w:bottom w:val="none" w:sz="0" w:space="0" w:color="auto"/>
        <w:right w:val="none" w:sz="0" w:space="0" w:color="auto"/>
      </w:divBdr>
    </w:div>
    <w:div w:id="193928384">
      <w:bodyDiv w:val="1"/>
      <w:marLeft w:val="0"/>
      <w:marRight w:val="0"/>
      <w:marTop w:val="0"/>
      <w:marBottom w:val="0"/>
      <w:divBdr>
        <w:top w:val="none" w:sz="0" w:space="0" w:color="auto"/>
        <w:left w:val="none" w:sz="0" w:space="0" w:color="auto"/>
        <w:bottom w:val="none" w:sz="0" w:space="0" w:color="auto"/>
        <w:right w:val="none" w:sz="0" w:space="0" w:color="auto"/>
      </w:divBdr>
    </w:div>
    <w:div w:id="194084103">
      <w:bodyDiv w:val="1"/>
      <w:marLeft w:val="0"/>
      <w:marRight w:val="0"/>
      <w:marTop w:val="0"/>
      <w:marBottom w:val="0"/>
      <w:divBdr>
        <w:top w:val="none" w:sz="0" w:space="0" w:color="auto"/>
        <w:left w:val="none" w:sz="0" w:space="0" w:color="auto"/>
        <w:bottom w:val="none" w:sz="0" w:space="0" w:color="auto"/>
        <w:right w:val="none" w:sz="0" w:space="0" w:color="auto"/>
      </w:divBdr>
    </w:div>
    <w:div w:id="194780065">
      <w:bodyDiv w:val="1"/>
      <w:marLeft w:val="0"/>
      <w:marRight w:val="0"/>
      <w:marTop w:val="0"/>
      <w:marBottom w:val="0"/>
      <w:divBdr>
        <w:top w:val="none" w:sz="0" w:space="0" w:color="auto"/>
        <w:left w:val="none" w:sz="0" w:space="0" w:color="auto"/>
        <w:bottom w:val="none" w:sz="0" w:space="0" w:color="auto"/>
        <w:right w:val="none" w:sz="0" w:space="0" w:color="auto"/>
      </w:divBdr>
    </w:div>
    <w:div w:id="195436923">
      <w:bodyDiv w:val="1"/>
      <w:marLeft w:val="0"/>
      <w:marRight w:val="0"/>
      <w:marTop w:val="0"/>
      <w:marBottom w:val="0"/>
      <w:divBdr>
        <w:top w:val="none" w:sz="0" w:space="0" w:color="auto"/>
        <w:left w:val="none" w:sz="0" w:space="0" w:color="auto"/>
        <w:bottom w:val="none" w:sz="0" w:space="0" w:color="auto"/>
        <w:right w:val="none" w:sz="0" w:space="0" w:color="auto"/>
      </w:divBdr>
    </w:div>
    <w:div w:id="195895560">
      <w:bodyDiv w:val="1"/>
      <w:marLeft w:val="0"/>
      <w:marRight w:val="0"/>
      <w:marTop w:val="0"/>
      <w:marBottom w:val="0"/>
      <w:divBdr>
        <w:top w:val="none" w:sz="0" w:space="0" w:color="auto"/>
        <w:left w:val="none" w:sz="0" w:space="0" w:color="auto"/>
        <w:bottom w:val="none" w:sz="0" w:space="0" w:color="auto"/>
        <w:right w:val="none" w:sz="0" w:space="0" w:color="auto"/>
      </w:divBdr>
    </w:div>
    <w:div w:id="196092148">
      <w:bodyDiv w:val="1"/>
      <w:marLeft w:val="0"/>
      <w:marRight w:val="0"/>
      <w:marTop w:val="0"/>
      <w:marBottom w:val="0"/>
      <w:divBdr>
        <w:top w:val="none" w:sz="0" w:space="0" w:color="auto"/>
        <w:left w:val="none" w:sz="0" w:space="0" w:color="auto"/>
        <w:bottom w:val="none" w:sz="0" w:space="0" w:color="auto"/>
        <w:right w:val="none" w:sz="0" w:space="0" w:color="auto"/>
      </w:divBdr>
    </w:div>
    <w:div w:id="196508765">
      <w:bodyDiv w:val="1"/>
      <w:marLeft w:val="0"/>
      <w:marRight w:val="0"/>
      <w:marTop w:val="0"/>
      <w:marBottom w:val="0"/>
      <w:divBdr>
        <w:top w:val="none" w:sz="0" w:space="0" w:color="auto"/>
        <w:left w:val="none" w:sz="0" w:space="0" w:color="auto"/>
        <w:bottom w:val="none" w:sz="0" w:space="0" w:color="auto"/>
        <w:right w:val="none" w:sz="0" w:space="0" w:color="auto"/>
      </w:divBdr>
    </w:div>
    <w:div w:id="196814238">
      <w:bodyDiv w:val="1"/>
      <w:marLeft w:val="0"/>
      <w:marRight w:val="0"/>
      <w:marTop w:val="0"/>
      <w:marBottom w:val="0"/>
      <w:divBdr>
        <w:top w:val="none" w:sz="0" w:space="0" w:color="auto"/>
        <w:left w:val="none" w:sz="0" w:space="0" w:color="auto"/>
        <w:bottom w:val="none" w:sz="0" w:space="0" w:color="auto"/>
        <w:right w:val="none" w:sz="0" w:space="0" w:color="auto"/>
      </w:divBdr>
    </w:div>
    <w:div w:id="196938192">
      <w:bodyDiv w:val="1"/>
      <w:marLeft w:val="0"/>
      <w:marRight w:val="0"/>
      <w:marTop w:val="0"/>
      <w:marBottom w:val="0"/>
      <w:divBdr>
        <w:top w:val="none" w:sz="0" w:space="0" w:color="auto"/>
        <w:left w:val="none" w:sz="0" w:space="0" w:color="auto"/>
        <w:bottom w:val="none" w:sz="0" w:space="0" w:color="auto"/>
        <w:right w:val="none" w:sz="0" w:space="0" w:color="auto"/>
      </w:divBdr>
    </w:div>
    <w:div w:id="196939051">
      <w:bodyDiv w:val="1"/>
      <w:marLeft w:val="0"/>
      <w:marRight w:val="0"/>
      <w:marTop w:val="0"/>
      <w:marBottom w:val="0"/>
      <w:divBdr>
        <w:top w:val="none" w:sz="0" w:space="0" w:color="auto"/>
        <w:left w:val="none" w:sz="0" w:space="0" w:color="auto"/>
        <w:bottom w:val="none" w:sz="0" w:space="0" w:color="auto"/>
        <w:right w:val="none" w:sz="0" w:space="0" w:color="auto"/>
      </w:divBdr>
    </w:div>
    <w:div w:id="198126223">
      <w:bodyDiv w:val="1"/>
      <w:marLeft w:val="0"/>
      <w:marRight w:val="0"/>
      <w:marTop w:val="0"/>
      <w:marBottom w:val="0"/>
      <w:divBdr>
        <w:top w:val="none" w:sz="0" w:space="0" w:color="auto"/>
        <w:left w:val="none" w:sz="0" w:space="0" w:color="auto"/>
        <w:bottom w:val="none" w:sz="0" w:space="0" w:color="auto"/>
        <w:right w:val="none" w:sz="0" w:space="0" w:color="auto"/>
      </w:divBdr>
    </w:div>
    <w:div w:id="198394452">
      <w:bodyDiv w:val="1"/>
      <w:marLeft w:val="0"/>
      <w:marRight w:val="0"/>
      <w:marTop w:val="0"/>
      <w:marBottom w:val="0"/>
      <w:divBdr>
        <w:top w:val="none" w:sz="0" w:space="0" w:color="auto"/>
        <w:left w:val="none" w:sz="0" w:space="0" w:color="auto"/>
        <w:bottom w:val="none" w:sz="0" w:space="0" w:color="auto"/>
        <w:right w:val="none" w:sz="0" w:space="0" w:color="auto"/>
      </w:divBdr>
    </w:div>
    <w:div w:id="198978985">
      <w:bodyDiv w:val="1"/>
      <w:marLeft w:val="0"/>
      <w:marRight w:val="0"/>
      <w:marTop w:val="0"/>
      <w:marBottom w:val="0"/>
      <w:divBdr>
        <w:top w:val="none" w:sz="0" w:space="0" w:color="auto"/>
        <w:left w:val="none" w:sz="0" w:space="0" w:color="auto"/>
        <w:bottom w:val="none" w:sz="0" w:space="0" w:color="auto"/>
        <w:right w:val="none" w:sz="0" w:space="0" w:color="auto"/>
      </w:divBdr>
    </w:div>
    <w:div w:id="199166705">
      <w:bodyDiv w:val="1"/>
      <w:marLeft w:val="0"/>
      <w:marRight w:val="0"/>
      <w:marTop w:val="0"/>
      <w:marBottom w:val="0"/>
      <w:divBdr>
        <w:top w:val="none" w:sz="0" w:space="0" w:color="auto"/>
        <w:left w:val="none" w:sz="0" w:space="0" w:color="auto"/>
        <w:bottom w:val="none" w:sz="0" w:space="0" w:color="auto"/>
        <w:right w:val="none" w:sz="0" w:space="0" w:color="auto"/>
      </w:divBdr>
    </w:div>
    <w:div w:id="199436537">
      <w:bodyDiv w:val="1"/>
      <w:marLeft w:val="0"/>
      <w:marRight w:val="0"/>
      <w:marTop w:val="0"/>
      <w:marBottom w:val="0"/>
      <w:divBdr>
        <w:top w:val="none" w:sz="0" w:space="0" w:color="auto"/>
        <w:left w:val="none" w:sz="0" w:space="0" w:color="auto"/>
        <w:bottom w:val="none" w:sz="0" w:space="0" w:color="auto"/>
        <w:right w:val="none" w:sz="0" w:space="0" w:color="auto"/>
      </w:divBdr>
    </w:div>
    <w:div w:id="200175017">
      <w:bodyDiv w:val="1"/>
      <w:marLeft w:val="0"/>
      <w:marRight w:val="0"/>
      <w:marTop w:val="0"/>
      <w:marBottom w:val="0"/>
      <w:divBdr>
        <w:top w:val="none" w:sz="0" w:space="0" w:color="auto"/>
        <w:left w:val="none" w:sz="0" w:space="0" w:color="auto"/>
        <w:bottom w:val="none" w:sz="0" w:space="0" w:color="auto"/>
        <w:right w:val="none" w:sz="0" w:space="0" w:color="auto"/>
      </w:divBdr>
    </w:div>
    <w:div w:id="201528212">
      <w:bodyDiv w:val="1"/>
      <w:marLeft w:val="0"/>
      <w:marRight w:val="0"/>
      <w:marTop w:val="0"/>
      <w:marBottom w:val="0"/>
      <w:divBdr>
        <w:top w:val="none" w:sz="0" w:space="0" w:color="auto"/>
        <w:left w:val="none" w:sz="0" w:space="0" w:color="auto"/>
        <w:bottom w:val="none" w:sz="0" w:space="0" w:color="auto"/>
        <w:right w:val="none" w:sz="0" w:space="0" w:color="auto"/>
      </w:divBdr>
    </w:div>
    <w:div w:id="202909485">
      <w:bodyDiv w:val="1"/>
      <w:marLeft w:val="0"/>
      <w:marRight w:val="0"/>
      <w:marTop w:val="0"/>
      <w:marBottom w:val="0"/>
      <w:divBdr>
        <w:top w:val="none" w:sz="0" w:space="0" w:color="auto"/>
        <w:left w:val="none" w:sz="0" w:space="0" w:color="auto"/>
        <w:bottom w:val="none" w:sz="0" w:space="0" w:color="auto"/>
        <w:right w:val="none" w:sz="0" w:space="0" w:color="auto"/>
      </w:divBdr>
    </w:div>
    <w:div w:id="203104790">
      <w:bodyDiv w:val="1"/>
      <w:marLeft w:val="0"/>
      <w:marRight w:val="0"/>
      <w:marTop w:val="0"/>
      <w:marBottom w:val="0"/>
      <w:divBdr>
        <w:top w:val="none" w:sz="0" w:space="0" w:color="auto"/>
        <w:left w:val="none" w:sz="0" w:space="0" w:color="auto"/>
        <w:bottom w:val="none" w:sz="0" w:space="0" w:color="auto"/>
        <w:right w:val="none" w:sz="0" w:space="0" w:color="auto"/>
      </w:divBdr>
    </w:div>
    <w:div w:id="203106271">
      <w:bodyDiv w:val="1"/>
      <w:marLeft w:val="0"/>
      <w:marRight w:val="0"/>
      <w:marTop w:val="0"/>
      <w:marBottom w:val="0"/>
      <w:divBdr>
        <w:top w:val="none" w:sz="0" w:space="0" w:color="auto"/>
        <w:left w:val="none" w:sz="0" w:space="0" w:color="auto"/>
        <w:bottom w:val="none" w:sz="0" w:space="0" w:color="auto"/>
        <w:right w:val="none" w:sz="0" w:space="0" w:color="auto"/>
      </w:divBdr>
    </w:div>
    <w:div w:id="203253457">
      <w:bodyDiv w:val="1"/>
      <w:marLeft w:val="0"/>
      <w:marRight w:val="0"/>
      <w:marTop w:val="0"/>
      <w:marBottom w:val="0"/>
      <w:divBdr>
        <w:top w:val="none" w:sz="0" w:space="0" w:color="auto"/>
        <w:left w:val="none" w:sz="0" w:space="0" w:color="auto"/>
        <w:bottom w:val="none" w:sz="0" w:space="0" w:color="auto"/>
        <w:right w:val="none" w:sz="0" w:space="0" w:color="auto"/>
      </w:divBdr>
    </w:div>
    <w:div w:id="203443964">
      <w:bodyDiv w:val="1"/>
      <w:marLeft w:val="0"/>
      <w:marRight w:val="0"/>
      <w:marTop w:val="0"/>
      <w:marBottom w:val="0"/>
      <w:divBdr>
        <w:top w:val="none" w:sz="0" w:space="0" w:color="auto"/>
        <w:left w:val="none" w:sz="0" w:space="0" w:color="auto"/>
        <w:bottom w:val="none" w:sz="0" w:space="0" w:color="auto"/>
        <w:right w:val="none" w:sz="0" w:space="0" w:color="auto"/>
      </w:divBdr>
    </w:div>
    <w:div w:id="203715262">
      <w:bodyDiv w:val="1"/>
      <w:marLeft w:val="0"/>
      <w:marRight w:val="0"/>
      <w:marTop w:val="0"/>
      <w:marBottom w:val="0"/>
      <w:divBdr>
        <w:top w:val="none" w:sz="0" w:space="0" w:color="auto"/>
        <w:left w:val="none" w:sz="0" w:space="0" w:color="auto"/>
        <w:bottom w:val="none" w:sz="0" w:space="0" w:color="auto"/>
        <w:right w:val="none" w:sz="0" w:space="0" w:color="auto"/>
      </w:divBdr>
    </w:div>
    <w:div w:id="203955020">
      <w:bodyDiv w:val="1"/>
      <w:marLeft w:val="0"/>
      <w:marRight w:val="0"/>
      <w:marTop w:val="0"/>
      <w:marBottom w:val="0"/>
      <w:divBdr>
        <w:top w:val="none" w:sz="0" w:space="0" w:color="auto"/>
        <w:left w:val="none" w:sz="0" w:space="0" w:color="auto"/>
        <w:bottom w:val="none" w:sz="0" w:space="0" w:color="auto"/>
        <w:right w:val="none" w:sz="0" w:space="0" w:color="auto"/>
      </w:divBdr>
    </w:div>
    <w:div w:id="204292917">
      <w:bodyDiv w:val="1"/>
      <w:marLeft w:val="0"/>
      <w:marRight w:val="0"/>
      <w:marTop w:val="0"/>
      <w:marBottom w:val="0"/>
      <w:divBdr>
        <w:top w:val="none" w:sz="0" w:space="0" w:color="auto"/>
        <w:left w:val="none" w:sz="0" w:space="0" w:color="auto"/>
        <w:bottom w:val="none" w:sz="0" w:space="0" w:color="auto"/>
        <w:right w:val="none" w:sz="0" w:space="0" w:color="auto"/>
      </w:divBdr>
    </w:div>
    <w:div w:id="204366276">
      <w:bodyDiv w:val="1"/>
      <w:marLeft w:val="0"/>
      <w:marRight w:val="0"/>
      <w:marTop w:val="0"/>
      <w:marBottom w:val="0"/>
      <w:divBdr>
        <w:top w:val="none" w:sz="0" w:space="0" w:color="auto"/>
        <w:left w:val="none" w:sz="0" w:space="0" w:color="auto"/>
        <w:bottom w:val="none" w:sz="0" w:space="0" w:color="auto"/>
        <w:right w:val="none" w:sz="0" w:space="0" w:color="auto"/>
      </w:divBdr>
    </w:div>
    <w:div w:id="204416213">
      <w:bodyDiv w:val="1"/>
      <w:marLeft w:val="0"/>
      <w:marRight w:val="0"/>
      <w:marTop w:val="0"/>
      <w:marBottom w:val="0"/>
      <w:divBdr>
        <w:top w:val="none" w:sz="0" w:space="0" w:color="auto"/>
        <w:left w:val="none" w:sz="0" w:space="0" w:color="auto"/>
        <w:bottom w:val="none" w:sz="0" w:space="0" w:color="auto"/>
        <w:right w:val="none" w:sz="0" w:space="0" w:color="auto"/>
      </w:divBdr>
    </w:div>
    <w:div w:id="204493278">
      <w:bodyDiv w:val="1"/>
      <w:marLeft w:val="0"/>
      <w:marRight w:val="0"/>
      <w:marTop w:val="0"/>
      <w:marBottom w:val="0"/>
      <w:divBdr>
        <w:top w:val="none" w:sz="0" w:space="0" w:color="auto"/>
        <w:left w:val="none" w:sz="0" w:space="0" w:color="auto"/>
        <w:bottom w:val="none" w:sz="0" w:space="0" w:color="auto"/>
        <w:right w:val="none" w:sz="0" w:space="0" w:color="auto"/>
      </w:divBdr>
    </w:div>
    <w:div w:id="204874677">
      <w:bodyDiv w:val="1"/>
      <w:marLeft w:val="0"/>
      <w:marRight w:val="0"/>
      <w:marTop w:val="0"/>
      <w:marBottom w:val="0"/>
      <w:divBdr>
        <w:top w:val="none" w:sz="0" w:space="0" w:color="auto"/>
        <w:left w:val="none" w:sz="0" w:space="0" w:color="auto"/>
        <w:bottom w:val="none" w:sz="0" w:space="0" w:color="auto"/>
        <w:right w:val="none" w:sz="0" w:space="0" w:color="auto"/>
      </w:divBdr>
    </w:div>
    <w:div w:id="204948293">
      <w:bodyDiv w:val="1"/>
      <w:marLeft w:val="0"/>
      <w:marRight w:val="0"/>
      <w:marTop w:val="0"/>
      <w:marBottom w:val="0"/>
      <w:divBdr>
        <w:top w:val="none" w:sz="0" w:space="0" w:color="auto"/>
        <w:left w:val="none" w:sz="0" w:space="0" w:color="auto"/>
        <w:bottom w:val="none" w:sz="0" w:space="0" w:color="auto"/>
        <w:right w:val="none" w:sz="0" w:space="0" w:color="auto"/>
      </w:divBdr>
    </w:div>
    <w:div w:id="205214604">
      <w:bodyDiv w:val="1"/>
      <w:marLeft w:val="0"/>
      <w:marRight w:val="0"/>
      <w:marTop w:val="0"/>
      <w:marBottom w:val="0"/>
      <w:divBdr>
        <w:top w:val="none" w:sz="0" w:space="0" w:color="auto"/>
        <w:left w:val="none" w:sz="0" w:space="0" w:color="auto"/>
        <w:bottom w:val="none" w:sz="0" w:space="0" w:color="auto"/>
        <w:right w:val="none" w:sz="0" w:space="0" w:color="auto"/>
      </w:divBdr>
    </w:div>
    <w:div w:id="205678403">
      <w:bodyDiv w:val="1"/>
      <w:marLeft w:val="0"/>
      <w:marRight w:val="0"/>
      <w:marTop w:val="0"/>
      <w:marBottom w:val="0"/>
      <w:divBdr>
        <w:top w:val="none" w:sz="0" w:space="0" w:color="auto"/>
        <w:left w:val="none" w:sz="0" w:space="0" w:color="auto"/>
        <w:bottom w:val="none" w:sz="0" w:space="0" w:color="auto"/>
        <w:right w:val="none" w:sz="0" w:space="0" w:color="auto"/>
      </w:divBdr>
    </w:div>
    <w:div w:id="207110747">
      <w:bodyDiv w:val="1"/>
      <w:marLeft w:val="0"/>
      <w:marRight w:val="0"/>
      <w:marTop w:val="0"/>
      <w:marBottom w:val="0"/>
      <w:divBdr>
        <w:top w:val="none" w:sz="0" w:space="0" w:color="auto"/>
        <w:left w:val="none" w:sz="0" w:space="0" w:color="auto"/>
        <w:bottom w:val="none" w:sz="0" w:space="0" w:color="auto"/>
        <w:right w:val="none" w:sz="0" w:space="0" w:color="auto"/>
      </w:divBdr>
    </w:div>
    <w:div w:id="207301609">
      <w:bodyDiv w:val="1"/>
      <w:marLeft w:val="0"/>
      <w:marRight w:val="0"/>
      <w:marTop w:val="0"/>
      <w:marBottom w:val="0"/>
      <w:divBdr>
        <w:top w:val="none" w:sz="0" w:space="0" w:color="auto"/>
        <w:left w:val="none" w:sz="0" w:space="0" w:color="auto"/>
        <w:bottom w:val="none" w:sz="0" w:space="0" w:color="auto"/>
        <w:right w:val="none" w:sz="0" w:space="0" w:color="auto"/>
      </w:divBdr>
    </w:div>
    <w:div w:id="207686927">
      <w:bodyDiv w:val="1"/>
      <w:marLeft w:val="0"/>
      <w:marRight w:val="0"/>
      <w:marTop w:val="0"/>
      <w:marBottom w:val="0"/>
      <w:divBdr>
        <w:top w:val="none" w:sz="0" w:space="0" w:color="auto"/>
        <w:left w:val="none" w:sz="0" w:space="0" w:color="auto"/>
        <w:bottom w:val="none" w:sz="0" w:space="0" w:color="auto"/>
        <w:right w:val="none" w:sz="0" w:space="0" w:color="auto"/>
      </w:divBdr>
    </w:div>
    <w:div w:id="208304478">
      <w:bodyDiv w:val="1"/>
      <w:marLeft w:val="0"/>
      <w:marRight w:val="0"/>
      <w:marTop w:val="0"/>
      <w:marBottom w:val="0"/>
      <w:divBdr>
        <w:top w:val="none" w:sz="0" w:space="0" w:color="auto"/>
        <w:left w:val="none" w:sz="0" w:space="0" w:color="auto"/>
        <w:bottom w:val="none" w:sz="0" w:space="0" w:color="auto"/>
        <w:right w:val="none" w:sz="0" w:space="0" w:color="auto"/>
      </w:divBdr>
    </w:div>
    <w:div w:id="208349362">
      <w:bodyDiv w:val="1"/>
      <w:marLeft w:val="0"/>
      <w:marRight w:val="0"/>
      <w:marTop w:val="0"/>
      <w:marBottom w:val="0"/>
      <w:divBdr>
        <w:top w:val="none" w:sz="0" w:space="0" w:color="auto"/>
        <w:left w:val="none" w:sz="0" w:space="0" w:color="auto"/>
        <w:bottom w:val="none" w:sz="0" w:space="0" w:color="auto"/>
        <w:right w:val="none" w:sz="0" w:space="0" w:color="auto"/>
      </w:divBdr>
    </w:div>
    <w:div w:id="208499518">
      <w:bodyDiv w:val="1"/>
      <w:marLeft w:val="0"/>
      <w:marRight w:val="0"/>
      <w:marTop w:val="0"/>
      <w:marBottom w:val="0"/>
      <w:divBdr>
        <w:top w:val="none" w:sz="0" w:space="0" w:color="auto"/>
        <w:left w:val="none" w:sz="0" w:space="0" w:color="auto"/>
        <w:bottom w:val="none" w:sz="0" w:space="0" w:color="auto"/>
        <w:right w:val="none" w:sz="0" w:space="0" w:color="auto"/>
      </w:divBdr>
    </w:div>
    <w:div w:id="209414547">
      <w:bodyDiv w:val="1"/>
      <w:marLeft w:val="0"/>
      <w:marRight w:val="0"/>
      <w:marTop w:val="0"/>
      <w:marBottom w:val="0"/>
      <w:divBdr>
        <w:top w:val="none" w:sz="0" w:space="0" w:color="auto"/>
        <w:left w:val="none" w:sz="0" w:space="0" w:color="auto"/>
        <w:bottom w:val="none" w:sz="0" w:space="0" w:color="auto"/>
        <w:right w:val="none" w:sz="0" w:space="0" w:color="auto"/>
      </w:divBdr>
    </w:div>
    <w:div w:id="209651435">
      <w:bodyDiv w:val="1"/>
      <w:marLeft w:val="0"/>
      <w:marRight w:val="0"/>
      <w:marTop w:val="0"/>
      <w:marBottom w:val="0"/>
      <w:divBdr>
        <w:top w:val="none" w:sz="0" w:space="0" w:color="auto"/>
        <w:left w:val="none" w:sz="0" w:space="0" w:color="auto"/>
        <w:bottom w:val="none" w:sz="0" w:space="0" w:color="auto"/>
        <w:right w:val="none" w:sz="0" w:space="0" w:color="auto"/>
      </w:divBdr>
    </w:div>
    <w:div w:id="209727300">
      <w:bodyDiv w:val="1"/>
      <w:marLeft w:val="0"/>
      <w:marRight w:val="0"/>
      <w:marTop w:val="0"/>
      <w:marBottom w:val="0"/>
      <w:divBdr>
        <w:top w:val="none" w:sz="0" w:space="0" w:color="auto"/>
        <w:left w:val="none" w:sz="0" w:space="0" w:color="auto"/>
        <w:bottom w:val="none" w:sz="0" w:space="0" w:color="auto"/>
        <w:right w:val="none" w:sz="0" w:space="0" w:color="auto"/>
      </w:divBdr>
    </w:div>
    <w:div w:id="210044113">
      <w:bodyDiv w:val="1"/>
      <w:marLeft w:val="0"/>
      <w:marRight w:val="0"/>
      <w:marTop w:val="0"/>
      <w:marBottom w:val="0"/>
      <w:divBdr>
        <w:top w:val="none" w:sz="0" w:space="0" w:color="auto"/>
        <w:left w:val="none" w:sz="0" w:space="0" w:color="auto"/>
        <w:bottom w:val="none" w:sz="0" w:space="0" w:color="auto"/>
        <w:right w:val="none" w:sz="0" w:space="0" w:color="auto"/>
      </w:divBdr>
    </w:div>
    <w:div w:id="210926718">
      <w:bodyDiv w:val="1"/>
      <w:marLeft w:val="0"/>
      <w:marRight w:val="0"/>
      <w:marTop w:val="0"/>
      <w:marBottom w:val="0"/>
      <w:divBdr>
        <w:top w:val="none" w:sz="0" w:space="0" w:color="auto"/>
        <w:left w:val="none" w:sz="0" w:space="0" w:color="auto"/>
        <w:bottom w:val="none" w:sz="0" w:space="0" w:color="auto"/>
        <w:right w:val="none" w:sz="0" w:space="0" w:color="auto"/>
      </w:divBdr>
    </w:div>
    <w:div w:id="210962456">
      <w:bodyDiv w:val="1"/>
      <w:marLeft w:val="0"/>
      <w:marRight w:val="0"/>
      <w:marTop w:val="0"/>
      <w:marBottom w:val="0"/>
      <w:divBdr>
        <w:top w:val="none" w:sz="0" w:space="0" w:color="auto"/>
        <w:left w:val="none" w:sz="0" w:space="0" w:color="auto"/>
        <w:bottom w:val="none" w:sz="0" w:space="0" w:color="auto"/>
        <w:right w:val="none" w:sz="0" w:space="0" w:color="auto"/>
      </w:divBdr>
    </w:div>
    <w:div w:id="211113847">
      <w:bodyDiv w:val="1"/>
      <w:marLeft w:val="0"/>
      <w:marRight w:val="0"/>
      <w:marTop w:val="0"/>
      <w:marBottom w:val="0"/>
      <w:divBdr>
        <w:top w:val="none" w:sz="0" w:space="0" w:color="auto"/>
        <w:left w:val="none" w:sz="0" w:space="0" w:color="auto"/>
        <w:bottom w:val="none" w:sz="0" w:space="0" w:color="auto"/>
        <w:right w:val="none" w:sz="0" w:space="0" w:color="auto"/>
      </w:divBdr>
    </w:div>
    <w:div w:id="212808891">
      <w:bodyDiv w:val="1"/>
      <w:marLeft w:val="0"/>
      <w:marRight w:val="0"/>
      <w:marTop w:val="0"/>
      <w:marBottom w:val="0"/>
      <w:divBdr>
        <w:top w:val="none" w:sz="0" w:space="0" w:color="auto"/>
        <w:left w:val="none" w:sz="0" w:space="0" w:color="auto"/>
        <w:bottom w:val="none" w:sz="0" w:space="0" w:color="auto"/>
        <w:right w:val="none" w:sz="0" w:space="0" w:color="auto"/>
      </w:divBdr>
    </w:div>
    <w:div w:id="213742202">
      <w:bodyDiv w:val="1"/>
      <w:marLeft w:val="0"/>
      <w:marRight w:val="0"/>
      <w:marTop w:val="0"/>
      <w:marBottom w:val="0"/>
      <w:divBdr>
        <w:top w:val="none" w:sz="0" w:space="0" w:color="auto"/>
        <w:left w:val="none" w:sz="0" w:space="0" w:color="auto"/>
        <w:bottom w:val="none" w:sz="0" w:space="0" w:color="auto"/>
        <w:right w:val="none" w:sz="0" w:space="0" w:color="auto"/>
      </w:divBdr>
    </w:div>
    <w:div w:id="213975777">
      <w:bodyDiv w:val="1"/>
      <w:marLeft w:val="0"/>
      <w:marRight w:val="0"/>
      <w:marTop w:val="0"/>
      <w:marBottom w:val="0"/>
      <w:divBdr>
        <w:top w:val="none" w:sz="0" w:space="0" w:color="auto"/>
        <w:left w:val="none" w:sz="0" w:space="0" w:color="auto"/>
        <w:bottom w:val="none" w:sz="0" w:space="0" w:color="auto"/>
        <w:right w:val="none" w:sz="0" w:space="0" w:color="auto"/>
      </w:divBdr>
    </w:div>
    <w:div w:id="214317910">
      <w:bodyDiv w:val="1"/>
      <w:marLeft w:val="0"/>
      <w:marRight w:val="0"/>
      <w:marTop w:val="0"/>
      <w:marBottom w:val="0"/>
      <w:divBdr>
        <w:top w:val="none" w:sz="0" w:space="0" w:color="auto"/>
        <w:left w:val="none" w:sz="0" w:space="0" w:color="auto"/>
        <w:bottom w:val="none" w:sz="0" w:space="0" w:color="auto"/>
        <w:right w:val="none" w:sz="0" w:space="0" w:color="auto"/>
      </w:divBdr>
    </w:div>
    <w:div w:id="214321803">
      <w:bodyDiv w:val="1"/>
      <w:marLeft w:val="0"/>
      <w:marRight w:val="0"/>
      <w:marTop w:val="0"/>
      <w:marBottom w:val="0"/>
      <w:divBdr>
        <w:top w:val="none" w:sz="0" w:space="0" w:color="auto"/>
        <w:left w:val="none" w:sz="0" w:space="0" w:color="auto"/>
        <w:bottom w:val="none" w:sz="0" w:space="0" w:color="auto"/>
        <w:right w:val="none" w:sz="0" w:space="0" w:color="auto"/>
      </w:divBdr>
    </w:div>
    <w:div w:id="215701900">
      <w:bodyDiv w:val="1"/>
      <w:marLeft w:val="0"/>
      <w:marRight w:val="0"/>
      <w:marTop w:val="0"/>
      <w:marBottom w:val="0"/>
      <w:divBdr>
        <w:top w:val="none" w:sz="0" w:space="0" w:color="auto"/>
        <w:left w:val="none" w:sz="0" w:space="0" w:color="auto"/>
        <w:bottom w:val="none" w:sz="0" w:space="0" w:color="auto"/>
        <w:right w:val="none" w:sz="0" w:space="0" w:color="auto"/>
      </w:divBdr>
    </w:div>
    <w:div w:id="216090098">
      <w:bodyDiv w:val="1"/>
      <w:marLeft w:val="0"/>
      <w:marRight w:val="0"/>
      <w:marTop w:val="0"/>
      <w:marBottom w:val="0"/>
      <w:divBdr>
        <w:top w:val="none" w:sz="0" w:space="0" w:color="auto"/>
        <w:left w:val="none" w:sz="0" w:space="0" w:color="auto"/>
        <w:bottom w:val="none" w:sz="0" w:space="0" w:color="auto"/>
        <w:right w:val="none" w:sz="0" w:space="0" w:color="auto"/>
      </w:divBdr>
    </w:div>
    <w:div w:id="217252152">
      <w:bodyDiv w:val="1"/>
      <w:marLeft w:val="0"/>
      <w:marRight w:val="0"/>
      <w:marTop w:val="0"/>
      <w:marBottom w:val="0"/>
      <w:divBdr>
        <w:top w:val="none" w:sz="0" w:space="0" w:color="auto"/>
        <w:left w:val="none" w:sz="0" w:space="0" w:color="auto"/>
        <w:bottom w:val="none" w:sz="0" w:space="0" w:color="auto"/>
        <w:right w:val="none" w:sz="0" w:space="0" w:color="auto"/>
      </w:divBdr>
    </w:div>
    <w:div w:id="217517870">
      <w:bodyDiv w:val="1"/>
      <w:marLeft w:val="0"/>
      <w:marRight w:val="0"/>
      <w:marTop w:val="0"/>
      <w:marBottom w:val="0"/>
      <w:divBdr>
        <w:top w:val="none" w:sz="0" w:space="0" w:color="auto"/>
        <w:left w:val="none" w:sz="0" w:space="0" w:color="auto"/>
        <w:bottom w:val="none" w:sz="0" w:space="0" w:color="auto"/>
        <w:right w:val="none" w:sz="0" w:space="0" w:color="auto"/>
      </w:divBdr>
    </w:div>
    <w:div w:id="217522284">
      <w:bodyDiv w:val="1"/>
      <w:marLeft w:val="0"/>
      <w:marRight w:val="0"/>
      <w:marTop w:val="0"/>
      <w:marBottom w:val="0"/>
      <w:divBdr>
        <w:top w:val="none" w:sz="0" w:space="0" w:color="auto"/>
        <w:left w:val="none" w:sz="0" w:space="0" w:color="auto"/>
        <w:bottom w:val="none" w:sz="0" w:space="0" w:color="auto"/>
        <w:right w:val="none" w:sz="0" w:space="0" w:color="auto"/>
      </w:divBdr>
    </w:div>
    <w:div w:id="217784148">
      <w:bodyDiv w:val="1"/>
      <w:marLeft w:val="0"/>
      <w:marRight w:val="0"/>
      <w:marTop w:val="0"/>
      <w:marBottom w:val="0"/>
      <w:divBdr>
        <w:top w:val="none" w:sz="0" w:space="0" w:color="auto"/>
        <w:left w:val="none" w:sz="0" w:space="0" w:color="auto"/>
        <w:bottom w:val="none" w:sz="0" w:space="0" w:color="auto"/>
        <w:right w:val="none" w:sz="0" w:space="0" w:color="auto"/>
      </w:divBdr>
    </w:div>
    <w:div w:id="218249831">
      <w:bodyDiv w:val="1"/>
      <w:marLeft w:val="0"/>
      <w:marRight w:val="0"/>
      <w:marTop w:val="0"/>
      <w:marBottom w:val="0"/>
      <w:divBdr>
        <w:top w:val="none" w:sz="0" w:space="0" w:color="auto"/>
        <w:left w:val="none" w:sz="0" w:space="0" w:color="auto"/>
        <w:bottom w:val="none" w:sz="0" w:space="0" w:color="auto"/>
        <w:right w:val="none" w:sz="0" w:space="0" w:color="auto"/>
      </w:divBdr>
    </w:div>
    <w:div w:id="219218149">
      <w:bodyDiv w:val="1"/>
      <w:marLeft w:val="0"/>
      <w:marRight w:val="0"/>
      <w:marTop w:val="0"/>
      <w:marBottom w:val="0"/>
      <w:divBdr>
        <w:top w:val="none" w:sz="0" w:space="0" w:color="auto"/>
        <w:left w:val="none" w:sz="0" w:space="0" w:color="auto"/>
        <w:bottom w:val="none" w:sz="0" w:space="0" w:color="auto"/>
        <w:right w:val="none" w:sz="0" w:space="0" w:color="auto"/>
      </w:divBdr>
    </w:div>
    <w:div w:id="219363890">
      <w:bodyDiv w:val="1"/>
      <w:marLeft w:val="0"/>
      <w:marRight w:val="0"/>
      <w:marTop w:val="0"/>
      <w:marBottom w:val="0"/>
      <w:divBdr>
        <w:top w:val="none" w:sz="0" w:space="0" w:color="auto"/>
        <w:left w:val="none" w:sz="0" w:space="0" w:color="auto"/>
        <w:bottom w:val="none" w:sz="0" w:space="0" w:color="auto"/>
        <w:right w:val="none" w:sz="0" w:space="0" w:color="auto"/>
      </w:divBdr>
    </w:div>
    <w:div w:id="219630663">
      <w:bodyDiv w:val="1"/>
      <w:marLeft w:val="0"/>
      <w:marRight w:val="0"/>
      <w:marTop w:val="0"/>
      <w:marBottom w:val="0"/>
      <w:divBdr>
        <w:top w:val="none" w:sz="0" w:space="0" w:color="auto"/>
        <w:left w:val="none" w:sz="0" w:space="0" w:color="auto"/>
        <w:bottom w:val="none" w:sz="0" w:space="0" w:color="auto"/>
        <w:right w:val="none" w:sz="0" w:space="0" w:color="auto"/>
      </w:divBdr>
    </w:div>
    <w:div w:id="220020867">
      <w:bodyDiv w:val="1"/>
      <w:marLeft w:val="0"/>
      <w:marRight w:val="0"/>
      <w:marTop w:val="0"/>
      <w:marBottom w:val="0"/>
      <w:divBdr>
        <w:top w:val="none" w:sz="0" w:space="0" w:color="auto"/>
        <w:left w:val="none" w:sz="0" w:space="0" w:color="auto"/>
        <w:bottom w:val="none" w:sz="0" w:space="0" w:color="auto"/>
        <w:right w:val="none" w:sz="0" w:space="0" w:color="auto"/>
      </w:divBdr>
    </w:div>
    <w:div w:id="220336381">
      <w:bodyDiv w:val="1"/>
      <w:marLeft w:val="0"/>
      <w:marRight w:val="0"/>
      <w:marTop w:val="0"/>
      <w:marBottom w:val="0"/>
      <w:divBdr>
        <w:top w:val="none" w:sz="0" w:space="0" w:color="auto"/>
        <w:left w:val="none" w:sz="0" w:space="0" w:color="auto"/>
        <w:bottom w:val="none" w:sz="0" w:space="0" w:color="auto"/>
        <w:right w:val="none" w:sz="0" w:space="0" w:color="auto"/>
      </w:divBdr>
    </w:div>
    <w:div w:id="220410516">
      <w:bodyDiv w:val="1"/>
      <w:marLeft w:val="0"/>
      <w:marRight w:val="0"/>
      <w:marTop w:val="0"/>
      <w:marBottom w:val="0"/>
      <w:divBdr>
        <w:top w:val="none" w:sz="0" w:space="0" w:color="auto"/>
        <w:left w:val="none" w:sz="0" w:space="0" w:color="auto"/>
        <w:bottom w:val="none" w:sz="0" w:space="0" w:color="auto"/>
        <w:right w:val="none" w:sz="0" w:space="0" w:color="auto"/>
      </w:divBdr>
    </w:div>
    <w:div w:id="220556077">
      <w:bodyDiv w:val="1"/>
      <w:marLeft w:val="0"/>
      <w:marRight w:val="0"/>
      <w:marTop w:val="0"/>
      <w:marBottom w:val="0"/>
      <w:divBdr>
        <w:top w:val="none" w:sz="0" w:space="0" w:color="auto"/>
        <w:left w:val="none" w:sz="0" w:space="0" w:color="auto"/>
        <w:bottom w:val="none" w:sz="0" w:space="0" w:color="auto"/>
        <w:right w:val="none" w:sz="0" w:space="0" w:color="auto"/>
      </w:divBdr>
    </w:div>
    <w:div w:id="220792085">
      <w:bodyDiv w:val="1"/>
      <w:marLeft w:val="0"/>
      <w:marRight w:val="0"/>
      <w:marTop w:val="0"/>
      <w:marBottom w:val="0"/>
      <w:divBdr>
        <w:top w:val="none" w:sz="0" w:space="0" w:color="auto"/>
        <w:left w:val="none" w:sz="0" w:space="0" w:color="auto"/>
        <w:bottom w:val="none" w:sz="0" w:space="0" w:color="auto"/>
        <w:right w:val="none" w:sz="0" w:space="0" w:color="auto"/>
      </w:divBdr>
    </w:div>
    <w:div w:id="221792262">
      <w:bodyDiv w:val="1"/>
      <w:marLeft w:val="0"/>
      <w:marRight w:val="0"/>
      <w:marTop w:val="0"/>
      <w:marBottom w:val="0"/>
      <w:divBdr>
        <w:top w:val="none" w:sz="0" w:space="0" w:color="auto"/>
        <w:left w:val="none" w:sz="0" w:space="0" w:color="auto"/>
        <w:bottom w:val="none" w:sz="0" w:space="0" w:color="auto"/>
        <w:right w:val="none" w:sz="0" w:space="0" w:color="auto"/>
      </w:divBdr>
    </w:div>
    <w:div w:id="221872124">
      <w:bodyDiv w:val="1"/>
      <w:marLeft w:val="0"/>
      <w:marRight w:val="0"/>
      <w:marTop w:val="0"/>
      <w:marBottom w:val="0"/>
      <w:divBdr>
        <w:top w:val="none" w:sz="0" w:space="0" w:color="auto"/>
        <w:left w:val="none" w:sz="0" w:space="0" w:color="auto"/>
        <w:bottom w:val="none" w:sz="0" w:space="0" w:color="auto"/>
        <w:right w:val="none" w:sz="0" w:space="0" w:color="auto"/>
      </w:divBdr>
    </w:div>
    <w:div w:id="223150200">
      <w:bodyDiv w:val="1"/>
      <w:marLeft w:val="0"/>
      <w:marRight w:val="0"/>
      <w:marTop w:val="0"/>
      <w:marBottom w:val="0"/>
      <w:divBdr>
        <w:top w:val="none" w:sz="0" w:space="0" w:color="auto"/>
        <w:left w:val="none" w:sz="0" w:space="0" w:color="auto"/>
        <w:bottom w:val="none" w:sz="0" w:space="0" w:color="auto"/>
        <w:right w:val="none" w:sz="0" w:space="0" w:color="auto"/>
      </w:divBdr>
    </w:div>
    <w:div w:id="223489746">
      <w:bodyDiv w:val="1"/>
      <w:marLeft w:val="0"/>
      <w:marRight w:val="0"/>
      <w:marTop w:val="0"/>
      <w:marBottom w:val="0"/>
      <w:divBdr>
        <w:top w:val="none" w:sz="0" w:space="0" w:color="auto"/>
        <w:left w:val="none" w:sz="0" w:space="0" w:color="auto"/>
        <w:bottom w:val="none" w:sz="0" w:space="0" w:color="auto"/>
        <w:right w:val="none" w:sz="0" w:space="0" w:color="auto"/>
      </w:divBdr>
    </w:div>
    <w:div w:id="223492005">
      <w:bodyDiv w:val="1"/>
      <w:marLeft w:val="0"/>
      <w:marRight w:val="0"/>
      <w:marTop w:val="0"/>
      <w:marBottom w:val="0"/>
      <w:divBdr>
        <w:top w:val="none" w:sz="0" w:space="0" w:color="auto"/>
        <w:left w:val="none" w:sz="0" w:space="0" w:color="auto"/>
        <w:bottom w:val="none" w:sz="0" w:space="0" w:color="auto"/>
        <w:right w:val="none" w:sz="0" w:space="0" w:color="auto"/>
      </w:divBdr>
    </w:div>
    <w:div w:id="223806815">
      <w:bodyDiv w:val="1"/>
      <w:marLeft w:val="0"/>
      <w:marRight w:val="0"/>
      <w:marTop w:val="0"/>
      <w:marBottom w:val="0"/>
      <w:divBdr>
        <w:top w:val="none" w:sz="0" w:space="0" w:color="auto"/>
        <w:left w:val="none" w:sz="0" w:space="0" w:color="auto"/>
        <w:bottom w:val="none" w:sz="0" w:space="0" w:color="auto"/>
        <w:right w:val="none" w:sz="0" w:space="0" w:color="auto"/>
      </w:divBdr>
    </w:div>
    <w:div w:id="224535567">
      <w:bodyDiv w:val="1"/>
      <w:marLeft w:val="0"/>
      <w:marRight w:val="0"/>
      <w:marTop w:val="0"/>
      <w:marBottom w:val="0"/>
      <w:divBdr>
        <w:top w:val="none" w:sz="0" w:space="0" w:color="auto"/>
        <w:left w:val="none" w:sz="0" w:space="0" w:color="auto"/>
        <w:bottom w:val="none" w:sz="0" w:space="0" w:color="auto"/>
        <w:right w:val="none" w:sz="0" w:space="0" w:color="auto"/>
      </w:divBdr>
    </w:div>
    <w:div w:id="224679956">
      <w:bodyDiv w:val="1"/>
      <w:marLeft w:val="0"/>
      <w:marRight w:val="0"/>
      <w:marTop w:val="0"/>
      <w:marBottom w:val="0"/>
      <w:divBdr>
        <w:top w:val="none" w:sz="0" w:space="0" w:color="auto"/>
        <w:left w:val="none" w:sz="0" w:space="0" w:color="auto"/>
        <w:bottom w:val="none" w:sz="0" w:space="0" w:color="auto"/>
        <w:right w:val="none" w:sz="0" w:space="0" w:color="auto"/>
      </w:divBdr>
    </w:div>
    <w:div w:id="225192148">
      <w:bodyDiv w:val="1"/>
      <w:marLeft w:val="0"/>
      <w:marRight w:val="0"/>
      <w:marTop w:val="0"/>
      <w:marBottom w:val="0"/>
      <w:divBdr>
        <w:top w:val="none" w:sz="0" w:space="0" w:color="auto"/>
        <w:left w:val="none" w:sz="0" w:space="0" w:color="auto"/>
        <w:bottom w:val="none" w:sz="0" w:space="0" w:color="auto"/>
        <w:right w:val="none" w:sz="0" w:space="0" w:color="auto"/>
      </w:divBdr>
    </w:div>
    <w:div w:id="226455594">
      <w:bodyDiv w:val="1"/>
      <w:marLeft w:val="0"/>
      <w:marRight w:val="0"/>
      <w:marTop w:val="0"/>
      <w:marBottom w:val="0"/>
      <w:divBdr>
        <w:top w:val="none" w:sz="0" w:space="0" w:color="auto"/>
        <w:left w:val="none" w:sz="0" w:space="0" w:color="auto"/>
        <w:bottom w:val="none" w:sz="0" w:space="0" w:color="auto"/>
        <w:right w:val="none" w:sz="0" w:space="0" w:color="auto"/>
      </w:divBdr>
    </w:div>
    <w:div w:id="228271555">
      <w:bodyDiv w:val="1"/>
      <w:marLeft w:val="0"/>
      <w:marRight w:val="0"/>
      <w:marTop w:val="0"/>
      <w:marBottom w:val="0"/>
      <w:divBdr>
        <w:top w:val="none" w:sz="0" w:space="0" w:color="auto"/>
        <w:left w:val="none" w:sz="0" w:space="0" w:color="auto"/>
        <w:bottom w:val="none" w:sz="0" w:space="0" w:color="auto"/>
        <w:right w:val="none" w:sz="0" w:space="0" w:color="auto"/>
      </w:divBdr>
    </w:div>
    <w:div w:id="228617369">
      <w:bodyDiv w:val="1"/>
      <w:marLeft w:val="0"/>
      <w:marRight w:val="0"/>
      <w:marTop w:val="0"/>
      <w:marBottom w:val="0"/>
      <w:divBdr>
        <w:top w:val="none" w:sz="0" w:space="0" w:color="auto"/>
        <w:left w:val="none" w:sz="0" w:space="0" w:color="auto"/>
        <w:bottom w:val="none" w:sz="0" w:space="0" w:color="auto"/>
        <w:right w:val="none" w:sz="0" w:space="0" w:color="auto"/>
      </w:divBdr>
    </w:div>
    <w:div w:id="229073880">
      <w:bodyDiv w:val="1"/>
      <w:marLeft w:val="0"/>
      <w:marRight w:val="0"/>
      <w:marTop w:val="0"/>
      <w:marBottom w:val="0"/>
      <w:divBdr>
        <w:top w:val="none" w:sz="0" w:space="0" w:color="auto"/>
        <w:left w:val="none" w:sz="0" w:space="0" w:color="auto"/>
        <w:bottom w:val="none" w:sz="0" w:space="0" w:color="auto"/>
        <w:right w:val="none" w:sz="0" w:space="0" w:color="auto"/>
      </w:divBdr>
    </w:div>
    <w:div w:id="230308397">
      <w:bodyDiv w:val="1"/>
      <w:marLeft w:val="0"/>
      <w:marRight w:val="0"/>
      <w:marTop w:val="0"/>
      <w:marBottom w:val="0"/>
      <w:divBdr>
        <w:top w:val="none" w:sz="0" w:space="0" w:color="auto"/>
        <w:left w:val="none" w:sz="0" w:space="0" w:color="auto"/>
        <w:bottom w:val="none" w:sz="0" w:space="0" w:color="auto"/>
        <w:right w:val="none" w:sz="0" w:space="0" w:color="auto"/>
      </w:divBdr>
    </w:div>
    <w:div w:id="230503702">
      <w:bodyDiv w:val="1"/>
      <w:marLeft w:val="0"/>
      <w:marRight w:val="0"/>
      <w:marTop w:val="0"/>
      <w:marBottom w:val="0"/>
      <w:divBdr>
        <w:top w:val="none" w:sz="0" w:space="0" w:color="auto"/>
        <w:left w:val="none" w:sz="0" w:space="0" w:color="auto"/>
        <w:bottom w:val="none" w:sz="0" w:space="0" w:color="auto"/>
        <w:right w:val="none" w:sz="0" w:space="0" w:color="auto"/>
      </w:divBdr>
    </w:div>
    <w:div w:id="230624326">
      <w:bodyDiv w:val="1"/>
      <w:marLeft w:val="0"/>
      <w:marRight w:val="0"/>
      <w:marTop w:val="0"/>
      <w:marBottom w:val="0"/>
      <w:divBdr>
        <w:top w:val="none" w:sz="0" w:space="0" w:color="auto"/>
        <w:left w:val="none" w:sz="0" w:space="0" w:color="auto"/>
        <w:bottom w:val="none" w:sz="0" w:space="0" w:color="auto"/>
        <w:right w:val="none" w:sz="0" w:space="0" w:color="auto"/>
      </w:divBdr>
    </w:div>
    <w:div w:id="230773688">
      <w:bodyDiv w:val="1"/>
      <w:marLeft w:val="0"/>
      <w:marRight w:val="0"/>
      <w:marTop w:val="0"/>
      <w:marBottom w:val="0"/>
      <w:divBdr>
        <w:top w:val="none" w:sz="0" w:space="0" w:color="auto"/>
        <w:left w:val="none" w:sz="0" w:space="0" w:color="auto"/>
        <w:bottom w:val="none" w:sz="0" w:space="0" w:color="auto"/>
        <w:right w:val="none" w:sz="0" w:space="0" w:color="auto"/>
      </w:divBdr>
    </w:div>
    <w:div w:id="231038748">
      <w:bodyDiv w:val="1"/>
      <w:marLeft w:val="0"/>
      <w:marRight w:val="0"/>
      <w:marTop w:val="0"/>
      <w:marBottom w:val="0"/>
      <w:divBdr>
        <w:top w:val="none" w:sz="0" w:space="0" w:color="auto"/>
        <w:left w:val="none" w:sz="0" w:space="0" w:color="auto"/>
        <w:bottom w:val="none" w:sz="0" w:space="0" w:color="auto"/>
        <w:right w:val="none" w:sz="0" w:space="0" w:color="auto"/>
      </w:divBdr>
    </w:div>
    <w:div w:id="231081111">
      <w:bodyDiv w:val="1"/>
      <w:marLeft w:val="0"/>
      <w:marRight w:val="0"/>
      <w:marTop w:val="0"/>
      <w:marBottom w:val="0"/>
      <w:divBdr>
        <w:top w:val="none" w:sz="0" w:space="0" w:color="auto"/>
        <w:left w:val="none" w:sz="0" w:space="0" w:color="auto"/>
        <w:bottom w:val="none" w:sz="0" w:space="0" w:color="auto"/>
        <w:right w:val="none" w:sz="0" w:space="0" w:color="auto"/>
      </w:divBdr>
    </w:div>
    <w:div w:id="231084594">
      <w:bodyDiv w:val="1"/>
      <w:marLeft w:val="0"/>
      <w:marRight w:val="0"/>
      <w:marTop w:val="0"/>
      <w:marBottom w:val="0"/>
      <w:divBdr>
        <w:top w:val="none" w:sz="0" w:space="0" w:color="auto"/>
        <w:left w:val="none" w:sz="0" w:space="0" w:color="auto"/>
        <w:bottom w:val="none" w:sz="0" w:space="0" w:color="auto"/>
        <w:right w:val="none" w:sz="0" w:space="0" w:color="auto"/>
      </w:divBdr>
    </w:div>
    <w:div w:id="231279691">
      <w:bodyDiv w:val="1"/>
      <w:marLeft w:val="0"/>
      <w:marRight w:val="0"/>
      <w:marTop w:val="0"/>
      <w:marBottom w:val="0"/>
      <w:divBdr>
        <w:top w:val="none" w:sz="0" w:space="0" w:color="auto"/>
        <w:left w:val="none" w:sz="0" w:space="0" w:color="auto"/>
        <w:bottom w:val="none" w:sz="0" w:space="0" w:color="auto"/>
        <w:right w:val="none" w:sz="0" w:space="0" w:color="auto"/>
      </w:divBdr>
    </w:div>
    <w:div w:id="231282025">
      <w:bodyDiv w:val="1"/>
      <w:marLeft w:val="0"/>
      <w:marRight w:val="0"/>
      <w:marTop w:val="0"/>
      <w:marBottom w:val="0"/>
      <w:divBdr>
        <w:top w:val="none" w:sz="0" w:space="0" w:color="auto"/>
        <w:left w:val="none" w:sz="0" w:space="0" w:color="auto"/>
        <w:bottom w:val="none" w:sz="0" w:space="0" w:color="auto"/>
        <w:right w:val="none" w:sz="0" w:space="0" w:color="auto"/>
      </w:divBdr>
    </w:div>
    <w:div w:id="231309036">
      <w:bodyDiv w:val="1"/>
      <w:marLeft w:val="0"/>
      <w:marRight w:val="0"/>
      <w:marTop w:val="0"/>
      <w:marBottom w:val="0"/>
      <w:divBdr>
        <w:top w:val="none" w:sz="0" w:space="0" w:color="auto"/>
        <w:left w:val="none" w:sz="0" w:space="0" w:color="auto"/>
        <w:bottom w:val="none" w:sz="0" w:space="0" w:color="auto"/>
        <w:right w:val="none" w:sz="0" w:space="0" w:color="auto"/>
      </w:divBdr>
    </w:div>
    <w:div w:id="232202908">
      <w:bodyDiv w:val="1"/>
      <w:marLeft w:val="0"/>
      <w:marRight w:val="0"/>
      <w:marTop w:val="0"/>
      <w:marBottom w:val="0"/>
      <w:divBdr>
        <w:top w:val="none" w:sz="0" w:space="0" w:color="auto"/>
        <w:left w:val="none" w:sz="0" w:space="0" w:color="auto"/>
        <w:bottom w:val="none" w:sz="0" w:space="0" w:color="auto"/>
        <w:right w:val="none" w:sz="0" w:space="0" w:color="auto"/>
      </w:divBdr>
    </w:div>
    <w:div w:id="232470406">
      <w:bodyDiv w:val="1"/>
      <w:marLeft w:val="0"/>
      <w:marRight w:val="0"/>
      <w:marTop w:val="0"/>
      <w:marBottom w:val="0"/>
      <w:divBdr>
        <w:top w:val="none" w:sz="0" w:space="0" w:color="auto"/>
        <w:left w:val="none" w:sz="0" w:space="0" w:color="auto"/>
        <w:bottom w:val="none" w:sz="0" w:space="0" w:color="auto"/>
        <w:right w:val="none" w:sz="0" w:space="0" w:color="auto"/>
      </w:divBdr>
    </w:div>
    <w:div w:id="233006297">
      <w:bodyDiv w:val="1"/>
      <w:marLeft w:val="0"/>
      <w:marRight w:val="0"/>
      <w:marTop w:val="0"/>
      <w:marBottom w:val="0"/>
      <w:divBdr>
        <w:top w:val="none" w:sz="0" w:space="0" w:color="auto"/>
        <w:left w:val="none" w:sz="0" w:space="0" w:color="auto"/>
        <w:bottom w:val="none" w:sz="0" w:space="0" w:color="auto"/>
        <w:right w:val="none" w:sz="0" w:space="0" w:color="auto"/>
      </w:divBdr>
    </w:div>
    <w:div w:id="233009283">
      <w:bodyDiv w:val="1"/>
      <w:marLeft w:val="0"/>
      <w:marRight w:val="0"/>
      <w:marTop w:val="0"/>
      <w:marBottom w:val="0"/>
      <w:divBdr>
        <w:top w:val="none" w:sz="0" w:space="0" w:color="auto"/>
        <w:left w:val="none" w:sz="0" w:space="0" w:color="auto"/>
        <w:bottom w:val="none" w:sz="0" w:space="0" w:color="auto"/>
        <w:right w:val="none" w:sz="0" w:space="0" w:color="auto"/>
      </w:divBdr>
    </w:div>
    <w:div w:id="233198984">
      <w:bodyDiv w:val="1"/>
      <w:marLeft w:val="0"/>
      <w:marRight w:val="0"/>
      <w:marTop w:val="0"/>
      <w:marBottom w:val="0"/>
      <w:divBdr>
        <w:top w:val="none" w:sz="0" w:space="0" w:color="auto"/>
        <w:left w:val="none" w:sz="0" w:space="0" w:color="auto"/>
        <w:bottom w:val="none" w:sz="0" w:space="0" w:color="auto"/>
        <w:right w:val="none" w:sz="0" w:space="0" w:color="auto"/>
      </w:divBdr>
    </w:div>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234946641">
      <w:bodyDiv w:val="1"/>
      <w:marLeft w:val="0"/>
      <w:marRight w:val="0"/>
      <w:marTop w:val="0"/>
      <w:marBottom w:val="0"/>
      <w:divBdr>
        <w:top w:val="none" w:sz="0" w:space="0" w:color="auto"/>
        <w:left w:val="none" w:sz="0" w:space="0" w:color="auto"/>
        <w:bottom w:val="none" w:sz="0" w:space="0" w:color="auto"/>
        <w:right w:val="none" w:sz="0" w:space="0" w:color="auto"/>
      </w:divBdr>
    </w:div>
    <w:div w:id="237130928">
      <w:bodyDiv w:val="1"/>
      <w:marLeft w:val="0"/>
      <w:marRight w:val="0"/>
      <w:marTop w:val="0"/>
      <w:marBottom w:val="0"/>
      <w:divBdr>
        <w:top w:val="none" w:sz="0" w:space="0" w:color="auto"/>
        <w:left w:val="none" w:sz="0" w:space="0" w:color="auto"/>
        <w:bottom w:val="none" w:sz="0" w:space="0" w:color="auto"/>
        <w:right w:val="none" w:sz="0" w:space="0" w:color="auto"/>
      </w:divBdr>
    </w:div>
    <w:div w:id="238486676">
      <w:bodyDiv w:val="1"/>
      <w:marLeft w:val="0"/>
      <w:marRight w:val="0"/>
      <w:marTop w:val="0"/>
      <w:marBottom w:val="0"/>
      <w:divBdr>
        <w:top w:val="none" w:sz="0" w:space="0" w:color="auto"/>
        <w:left w:val="none" w:sz="0" w:space="0" w:color="auto"/>
        <w:bottom w:val="none" w:sz="0" w:space="0" w:color="auto"/>
        <w:right w:val="none" w:sz="0" w:space="0" w:color="auto"/>
      </w:divBdr>
    </w:div>
    <w:div w:id="238949834">
      <w:bodyDiv w:val="1"/>
      <w:marLeft w:val="0"/>
      <w:marRight w:val="0"/>
      <w:marTop w:val="0"/>
      <w:marBottom w:val="0"/>
      <w:divBdr>
        <w:top w:val="none" w:sz="0" w:space="0" w:color="auto"/>
        <w:left w:val="none" w:sz="0" w:space="0" w:color="auto"/>
        <w:bottom w:val="none" w:sz="0" w:space="0" w:color="auto"/>
        <w:right w:val="none" w:sz="0" w:space="0" w:color="auto"/>
      </w:divBdr>
    </w:div>
    <w:div w:id="238952655">
      <w:bodyDiv w:val="1"/>
      <w:marLeft w:val="0"/>
      <w:marRight w:val="0"/>
      <w:marTop w:val="0"/>
      <w:marBottom w:val="0"/>
      <w:divBdr>
        <w:top w:val="none" w:sz="0" w:space="0" w:color="auto"/>
        <w:left w:val="none" w:sz="0" w:space="0" w:color="auto"/>
        <w:bottom w:val="none" w:sz="0" w:space="0" w:color="auto"/>
        <w:right w:val="none" w:sz="0" w:space="0" w:color="auto"/>
      </w:divBdr>
    </w:div>
    <w:div w:id="239600069">
      <w:bodyDiv w:val="1"/>
      <w:marLeft w:val="0"/>
      <w:marRight w:val="0"/>
      <w:marTop w:val="0"/>
      <w:marBottom w:val="0"/>
      <w:divBdr>
        <w:top w:val="none" w:sz="0" w:space="0" w:color="auto"/>
        <w:left w:val="none" w:sz="0" w:space="0" w:color="auto"/>
        <w:bottom w:val="none" w:sz="0" w:space="0" w:color="auto"/>
        <w:right w:val="none" w:sz="0" w:space="0" w:color="auto"/>
      </w:divBdr>
    </w:div>
    <w:div w:id="239872031">
      <w:bodyDiv w:val="1"/>
      <w:marLeft w:val="0"/>
      <w:marRight w:val="0"/>
      <w:marTop w:val="0"/>
      <w:marBottom w:val="0"/>
      <w:divBdr>
        <w:top w:val="none" w:sz="0" w:space="0" w:color="auto"/>
        <w:left w:val="none" w:sz="0" w:space="0" w:color="auto"/>
        <w:bottom w:val="none" w:sz="0" w:space="0" w:color="auto"/>
        <w:right w:val="none" w:sz="0" w:space="0" w:color="auto"/>
      </w:divBdr>
    </w:div>
    <w:div w:id="240989070">
      <w:bodyDiv w:val="1"/>
      <w:marLeft w:val="0"/>
      <w:marRight w:val="0"/>
      <w:marTop w:val="0"/>
      <w:marBottom w:val="0"/>
      <w:divBdr>
        <w:top w:val="none" w:sz="0" w:space="0" w:color="auto"/>
        <w:left w:val="none" w:sz="0" w:space="0" w:color="auto"/>
        <w:bottom w:val="none" w:sz="0" w:space="0" w:color="auto"/>
        <w:right w:val="none" w:sz="0" w:space="0" w:color="auto"/>
      </w:divBdr>
    </w:div>
    <w:div w:id="241381572">
      <w:bodyDiv w:val="1"/>
      <w:marLeft w:val="0"/>
      <w:marRight w:val="0"/>
      <w:marTop w:val="0"/>
      <w:marBottom w:val="0"/>
      <w:divBdr>
        <w:top w:val="none" w:sz="0" w:space="0" w:color="auto"/>
        <w:left w:val="none" w:sz="0" w:space="0" w:color="auto"/>
        <w:bottom w:val="none" w:sz="0" w:space="0" w:color="auto"/>
        <w:right w:val="none" w:sz="0" w:space="0" w:color="auto"/>
      </w:divBdr>
    </w:div>
    <w:div w:id="241641988">
      <w:bodyDiv w:val="1"/>
      <w:marLeft w:val="0"/>
      <w:marRight w:val="0"/>
      <w:marTop w:val="0"/>
      <w:marBottom w:val="0"/>
      <w:divBdr>
        <w:top w:val="none" w:sz="0" w:space="0" w:color="auto"/>
        <w:left w:val="none" w:sz="0" w:space="0" w:color="auto"/>
        <w:bottom w:val="none" w:sz="0" w:space="0" w:color="auto"/>
        <w:right w:val="none" w:sz="0" w:space="0" w:color="auto"/>
      </w:divBdr>
    </w:div>
    <w:div w:id="242223008">
      <w:bodyDiv w:val="1"/>
      <w:marLeft w:val="0"/>
      <w:marRight w:val="0"/>
      <w:marTop w:val="0"/>
      <w:marBottom w:val="0"/>
      <w:divBdr>
        <w:top w:val="none" w:sz="0" w:space="0" w:color="auto"/>
        <w:left w:val="none" w:sz="0" w:space="0" w:color="auto"/>
        <w:bottom w:val="none" w:sz="0" w:space="0" w:color="auto"/>
        <w:right w:val="none" w:sz="0" w:space="0" w:color="auto"/>
      </w:divBdr>
    </w:div>
    <w:div w:id="242843055">
      <w:bodyDiv w:val="1"/>
      <w:marLeft w:val="0"/>
      <w:marRight w:val="0"/>
      <w:marTop w:val="0"/>
      <w:marBottom w:val="0"/>
      <w:divBdr>
        <w:top w:val="none" w:sz="0" w:space="0" w:color="auto"/>
        <w:left w:val="none" w:sz="0" w:space="0" w:color="auto"/>
        <w:bottom w:val="none" w:sz="0" w:space="0" w:color="auto"/>
        <w:right w:val="none" w:sz="0" w:space="0" w:color="auto"/>
      </w:divBdr>
    </w:div>
    <w:div w:id="243346763">
      <w:bodyDiv w:val="1"/>
      <w:marLeft w:val="0"/>
      <w:marRight w:val="0"/>
      <w:marTop w:val="0"/>
      <w:marBottom w:val="0"/>
      <w:divBdr>
        <w:top w:val="none" w:sz="0" w:space="0" w:color="auto"/>
        <w:left w:val="none" w:sz="0" w:space="0" w:color="auto"/>
        <w:bottom w:val="none" w:sz="0" w:space="0" w:color="auto"/>
        <w:right w:val="none" w:sz="0" w:space="0" w:color="auto"/>
      </w:divBdr>
    </w:div>
    <w:div w:id="243422411">
      <w:bodyDiv w:val="1"/>
      <w:marLeft w:val="0"/>
      <w:marRight w:val="0"/>
      <w:marTop w:val="0"/>
      <w:marBottom w:val="0"/>
      <w:divBdr>
        <w:top w:val="none" w:sz="0" w:space="0" w:color="auto"/>
        <w:left w:val="none" w:sz="0" w:space="0" w:color="auto"/>
        <w:bottom w:val="none" w:sz="0" w:space="0" w:color="auto"/>
        <w:right w:val="none" w:sz="0" w:space="0" w:color="auto"/>
      </w:divBdr>
    </w:div>
    <w:div w:id="243497388">
      <w:bodyDiv w:val="1"/>
      <w:marLeft w:val="0"/>
      <w:marRight w:val="0"/>
      <w:marTop w:val="0"/>
      <w:marBottom w:val="0"/>
      <w:divBdr>
        <w:top w:val="none" w:sz="0" w:space="0" w:color="auto"/>
        <w:left w:val="none" w:sz="0" w:space="0" w:color="auto"/>
        <w:bottom w:val="none" w:sz="0" w:space="0" w:color="auto"/>
        <w:right w:val="none" w:sz="0" w:space="0" w:color="auto"/>
      </w:divBdr>
    </w:div>
    <w:div w:id="243537848">
      <w:bodyDiv w:val="1"/>
      <w:marLeft w:val="0"/>
      <w:marRight w:val="0"/>
      <w:marTop w:val="0"/>
      <w:marBottom w:val="0"/>
      <w:divBdr>
        <w:top w:val="none" w:sz="0" w:space="0" w:color="auto"/>
        <w:left w:val="none" w:sz="0" w:space="0" w:color="auto"/>
        <w:bottom w:val="none" w:sz="0" w:space="0" w:color="auto"/>
        <w:right w:val="none" w:sz="0" w:space="0" w:color="auto"/>
      </w:divBdr>
    </w:div>
    <w:div w:id="244189810">
      <w:bodyDiv w:val="1"/>
      <w:marLeft w:val="0"/>
      <w:marRight w:val="0"/>
      <w:marTop w:val="0"/>
      <w:marBottom w:val="0"/>
      <w:divBdr>
        <w:top w:val="none" w:sz="0" w:space="0" w:color="auto"/>
        <w:left w:val="none" w:sz="0" w:space="0" w:color="auto"/>
        <w:bottom w:val="none" w:sz="0" w:space="0" w:color="auto"/>
        <w:right w:val="none" w:sz="0" w:space="0" w:color="auto"/>
      </w:divBdr>
    </w:div>
    <w:div w:id="245042886">
      <w:bodyDiv w:val="1"/>
      <w:marLeft w:val="0"/>
      <w:marRight w:val="0"/>
      <w:marTop w:val="0"/>
      <w:marBottom w:val="0"/>
      <w:divBdr>
        <w:top w:val="none" w:sz="0" w:space="0" w:color="auto"/>
        <w:left w:val="none" w:sz="0" w:space="0" w:color="auto"/>
        <w:bottom w:val="none" w:sz="0" w:space="0" w:color="auto"/>
        <w:right w:val="none" w:sz="0" w:space="0" w:color="auto"/>
      </w:divBdr>
    </w:div>
    <w:div w:id="245236155">
      <w:bodyDiv w:val="1"/>
      <w:marLeft w:val="0"/>
      <w:marRight w:val="0"/>
      <w:marTop w:val="0"/>
      <w:marBottom w:val="0"/>
      <w:divBdr>
        <w:top w:val="none" w:sz="0" w:space="0" w:color="auto"/>
        <w:left w:val="none" w:sz="0" w:space="0" w:color="auto"/>
        <w:bottom w:val="none" w:sz="0" w:space="0" w:color="auto"/>
        <w:right w:val="none" w:sz="0" w:space="0" w:color="auto"/>
      </w:divBdr>
    </w:div>
    <w:div w:id="245960426">
      <w:bodyDiv w:val="1"/>
      <w:marLeft w:val="0"/>
      <w:marRight w:val="0"/>
      <w:marTop w:val="0"/>
      <w:marBottom w:val="0"/>
      <w:divBdr>
        <w:top w:val="none" w:sz="0" w:space="0" w:color="auto"/>
        <w:left w:val="none" w:sz="0" w:space="0" w:color="auto"/>
        <w:bottom w:val="none" w:sz="0" w:space="0" w:color="auto"/>
        <w:right w:val="none" w:sz="0" w:space="0" w:color="auto"/>
      </w:divBdr>
    </w:div>
    <w:div w:id="246304911">
      <w:bodyDiv w:val="1"/>
      <w:marLeft w:val="0"/>
      <w:marRight w:val="0"/>
      <w:marTop w:val="0"/>
      <w:marBottom w:val="0"/>
      <w:divBdr>
        <w:top w:val="none" w:sz="0" w:space="0" w:color="auto"/>
        <w:left w:val="none" w:sz="0" w:space="0" w:color="auto"/>
        <w:bottom w:val="none" w:sz="0" w:space="0" w:color="auto"/>
        <w:right w:val="none" w:sz="0" w:space="0" w:color="auto"/>
      </w:divBdr>
    </w:div>
    <w:div w:id="246309116">
      <w:bodyDiv w:val="1"/>
      <w:marLeft w:val="0"/>
      <w:marRight w:val="0"/>
      <w:marTop w:val="0"/>
      <w:marBottom w:val="0"/>
      <w:divBdr>
        <w:top w:val="none" w:sz="0" w:space="0" w:color="auto"/>
        <w:left w:val="none" w:sz="0" w:space="0" w:color="auto"/>
        <w:bottom w:val="none" w:sz="0" w:space="0" w:color="auto"/>
        <w:right w:val="none" w:sz="0" w:space="0" w:color="auto"/>
      </w:divBdr>
    </w:div>
    <w:div w:id="246576247">
      <w:bodyDiv w:val="1"/>
      <w:marLeft w:val="0"/>
      <w:marRight w:val="0"/>
      <w:marTop w:val="0"/>
      <w:marBottom w:val="0"/>
      <w:divBdr>
        <w:top w:val="none" w:sz="0" w:space="0" w:color="auto"/>
        <w:left w:val="none" w:sz="0" w:space="0" w:color="auto"/>
        <w:bottom w:val="none" w:sz="0" w:space="0" w:color="auto"/>
        <w:right w:val="none" w:sz="0" w:space="0" w:color="auto"/>
      </w:divBdr>
    </w:div>
    <w:div w:id="247229048">
      <w:bodyDiv w:val="1"/>
      <w:marLeft w:val="0"/>
      <w:marRight w:val="0"/>
      <w:marTop w:val="0"/>
      <w:marBottom w:val="0"/>
      <w:divBdr>
        <w:top w:val="none" w:sz="0" w:space="0" w:color="auto"/>
        <w:left w:val="none" w:sz="0" w:space="0" w:color="auto"/>
        <w:bottom w:val="none" w:sz="0" w:space="0" w:color="auto"/>
        <w:right w:val="none" w:sz="0" w:space="0" w:color="auto"/>
      </w:divBdr>
    </w:div>
    <w:div w:id="247275095">
      <w:bodyDiv w:val="1"/>
      <w:marLeft w:val="0"/>
      <w:marRight w:val="0"/>
      <w:marTop w:val="0"/>
      <w:marBottom w:val="0"/>
      <w:divBdr>
        <w:top w:val="none" w:sz="0" w:space="0" w:color="auto"/>
        <w:left w:val="none" w:sz="0" w:space="0" w:color="auto"/>
        <w:bottom w:val="none" w:sz="0" w:space="0" w:color="auto"/>
        <w:right w:val="none" w:sz="0" w:space="0" w:color="auto"/>
      </w:divBdr>
    </w:div>
    <w:div w:id="247884421">
      <w:bodyDiv w:val="1"/>
      <w:marLeft w:val="0"/>
      <w:marRight w:val="0"/>
      <w:marTop w:val="0"/>
      <w:marBottom w:val="0"/>
      <w:divBdr>
        <w:top w:val="none" w:sz="0" w:space="0" w:color="auto"/>
        <w:left w:val="none" w:sz="0" w:space="0" w:color="auto"/>
        <w:bottom w:val="none" w:sz="0" w:space="0" w:color="auto"/>
        <w:right w:val="none" w:sz="0" w:space="0" w:color="auto"/>
      </w:divBdr>
    </w:div>
    <w:div w:id="248273616">
      <w:bodyDiv w:val="1"/>
      <w:marLeft w:val="0"/>
      <w:marRight w:val="0"/>
      <w:marTop w:val="0"/>
      <w:marBottom w:val="0"/>
      <w:divBdr>
        <w:top w:val="none" w:sz="0" w:space="0" w:color="auto"/>
        <w:left w:val="none" w:sz="0" w:space="0" w:color="auto"/>
        <w:bottom w:val="none" w:sz="0" w:space="0" w:color="auto"/>
        <w:right w:val="none" w:sz="0" w:space="0" w:color="auto"/>
      </w:divBdr>
    </w:div>
    <w:div w:id="248471036">
      <w:bodyDiv w:val="1"/>
      <w:marLeft w:val="0"/>
      <w:marRight w:val="0"/>
      <w:marTop w:val="0"/>
      <w:marBottom w:val="0"/>
      <w:divBdr>
        <w:top w:val="none" w:sz="0" w:space="0" w:color="auto"/>
        <w:left w:val="none" w:sz="0" w:space="0" w:color="auto"/>
        <w:bottom w:val="none" w:sz="0" w:space="0" w:color="auto"/>
        <w:right w:val="none" w:sz="0" w:space="0" w:color="auto"/>
      </w:divBdr>
    </w:div>
    <w:div w:id="248581386">
      <w:bodyDiv w:val="1"/>
      <w:marLeft w:val="0"/>
      <w:marRight w:val="0"/>
      <w:marTop w:val="0"/>
      <w:marBottom w:val="0"/>
      <w:divBdr>
        <w:top w:val="none" w:sz="0" w:space="0" w:color="auto"/>
        <w:left w:val="none" w:sz="0" w:space="0" w:color="auto"/>
        <w:bottom w:val="none" w:sz="0" w:space="0" w:color="auto"/>
        <w:right w:val="none" w:sz="0" w:space="0" w:color="auto"/>
      </w:divBdr>
    </w:div>
    <w:div w:id="248975410">
      <w:bodyDiv w:val="1"/>
      <w:marLeft w:val="0"/>
      <w:marRight w:val="0"/>
      <w:marTop w:val="0"/>
      <w:marBottom w:val="0"/>
      <w:divBdr>
        <w:top w:val="none" w:sz="0" w:space="0" w:color="auto"/>
        <w:left w:val="none" w:sz="0" w:space="0" w:color="auto"/>
        <w:bottom w:val="none" w:sz="0" w:space="0" w:color="auto"/>
        <w:right w:val="none" w:sz="0" w:space="0" w:color="auto"/>
      </w:divBdr>
    </w:div>
    <w:div w:id="249510268">
      <w:bodyDiv w:val="1"/>
      <w:marLeft w:val="0"/>
      <w:marRight w:val="0"/>
      <w:marTop w:val="0"/>
      <w:marBottom w:val="0"/>
      <w:divBdr>
        <w:top w:val="none" w:sz="0" w:space="0" w:color="auto"/>
        <w:left w:val="none" w:sz="0" w:space="0" w:color="auto"/>
        <w:bottom w:val="none" w:sz="0" w:space="0" w:color="auto"/>
        <w:right w:val="none" w:sz="0" w:space="0" w:color="auto"/>
      </w:divBdr>
    </w:div>
    <w:div w:id="249583786">
      <w:bodyDiv w:val="1"/>
      <w:marLeft w:val="0"/>
      <w:marRight w:val="0"/>
      <w:marTop w:val="0"/>
      <w:marBottom w:val="0"/>
      <w:divBdr>
        <w:top w:val="none" w:sz="0" w:space="0" w:color="auto"/>
        <w:left w:val="none" w:sz="0" w:space="0" w:color="auto"/>
        <w:bottom w:val="none" w:sz="0" w:space="0" w:color="auto"/>
        <w:right w:val="none" w:sz="0" w:space="0" w:color="auto"/>
      </w:divBdr>
    </w:div>
    <w:div w:id="249775327">
      <w:bodyDiv w:val="1"/>
      <w:marLeft w:val="0"/>
      <w:marRight w:val="0"/>
      <w:marTop w:val="0"/>
      <w:marBottom w:val="0"/>
      <w:divBdr>
        <w:top w:val="none" w:sz="0" w:space="0" w:color="auto"/>
        <w:left w:val="none" w:sz="0" w:space="0" w:color="auto"/>
        <w:bottom w:val="none" w:sz="0" w:space="0" w:color="auto"/>
        <w:right w:val="none" w:sz="0" w:space="0" w:color="auto"/>
      </w:divBdr>
    </w:div>
    <w:div w:id="250167036">
      <w:bodyDiv w:val="1"/>
      <w:marLeft w:val="0"/>
      <w:marRight w:val="0"/>
      <w:marTop w:val="0"/>
      <w:marBottom w:val="0"/>
      <w:divBdr>
        <w:top w:val="none" w:sz="0" w:space="0" w:color="auto"/>
        <w:left w:val="none" w:sz="0" w:space="0" w:color="auto"/>
        <w:bottom w:val="none" w:sz="0" w:space="0" w:color="auto"/>
        <w:right w:val="none" w:sz="0" w:space="0" w:color="auto"/>
      </w:divBdr>
    </w:div>
    <w:div w:id="250548213">
      <w:bodyDiv w:val="1"/>
      <w:marLeft w:val="0"/>
      <w:marRight w:val="0"/>
      <w:marTop w:val="0"/>
      <w:marBottom w:val="0"/>
      <w:divBdr>
        <w:top w:val="none" w:sz="0" w:space="0" w:color="auto"/>
        <w:left w:val="none" w:sz="0" w:space="0" w:color="auto"/>
        <w:bottom w:val="none" w:sz="0" w:space="0" w:color="auto"/>
        <w:right w:val="none" w:sz="0" w:space="0" w:color="auto"/>
      </w:divBdr>
    </w:div>
    <w:div w:id="250891586">
      <w:bodyDiv w:val="1"/>
      <w:marLeft w:val="0"/>
      <w:marRight w:val="0"/>
      <w:marTop w:val="0"/>
      <w:marBottom w:val="0"/>
      <w:divBdr>
        <w:top w:val="none" w:sz="0" w:space="0" w:color="auto"/>
        <w:left w:val="none" w:sz="0" w:space="0" w:color="auto"/>
        <w:bottom w:val="none" w:sz="0" w:space="0" w:color="auto"/>
        <w:right w:val="none" w:sz="0" w:space="0" w:color="auto"/>
      </w:divBdr>
    </w:div>
    <w:div w:id="250938627">
      <w:bodyDiv w:val="1"/>
      <w:marLeft w:val="0"/>
      <w:marRight w:val="0"/>
      <w:marTop w:val="0"/>
      <w:marBottom w:val="0"/>
      <w:divBdr>
        <w:top w:val="none" w:sz="0" w:space="0" w:color="auto"/>
        <w:left w:val="none" w:sz="0" w:space="0" w:color="auto"/>
        <w:bottom w:val="none" w:sz="0" w:space="0" w:color="auto"/>
        <w:right w:val="none" w:sz="0" w:space="0" w:color="auto"/>
      </w:divBdr>
    </w:div>
    <w:div w:id="251593992">
      <w:bodyDiv w:val="1"/>
      <w:marLeft w:val="0"/>
      <w:marRight w:val="0"/>
      <w:marTop w:val="0"/>
      <w:marBottom w:val="0"/>
      <w:divBdr>
        <w:top w:val="none" w:sz="0" w:space="0" w:color="auto"/>
        <w:left w:val="none" w:sz="0" w:space="0" w:color="auto"/>
        <w:bottom w:val="none" w:sz="0" w:space="0" w:color="auto"/>
        <w:right w:val="none" w:sz="0" w:space="0" w:color="auto"/>
      </w:divBdr>
    </w:div>
    <w:div w:id="251623309">
      <w:bodyDiv w:val="1"/>
      <w:marLeft w:val="0"/>
      <w:marRight w:val="0"/>
      <w:marTop w:val="0"/>
      <w:marBottom w:val="0"/>
      <w:divBdr>
        <w:top w:val="none" w:sz="0" w:space="0" w:color="auto"/>
        <w:left w:val="none" w:sz="0" w:space="0" w:color="auto"/>
        <w:bottom w:val="none" w:sz="0" w:space="0" w:color="auto"/>
        <w:right w:val="none" w:sz="0" w:space="0" w:color="auto"/>
      </w:divBdr>
    </w:div>
    <w:div w:id="251670642">
      <w:bodyDiv w:val="1"/>
      <w:marLeft w:val="0"/>
      <w:marRight w:val="0"/>
      <w:marTop w:val="0"/>
      <w:marBottom w:val="0"/>
      <w:divBdr>
        <w:top w:val="none" w:sz="0" w:space="0" w:color="auto"/>
        <w:left w:val="none" w:sz="0" w:space="0" w:color="auto"/>
        <w:bottom w:val="none" w:sz="0" w:space="0" w:color="auto"/>
        <w:right w:val="none" w:sz="0" w:space="0" w:color="auto"/>
      </w:divBdr>
    </w:div>
    <w:div w:id="253249012">
      <w:bodyDiv w:val="1"/>
      <w:marLeft w:val="0"/>
      <w:marRight w:val="0"/>
      <w:marTop w:val="0"/>
      <w:marBottom w:val="0"/>
      <w:divBdr>
        <w:top w:val="none" w:sz="0" w:space="0" w:color="auto"/>
        <w:left w:val="none" w:sz="0" w:space="0" w:color="auto"/>
        <w:bottom w:val="none" w:sz="0" w:space="0" w:color="auto"/>
        <w:right w:val="none" w:sz="0" w:space="0" w:color="auto"/>
      </w:divBdr>
    </w:div>
    <w:div w:id="253511643">
      <w:bodyDiv w:val="1"/>
      <w:marLeft w:val="0"/>
      <w:marRight w:val="0"/>
      <w:marTop w:val="0"/>
      <w:marBottom w:val="0"/>
      <w:divBdr>
        <w:top w:val="none" w:sz="0" w:space="0" w:color="auto"/>
        <w:left w:val="none" w:sz="0" w:space="0" w:color="auto"/>
        <w:bottom w:val="none" w:sz="0" w:space="0" w:color="auto"/>
        <w:right w:val="none" w:sz="0" w:space="0" w:color="auto"/>
      </w:divBdr>
    </w:div>
    <w:div w:id="254484949">
      <w:bodyDiv w:val="1"/>
      <w:marLeft w:val="0"/>
      <w:marRight w:val="0"/>
      <w:marTop w:val="0"/>
      <w:marBottom w:val="0"/>
      <w:divBdr>
        <w:top w:val="none" w:sz="0" w:space="0" w:color="auto"/>
        <w:left w:val="none" w:sz="0" w:space="0" w:color="auto"/>
        <w:bottom w:val="none" w:sz="0" w:space="0" w:color="auto"/>
        <w:right w:val="none" w:sz="0" w:space="0" w:color="auto"/>
      </w:divBdr>
    </w:div>
    <w:div w:id="254755422">
      <w:bodyDiv w:val="1"/>
      <w:marLeft w:val="0"/>
      <w:marRight w:val="0"/>
      <w:marTop w:val="0"/>
      <w:marBottom w:val="0"/>
      <w:divBdr>
        <w:top w:val="none" w:sz="0" w:space="0" w:color="auto"/>
        <w:left w:val="none" w:sz="0" w:space="0" w:color="auto"/>
        <w:bottom w:val="none" w:sz="0" w:space="0" w:color="auto"/>
        <w:right w:val="none" w:sz="0" w:space="0" w:color="auto"/>
      </w:divBdr>
    </w:div>
    <w:div w:id="254873347">
      <w:bodyDiv w:val="1"/>
      <w:marLeft w:val="0"/>
      <w:marRight w:val="0"/>
      <w:marTop w:val="0"/>
      <w:marBottom w:val="0"/>
      <w:divBdr>
        <w:top w:val="none" w:sz="0" w:space="0" w:color="auto"/>
        <w:left w:val="none" w:sz="0" w:space="0" w:color="auto"/>
        <w:bottom w:val="none" w:sz="0" w:space="0" w:color="auto"/>
        <w:right w:val="none" w:sz="0" w:space="0" w:color="auto"/>
      </w:divBdr>
    </w:div>
    <w:div w:id="255484209">
      <w:bodyDiv w:val="1"/>
      <w:marLeft w:val="0"/>
      <w:marRight w:val="0"/>
      <w:marTop w:val="0"/>
      <w:marBottom w:val="0"/>
      <w:divBdr>
        <w:top w:val="none" w:sz="0" w:space="0" w:color="auto"/>
        <w:left w:val="none" w:sz="0" w:space="0" w:color="auto"/>
        <w:bottom w:val="none" w:sz="0" w:space="0" w:color="auto"/>
        <w:right w:val="none" w:sz="0" w:space="0" w:color="auto"/>
      </w:divBdr>
    </w:div>
    <w:div w:id="255597440">
      <w:bodyDiv w:val="1"/>
      <w:marLeft w:val="0"/>
      <w:marRight w:val="0"/>
      <w:marTop w:val="0"/>
      <w:marBottom w:val="0"/>
      <w:divBdr>
        <w:top w:val="none" w:sz="0" w:space="0" w:color="auto"/>
        <w:left w:val="none" w:sz="0" w:space="0" w:color="auto"/>
        <w:bottom w:val="none" w:sz="0" w:space="0" w:color="auto"/>
        <w:right w:val="none" w:sz="0" w:space="0" w:color="auto"/>
      </w:divBdr>
    </w:div>
    <w:div w:id="255599864">
      <w:bodyDiv w:val="1"/>
      <w:marLeft w:val="0"/>
      <w:marRight w:val="0"/>
      <w:marTop w:val="0"/>
      <w:marBottom w:val="0"/>
      <w:divBdr>
        <w:top w:val="none" w:sz="0" w:space="0" w:color="auto"/>
        <w:left w:val="none" w:sz="0" w:space="0" w:color="auto"/>
        <w:bottom w:val="none" w:sz="0" w:space="0" w:color="auto"/>
        <w:right w:val="none" w:sz="0" w:space="0" w:color="auto"/>
      </w:divBdr>
    </w:div>
    <w:div w:id="255987672">
      <w:bodyDiv w:val="1"/>
      <w:marLeft w:val="0"/>
      <w:marRight w:val="0"/>
      <w:marTop w:val="0"/>
      <w:marBottom w:val="0"/>
      <w:divBdr>
        <w:top w:val="none" w:sz="0" w:space="0" w:color="auto"/>
        <w:left w:val="none" w:sz="0" w:space="0" w:color="auto"/>
        <w:bottom w:val="none" w:sz="0" w:space="0" w:color="auto"/>
        <w:right w:val="none" w:sz="0" w:space="0" w:color="auto"/>
      </w:divBdr>
    </w:div>
    <w:div w:id="257251502">
      <w:bodyDiv w:val="1"/>
      <w:marLeft w:val="0"/>
      <w:marRight w:val="0"/>
      <w:marTop w:val="0"/>
      <w:marBottom w:val="0"/>
      <w:divBdr>
        <w:top w:val="none" w:sz="0" w:space="0" w:color="auto"/>
        <w:left w:val="none" w:sz="0" w:space="0" w:color="auto"/>
        <w:bottom w:val="none" w:sz="0" w:space="0" w:color="auto"/>
        <w:right w:val="none" w:sz="0" w:space="0" w:color="auto"/>
      </w:divBdr>
    </w:div>
    <w:div w:id="257256482">
      <w:bodyDiv w:val="1"/>
      <w:marLeft w:val="0"/>
      <w:marRight w:val="0"/>
      <w:marTop w:val="0"/>
      <w:marBottom w:val="0"/>
      <w:divBdr>
        <w:top w:val="none" w:sz="0" w:space="0" w:color="auto"/>
        <w:left w:val="none" w:sz="0" w:space="0" w:color="auto"/>
        <w:bottom w:val="none" w:sz="0" w:space="0" w:color="auto"/>
        <w:right w:val="none" w:sz="0" w:space="0" w:color="auto"/>
      </w:divBdr>
    </w:div>
    <w:div w:id="258611401">
      <w:bodyDiv w:val="1"/>
      <w:marLeft w:val="0"/>
      <w:marRight w:val="0"/>
      <w:marTop w:val="0"/>
      <w:marBottom w:val="0"/>
      <w:divBdr>
        <w:top w:val="none" w:sz="0" w:space="0" w:color="auto"/>
        <w:left w:val="none" w:sz="0" w:space="0" w:color="auto"/>
        <w:bottom w:val="none" w:sz="0" w:space="0" w:color="auto"/>
        <w:right w:val="none" w:sz="0" w:space="0" w:color="auto"/>
      </w:divBdr>
    </w:div>
    <w:div w:id="259875421">
      <w:bodyDiv w:val="1"/>
      <w:marLeft w:val="0"/>
      <w:marRight w:val="0"/>
      <w:marTop w:val="0"/>
      <w:marBottom w:val="0"/>
      <w:divBdr>
        <w:top w:val="none" w:sz="0" w:space="0" w:color="auto"/>
        <w:left w:val="none" w:sz="0" w:space="0" w:color="auto"/>
        <w:bottom w:val="none" w:sz="0" w:space="0" w:color="auto"/>
        <w:right w:val="none" w:sz="0" w:space="0" w:color="auto"/>
      </w:divBdr>
    </w:div>
    <w:div w:id="259990008">
      <w:bodyDiv w:val="1"/>
      <w:marLeft w:val="0"/>
      <w:marRight w:val="0"/>
      <w:marTop w:val="0"/>
      <w:marBottom w:val="0"/>
      <w:divBdr>
        <w:top w:val="none" w:sz="0" w:space="0" w:color="auto"/>
        <w:left w:val="none" w:sz="0" w:space="0" w:color="auto"/>
        <w:bottom w:val="none" w:sz="0" w:space="0" w:color="auto"/>
        <w:right w:val="none" w:sz="0" w:space="0" w:color="auto"/>
      </w:divBdr>
    </w:div>
    <w:div w:id="260139050">
      <w:bodyDiv w:val="1"/>
      <w:marLeft w:val="0"/>
      <w:marRight w:val="0"/>
      <w:marTop w:val="0"/>
      <w:marBottom w:val="0"/>
      <w:divBdr>
        <w:top w:val="none" w:sz="0" w:space="0" w:color="auto"/>
        <w:left w:val="none" w:sz="0" w:space="0" w:color="auto"/>
        <w:bottom w:val="none" w:sz="0" w:space="0" w:color="auto"/>
        <w:right w:val="none" w:sz="0" w:space="0" w:color="auto"/>
      </w:divBdr>
    </w:div>
    <w:div w:id="262303005">
      <w:bodyDiv w:val="1"/>
      <w:marLeft w:val="0"/>
      <w:marRight w:val="0"/>
      <w:marTop w:val="0"/>
      <w:marBottom w:val="0"/>
      <w:divBdr>
        <w:top w:val="none" w:sz="0" w:space="0" w:color="auto"/>
        <w:left w:val="none" w:sz="0" w:space="0" w:color="auto"/>
        <w:bottom w:val="none" w:sz="0" w:space="0" w:color="auto"/>
        <w:right w:val="none" w:sz="0" w:space="0" w:color="auto"/>
      </w:divBdr>
    </w:div>
    <w:div w:id="262959014">
      <w:bodyDiv w:val="1"/>
      <w:marLeft w:val="0"/>
      <w:marRight w:val="0"/>
      <w:marTop w:val="0"/>
      <w:marBottom w:val="0"/>
      <w:divBdr>
        <w:top w:val="none" w:sz="0" w:space="0" w:color="auto"/>
        <w:left w:val="none" w:sz="0" w:space="0" w:color="auto"/>
        <w:bottom w:val="none" w:sz="0" w:space="0" w:color="auto"/>
        <w:right w:val="none" w:sz="0" w:space="0" w:color="auto"/>
      </w:divBdr>
    </w:div>
    <w:div w:id="263420664">
      <w:bodyDiv w:val="1"/>
      <w:marLeft w:val="0"/>
      <w:marRight w:val="0"/>
      <w:marTop w:val="0"/>
      <w:marBottom w:val="0"/>
      <w:divBdr>
        <w:top w:val="none" w:sz="0" w:space="0" w:color="auto"/>
        <w:left w:val="none" w:sz="0" w:space="0" w:color="auto"/>
        <w:bottom w:val="none" w:sz="0" w:space="0" w:color="auto"/>
        <w:right w:val="none" w:sz="0" w:space="0" w:color="auto"/>
      </w:divBdr>
    </w:div>
    <w:div w:id="264194867">
      <w:bodyDiv w:val="1"/>
      <w:marLeft w:val="0"/>
      <w:marRight w:val="0"/>
      <w:marTop w:val="0"/>
      <w:marBottom w:val="0"/>
      <w:divBdr>
        <w:top w:val="none" w:sz="0" w:space="0" w:color="auto"/>
        <w:left w:val="none" w:sz="0" w:space="0" w:color="auto"/>
        <w:bottom w:val="none" w:sz="0" w:space="0" w:color="auto"/>
        <w:right w:val="none" w:sz="0" w:space="0" w:color="auto"/>
      </w:divBdr>
    </w:div>
    <w:div w:id="264504931">
      <w:bodyDiv w:val="1"/>
      <w:marLeft w:val="0"/>
      <w:marRight w:val="0"/>
      <w:marTop w:val="0"/>
      <w:marBottom w:val="0"/>
      <w:divBdr>
        <w:top w:val="none" w:sz="0" w:space="0" w:color="auto"/>
        <w:left w:val="none" w:sz="0" w:space="0" w:color="auto"/>
        <w:bottom w:val="none" w:sz="0" w:space="0" w:color="auto"/>
        <w:right w:val="none" w:sz="0" w:space="0" w:color="auto"/>
      </w:divBdr>
    </w:div>
    <w:div w:id="265429150">
      <w:bodyDiv w:val="1"/>
      <w:marLeft w:val="0"/>
      <w:marRight w:val="0"/>
      <w:marTop w:val="0"/>
      <w:marBottom w:val="0"/>
      <w:divBdr>
        <w:top w:val="none" w:sz="0" w:space="0" w:color="auto"/>
        <w:left w:val="none" w:sz="0" w:space="0" w:color="auto"/>
        <w:bottom w:val="none" w:sz="0" w:space="0" w:color="auto"/>
        <w:right w:val="none" w:sz="0" w:space="0" w:color="auto"/>
      </w:divBdr>
    </w:div>
    <w:div w:id="265618141">
      <w:bodyDiv w:val="1"/>
      <w:marLeft w:val="0"/>
      <w:marRight w:val="0"/>
      <w:marTop w:val="0"/>
      <w:marBottom w:val="0"/>
      <w:divBdr>
        <w:top w:val="none" w:sz="0" w:space="0" w:color="auto"/>
        <w:left w:val="none" w:sz="0" w:space="0" w:color="auto"/>
        <w:bottom w:val="none" w:sz="0" w:space="0" w:color="auto"/>
        <w:right w:val="none" w:sz="0" w:space="0" w:color="auto"/>
      </w:divBdr>
    </w:div>
    <w:div w:id="265694136">
      <w:bodyDiv w:val="1"/>
      <w:marLeft w:val="0"/>
      <w:marRight w:val="0"/>
      <w:marTop w:val="0"/>
      <w:marBottom w:val="0"/>
      <w:divBdr>
        <w:top w:val="none" w:sz="0" w:space="0" w:color="auto"/>
        <w:left w:val="none" w:sz="0" w:space="0" w:color="auto"/>
        <w:bottom w:val="none" w:sz="0" w:space="0" w:color="auto"/>
        <w:right w:val="none" w:sz="0" w:space="0" w:color="auto"/>
      </w:divBdr>
    </w:div>
    <w:div w:id="266036828">
      <w:bodyDiv w:val="1"/>
      <w:marLeft w:val="0"/>
      <w:marRight w:val="0"/>
      <w:marTop w:val="0"/>
      <w:marBottom w:val="0"/>
      <w:divBdr>
        <w:top w:val="none" w:sz="0" w:space="0" w:color="auto"/>
        <w:left w:val="none" w:sz="0" w:space="0" w:color="auto"/>
        <w:bottom w:val="none" w:sz="0" w:space="0" w:color="auto"/>
        <w:right w:val="none" w:sz="0" w:space="0" w:color="auto"/>
      </w:divBdr>
    </w:div>
    <w:div w:id="266498745">
      <w:bodyDiv w:val="1"/>
      <w:marLeft w:val="0"/>
      <w:marRight w:val="0"/>
      <w:marTop w:val="0"/>
      <w:marBottom w:val="0"/>
      <w:divBdr>
        <w:top w:val="none" w:sz="0" w:space="0" w:color="auto"/>
        <w:left w:val="none" w:sz="0" w:space="0" w:color="auto"/>
        <w:bottom w:val="none" w:sz="0" w:space="0" w:color="auto"/>
        <w:right w:val="none" w:sz="0" w:space="0" w:color="auto"/>
      </w:divBdr>
    </w:div>
    <w:div w:id="267085439">
      <w:bodyDiv w:val="1"/>
      <w:marLeft w:val="0"/>
      <w:marRight w:val="0"/>
      <w:marTop w:val="0"/>
      <w:marBottom w:val="0"/>
      <w:divBdr>
        <w:top w:val="none" w:sz="0" w:space="0" w:color="auto"/>
        <w:left w:val="none" w:sz="0" w:space="0" w:color="auto"/>
        <w:bottom w:val="none" w:sz="0" w:space="0" w:color="auto"/>
        <w:right w:val="none" w:sz="0" w:space="0" w:color="auto"/>
      </w:divBdr>
    </w:div>
    <w:div w:id="269628153">
      <w:bodyDiv w:val="1"/>
      <w:marLeft w:val="0"/>
      <w:marRight w:val="0"/>
      <w:marTop w:val="0"/>
      <w:marBottom w:val="0"/>
      <w:divBdr>
        <w:top w:val="none" w:sz="0" w:space="0" w:color="auto"/>
        <w:left w:val="none" w:sz="0" w:space="0" w:color="auto"/>
        <w:bottom w:val="none" w:sz="0" w:space="0" w:color="auto"/>
        <w:right w:val="none" w:sz="0" w:space="0" w:color="auto"/>
      </w:divBdr>
    </w:div>
    <w:div w:id="270358117">
      <w:bodyDiv w:val="1"/>
      <w:marLeft w:val="0"/>
      <w:marRight w:val="0"/>
      <w:marTop w:val="0"/>
      <w:marBottom w:val="0"/>
      <w:divBdr>
        <w:top w:val="none" w:sz="0" w:space="0" w:color="auto"/>
        <w:left w:val="none" w:sz="0" w:space="0" w:color="auto"/>
        <w:bottom w:val="none" w:sz="0" w:space="0" w:color="auto"/>
        <w:right w:val="none" w:sz="0" w:space="0" w:color="auto"/>
      </w:divBdr>
    </w:div>
    <w:div w:id="270552729">
      <w:bodyDiv w:val="1"/>
      <w:marLeft w:val="0"/>
      <w:marRight w:val="0"/>
      <w:marTop w:val="0"/>
      <w:marBottom w:val="0"/>
      <w:divBdr>
        <w:top w:val="none" w:sz="0" w:space="0" w:color="auto"/>
        <w:left w:val="none" w:sz="0" w:space="0" w:color="auto"/>
        <w:bottom w:val="none" w:sz="0" w:space="0" w:color="auto"/>
        <w:right w:val="none" w:sz="0" w:space="0" w:color="auto"/>
      </w:divBdr>
    </w:div>
    <w:div w:id="270553327">
      <w:bodyDiv w:val="1"/>
      <w:marLeft w:val="0"/>
      <w:marRight w:val="0"/>
      <w:marTop w:val="0"/>
      <w:marBottom w:val="0"/>
      <w:divBdr>
        <w:top w:val="none" w:sz="0" w:space="0" w:color="auto"/>
        <w:left w:val="none" w:sz="0" w:space="0" w:color="auto"/>
        <w:bottom w:val="none" w:sz="0" w:space="0" w:color="auto"/>
        <w:right w:val="none" w:sz="0" w:space="0" w:color="auto"/>
      </w:divBdr>
    </w:div>
    <w:div w:id="270674140">
      <w:bodyDiv w:val="1"/>
      <w:marLeft w:val="0"/>
      <w:marRight w:val="0"/>
      <w:marTop w:val="0"/>
      <w:marBottom w:val="0"/>
      <w:divBdr>
        <w:top w:val="none" w:sz="0" w:space="0" w:color="auto"/>
        <w:left w:val="none" w:sz="0" w:space="0" w:color="auto"/>
        <w:bottom w:val="none" w:sz="0" w:space="0" w:color="auto"/>
        <w:right w:val="none" w:sz="0" w:space="0" w:color="auto"/>
      </w:divBdr>
    </w:div>
    <w:div w:id="270750523">
      <w:bodyDiv w:val="1"/>
      <w:marLeft w:val="0"/>
      <w:marRight w:val="0"/>
      <w:marTop w:val="0"/>
      <w:marBottom w:val="0"/>
      <w:divBdr>
        <w:top w:val="none" w:sz="0" w:space="0" w:color="auto"/>
        <w:left w:val="none" w:sz="0" w:space="0" w:color="auto"/>
        <w:bottom w:val="none" w:sz="0" w:space="0" w:color="auto"/>
        <w:right w:val="none" w:sz="0" w:space="0" w:color="auto"/>
      </w:divBdr>
    </w:div>
    <w:div w:id="270819007">
      <w:bodyDiv w:val="1"/>
      <w:marLeft w:val="0"/>
      <w:marRight w:val="0"/>
      <w:marTop w:val="0"/>
      <w:marBottom w:val="0"/>
      <w:divBdr>
        <w:top w:val="none" w:sz="0" w:space="0" w:color="auto"/>
        <w:left w:val="none" w:sz="0" w:space="0" w:color="auto"/>
        <w:bottom w:val="none" w:sz="0" w:space="0" w:color="auto"/>
        <w:right w:val="none" w:sz="0" w:space="0" w:color="auto"/>
      </w:divBdr>
    </w:div>
    <w:div w:id="271517620">
      <w:bodyDiv w:val="1"/>
      <w:marLeft w:val="0"/>
      <w:marRight w:val="0"/>
      <w:marTop w:val="0"/>
      <w:marBottom w:val="0"/>
      <w:divBdr>
        <w:top w:val="none" w:sz="0" w:space="0" w:color="auto"/>
        <w:left w:val="none" w:sz="0" w:space="0" w:color="auto"/>
        <w:bottom w:val="none" w:sz="0" w:space="0" w:color="auto"/>
        <w:right w:val="none" w:sz="0" w:space="0" w:color="auto"/>
      </w:divBdr>
    </w:div>
    <w:div w:id="271744926">
      <w:bodyDiv w:val="1"/>
      <w:marLeft w:val="0"/>
      <w:marRight w:val="0"/>
      <w:marTop w:val="0"/>
      <w:marBottom w:val="0"/>
      <w:divBdr>
        <w:top w:val="none" w:sz="0" w:space="0" w:color="auto"/>
        <w:left w:val="none" w:sz="0" w:space="0" w:color="auto"/>
        <w:bottom w:val="none" w:sz="0" w:space="0" w:color="auto"/>
        <w:right w:val="none" w:sz="0" w:space="0" w:color="auto"/>
      </w:divBdr>
    </w:div>
    <w:div w:id="271935937">
      <w:bodyDiv w:val="1"/>
      <w:marLeft w:val="0"/>
      <w:marRight w:val="0"/>
      <w:marTop w:val="0"/>
      <w:marBottom w:val="0"/>
      <w:divBdr>
        <w:top w:val="none" w:sz="0" w:space="0" w:color="auto"/>
        <w:left w:val="none" w:sz="0" w:space="0" w:color="auto"/>
        <w:bottom w:val="none" w:sz="0" w:space="0" w:color="auto"/>
        <w:right w:val="none" w:sz="0" w:space="0" w:color="auto"/>
      </w:divBdr>
    </w:div>
    <w:div w:id="272907580">
      <w:bodyDiv w:val="1"/>
      <w:marLeft w:val="0"/>
      <w:marRight w:val="0"/>
      <w:marTop w:val="0"/>
      <w:marBottom w:val="0"/>
      <w:divBdr>
        <w:top w:val="none" w:sz="0" w:space="0" w:color="auto"/>
        <w:left w:val="none" w:sz="0" w:space="0" w:color="auto"/>
        <w:bottom w:val="none" w:sz="0" w:space="0" w:color="auto"/>
        <w:right w:val="none" w:sz="0" w:space="0" w:color="auto"/>
      </w:divBdr>
    </w:div>
    <w:div w:id="273053032">
      <w:bodyDiv w:val="1"/>
      <w:marLeft w:val="0"/>
      <w:marRight w:val="0"/>
      <w:marTop w:val="0"/>
      <w:marBottom w:val="0"/>
      <w:divBdr>
        <w:top w:val="none" w:sz="0" w:space="0" w:color="auto"/>
        <w:left w:val="none" w:sz="0" w:space="0" w:color="auto"/>
        <w:bottom w:val="none" w:sz="0" w:space="0" w:color="auto"/>
        <w:right w:val="none" w:sz="0" w:space="0" w:color="auto"/>
      </w:divBdr>
    </w:div>
    <w:div w:id="273826032">
      <w:bodyDiv w:val="1"/>
      <w:marLeft w:val="0"/>
      <w:marRight w:val="0"/>
      <w:marTop w:val="0"/>
      <w:marBottom w:val="0"/>
      <w:divBdr>
        <w:top w:val="none" w:sz="0" w:space="0" w:color="auto"/>
        <w:left w:val="none" w:sz="0" w:space="0" w:color="auto"/>
        <w:bottom w:val="none" w:sz="0" w:space="0" w:color="auto"/>
        <w:right w:val="none" w:sz="0" w:space="0" w:color="auto"/>
      </w:divBdr>
    </w:div>
    <w:div w:id="273948971">
      <w:bodyDiv w:val="1"/>
      <w:marLeft w:val="0"/>
      <w:marRight w:val="0"/>
      <w:marTop w:val="0"/>
      <w:marBottom w:val="0"/>
      <w:divBdr>
        <w:top w:val="none" w:sz="0" w:space="0" w:color="auto"/>
        <w:left w:val="none" w:sz="0" w:space="0" w:color="auto"/>
        <w:bottom w:val="none" w:sz="0" w:space="0" w:color="auto"/>
        <w:right w:val="none" w:sz="0" w:space="0" w:color="auto"/>
      </w:divBdr>
    </w:div>
    <w:div w:id="275218168">
      <w:bodyDiv w:val="1"/>
      <w:marLeft w:val="0"/>
      <w:marRight w:val="0"/>
      <w:marTop w:val="0"/>
      <w:marBottom w:val="0"/>
      <w:divBdr>
        <w:top w:val="none" w:sz="0" w:space="0" w:color="auto"/>
        <w:left w:val="none" w:sz="0" w:space="0" w:color="auto"/>
        <w:bottom w:val="none" w:sz="0" w:space="0" w:color="auto"/>
        <w:right w:val="none" w:sz="0" w:space="0" w:color="auto"/>
      </w:divBdr>
    </w:div>
    <w:div w:id="275674204">
      <w:bodyDiv w:val="1"/>
      <w:marLeft w:val="0"/>
      <w:marRight w:val="0"/>
      <w:marTop w:val="0"/>
      <w:marBottom w:val="0"/>
      <w:divBdr>
        <w:top w:val="none" w:sz="0" w:space="0" w:color="auto"/>
        <w:left w:val="none" w:sz="0" w:space="0" w:color="auto"/>
        <w:bottom w:val="none" w:sz="0" w:space="0" w:color="auto"/>
        <w:right w:val="none" w:sz="0" w:space="0" w:color="auto"/>
      </w:divBdr>
    </w:div>
    <w:div w:id="276525810">
      <w:bodyDiv w:val="1"/>
      <w:marLeft w:val="0"/>
      <w:marRight w:val="0"/>
      <w:marTop w:val="0"/>
      <w:marBottom w:val="0"/>
      <w:divBdr>
        <w:top w:val="none" w:sz="0" w:space="0" w:color="auto"/>
        <w:left w:val="none" w:sz="0" w:space="0" w:color="auto"/>
        <w:bottom w:val="none" w:sz="0" w:space="0" w:color="auto"/>
        <w:right w:val="none" w:sz="0" w:space="0" w:color="auto"/>
      </w:divBdr>
    </w:div>
    <w:div w:id="276839201">
      <w:bodyDiv w:val="1"/>
      <w:marLeft w:val="0"/>
      <w:marRight w:val="0"/>
      <w:marTop w:val="0"/>
      <w:marBottom w:val="0"/>
      <w:divBdr>
        <w:top w:val="none" w:sz="0" w:space="0" w:color="auto"/>
        <w:left w:val="none" w:sz="0" w:space="0" w:color="auto"/>
        <w:bottom w:val="none" w:sz="0" w:space="0" w:color="auto"/>
        <w:right w:val="none" w:sz="0" w:space="0" w:color="auto"/>
      </w:divBdr>
    </w:div>
    <w:div w:id="277295566">
      <w:bodyDiv w:val="1"/>
      <w:marLeft w:val="0"/>
      <w:marRight w:val="0"/>
      <w:marTop w:val="0"/>
      <w:marBottom w:val="0"/>
      <w:divBdr>
        <w:top w:val="none" w:sz="0" w:space="0" w:color="auto"/>
        <w:left w:val="none" w:sz="0" w:space="0" w:color="auto"/>
        <w:bottom w:val="none" w:sz="0" w:space="0" w:color="auto"/>
        <w:right w:val="none" w:sz="0" w:space="0" w:color="auto"/>
      </w:divBdr>
    </w:div>
    <w:div w:id="278724837">
      <w:bodyDiv w:val="1"/>
      <w:marLeft w:val="0"/>
      <w:marRight w:val="0"/>
      <w:marTop w:val="0"/>
      <w:marBottom w:val="0"/>
      <w:divBdr>
        <w:top w:val="none" w:sz="0" w:space="0" w:color="auto"/>
        <w:left w:val="none" w:sz="0" w:space="0" w:color="auto"/>
        <w:bottom w:val="none" w:sz="0" w:space="0" w:color="auto"/>
        <w:right w:val="none" w:sz="0" w:space="0" w:color="auto"/>
      </w:divBdr>
    </w:div>
    <w:div w:id="279608790">
      <w:bodyDiv w:val="1"/>
      <w:marLeft w:val="0"/>
      <w:marRight w:val="0"/>
      <w:marTop w:val="0"/>
      <w:marBottom w:val="0"/>
      <w:divBdr>
        <w:top w:val="none" w:sz="0" w:space="0" w:color="auto"/>
        <w:left w:val="none" w:sz="0" w:space="0" w:color="auto"/>
        <w:bottom w:val="none" w:sz="0" w:space="0" w:color="auto"/>
        <w:right w:val="none" w:sz="0" w:space="0" w:color="auto"/>
      </w:divBdr>
    </w:div>
    <w:div w:id="279730146">
      <w:bodyDiv w:val="1"/>
      <w:marLeft w:val="0"/>
      <w:marRight w:val="0"/>
      <w:marTop w:val="0"/>
      <w:marBottom w:val="0"/>
      <w:divBdr>
        <w:top w:val="none" w:sz="0" w:space="0" w:color="auto"/>
        <w:left w:val="none" w:sz="0" w:space="0" w:color="auto"/>
        <w:bottom w:val="none" w:sz="0" w:space="0" w:color="auto"/>
        <w:right w:val="none" w:sz="0" w:space="0" w:color="auto"/>
      </w:divBdr>
    </w:div>
    <w:div w:id="280109463">
      <w:bodyDiv w:val="1"/>
      <w:marLeft w:val="0"/>
      <w:marRight w:val="0"/>
      <w:marTop w:val="0"/>
      <w:marBottom w:val="0"/>
      <w:divBdr>
        <w:top w:val="none" w:sz="0" w:space="0" w:color="auto"/>
        <w:left w:val="none" w:sz="0" w:space="0" w:color="auto"/>
        <w:bottom w:val="none" w:sz="0" w:space="0" w:color="auto"/>
        <w:right w:val="none" w:sz="0" w:space="0" w:color="auto"/>
      </w:divBdr>
    </w:div>
    <w:div w:id="280888965">
      <w:bodyDiv w:val="1"/>
      <w:marLeft w:val="0"/>
      <w:marRight w:val="0"/>
      <w:marTop w:val="0"/>
      <w:marBottom w:val="0"/>
      <w:divBdr>
        <w:top w:val="none" w:sz="0" w:space="0" w:color="auto"/>
        <w:left w:val="none" w:sz="0" w:space="0" w:color="auto"/>
        <w:bottom w:val="none" w:sz="0" w:space="0" w:color="auto"/>
        <w:right w:val="none" w:sz="0" w:space="0" w:color="auto"/>
      </w:divBdr>
    </w:div>
    <w:div w:id="281305223">
      <w:bodyDiv w:val="1"/>
      <w:marLeft w:val="0"/>
      <w:marRight w:val="0"/>
      <w:marTop w:val="0"/>
      <w:marBottom w:val="0"/>
      <w:divBdr>
        <w:top w:val="none" w:sz="0" w:space="0" w:color="auto"/>
        <w:left w:val="none" w:sz="0" w:space="0" w:color="auto"/>
        <w:bottom w:val="none" w:sz="0" w:space="0" w:color="auto"/>
        <w:right w:val="none" w:sz="0" w:space="0" w:color="auto"/>
      </w:divBdr>
    </w:div>
    <w:div w:id="281695442">
      <w:bodyDiv w:val="1"/>
      <w:marLeft w:val="0"/>
      <w:marRight w:val="0"/>
      <w:marTop w:val="0"/>
      <w:marBottom w:val="0"/>
      <w:divBdr>
        <w:top w:val="none" w:sz="0" w:space="0" w:color="auto"/>
        <w:left w:val="none" w:sz="0" w:space="0" w:color="auto"/>
        <w:bottom w:val="none" w:sz="0" w:space="0" w:color="auto"/>
        <w:right w:val="none" w:sz="0" w:space="0" w:color="auto"/>
      </w:divBdr>
    </w:div>
    <w:div w:id="282539858">
      <w:bodyDiv w:val="1"/>
      <w:marLeft w:val="0"/>
      <w:marRight w:val="0"/>
      <w:marTop w:val="0"/>
      <w:marBottom w:val="0"/>
      <w:divBdr>
        <w:top w:val="none" w:sz="0" w:space="0" w:color="auto"/>
        <w:left w:val="none" w:sz="0" w:space="0" w:color="auto"/>
        <w:bottom w:val="none" w:sz="0" w:space="0" w:color="auto"/>
        <w:right w:val="none" w:sz="0" w:space="0" w:color="auto"/>
      </w:divBdr>
    </w:div>
    <w:div w:id="282883742">
      <w:bodyDiv w:val="1"/>
      <w:marLeft w:val="0"/>
      <w:marRight w:val="0"/>
      <w:marTop w:val="0"/>
      <w:marBottom w:val="0"/>
      <w:divBdr>
        <w:top w:val="none" w:sz="0" w:space="0" w:color="auto"/>
        <w:left w:val="none" w:sz="0" w:space="0" w:color="auto"/>
        <w:bottom w:val="none" w:sz="0" w:space="0" w:color="auto"/>
        <w:right w:val="none" w:sz="0" w:space="0" w:color="auto"/>
      </w:divBdr>
    </w:div>
    <w:div w:id="283344384">
      <w:bodyDiv w:val="1"/>
      <w:marLeft w:val="0"/>
      <w:marRight w:val="0"/>
      <w:marTop w:val="0"/>
      <w:marBottom w:val="0"/>
      <w:divBdr>
        <w:top w:val="none" w:sz="0" w:space="0" w:color="auto"/>
        <w:left w:val="none" w:sz="0" w:space="0" w:color="auto"/>
        <w:bottom w:val="none" w:sz="0" w:space="0" w:color="auto"/>
        <w:right w:val="none" w:sz="0" w:space="0" w:color="auto"/>
      </w:divBdr>
    </w:div>
    <w:div w:id="284241445">
      <w:bodyDiv w:val="1"/>
      <w:marLeft w:val="0"/>
      <w:marRight w:val="0"/>
      <w:marTop w:val="0"/>
      <w:marBottom w:val="0"/>
      <w:divBdr>
        <w:top w:val="none" w:sz="0" w:space="0" w:color="auto"/>
        <w:left w:val="none" w:sz="0" w:space="0" w:color="auto"/>
        <w:bottom w:val="none" w:sz="0" w:space="0" w:color="auto"/>
        <w:right w:val="none" w:sz="0" w:space="0" w:color="auto"/>
      </w:divBdr>
    </w:div>
    <w:div w:id="284581668">
      <w:bodyDiv w:val="1"/>
      <w:marLeft w:val="0"/>
      <w:marRight w:val="0"/>
      <w:marTop w:val="0"/>
      <w:marBottom w:val="0"/>
      <w:divBdr>
        <w:top w:val="none" w:sz="0" w:space="0" w:color="auto"/>
        <w:left w:val="none" w:sz="0" w:space="0" w:color="auto"/>
        <w:bottom w:val="none" w:sz="0" w:space="0" w:color="auto"/>
        <w:right w:val="none" w:sz="0" w:space="0" w:color="auto"/>
      </w:divBdr>
    </w:div>
    <w:div w:id="284779912">
      <w:bodyDiv w:val="1"/>
      <w:marLeft w:val="0"/>
      <w:marRight w:val="0"/>
      <w:marTop w:val="0"/>
      <w:marBottom w:val="0"/>
      <w:divBdr>
        <w:top w:val="none" w:sz="0" w:space="0" w:color="auto"/>
        <w:left w:val="none" w:sz="0" w:space="0" w:color="auto"/>
        <w:bottom w:val="none" w:sz="0" w:space="0" w:color="auto"/>
        <w:right w:val="none" w:sz="0" w:space="0" w:color="auto"/>
      </w:divBdr>
    </w:div>
    <w:div w:id="284966867">
      <w:bodyDiv w:val="1"/>
      <w:marLeft w:val="0"/>
      <w:marRight w:val="0"/>
      <w:marTop w:val="0"/>
      <w:marBottom w:val="0"/>
      <w:divBdr>
        <w:top w:val="none" w:sz="0" w:space="0" w:color="auto"/>
        <w:left w:val="none" w:sz="0" w:space="0" w:color="auto"/>
        <w:bottom w:val="none" w:sz="0" w:space="0" w:color="auto"/>
        <w:right w:val="none" w:sz="0" w:space="0" w:color="auto"/>
      </w:divBdr>
    </w:div>
    <w:div w:id="285043072">
      <w:bodyDiv w:val="1"/>
      <w:marLeft w:val="0"/>
      <w:marRight w:val="0"/>
      <w:marTop w:val="0"/>
      <w:marBottom w:val="0"/>
      <w:divBdr>
        <w:top w:val="none" w:sz="0" w:space="0" w:color="auto"/>
        <w:left w:val="none" w:sz="0" w:space="0" w:color="auto"/>
        <w:bottom w:val="none" w:sz="0" w:space="0" w:color="auto"/>
        <w:right w:val="none" w:sz="0" w:space="0" w:color="auto"/>
      </w:divBdr>
    </w:div>
    <w:div w:id="285082534">
      <w:bodyDiv w:val="1"/>
      <w:marLeft w:val="0"/>
      <w:marRight w:val="0"/>
      <w:marTop w:val="0"/>
      <w:marBottom w:val="0"/>
      <w:divBdr>
        <w:top w:val="none" w:sz="0" w:space="0" w:color="auto"/>
        <w:left w:val="none" w:sz="0" w:space="0" w:color="auto"/>
        <w:bottom w:val="none" w:sz="0" w:space="0" w:color="auto"/>
        <w:right w:val="none" w:sz="0" w:space="0" w:color="auto"/>
      </w:divBdr>
    </w:div>
    <w:div w:id="285699577">
      <w:bodyDiv w:val="1"/>
      <w:marLeft w:val="0"/>
      <w:marRight w:val="0"/>
      <w:marTop w:val="0"/>
      <w:marBottom w:val="0"/>
      <w:divBdr>
        <w:top w:val="none" w:sz="0" w:space="0" w:color="auto"/>
        <w:left w:val="none" w:sz="0" w:space="0" w:color="auto"/>
        <w:bottom w:val="none" w:sz="0" w:space="0" w:color="auto"/>
        <w:right w:val="none" w:sz="0" w:space="0" w:color="auto"/>
      </w:divBdr>
    </w:div>
    <w:div w:id="285739573">
      <w:bodyDiv w:val="1"/>
      <w:marLeft w:val="0"/>
      <w:marRight w:val="0"/>
      <w:marTop w:val="0"/>
      <w:marBottom w:val="0"/>
      <w:divBdr>
        <w:top w:val="none" w:sz="0" w:space="0" w:color="auto"/>
        <w:left w:val="none" w:sz="0" w:space="0" w:color="auto"/>
        <w:bottom w:val="none" w:sz="0" w:space="0" w:color="auto"/>
        <w:right w:val="none" w:sz="0" w:space="0" w:color="auto"/>
      </w:divBdr>
    </w:div>
    <w:div w:id="285744696">
      <w:bodyDiv w:val="1"/>
      <w:marLeft w:val="0"/>
      <w:marRight w:val="0"/>
      <w:marTop w:val="0"/>
      <w:marBottom w:val="0"/>
      <w:divBdr>
        <w:top w:val="none" w:sz="0" w:space="0" w:color="auto"/>
        <w:left w:val="none" w:sz="0" w:space="0" w:color="auto"/>
        <w:bottom w:val="none" w:sz="0" w:space="0" w:color="auto"/>
        <w:right w:val="none" w:sz="0" w:space="0" w:color="auto"/>
      </w:divBdr>
    </w:div>
    <w:div w:id="286158215">
      <w:bodyDiv w:val="1"/>
      <w:marLeft w:val="0"/>
      <w:marRight w:val="0"/>
      <w:marTop w:val="0"/>
      <w:marBottom w:val="0"/>
      <w:divBdr>
        <w:top w:val="none" w:sz="0" w:space="0" w:color="auto"/>
        <w:left w:val="none" w:sz="0" w:space="0" w:color="auto"/>
        <w:bottom w:val="none" w:sz="0" w:space="0" w:color="auto"/>
        <w:right w:val="none" w:sz="0" w:space="0" w:color="auto"/>
      </w:divBdr>
    </w:div>
    <w:div w:id="286276887">
      <w:bodyDiv w:val="1"/>
      <w:marLeft w:val="0"/>
      <w:marRight w:val="0"/>
      <w:marTop w:val="0"/>
      <w:marBottom w:val="0"/>
      <w:divBdr>
        <w:top w:val="none" w:sz="0" w:space="0" w:color="auto"/>
        <w:left w:val="none" w:sz="0" w:space="0" w:color="auto"/>
        <w:bottom w:val="none" w:sz="0" w:space="0" w:color="auto"/>
        <w:right w:val="none" w:sz="0" w:space="0" w:color="auto"/>
      </w:divBdr>
    </w:div>
    <w:div w:id="287054742">
      <w:bodyDiv w:val="1"/>
      <w:marLeft w:val="0"/>
      <w:marRight w:val="0"/>
      <w:marTop w:val="0"/>
      <w:marBottom w:val="0"/>
      <w:divBdr>
        <w:top w:val="none" w:sz="0" w:space="0" w:color="auto"/>
        <w:left w:val="none" w:sz="0" w:space="0" w:color="auto"/>
        <w:bottom w:val="none" w:sz="0" w:space="0" w:color="auto"/>
        <w:right w:val="none" w:sz="0" w:space="0" w:color="auto"/>
      </w:divBdr>
    </w:div>
    <w:div w:id="288169608">
      <w:bodyDiv w:val="1"/>
      <w:marLeft w:val="0"/>
      <w:marRight w:val="0"/>
      <w:marTop w:val="0"/>
      <w:marBottom w:val="0"/>
      <w:divBdr>
        <w:top w:val="none" w:sz="0" w:space="0" w:color="auto"/>
        <w:left w:val="none" w:sz="0" w:space="0" w:color="auto"/>
        <w:bottom w:val="none" w:sz="0" w:space="0" w:color="auto"/>
        <w:right w:val="none" w:sz="0" w:space="0" w:color="auto"/>
      </w:divBdr>
    </w:div>
    <w:div w:id="288821709">
      <w:bodyDiv w:val="1"/>
      <w:marLeft w:val="0"/>
      <w:marRight w:val="0"/>
      <w:marTop w:val="0"/>
      <w:marBottom w:val="0"/>
      <w:divBdr>
        <w:top w:val="none" w:sz="0" w:space="0" w:color="auto"/>
        <w:left w:val="none" w:sz="0" w:space="0" w:color="auto"/>
        <w:bottom w:val="none" w:sz="0" w:space="0" w:color="auto"/>
        <w:right w:val="none" w:sz="0" w:space="0" w:color="auto"/>
      </w:divBdr>
    </w:div>
    <w:div w:id="290214036">
      <w:bodyDiv w:val="1"/>
      <w:marLeft w:val="0"/>
      <w:marRight w:val="0"/>
      <w:marTop w:val="0"/>
      <w:marBottom w:val="0"/>
      <w:divBdr>
        <w:top w:val="none" w:sz="0" w:space="0" w:color="auto"/>
        <w:left w:val="none" w:sz="0" w:space="0" w:color="auto"/>
        <w:bottom w:val="none" w:sz="0" w:space="0" w:color="auto"/>
        <w:right w:val="none" w:sz="0" w:space="0" w:color="auto"/>
      </w:divBdr>
    </w:div>
    <w:div w:id="290483961">
      <w:bodyDiv w:val="1"/>
      <w:marLeft w:val="0"/>
      <w:marRight w:val="0"/>
      <w:marTop w:val="0"/>
      <w:marBottom w:val="0"/>
      <w:divBdr>
        <w:top w:val="none" w:sz="0" w:space="0" w:color="auto"/>
        <w:left w:val="none" w:sz="0" w:space="0" w:color="auto"/>
        <w:bottom w:val="none" w:sz="0" w:space="0" w:color="auto"/>
        <w:right w:val="none" w:sz="0" w:space="0" w:color="auto"/>
      </w:divBdr>
    </w:div>
    <w:div w:id="290670721">
      <w:bodyDiv w:val="1"/>
      <w:marLeft w:val="0"/>
      <w:marRight w:val="0"/>
      <w:marTop w:val="0"/>
      <w:marBottom w:val="0"/>
      <w:divBdr>
        <w:top w:val="none" w:sz="0" w:space="0" w:color="auto"/>
        <w:left w:val="none" w:sz="0" w:space="0" w:color="auto"/>
        <w:bottom w:val="none" w:sz="0" w:space="0" w:color="auto"/>
        <w:right w:val="none" w:sz="0" w:space="0" w:color="auto"/>
      </w:divBdr>
    </w:div>
    <w:div w:id="290863993">
      <w:bodyDiv w:val="1"/>
      <w:marLeft w:val="0"/>
      <w:marRight w:val="0"/>
      <w:marTop w:val="0"/>
      <w:marBottom w:val="0"/>
      <w:divBdr>
        <w:top w:val="none" w:sz="0" w:space="0" w:color="auto"/>
        <w:left w:val="none" w:sz="0" w:space="0" w:color="auto"/>
        <w:bottom w:val="none" w:sz="0" w:space="0" w:color="auto"/>
        <w:right w:val="none" w:sz="0" w:space="0" w:color="auto"/>
      </w:divBdr>
    </w:div>
    <w:div w:id="291133398">
      <w:bodyDiv w:val="1"/>
      <w:marLeft w:val="0"/>
      <w:marRight w:val="0"/>
      <w:marTop w:val="0"/>
      <w:marBottom w:val="0"/>
      <w:divBdr>
        <w:top w:val="none" w:sz="0" w:space="0" w:color="auto"/>
        <w:left w:val="none" w:sz="0" w:space="0" w:color="auto"/>
        <w:bottom w:val="none" w:sz="0" w:space="0" w:color="auto"/>
        <w:right w:val="none" w:sz="0" w:space="0" w:color="auto"/>
      </w:divBdr>
    </w:div>
    <w:div w:id="291207795">
      <w:bodyDiv w:val="1"/>
      <w:marLeft w:val="0"/>
      <w:marRight w:val="0"/>
      <w:marTop w:val="0"/>
      <w:marBottom w:val="0"/>
      <w:divBdr>
        <w:top w:val="none" w:sz="0" w:space="0" w:color="auto"/>
        <w:left w:val="none" w:sz="0" w:space="0" w:color="auto"/>
        <w:bottom w:val="none" w:sz="0" w:space="0" w:color="auto"/>
        <w:right w:val="none" w:sz="0" w:space="0" w:color="auto"/>
      </w:divBdr>
    </w:div>
    <w:div w:id="292060444">
      <w:bodyDiv w:val="1"/>
      <w:marLeft w:val="0"/>
      <w:marRight w:val="0"/>
      <w:marTop w:val="0"/>
      <w:marBottom w:val="0"/>
      <w:divBdr>
        <w:top w:val="none" w:sz="0" w:space="0" w:color="auto"/>
        <w:left w:val="none" w:sz="0" w:space="0" w:color="auto"/>
        <w:bottom w:val="none" w:sz="0" w:space="0" w:color="auto"/>
        <w:right w:val="none" w:sz="0" w:space="0" w:color="auto"/>
      </w:divBdr>
    </w:div>
    <w:div w:id="293483337">
      <w:bodyDiv w:val="1"/>
      <w:marLeft w:val="0"/>
      <w:marRight w:val="0"/>
      <w:marTop w:val="0"/>
      <w:marBottom w:val="0"/>
      <w:divBdr>
        <w:top w:val="none" w:sz="0" w:space="0" w:color="auto"/>
        <w:left w:val="none" w:sz="0" w:space="0" w:color="auto"/>
        <w:bottom w:val="none" w:sz="0" w:space="0" w:color="auto"/>
        <w:right w:val="none" w:sz="0" w:space="0" w:color="auto"/>
      </w:divBdr>
    </w:div>
    <w:div w:id="294525914">
      <w:bodyDiv w:val="1"/>
      <w:marLeft w:val="0"/>
      <w:marRight w:val="0"/>
      <w:marTop w:val="0"/>
      <w:marBottom w:val="0"/>
      <w:divBdr>
        <w:top w:val="none" w:sz="0" w:space="0" w:color="auto"/>
        <w:left w:val="none" w:sz="0" w:space="0" w:color="auto"/>
        <w:bottom w:val="none" w:sz="0" w:space="0" w:color="auto"/>
        <w:right w:val="none" w:sz="0" w:space="0" w:color="auto"/>
      </w:divBdr>
    </w:div>
    <w:div w:id="294721401">
      <w:bodyDiv w:val="1"/>
      <w:marLeft w:val="0"/>
      <w:marRight w:val="0"/>
      <w:marTop w:val="0"/>
      <w:marBottom w:val="0"/>
      <w:divBdr>
        <w:top w:val="none" w:sz="0" w:space="0" w:color="auto"/>
        <w:left w:val="none" w:sz="0" w:space="0" w:color="auto"/>
        <w:bottom w:val="none" w:sz="0" w:space="0" w:color="auto"/>
        <w:right w:val="none" w:sz="0" w:space="0" w:color="auto"/>
      </w:divBdr>
    </w:div>
    <w:div w:id="295380249">
      <w:bodyDiv w:val="1"/>
      <w:marLeft w:val="0"/>
      <w:marRight w:val="0"/>
      <w:marTop w:val="0"/>
      <w:marBottom w:val="0"/>
      <w:divBdr>
        <w:top w:val="none" w:sz="0" w:space="0" w:color="auto"/>
        <w:left w:val="none" w:sz="0" w:space="0" w:color="auto"/>
        <w:bottom w:val="none" w:sz="0" w:space="0" w:color="auto"/>
        <w:right w:val="none" w:sz="0" w:space="0" w:color="auto"/>
      </w:divBdr>
    </w:div>
    <w:div w:id="296037248">
      <w:bodyDiv w:val="1"/>
      <w:marLeft w:val="0"/>
      <w:marRight w:val="0"/>
      <w:marTop w:val="0"/>
      <w:marBottom w:val="0"/>
      <w:divBdr>
        <w:top w:val="none" w:sz="0" w:space="0" w:color="auto"/>
        <w:left w:val="none" w:sz="0" w:space="0" w:color="auto"/>
        <w:bottom w:val="none" w:sz="0" w:space="0" w:color="auto"/>
        <w:right w:val="none" w:sz="0" w:space="0" w:color="auto"/>
      </w:divBdr>
    </w:div>
    <w:div w:id="296302592">
      <w:bodyDiv w:val="1"/>
      <w:marLeft w:val="0"/>
      <w:marRight w:val="0"/>
      <w:marTop w:val="0"/>
      <w:marBottom w:val="0"/>
      <w:divBdr>
        <w:top w:val="none" w:sz="0" w:space="0" w:color="auto"/>
        <w:left w:val="none" w:sz="0" w:space="0" w:color="auto"/>
        <w:bottom w:val="none" w:sz="0" w:space="0" w:color="auto"/>
        <w:right w:val="none" w:sz="0" w:space="0" w:color="auto"/>
      </w:divBdr>
    </w:div>
    <w:div w:id="296645606">
      <w:bodyDiv w:val="1"/>
      <w:marLeft w:val="0"/>
      <w:marRight w:val="0"/>
      <w:marTop w:val="0"/>
      <w:marBottom w:val="0"/>
      <w:divBdr>
        <w:top w:val="none" w:sz="0" w:space="0" w:color="auto"/>
        <w:left w:val="none" w:sz="0" w:space="0" w:color="auto"/>
        <w:bottom w:val="none" w:sz="0" w:space="0" w:color="auto"/>
        <w:right w:val="none" w:sz="0" w:space="0" w:color="auto"/>
      </w:divBdr>
    </w:div>
    <w:div w:id="296910748">
      <w:bodyDiv w:val="1"/>
      <w:marLeft w:val="0"/>
      <w:marRight w:val="0"/>
      <w:marTop w:val="0"/>
      <w:marBottom w:val="0"/>
      <w:divBdr>
        <w:top w:val="none" w:sz="0" w:space="0" w:color="auto"/>
        <w:left w:val="none" w:sz="0" w:space="0" w:color="auto"/>
        <w:bottom w:val="none" w:sz="0" w:space="0" w:color="auto"/>
        <w:right w:val="none" w:sz="0" w:space="0" w:color="auto"/>
      </w:divBdr>
    </w:div>
    <w:div w:id="297222626">
      <w:bodyDiv w:val="1"/>
      <w:marLeft w:val="0"/>
      <w:marRight w:val="0"/>
      <w:marTop w:val="0"/>
      <w:marBottom w:val="0"/>
      <w:divBdr>
        <w:top w:val="none" w:sz="0" w:space="0" w:color="auto"/>
        <w:left w:val="none" w:sz="0" w:space="0" w:color="auto"/>
        <w:bottom w:val="none" w:sz="0" w:space="0" w:color="auto"/>
        <w:right w:val="none" w:sz="0" w:space="0" w:color="auto"/>
      </w:divBdr>
    </w:div>
    <w:div w:id="297565591">
      <w:bodyDiv w:val="1"/>
      <w:marLeft w:val="0"/>
      <w:marRight w:val="0"/>
      <w:marTop w:val="0"/>
      <w:marBottom w:val="0"/>
      <w:divBdr>
        <w:top w:val="none" w:sz="0" w:space="0" w:color="auto"/>
        <w:left w:val="none" w:sz="0" w:space="0" w:color="auto"/>
        <w:bottom w:val="none" w:sz="0" w:space="0" w:color="auto"/>
        <w:right w:val="none" w:sz="0" w:space="0" w:color="auto"/>
      </w:divBdr>
    </w:div>
    <w:div w:id="297607719">
      <w:bodyDiv w:val="1"/>
      <w:marLeft w:val="0"/>
      <w:marRight w:val="0"/>
      <w:marTop w:val="0"/>
      <w:marBottom w:val="0"/>
      <w:divBdr>
        <w:top w:val="none" w:sz="0" w:space="0" w:color="auto"/>
        <w:left w:val="none" w:sz="0" w:space="0" w:color="auto"/>
        <w:bottom w:val="none" w:sz="0" w:space="0" w:color="auto"/>
        <w:right w:val="none" w:sz="0" w:space="0" w:color="auto"/>
      </w:divBdr>
    </w:div>
    <w:div w:id="298072578">
      <w:bodyDiv w:val="1"/>
      <w:marLeft w:val="0"/>
      <w:marRight w:val="0"/>
      <w:marTop w:val="0"/>
      <w:marBottom w:val="0"/>
      <w:divBdr>
        <w:top w:val="none" w:sz="0" w:space="0" w:color="auto"/>
        <w:left w:val="none" w:sz="0" w:space="0" w:color="auto"/>
        <w:bottom w:val="none" w:sz="0" w:space="0" w:color="auto"/>
        <w:right w:val="none" w:sz="0" w:space="0" w:color="auto"/>
      </w:divBdr>
    </w:div>
    <w:div w:id="298074759">
      <w:bodyDiv w:val="1"/>
      <w:marLeft w:val="0"/>
      <w:marRight w:val="0"/>
      <w:marTop w:val="0"/>
      <w:marBottom w:val="0"/>
      <w:divBdr>
        <w:top w:val="none" w:sz="0" w:space="0" w:color="auto"/>
        <w:left w:val="none" w:sz="0" w:space="0" w:color="auto"/>
        <w:bottom w:val="none" w:sz="0" w:space="0" w:color="auto"/>
        <w:right w:val="none" w:sz="0" w:space="0" w:color="auto"/>
      </w:divBdr>
    </w:div>
    <w:div w:id="298535635">
      <w:bodyDiv w:val="1"/>
      <w:marLeft w:val="0"/>
      <w:marRight w:val="0"/>
      <w:marTop w:val="0"/>
      <w:marBottom w:val="0"/>
      <w:divBdr>
        <w:top w:val="none" w:sz="0" w:space="0" w:color="auto"/>
        <w:left w:val="none" w:sz="0" w:space="0" w:color="auto"/>
        <w:bottom w:val="none" w:sz="0" w:space="0" w:color="auto"/>
        <w:right w:val="none" w:sz="0" w:space="0" w:color="auto"/>
      </w:divBdr>
    </w:div>
    <w:div w:id="298537005">
      <w:bodyDiv w:val="1"/>
      <w:marLeft w:val="0"/>
      <w:marRight w:val="0"/>
      <w:marTop w:val="0"/>
      <w:marBottom w:val="0"/>
      <w:divBdr>
        <w:top w:val="none" w:sz="0" w:space="0" w:color="auto"/>
        <w:left w:val="none" w:sz="0" w:space="0" w:color="auto"/>
        <w:bottom w:val="none" w:sz="0" w:space="0" w:color="auto"/>
        <w:right w:val="none" w:sz="0" w:space="0" w:color="auto"/>
      </w:divBdr>
    </w:div>
    <w:div w:id="298725073">
      <w:bodyDiv w:val="1"/>
      <w:marLeft w:val="0"/>
      <w:marRight w:val="0"/>
      <w:marTop w:val="0"/>
      <w:marBottom w:val="0"/>
      <w:divBdr>
        <w:top w:val="none" w:sz="0" w:space="0" w:color="auto"/>
        <w:left w:val="none" w:sz="0" w:space="0" w:color="auto"/>
        <w:bottom w:val="none" w:sz="0" w:space="0" w:color="auto"/>
        <w:right w:val="none" w:sz="0" w:space="0" w:color="auto"/>
      </w:divBdr>
    </w:div>
    <w:div w:id="299500218">
      <w:bodyDiv w:val="1"/>
      <w:marLeft w:val="0"/>
      <w:marRight w:val="0"/>
      <w:marTop w:val="0"/>
      <w:marBottom w:val="0"/>
      <w:divBdr>
        <w:top w:val="none" w:sz="0" w:space="0" w:color="auto"/>
        <w:left w:val="none" w:sz="0" w:space="0" w:color="auto"/>
        <w:bottom w:val="none" w:sz="0" w:space="0" w:color="auto"/>
        <w:right w:val="none" w:sz="0" w:space="0" w:color="auto"/>
      </w:divBdr>
    </w:div>
    <w:div w:id="299648704">
      <w:bodyDiv w:val="1"/>
      <w:marLeft w:val="0"/>
      <w:marRight w:val="0"/>
      <w:marTop w:val="0"/>
      <w:marBottom w:val="0"/>
      <w:divBdr>
        <w:top w:val="none" w:sz="0" w:space="0" w:color="auto"/>
        <w:left w:val="none" w:sz="0" w:space="0" w:color="auto"/>
        <w:bottom w:val="none" w:sz="0" w:space="0" w:color="auto"/>
        <w:right w:val="none" w:sz="0" w:space="0" w:color="auto"/>
      </w:divBdr>
    </w:div>
    <w:div w:id="299963294">
      <w:bodyDiv w:val="1"/>
      <w:marLeft w:val="0"/>
      <w:marRight w:val="0"/>
      <w:marTop w:val="0"/>
      <w:marBottom w:val="0"/>
      <w:divBdr>
        <w:top w:val="none" w:sz="0" w:space="0" w:color="auto"/>
        <w:left w:val="none" w:sz="0" w:space="0" w:color="auto"/>
        <w:bottom w:val="none" w:sz="0" w:space="0" w:color="auto"/>
        <w:right w:val="none" w:sz="0" w:space="0" w:color="auto"/>
      </w:divBdr>
    </w:div>
    <w:div w:id="300119779">
      <w:bodyDiv w:val="1"/>
      <w:marLeft w:val="0"/>
      <w:marRight w:val="0"/>
      <w:marTop w:val="0"/>
      <w:marBottom w:val="0"/>
      <w:divBdr>
        <w:top w:val="none" w:sz="0" w:space="0" w:color="auto"/>
        <w:left w:val="none" w:sz="0" w:space="0" w:color="auto"/>
        <w:bottom w:val="none" w:sz="0" w:space="0" w:color="auto"/>
        <w:right w:val="none" w:sz="0" w:space="0" w:color="auto"/>
      </w:divBdr>
    </w:div>
    <w:div w:id="300379288">
      <w:bodyDiv w:val="1"/>
      <w:marLeft w:val="0"/>
      <w:marRight w:val="0"/>
      <w:marTop w:val="0"/>
      <w:marBottom w:val="0"/>
      <w:divBdr>
        <w:top w:val="none" w:sz="0" w:space="0" w:color="auto"/>
        <w:left w:val="none" w:sz="0" w:space="0" w:color="auto"/>
        <w:bottom w:val="none" w:sz="0" w:space="0" w:color="auto"/>
        <w:right w:val="none" w:sz="0" w:space="0" w:color="auto"/>
      </w:divBdr>
    </w:div>
    <w:div w:id="300579334">
      <w:bodyDiv w:val="1"/>
      <w:marLeft w:val="0"/>
      <w:marRight w:val="0"/>
      <w:marTop w:val="0"/>
      <w:marBottom w:val="0"/>
      <w:divBdr>
        <w:top w:val="none" w:sz="0" w:space="0" w:color="auto"/>
        <w:left w:val="none" w:sz="0" w:space="0" w:color="auto"/>
        <w:bottom w:val="none" w:sz="0" w:space="0" w:color="auto"/>
        <w:right w:val="none" w:sz="0" w:space="0" w:color="auto"/>
      </w:divBdr>
    </w:div>
    <w:div w:id="300964222">
      <w:bodyDiv w:val="1"/>
      <w:marLeft w:val="0"/>
      <w:marRight w:val="0"/>
      <w:marTop w:val="0"/>
      <w:marBottom w:val="0"/>
      <w:divBdr>
        <w:top w:val="none" w:sz="0" w:space="0" w:color="auto"/>
        <w:left w:val="none" w:sz="0" w:space="0" w:color="auto"/>
        <w:bottom w:val="none" w:sz="0" w:space="0" w:color="auto"/>
        <w:right w:val="none" w:sz="0" w:space="0" w:color="auto"/>
      </w:divBdr>
    </w:div>
    <w:div w:id="301270758">
      <w:bodyDiv w:val="1"/>
      <w:marLeft w:val="0"/>
      <w:marRight w:val="0"/>
      <w:marTop w:val="0"/>
      <w:marBottom w:val="0"/>
      <w:divBdr>
        <w:top w:val="none" w:sz="0" w:space="0" w:color="auto"/>
        <w:left w:val="none" w:sz="0" w:space="0" w:color="auto"/>
        <w:bottom w:val="none" w:sz="0" w:space="0" w:color="auto"/>
        <w:right w:val="none" w:sz="0" w:space="0" w:color="auto"/>
      </w:divBdr>
    </w:div>
    <w:div w:id="302318089">
      <w:bodyDiv w:val="1"/>
      <w:marLeft w:val="0"/>
      <w:marRight w:val="0"/>
      <w:marTop w:val="0"/>
      <w:marBottom w:val="0"/>
      <w:divBdr>
        <w:top w:val="none" w:sz="0" w:space="0" w:color="auto"/>
        <w:left w:val="none" w:sz="0" w:space="0" w:color="auto"/>
        <w:bottom w:val="none" w:sz="0" w:space="0" w:color="auto"/>
        <w:right w:val="none" w:sz="0" w:space="0" w:color="auto"/>
      </w:divBdr>
    </w:div>
    <w:div w:id="303318483">
      <w:bodyDiv w:val="1"/>
      <w:marLeft w:val="0"/>
      <w:marRight w:val="0"/>
      <w:marTop w:val="0"/>
      <w:marBottom w:val="0"/>
      <w:divBdr>
        <w:top w:val="none" w:sz="0" w:space="0" w:color="auto"/>
        <w:left w:val="none" w:sz="0" w:space="0" w:color="auto"/>
        <w:bottom w:val="none" w:sz="0" w:space="0" w:color="auto"/>
        <w:right w:val="none" w:sz="0" w:space="0" w:color="auto"/>
      </w:divBdr>
    </w:div>
    <w:div w:id="303390187">
      <w:bodyDiv w:val="1"/>
      <w:marLeft w:val="0"/>
      <w:marRight w:val="0"/>
      <w:marTop w:val="0"/>
      <w:marBottom w:val="0"/>
      <w:divBdr>
        <w:top w:val="none" w:sz="0" w:space="0" w:color="auto"/>
        <w:left w:val="none" w:sz="0" w:space="0" w:color="auto"/>
        <w:bottom w:val="none" w:sz="0" w:space="0" w:color="auto"/>
        <w:right w:val="none" w:sz="0" w:space="0" w:color="auto"/>
      </w:divBdr>
    </w:div>
    <w:div w:id="304049732">
      <w:bodyDiv w:val="1"/>
      <w:marLeft w:val="0"/>
      <w:marRight w:val="0"/>
      <w:marTop w:val="0"/>
      <w:marBottom w:val="0"/>
      <w:divBdr>
        <w:top w:val="none" w:sz="0" w:space="0" w:color="auto"/>
        <w:left w:val="none" w:sz="0" w:space="0" w:color="auto"/>
        <w:bottom w:val="none" w:sz="0" w:space="0" w:color="auto"/>
        <w:right w:val="none" w:sz="0" w:space="0" w:color="auto"/>
      </w:divBdr>
    </w:div>
    <w:div w:id="304353406">
      <w:bodyDiv w:val="1"/>
      <w:marLeft w:val="0"/>
      <w:marRight w:val="0"/>
      <w:marTop w:val="0"/>
      <w:marBottom w:val="0"/>
      <w:divBdr>
        <w:top w:val="none" w:sz="0" w:space="0" w:color="auto"/>
        <w:left w:val="none" w:sz="0" w:space="0" w:color="auto"/>
        <w:bottom w:val="none" w:sz="0" w:space="0" w:color="auto"/>
        <w:right w:val="none" w:sz="0" w:space="0" w:color="auto"/>
      </w:divBdr>
    </w:div>
    <w:div w:id="304702742">
      <w:bodyDiv w:val="1"/>
      <w:marLeft w:val="0"/>
      <w:marRight w:val="0"/>
      <w:marTop w:val="0"/>
      <w:marBottom w:val="0"/>
      <w:divBdr>
        <w:top w:val="none" w:sz="0" w:space="0" w:color="auto"/>
        <w:left w:val="none" w:sz="0" w:space="0" w:color="auto"/>
        <w:bottom w:val="none" w:sz="0" w:space="0" w:color="auto"/>
        <w:right w:val="none" w:sz="0" w:space="0" w:color="auto"/>
      </w:divBdr>
    </w:div>
    <w:div w:id="305932537">
      <w:bodyDiv w:val="1"/>
      <w:marLeft w:val="0"/>
      <w:marRight w:val="0"/>
      <w:marTop w:val="0"/>
      <w:marBottom w:val="0"/>
      <w:divBdr>
        <w:top w:val="none" w:sz="0" w:space="0" w:color="auto"/>
        <w:left w:val="none" w:sz="0" w:space="0" w:color="auto"/>
        <w:bottom w:val="none" w:sz="0" w:space="0" w:color="auto"/>
        <w:right w:val="none" w:sz="0" w:space="0" w:color="auto"/>
      </w:divBdr>
    </w:div>
    <w:div w:id="306128029">
      <w:bodyDiv w:val="1"/>
      <w:marLeft w:val="0"/>
      <w:marRight w:val="0"/>
      <w:marTop w:val="0"/>
      <w:marBottom w:val="0"/>
      <w:divBdr>
        <w:top w:val="none" w:sz="0" w:space="0" w:color="auto"/>
        <w:left w:val="none" w:sz="0" w:space="0" w:color="auto"/>
        <w:bottom w:val="none" w:sz="0" w:space="0" w:color="auto"/>
        <w:right w:val="none" w:sz="0" w:space="0" w:color="auto"/>
      </w:divBdr>
    </w:div>
    <w:div w:id="306328409">
      <w:bodyDiv w:val="1"/>
      <w:marLeft w:val="0"/>
      <w:marRight w:val="0"/>
      <w:marTop w:val="0"/>
      <w:marBottom w:val="0"/>
      <w:divBdr>
        <w:top w:val="none" w:sz="0" w:space="0" w:color="auto"/>
        <w:left w:val="none" w:sz="0" w:space="0" w:color="auto"/>
        <w:bottom w:val="none" w:sz="0" w:space="0" w:color="auto"/>
        <w:right w:val="none" w:sz="0" w:space="0" w:color="auto"/>
      </w:divBdr>
    </w:div>
    <w:div w:id="306471087">
      <w:bodyDiv w:val="1"/>
      <w:marLeft w:val="0"/>
      <w:marRight w:val="0"/>
      <w:marTop w:val="0"/>
      <w:marBottom w:val="0"/>
      <w:divBdr>
        <w:top w:val="none" w:sz="0" w:space="0" w:color="auto"/>
        <w:left w:val="none" w:sz="0" w:space="0" w:color="auto"/>
        <w:bottom w:val="none" w:sz="0" w:space="0" w:color="auto"/>
        <w:right w:val="none" w:sz="0" w:space="0" w:color="auto"/>
      </w:divBdr>
    </w:div>
    <w:div w:id="306595411">
      <w:bodyDiv w:val="1"/>
      <w:marLeft w:val="0"/>
      <w:marRight w:val="0"/>
      <w:marTop w:val="0"/>
      <w:marBottom w:val="0"/>
      <w:divBdr>
        <w:top w:val="none" w:sz="0" w:space="0" w:color="auto"/>
        <w:left w:val="none" w:sz="0" w:space="0" w:color="auto"/>
        <w:bottom w:val="none" w:sz="0" w:space="0" w:color="auto"/>
        <w:right w:val="none" w:sz="0" w:space="0" w:color="auto"/>
      </w:divBdr>
    </w:div>
    <w:div w:id="307368937">
      <w:bodyDiv w:val="1"/>
      <w:marLeft w:val="0"/>
      <w:marRight w:val="0"/>
      <w:marTop w:val="0"/>
      <w:marBottom w:val="0"/>
      <w:divBdr>
        <w:top w:val="none" w:sz="0" w:space="0" w:color="auto"/>
        <w:left w:val="none" w:sz="0" w:space="0" w:color="auto"/>
        <w:bottom w:val="none" w:sz="0" w:space="0" w:color="auto"/>
        <w:right w:val="none" w:sz="0" w:space="0" w:color="auto"/>
      </w:divBdr>
    </w:div>
    <w:div w:id="307709007">
      <w:bodyDiv w:val="1"/>
      <w:marLeft w:val="0"/>
      <w:marRight w:val="0"/>
      <w:marTop w:val="0"/>
      <w:marBottom w:val="0"/>
      <w:divBdr>
        <w:top w:val="none" w:sz="0" w:space="0" w:color="auto"/>
        <w:left w:val="none" w:sz="0" w:space="0" w:color="auto"/>
        <w:bottom w:val="none" w:sz="0" w:space="0" w:color="auto"/>
        <w:right w:val="none" w:sz="0" w:space="0" w:color="auto"/>
      </w:divBdr>
    </w:div>
    <w:div w:id="309091482">
      <w:bodyDiv w:val="1"/>
      <w:marLeft w:val="0"/>
      <w:marRight w:val="0"/>
      <w:marTop w:val="0"/>
      <w:marBottom w:val="0"/>
      <w:divBdr>
        <w:top w:val="none" w:sz="0" w:space="0" w:color="auto"/>
        <w:left w:val="none" w:sz="0" w:space="0" w:color="auto"/>
        <w:bottom w:val="none" w:sz="0" w:space="0" w:color="auto"/>
        <w:right w:val="none" w:sz="0" w:space="0" w:color="auto"/>
      </w:divBdr>
    </w:div>
    <w:div w:id="309142636">
      <w:bodyDiv w:val="1"/>
      <w:marLeft w:val="0"/>
      <w:marRight w:val="0"/>
      <w:marTop w:val="0"/>
      <w:marBottom w:val="0"/>
      <w:divBdr>
        <w:top w:val="none" w:sz="0" w:space="0" w:color="auto"/>
        <w:left w:val="none" w:sz="0" w:space="0" w:color="auto"/>
        <w:bottom w:val="none" w:sz="0" w:space="0" w:color="auto"/>
        <w:right w:val="none" w:sz="0" w:space="0" w:color="auto"/>
      </w:divBdr>
    </w:div>
    <w:div w:id="309289435">
      <w:bodyDiv w:val="1"/>
      <w:marLeft w:val="0"/>
      <w:marRight w:val="0"/>
      <w:marTop w:val="0"/>
      <w:marBottom w:val="0"/>
      <w:divBdr>
        <w:top w:val="none" w:sz="0" w:space="0" w:color="auto"/>
        <w:left w:val="none" w:sz="0" w:space="0" w:color="auto"/>
        <w:bottom w:val="none" w:sz="0" w:space="0" w:color="auto"/>
        <w:right w:val="none" w:sz="0" w:space="0" w:color="auto"/>
      </w:divBdr>
    </w:div>
    <w:div w:id="309794062">
      <w:bodyDiv w:val="1"/>
      <w:marLeft w:val="0"/>
      <w:marRight w:val="0"/>
      <w:marTop w:val="0"/>
      <w:marBottom w:val="0"/>
      <w:divBdr>
        <w:top w:val="none" w:sz="0" w:space="0" w:color="auto"/>
        <w:left w:val="none" w:sz="0" w:space="0" w:color="auto"/>
        <w:bottom w:val="none" w:sz="0" w:space="0" w:color="auto"/>
        <w:right w:val="none" w:sz="0" w:space="0" w:color="auto"/>
      </w:divBdr>
    </w:div>
    <w:div w:id="310867263">
      <w:bodyDiv w:val="1"/>
      <w:marLeft w:val="0"/>
      <w:marRight w:val="0"/>
      <w:marTop w:val="0"/>
      <w:marBottom w:val="0"/>
      <w:divBdr>
        <w:top w:val="none" w:sz="0" w:space="0" w:color="auto"/>
        <w:left w:val="none" w:sz="0" w:space="0" w:color="auto"/>
        <w:bottom w:val="none" w:sz="0" w:space="0" w:color="auto"/>
        <w:right w:val="none" w:sz="0" w:space="0" w:color="auto"/>
      </w:divBdr>
    </w:div>
    <w:div w:id="310910274">
      <w:bodyDiv w:val="1"/>
      <w:marLeft w:val="0"/>
      <w:marRight w:val="0"/>
      <w:marTop w:val="0"/>
      <w:marBottom w:val="0"/>
      <w:divBdr>
        <w:top w:val="none" w:sz="0" w:space="0" w:color="auto"/>
        <w:left w:val="none" w:sz="0" w:space="0" w:color="auto"/>
        <w:bottom w:val="none" w:sz="0" w:space="0" w:color="auto"/>
        <w:right w:val="none" w:sz="0" w:space="0" w:color="auto"/>
      </w:divBdr>
    </w:div>
    <w:div w:id="312680314">
      <w:bodyDiv w:val="1"/>
      <w:marLeft w:val="0"/>
      <w:marRight w:val="0"/>
      <w:marTop w:val="0"/>
      <w:marBottom w:val="0"/>
      <w:divBdr>
        <w:top w:val="none" w:sz="0" w:space="0" w:color="auto"/>
        <w:left w:val="none" w:sz="0" w:space="0" w:color="auto"/>
        <w:bottom w:val="none" w:sz="0" w:space="0" w:color="auto"/>
        <w:right w:val="none" w:sz="0" w:space="0" w:color="auto"/>
      </w:divBdr>
    </w:div>
    <w:div w:id="312833968">
      <w:bodyDiv w:val="1"/>
      <w:marLeft w:val="0"/>
      <w:marRight w:val="0"/>
      <w:marTop w:val="0"/>
      <w:marBottom w:val="0"/>
      <w:divBdr>
        <w:top w:val="none" w:sz="0" w:space="0" w:color="auto"/>
        <w:left w:val="none" w:sz="0" w:space="0" w:color="auto"/>
        <w:bottom w:val="none" w:sz="0" w:space="0" w:color="auto"/>
        <w:right w:val="none" w:sz="0" w:space="0" w:color="auto"/>
      </w:divBdr>
    </w:div>
    <w:div w:id="312876418">
      <w:bodyDiv w:val="1"/>
      <w:marLeft w:val="0"/>
      <w:marRight w:val="0"/>
      <w:marTop w:val="0"/>
      <w:marBottom w:val="0"/>
      <w:divBdr>
        <w:top w:val="none" w:sz="0" w:space="0" w:color="auto"/>
        <w:left w:val="none" w:sz="0" w:space="0" w:color="auto"/>
        <w:bottom w:val="none" w:sz="0" w:space="0" w:color="auto"/>
        <w:right w:val="none" w:sz="0" w:space="0" w:color="auto"/>
      </w:divBdr>
    </w:div>
    <w:div w:id="312952243">
      <w:bodyDiv w:val="1"/>
      <w:marLeft w:val="0"/>
      <w:marRight w:val="0"/>
      <w:marTop w:val="0"/>
      <w:marBottom w:val="0"/>
      <w:divBdr>
        <w:top w:val="none" w:sz="0" w:space="0" w:color="auto"/>
        <w:left w:val="none" w:sz="0" w:space="0" w:color="auto"/>
        <w:bottom w:val="none" w:sz="0" w:space="0" w:color="auto"/>
        <w:right w:val="none" w:sz="0" w:space="0" w:color="auto"/>
      </w:divBdr>
    </w:div>
    <w:div w:id="313875227">
      <w:bodyDiv w:val="1"/>
      <w:marLeft w:val="0"/>
      <w:marRight w:val="0"/>
      <w:marTop w:val="0"/>
      <w:marBottom w:val="0"/>
      <w:divBdr>
        <w:top w:val="none" w:sz="0" w:space="0" w:color="auto"/>
        <w:left w:val="none" w:sz="0" w:space="0" w:color="auto"/>
        <w:bottom w:val="none" w:sz="0" w:space="0" w:color="auto"/>
        <w:right w:val="none" w:sz="0" w:space="0" w:color="auto"/>
      </w:divBdr>
    </w:div>
    <w:div w:id="314191061">
      <w:bodyDiv w:val="1"/>
      <w:marLeft w:val="0"/>
      <w:marRight w:val="0"/>
      <w:marTop w:val="0"/>
      <w:marBottom w:val="0"/>
      <w:divBdr>
        <w:top w:val="none" w:sz="0" w:space="0" w:color="auto"/>
        <w:left w:val="none" w:sz="0" w:space="0" w:color="auto"/>
        <w:bottom w:val="none" w:sz="0" w:space="0" w:color="auto"/>
        <w:right w:val="none" w:sz="0" w:space="0" w:color="auto"/>
      </w:divBdr>
    </w:div>
    <w:div w:id="314342121">
      <w:bodyDiv w:val="1"/>
      <w:marLeft w:val="0"/>
      <w:marRight w:val="0"/>
      <w:marTop w:val="0"/>
      <w:marBottom w:val="0"/>
      <w:divBdr>
        <w:top w:val="none" w:sz="0" w:space="0" w:color="auto"/>
        <w:left w:val="none" w:sz="0" w:space="0" w:color="auto"/>
        <w:bottom w:val="none" w:sz="0" w:space="0" w:color="auto"/>
        <w:right w:val="none" w:sz="0" w:space="0" w:color="auto"/>
      </w:divBdr>
    </w:div>
    <w:div w:id="314838503">
      <w:bodyDiv w:val="1"/>
      <w:marLeft w:val="0"/>
      <w:marRight w:val="0"/>
      <w:marTop w:val="0"/>
      <w:marBottom w:val="0"/>
      <w:divBdr>
        <w:top w:val="none" w:sz="0" w:space="0" w:color="auto"/>
        <w:left w:val="none" w:sz="0" w:space="0" w:color="auto"/>
        <w:bottom w:val="none" w:sz="0" w:space="0" w:color="auto"/>
        <w:right w:val="none" w:sz="0" w:space="0" w:color="auto"/>
      </w:divBdr>
    </w:div>
    <w:div w:id="315306136">
      <w:bodyDiv w:val="1"/>
      <w:marLeft w:val="0"/>
      <w:marRight w:val="0"/>
      <w:marTop w:val="0"/>
      <w:marBottom w:val="0"/>
      <w:divBdr>
        <w:top w:val="none" w:sz="0" w:space="0" w:color="auto"/>
        <w:left w:val="none" w:sz="0" w:space="0" w:color="auto"/>
        <w:bottom w:val="none" w:sz="0" w:space="0" w:color="auto"/>
        <w:right w:val="none" w:sz="0" w:space="0" w:color="auto"/>
      </w:divBdr>
    </w:div>
    <w:div w:id="315375347">
      <w:bodyDiv w:val="1"/>
      <w:marLeft w:val="0"/>
      <w:marRight w:val="0"/>
      <w:marTop w:val="0"/>
      <w:marBottom w:val="0"/>
      <w:divBdr>
        <w:top w:val="none" w:sz="0" w:space="0" w:color="auto"/>
        <w:left w:val="none" w:sz="0" w:space="0" w:color="auto"/>
        <w:bottom w:val="none" w:sz="0" w:space="0" w:color="auto"/>
        <w:right w:val="none" w:sz="0" w:space="0" w:color="auto"/>
      </w:divBdr>
    </w:div>
    <w:div w:id="315426068">
      <w:bodyDiv w:val="1"/>
      <w:marLeft w:val="0"/>
      <w:marRight w:val="0"/>
      <w:marTop w:val="0"/>
      <w:marBottom w:val="0"/>
      <w:divBdr>
        <w:top w:val="none" w:sz="0" w:space="0" w:color="auto"/>
        <w:left w:val="none" w:sz="0" w:space="0" w:color="auto"/>
        <w:bottom w:val="none" w:sz="0" w:space="0" w:color="auto"/>
        <w:right w:val="none" w:sz="0" w:space="0" w:color="auto"/>
      </w:divBdr>
    </w:div>
    <w:div w:id="315689667">
      <w:bodyDiv w:val="1"/>
      <w:marLeft w:val="0"/>
      <w:marRight w:val="0"/>
      <w:marTop w:val="0"/>
      <w:marBottom w:val="0"/>
      <w:divBdr>
        <w:top w:val="none" w:sz="0" w:space="0" w:color="auto"/>
        <w:left w:val="none" w:sz="0" w:space="0" w:color="auto"/>
        <w:bottom w:val="none" w:sz="0" w:space="0" w:color="auto"/>
        <w:right w:val="none" w:sz="0" w:space="0" w:color="auto"/>
      </w:divBdr>
    </w:div>
    <w:div w:id="315694506">
      <w:bodyDiv w:val="1"/>
      <w:marLeft w:val="0"/>
      <w:marRight w:val="0"/>
      <w:marTop w:val="0"/>
      <w:marBottom w:val="0"/>
      <w:divBdr>
        <w:top w:val="none" w:sz="0" w:space="0" w:color="auto"/>
        <w:left w:val="none" w:sz="0" w:space="0" w:color="auto"/>
        <w:bottom w:val="none" w:sz="0" w:space="0" w:color="auto"/>
        <w:right w:val="none" w:sz="0" w:space="0" w:color="auto"/>
      </w:divBdr>
    </w:div>
    <w:div w:id="316495408">
      <w:bodyDiv w:val="1"/>
      <w:marLeft w:val="0"/>
      <w:marRight w:val="0"/>
      <w:marTop w:val="0"/>
      <w:marBottom w:val="0"/>
      <w:divBdr>
        <w:top w:val="none" w:sz="0" w:space="0" w:color="auto"/>
        <w:left w:val="none" w:sz="0" w:space="0" w:color="auto"/>
        <w:bottom w:val="none" w:sz="0" w:space="0" w:color="auto"/>
        <w:right w:val="none" w:sz="0" w:space="0" w:color="auto"/>
      </w:divBdr>
    </w:div>
    <w:div w:id="316571361">
      <w:bodyDiv w:val="1"/>
      <w:marLeft w:val="0"/>
      <w:marRight w:val="0"/>
      <w:marTop w:val="0"/>
      <w:marBottom w:val="0"/>
      <w:divBdr>
        <w:top w:val="none" w:sz="0" w:space="0" w:color="auto"/>
        <w:left w:val="none" w:sz="0" w:space="0" w:color="auto"/>
        <w:bottom w:val="none" w:sz="0" w:space="0" w:color="auto"/>
        <w:right w:val="none" w:sz="0" w:space="0" w:color="auto"/>
      </w:divBdr>
    </w:div>
    <w:div w:id="316614901">
      <w:bodyDiv w:val="1"/>
      <w:marLeft w:val="0"/>
      <w:marRight w:val="0"/>
      <w:marTop w:val="0"/>
      <w:marBottom w:val="0"/>
      <w:divBdr>
        <w:top w:val="none" w:sz="0" w:space="0" w:color="auto"/>
        <w:left w:val="none" w:sz="0" w:space="0" w:color="auto"/>
        <w:bottom w:val="none" w:sz="0" w:space="0" w:color="auto"/>
        <w:right w:val="none" w:sz="0" w:space="0" w:color="auto"/>
      </w:divBdr>
    </w:div>
    <w:div w:id="316999802">
      <w:bodyDiv w:val="1"/>
      <w:marLeft w:val="0"/>
      <w:marRight w:val="0"/>
      <w:marTop w:val="0"/>
      <w:marBottom w:val="0"/>
      <w:divBdr>
        <w:top w:val="none" w:sz="0" w:space="0" w:color="auto"/>
        <w:left w:val="none" w:sz="0" w:space="0" w:color="auto"/>
        <w:bottom w:val="none" w:sz="0" w:space="0" w:color="auto"/>
        <w:right w:val="none" w:sz="0" w:space="0" w:color="auto"/>
      </w:divBdr>
    </w:div>
    <w:div w:id="317851148">
      <w:bodyDiv w:val="1"/>
      <w:marLeft w:val="0"/>
      <w:marRight w:val="0"/>
      <w:marTop w:val="0"/>
      <w:marBottom w:val="0"/>
      <w:divBdr>
        <w:top w:val="none" w:sz="0" w:space="0" w:color="auto"/>
        <w:left w:val="none" w:sz="0" w:space="0" w:color="auto"/>
        <w:bottom w:val="none" w:sz="0" w:space="0" w:color="auto"/>
        <w:right w:val="none" w:sz="0" w:space="0" w:color="auto"/>
      </w:divBdr>
    </w:div>
    <w:div w:id="318191173">
      <w:bodyDiv w:val="1"/>
      <w:marLeft w:val="0"/>
      <w:marRight w:val="0"/>
      <w:marTop w:val="0"/>
      <w:marBottom w:val="0"/>
      <w:divBdr>
        <w:top w:val="none" w:sz="0" w:space="0" w:color="auto"/>
        <w:left w:val="none" w:sz="0" w:space="0" w:color="auto"/>
        <w:bottom w:val="none" w:sz="0" w:space="0" w:color="auto"/>
        <w:right w:val="none" w:sz="0" w:space="0" w:color="auto"/>
      </w:divBdr>
    </w:div>
    <w:div w:id="318659946">
      <w:bodyDiv w:val="1"/>
      <w:marLeft w:val="0"/>
      <w:marRight w:val="0"/>
      <w:marTop w:val="0"/>
      <w:marBottom w:val="0"/>
      <w:divBdr>
        <w:top w:val="none" w:sz="0" w:space="0" w:color="auto"/>
        <w:left w:val="none" w:sz="0" w:space="0" w:color="auto"/>
        <w:bottom w:val="none" w:sz="0" w:space="0" w:color="auto"/>
        <w:right w:val="none" w:sz="0" w:space="0" w:color="auto"/>
      </w:divBdr>
    </w:div>
    <w:div w:id="319962163">
      <w:bodyDiv w:val="1"/>
      <w:marLeft w:val="0"/>
      <w:marRight w:val="0"/>
      <w:marTop w:val="0"/>
      <w:marBottom w:val="0"/>
      <w:divBdr>
        <w:top w:val="none" w:sz="0" w:space="0" w:color="auto"/>
        <w:left w:val="none" w:sz="0" w:space="0" w:color="auto"/>
        <w:bottom w:val="none" w:sz="0" w:space="0" w:color="auto"/>
        <w:right w:val="none" w:sz="0" w:space="0" w:color="auto"/>
      </w:divBdr>
    </w:div>
    <w:div w:id="321129092">
      <w:bodyDiv w:val="1"/>
      <w:marLeft w:val="0"/>
      <w:marRight w:val="0"/>
      <w:marTop w:val="0"/>
      <w:marBottom w:val="0"/>
      <w:divBdr>
        <w:top w:val="none" w:sz="0" w:space="0" w:color="auto"/>
        <w:left w:val="none" w:sz="0" w:space="0" w:color="auto"/>
        <w:bottom w:val="none" w:sz="0" w:space="0" w:color="auto"/>
        <w:right w:val="none" w:sz="0" w:space="0" w:color="auto"/>
      </w:divBdr>
    </w:div>
    <w:div w:id="321279778">
      <w:bodyDiv w:val="1"/>
      <w:marLeft w:val="0"/>
      <w:marRight w:val="0"/>
      <w:marTop w:val="0"/>
      <w:marBottom w:val="0"/>
      <w:divBdr>
        <w:top w:val="none" w:sz="0" w:space="0" w:color="auto"/>
        <w:left w:val="none" w:sz="0" w:space="0" w:color="auto"/>
        <w:bottom w:val="none" w:sz="0" w:space="0" w:color="auto"/>
        <w:right w:val="none" w:sz="0" w:space="0" w:color="auto"/>
      </w:divBdr>
    </w:div>
    <w:div w:id="321396848">
      <w:bodyDiv w:val="1"/>
      <w:marLeft w:val="0"/>
      <w:marRight w:val="0"/>
      <w:marTop w:val="0"/>
      <w:marBottom w:val="0"/>
      <w:divBdr>
        <w:top w:val="none" w:sz="0" w:space="0" w:color="auto"/>
        <w:left w:val="none" w:sz="0" w:space="0" w:color="auto"/>
        <w:bottom w:val="none" w:sz="0" w:space="0" w:color="auto"/>
        <w:right w:val="none" w:sz="0" w:space="0" w:color="auto"/>
      </w:divBdr>
    </w:div>
    <w:div w:id="321814168">
      <w:bodyDiv w:val="1"/>
      <w:marLeft w:val="0"/>
      <w:marRight w:val="0"/>
      <w:marTop w:val="0"/>
      <w:marBottom w:val="0"/>
      <w:divBdr>
        <w:top w:val="none" w:sz="0" w:space="0" w:color="auto"/>
        <w:left w:val="none" w:sz="0" w:space="0" w:color="auto"/>
        <w:bottom w:val="none" w:sz="0" w:space="0" w:color="auto"/>
        <w:right w:val="none" w:sz="0" w:space="0" w:color="auto"/>
      </w:divBdr>
    </w:div>
    <w:div w:id="322053011">
      <w:bodyDiv w:val="1"/>
      <w:marLeft w:val="0"/>
      <w:marRight w:val="0"/>
      <w:marTop w:val="0"/>
      <w:marBottom w:val="0"/>
      <w:divBdr>
        <w:top w:val="none" w:sz="0" w:space="0" w:color="auto"/>
        <w:left w:val="none" w:sz="0" w:space="0" w:color="auto"/>
        <w:bottom w:val="none" w:sz="0" w:space="0" w:color="auto"/>
        <w:right w:val="none" w:sz="0" w:space="0" w:color="auto"/>
      </w:divBdr>
    </w:div>
    <w:div w:id="322588671">
      <w:bodyDiv w:val="1"/>
      <w:marLeft w:val="0"/>
      <w:marRight w:val="0"/>
      <w:marTop w:val="0"/>
      <w:marBottom w:val="0"/>
      <w:divBdr>
        <w:top w:val="none" w:sz="0" w:space="0" w:color="auto"/>
        <w:left w:val="none" w:sz="0" w:space="0" w:color="auto"/>
        <w:bottom w:val="none" w:sz="0" w:space="0" w:color="auto"/>
        <w:right w:val="none" w:sz="0" w:space="0" w:color="auto"/>
      </w:divBdr>
    </w:div>
    <w:div w:id="322708087">
      <w:bodyDiv w:val="1"/>
      <w:marLeft w:val="0"/>
      <w:marRight w:val="0"/>
      <w:marTop w:val="0"/>
      <w:marBottom w:val="0"/>
      <w:divBdr>
        <w:top w:val="none" w:sz="0" w:space="0" w:color="auto"/>
        <w:left w:val="none" w:sz="0" w:space="0" w:color="auto"/>
        <w:bottom w:val="none" w:sz="0" w:space="0" w:color="auto"/>
        <w:right w:val="none" w:sz="0" w:space="0" w:color="auto"/>
      </w:divBdr>
    </w:div>
    <w:div w:id="323439707">
      <w:bodyDiv w:val="1"/>
      <w:marLeft w:val="0"/>
      <w:marRight w:val="0"/>
      <w:marTop w:val="0"/>
      <w:marBottom w:val="0"/>
      <w:divBdr>
        <w:top w:val="none" w:sz="0" w:space="0" w:color="auto"/>
        <w:left w:val="none" w:sz="0" w:space="0" w:color="auto"/>
        <w:bottom w:val="none" w:sz="0" w:space="0" w:color="auto"/>
        <w:right w:val="none" w:sz="0" w:space="0" w:color="auto"/>
      </w:divBdr>
    </w:div>
    <w:div w:id="323628586">
      <w:bodyDiv w:val="1"/>
      <w:marLeft w:val="0"/>
      <w:marRight w:val="0"/>
      <w:marTop w:val="0"/>
      <w:marBottom w:val="0"/>
      <w:divBdr>
        <w:top w:val="none" w:sz="0" w:space="0" w:color="auto"/>
        <w:left w:val="none" w:sz="0" w:space="0" w:color="auto"/>
        <w:bottom w:val="none" w:sz="0" w:space="0" w:color="auto"/>
        <w:right w:val="none" w:sz="0" w:space="0" w:color="auto"/>
      </w:divBdr>
    </w:div>
    <w:div w:id="323944600">
      <w:bodyDiv w:val="1"/>
      <w:marLeft w:val="0"/>
      <w:marRight w:val="0"/>
      <w:marTop w:val="0"/>
      <w:marBottom w:val="0"/>
      <w:divBdr>
        <w:top w:val="none" w:sz="0" w:space="0" w:color="auto"/>
        <w:left w:val="none" w:sz="0" w:space="0" w:color="auto"/>
        <w:bottom w:val="none" w:sz="0" w:space="0" w:color="auto"/>
        <w:right w:val="none" w:sz="0" w:space="0" w:color="auto"/>
      </w:divBdr>
    </w:div>
    <w:div w:id="324600317">
      <w:bodyDiv w:val="1"/>
      <w:marLeft w:val="0"/>
      <w:marRight w:val="0"/>
      <w:marTop w:val="0"/>
      <w:marBottom w:val="0"/>
      <w:divBdr>
        <w:top w:val="none" w:sz="0" w:space="0" w:color="auto"/>
        <w:left w:val="none" w:sz="0" w:space="0" w:color="auto"/>
        <w:bottom w:val="none" w:sz="0" w:space="0" w:color="auto"/>
        <w:right w:val="none" w:sz="0" w:space="0" w:color="auto"/>
      </w:divBdr>
    </w:div>
    <w:div w:id="324943863">
      <w:bodyDiv w:val="1"/>
      <w:marLeft w:val="0"/>
      <w:marRight w:val="0"/>
      <w:marTop w:val="0"/>
      <w:marBottom w:val="0"/>
      <w:divBdr>
        <w:top w:val="none" w:sz="0" w:space="0" w:color="auto"/>
        <w:left w:val="none" w:sz="0" w:space="0" w:color="auto"/>
        <w:bottom w:val="none" w:sz="0" w:space="0" w:color="auto"/>
        <w:right w:val="none" w:sz="0" w:space="0" w:color="auto"/>
      </w:divBdr>
    </w:div>
    <w:div w:id="325789414">
      <w:bodyDiv w:val="1"/>
      <w:marLeft w:val="0"/>
      <w:marRight w:val="0"/>
      <w:marTop w:val="0"/>
      <w:marBottom w:val="0"/>
      <w:divBdr>
        <w:top w:val="none" w:sz="0" w:space="0" w:color="auto"/>
        <w:left w:val="none" w:sz="0" w:space="0" w:color="auto"/>
        <w:bottom w:val="none" w:sz="0" w:space="0" w:color="auto"/>
        <w:right w:val="none" w:sz="0" w:space="0" w:color="auto"/>
      </w:divBdr>
    </w:div>
    <w:div w:id="325977286">
      <w:bodyDiv w:val="1"/>
      <w:marLeft w:val="0"/>
      <w:marRight w:val="0"/>
      <w:marTop w:val="0"/>
      <w:marBottom w:val="0"/>
      <w:divBdr>
        <w:top w:val="none" w:sz="0" w:space="0" w:color="auto"/>
        <w:left w:val="none" w:sz="0" w:space="0" w:color="auto"/>
        <w:bottom w:val="none" w:sz="0" w:space="0" w:color="auto"/>
        <w:right w:val="none" w:sz="0" w:space="0" w:color="auto"/>
      </w:divBdr>
    </w:div>
    <w:div w:id="326128076">
      <w:bodyDiv w:val="1"/>
      <w:marLeft w:val="0"/>
      <w:marRight w:val="0"/>
      <w:marTop w:val="0"/>
      <w:marBottom w:val="0"/>
      <w:divBdr>
        <w:top w:val="none" w:sz="0" w:space="0" w:color="auto"/>
        <w:left w:val="none" w:sz="0" w:space="0" w:color="auto"/>
        <w:bottom w:val="none" w:sz="0" w:space="0" w:color="auto"/>
        <w:right w:val="none" w:sz="0" w:space="0" w:color="auto"/>
      </w:divBdr>
    </w:div>
    <w:div w:id="326136773">
      <w:bodyDiv w:val="1"/>
      <w:marLeft w:val="0"/>
      <w:marRight w:val="0"/>
      <w:marTop w:val="0"/>
      <w:marBottom w:val="0"/>
      <w:divBdr>
        <w:top w:val="none" w:sz="0" w:space="0" w:color="auto"/>
        <w:left w:val="none" w:sz="0" w:space="0" w:color="auto"/>
        <w:bottom w:val="none" w:sz="0" w:space="0" w:color="auto"/>
        <w:right w:val="none" w:sz="0" w:space="0" w:color="auto"/>
      </w:divBdr>
    </w:div>
    <w:div w:id="326255415">
      <w:bodyDiv w:val="1"/>
      <w:marLeft w:val="0"/>
      <w:marRight w:val="0"/>
      <w:marTop w:val="0"/>
      <w:marBottom w:val="0"/>
      <w:divBdr>
        <w:top w:val="none" w:sz="0" w:space="0" w:color="auto"/>
        <w:left w:val="none" w:sz="0" w:space="0" w:color="auto"/>
        <w:bottom w:val="none" w:sz="0" w:space="0" w:color="auto"/>
        <w:right w:val="none" w:sz="0" w:space="0" w:color="auto"/>
      </w:divBdr>
    </w:div>
    <w:div w:id="326784711">
      <w:bodyDiv w:val="1"/>
      <w:marLeft w:val="0"/>
      <w:marRight w:val="0"/>
      <w:marTop w:val="0"/>
      <w:marBottom w:val="0"/>
      <w:divBdr>
        <w:top w:val="none" w:sz="0" w:space="0" w:color="auto"/>
        <w:left w:val="none" w:sz="0" w:space="0" w:color="auto"/>
        <w:bottom w:val="none" w:sz="0" w:space="0" w:color="auto"/>
        <w:right w:val="none" w:sz="0" w:space="0" w:color="auto"/>
      </w:divBdr>
    </w:div>
    <w:div w:id="327251731">
      <w:bodyDiv w:val="1"/>
      <w:marLeft w:val="0"/>
      <w:marRight w:val="0"/>
      <w:marTop w:val="0"/>
      <w:marBottom w:val="0"/>
      <w:divBdr>
        <w:top w:val="none" w:sz="0" w:space="0" w:color="auto"/>
        <w:left w:val="none" w:sz="0" w:space="0" w:color="auto"/>
        <w:bottom w:val="none" w:sz="0" w:space="0" w:color="auto"/>
        <w:right w:val="none" w:sz="0" w:space="0" w:color="auto"/>
      </w:divBdr>
    </w:div>
    <w:div w:id="327560552">
      <w:bodyDiv w:val="1"/>
      <w:marLeft w:val="0"/>
      <w:marRight w:val="0"/>
      <w:marTop w:val="0"/>
      <w:marBottom w:val="0"/>
      <w:divBdr>
        <w:top w:val="none" w:sz="0" w:space="0" w:color="auto"/>
        <w:left w:val="none" w:sz="0" w:space="0" w:color="auto"/>
        <w:bottom w:val="none" w:sz="0" w:space="0" w:color="auto"/>
        <w:right w:val="none" w:sz="0" w:space="0" w:color="auto"/>
      </w:divBdr>
    </w:div>
    <w:div w:id="327944018">
      <w:bodyDiv w:val="1"/>
      <w:marLeft w:val="0"/>
      <w:marRight w:val="0"/>
      <w:marTop w:val="0"/>
      <w:marBottom w:val="0"/>
      <w:divBdr>
        <w:top w:val="none" w:sz="0" w:space="0" w:color="auto"/>
        <w:left w:val="none" w:sz="0" w:space="0" w:color="auto"/>
        <w:bottom w:val="none" w:sz="0" w:space="0" w:color="auto"/>
        <w:right w:val="none" w:sz="0" w:space="0" w:color="auto"/>
      </w:divBdr>
    </w:div>
    <w:div w:id="328018304">
      <w:bodyDiv w:val="1"/>
      <w:marLeft w:val="0"/>
      <w:marRight w:val="0"/>
      <w:marTop w:val="0"/>
      <w:marBottom w:val="0"/>
      <w:divBdr>
        <w:top w:val="none" w:sz="0" w:space="0" w:color="auto"/>
        <w:left w:val="none" w:sz="0" w:space="0" w:color="auto"/>
        <w:bottom w:val="none" w:sz="0" w:space="0" w:color="auto"/>
        <w:right w:val="none" w:sz="0" w:space="0" w:color="auto"/>
      </w:divBdr>
    </w:div>
    <w:div w:id="328097194">
      <w:bodyDiv w:val="1"/>
      <w:marLeft w:val="0"/>
      <w:marRight w:val="0"/>
      <w:marTop w:val="0"/>
      <w:marBottom w:val="0"/>
      <w:divBdr>
        <w:top w:val="none" w:sz="0" w:space="0" w:color="auto"/>
        <w:left w:val="none" w:sz="0" w:space="0" w:color="auto"/>
        <w:bottom w:val="none" w:sz="0" w:space="0" w:color="auto"/>
        <w:right w:val="none" w:sz="0" w:space="0" w:color="auto"/>
      </w:divBdr>
    </w:div>
    <w:div w:id="328290114">
      <w:bodyDiv w:val="1"/>
      <w:marLeft w:val="0"/>
      <w:marRight w:val="0"/>
      <w:marTop w:val="0"/>
      <w:marBottom w:val="0"/>
      <w:divBdr>
        <w:top w:val="none" w:sz="0" w:space="0" w:color="auto"/>
        <w:left w:val="none" w:sz="0" w:space="0" w:color="auto"/>
        <w:bottom w:val="none" w:sz="0" w:space="0" w:color="auto"/>
        <w:right w:val="none" w:sz="0" w:space="0" w:color="auto"/>
      </w:divBdr>
    </w:div>
    <w:div w:id="329409291">
      <w:bodyDiv w:val="1"/>
      <w:marLeft w:val="0"/>
      <w:marRight w:val="0"/>
      <w:marTop w:val="0"/>
      <w:marBottom w:val="0"/>
      <w:divBdr>
        <w:top w:val="none" w:sz="0" w:space="0" w:color="auto"/>
        <w:left w:val="none" w:sz="0" w:space="0" w:color="auto"/>
        <w:bottom w:val="none" w:sz="0" w:space="0" w:color="auto"/>
        <w:right w:val="none" w:sz="0" w:space="0" w:color="auto"/>
      </w:divBdr>
    </w:div>
    <w:div w:id="329599262">
      <w:bodyDiv w:val="1"/>
      <w:marLeft w:val="0"/>
      <w:marRight w:val="0"/>
      <w:marTop w:val="0"/>
      <w:marBottom w:val="0"/>
      <w:divBdr>
        <w:top w:val="none" w:sz="0" w:space="0" w:color="auto"/>
        <w:left w:val="none" w:sz="0" w:space="0" w:color="auto"/>
        <w:bottom w:val="none" w:sz="0" w:space="0" w:color="auto"/>
        <w:right w:val="none" w:sz="0" w:space="0" w:color="auto"/>
      </w:divBdr>
    </w:div>
    <w:div w:id="329648421">
      <w:bodyDiv w:val="1"/>
      <w:marLeft w:val="0"/>
      <w:marRight w:val="0"/>
      <w:marTop w:val="0"/>
      <w:marBottom w:val="0"/>
      <w:divBdr>
        <w:top w:val="none" w:sz="0" w:space="0" w:color="auto"/>
        <w:left w:val="none" w:sz="0" w:space="0" w:color="auto"/>
        <w:bottom w:val="none" w:sz="0" w:space="0" w:color="auto"/>
        <w:right w:val="none" w:sz="0" w:space="0" w:color="auto"/>
      </w:divBdr>
    </w:div>
    <w:div w:id="329720714">
      <w:bodyDiv w:val="1"/>
      <w:marLeft w:val="0"/>
      <w:marRight w:val="0"/>
      <w:marTop w:val="0"/>
      <w:marBottom w:val="0"/>
      <w:divBdr>
        <w:top w:val="none" w:sz="0" w:space="0" w:color="auto"/>
        <w:left w:val="none" w:sz="0" w:space="0" w:color="auto"/>
        <w:bottom w:val="none" w:sz="0" w:space="0" w:color="auto"/>
        <w:right w:val="none" w:sz="0" w:space="0" w:color="auto"/>
      </w:divBdr>
    </w:div>
    <w:div w:id="330135561">
      <w:bodyDiv w:val="1"/>
      <w:marLeft w:val="0"/>
      <w:marRight w:val="0"/>
      <w:marTop w:val="0"/>
      <w:marBottom w:val="0"/>
      <w:divBdr>
        <w:top w:val="none" w:sz="0" w:space="0" w:color="auto"/>
        <w:left w:val="none" w:sz="0" w:space="0" w:color="auto"/>
        <w:bottom w:val="none" w:sz="0" w:space="0" w:color="auto"/>
        <w:right w:val="none" w:sz="0" w:space="0" w:color="auto"/>
      </w:divBdr>
    </w:div>
    <w:div w:id="331109978">
      <w:bodyDiv w:val="1"/>
      <w:marLeft w:val="0"/>
      <w:marRight w:val="0"/>
      <w:marTop w:val="0"/>
      <w:marBottom w:val="0"/>
      <w:divBdr>
        <w:top w:val="none" w:sz="0" w:space="0" w:color="auto"/>
        <w:left w:val="none" w:sz="0" w:space="0" w:color="auto"/>
        <w:bottom w:val="none" w:sz="0" w:space="0" w:color="auto"/>
        <w:right w:val="none" w:sz="0" w:space="0" w:color="auto"/>
      </w:divBdr>
    </w:div>
    <w:div w:id="331298631">
      <w:bodyDiv w:val="1"/>
      <w:marLeft w:val="0"/>
      <w:marRight w:val="0"/>
      <w:marTop w:val="0"/>
      <w:marBottom w:val="0"/>
      <w:divBdr>
        <w:top w:val="none" w:sz="0" w:space="0" w:color="auto"/>
        <w:left w:val="none" w:sz="0" w:space="0" w:color="auto"/>
        <w:bottom w:val="none" w:sz="0" w:space="0" w:color="auto"/>
        <w:right w:val="none" w:sz="0" w:space="0" w:color="auto"/>
      </w:divBdr>
    </w:div>
    <w:div w:id="332416087">
      <w:bodyDiv w:val="1"/>
      <w:marLeft w:val="0"/>
      <w:marRight w:val="0"/>
      <w:marTop w:val="0"/>
      <w:marBottom w:val="0"/>
      <w:divBdr>
        <w:top w:val="none" w:sz="0" w:space="0" w:color="auto"/>
        <w:left w:val="none" w:sz="0" w:space="0" w:color="auto"/>
        <w:bottom w:val="none" w:sz="0" w:space="0" w:color="auto"/>
        <w:right w:val="none" w:sz="0" w:space="0" w:color="auto"/>
      </w:divBdr>
    </w:div>
    <w:div w:id="332801311">
      <w:bodyDiv w:val="1"/>
      <w:marLeft w:val="0"/>
      <w:marRight w:val="0"/>
      <w:marTop w:val="0"/>
      <w:marBottom w:val="0"/>
      <w:divBdr>
        <w:top w:val="none" w:sz="0" w:space="0" w:color="auto"/>
        <w:left w:val="none" w:sz="0" w:space="0" w:color="auto"/>
        <w:bottom w:val="none" w:sz="0" w:space="0" w:color="auto"/>
        <w:right w:val="none" w:sz="0" w:space="0" w:color="auto"/>
      </w:divBdr>
    </w:div>
    <w:div w:id="332881505">
      <w:bodyDiv w:val="1"/>
      <w:marLeft w:val="0"/>
      <w:marRight w:val="0"/>
      <w:marTop w:val="0"/>
      <w:marBottom w:val="0"/>
      <w:divBdr>
        <w:top w:val="none" w:sz="0" w:space="0" w:color="auto"/>
        <w:left w:val="none" w:sz="0" w:space="0" w:color="auto"/>
        <w:bottom w:val="none" w:sz="0" w:space="0" w:color="auto"/>
        <w:right w:val="none" w:sz="0" w:space="0" w:color="auto"/>
      </w:divBdr>
    </w:div>
    <w:div w:id="333189467">
      <w:bodyDiv w:val="1"/>
      <w:marLeft w:val="0"/>
      <w:marRight w:val="0"/>
      <w:marTop w:val="0"/>
      <w:marBottom w:val="0"/>
      <w:divBdr>
        <w:top w:val="none" w:sz="0" w:space="0" w:color="auto"/>
        <w:left w:val="none" w:sz="0" w:space="0" w:color="auto"/>
        <w:bottom w:val="none" w:sz="0" w:space="0" w:color="auto"/>
        <w:right w:val="none" w:sz="0" w:space="0" w:color="auto"/>
      </w:divBdr>
    </w:div>
    <w:div w:id="333458744">
      <w:bodyDiv w:val="1"/>
      <w:marLeft w:val="0"/>
      <w:marRight w:val="0"/>
      <w:marTop w:val="0"/>
      <w:marBottom w:val="0"/>
      <w:divBdr>
        <w:top w:val="none" w:sz="0" w:space="0" w:color="auto"/>
        <w:left w:val="none" w:sz="0" w:space="0" w:color="auto"/>
        <w:bottom w:val="none" w:sz="0" w:space="0" w:color="auto"/>
        <w:right w:val="none" w:sz="0" w:space="0" w:color="auto"/>
      </w:divBdr>
    </w:div>
    <w:div w:id="333533697">
      <w:bodyDiv w:val="1"/>
      <w:marLeft w:val="0"/>
      <w:marRight w:val="0"/>
      <w:marTop w:val="0"/>
      <w:marBottom w:val="0"/>
      <w:divBdr>
        <w:top w:val="none" w:sz="0" w:space="0" w:color="auto"/>
        <w:left w:val="none" w:sz="0" w:space="0" w:color="auto"/>
        <w:bottom w:val="none" w:sz="0" w:space="0" w:color="auto"/>
        <w:right w:val="none" w:sz="0" w:space="0" w:color="auto"/>
      </w:divBdr>
    </w:div>
    <w:div w:id="333996493">
      <w:bodyDiv w:val="1"/>
      <w:marLeft w:val="0"/>
      <w:marRight w:val="0"/>
      <w:marTop w:val="0"/>
      <w:marBottom w:val="0"/>
      <w:divBdr>
        <w:top w:val="none" w:sz="0" w:space="0" w:color="auto"/>
        <w:left w:val="none" w:sz="0" w:space="0" w:color="auto"/>
        <w:bottom w:val="none" w:sz="0" w:space="0" w:color="auto"/>
        <w:right w:val="none" w:sz="0" w:space="0" w:color="auto"/>
      </w:divBdr>
    </w:div>
    <w:div w:id="334187753">
      <w:bodyDiv w:val="1"/>
      <w:marLeft w:val="0"/>
      <w:marRight w:val="0"/>
      <w:marTop w:val="0"/>
      <w:marBottom w:val="0"/>
      <w:divBdr>
        <w:top w:val="none" w:sz="0" w:space="0" w:color="auto"/>
        <w:left w:val="none" w:sz="0" w:space="0" w:color="auto"/>
        <w:bottom w:val="none" w:sz="0" w:space="0" w:color="auto"/>
        <w:right w:val="none" w:sz="0" w:space="0" w:color="auto"/>
      </w:divBdr>
    </w:div>
    <w:div w:id="334235944">
      <w:bodyDiv w:val="1"/>
      <w:marLeft w:val="0"/>
      <w:marRight w:val="0"/>
      <w:marTop w:val="0"/>
      <w:marBottom w:val="0"/>
      <w:divBdr>
        <w:top w:val="none" w:sz="0" w:space="0" w:color="auto"/>
        <w:left w:val="none" w:sz="0" w:space="0" w:color="auto"/>
        <w:bottom w:val="none" w:sz="0" w:space="0" w:color="auto"/>
        <w:right w:val="none" w:sz="0" w:space="0" w:color="auto"/>
      </w:divBdr>
    </w:div>
    <w:div w:id="334306990">
      <w:bodyDiv w:val="1"/>
      <w:marLeft w:val="0"/>
      <w:marRight w:val="0"/>
      <w:marTop w:val="0"/>
      <w:marBottom w:val="0"/>
      <w:divBdr>
        <w:top w:val="none" w:sz="0" w:space="0" w:color="auto"/>
        <w:left w:val="none" w:sz="0" w:space="0" w:color="auto"/>
        <w:bottom w:val="none" w:sz="0" w:space="0" w:color="auto"/>
        <w:right w:val="none" w:sz="0" w:space="0" w:color="auto"/>
      </w:divBdr>
    </w:div>
    <w:div w:id="334458166">
      <w:bodyDiv w:val="1"/>
      <w:marLeft w:val="0"/>
      <w:marRight w:val="0"/>
      <w:marTop w:val="0"/>
      <w:marBottom w:val="0"/>
      <w:divBdr>
        <w:top w:val="none" w:sz="0" w:space="0" w:color="auto"/>
        <w:left w:val="none" w:sz="0" w:space="0" w:color="auto"/>
        <w:bottom w:val="none" w:sz="0" w:space="0" w:color="auto"/>
        <w:right w:val="none" w:sz="0" w:space="0" w:color="auto"/>
      </w:divBdr>
    </w:div>
    <w:div w:id="334765308">
      <w:bodyDiv w:val="1"/>
      <w:marLeft w:val="0"/>
      <w:marRight w:val="0"/>
      <w:marTop w:val="0"/>
      <w:marBottom w:val="0"/>
      <w:divBdr>
        <w:top w:val="none" w:sz="0" w:space="0" w:color="auto"/>
        <w:left w:val="none" w:sz="0" w:space="0" w:color="auto"/>
        <w:bottom w:val="none" w:sz="0" w:space="0" w:color="auto"/>
        <w:right w:val="none" w:sz="0" w:space="0" w:color="auto"/>
      </w:divBdr>
    </w:div>
    <w:div w:id="334768161">
      <w:bodyDiv w:val="1"/>
      <w:marLeft w:val="0"/>
      <w:marRight w:val="0"/>
      <w:marTop w:val="0"/>
      <w:marBottom w:val="0"/>
      <w:divBdr>
        <w:top w:val="none" w:sz="0" w:space="0" w:color="auto"/>
        <w:left w:val="none" w:sz="0" w:space="0" w:color="auto"/>
        <w:bottom w:val="none" w:sz="0" w:space="0" w:color="auto"/>
        <w:right w:val="none" w:sz="0" w:space="0" w:color="auto"/>
      </w:divBdr>
    </w:div>
    <w:div w:id="335302576">
      <w:bodyDiv w:val="1"/>
      <w:marLeft w:val="0"/>
      <w:marRight w:val="0"/>
      <w:marTop w:val="0"/>
      <w:marBottom w:val="0"/>
      <w:divBdr>
        <w:top w:val="none" w:sz="0" w:space="0" w:color="auto"/>
        <w:left w:val="none" w:sz="0" w:space="0" w:color="auto"/>
        <w:bottom w:val="none" w:sz="0" w:space="0" w:color="auto"/>
        <w:right w:val="none" w:sz="0" w:space="0" w:color="auto"/>
      </w:divBdr>
    </w:div>
    <w:div w:id="335957086">
      <w:bodyDiv w:val="1"/>
      <w:marLeft w:val="0"/>
      <w:marRight w:val="0"/>
      <w:marTop w:val="0"/>
      <w:marBottom w:val="0"/>
      <w:divBdr>
        <w:top w:val="none" w:sz="0" w:space="0" w:color="auto"/>
        <w:left w:val="none" w:sz="0" w:space="0" w:color="auto"/>
        <w:bottom w:val="none" w:sz="0" w:space="0" w:color="auto"/>
        <w:right w:val="none" w:sz="0" w:space="0" w:color="auto"/>
      </w:divBdr>
    </w:div>
    <w:div w:id="336032375">
      <w:bodyDiv w:val="1"/>
      <w:marLeft w:val="0"/>
      <w:marRight w:val="0"/>
      <w:marTop w:val="0"/>
      <w:marBottom w:val="0"/>
      <w:divBdr>
        <w:top w:val="none" w:sz="0" w:space="0" w:color="auto"/>
        <w:left w:val="none" w:sz="0" w:space="0" w:color="auto"/>
        <w:bottom w:val="none" w:sz="0" w:space="0" w:color="auto"/>
        <w:right w:val="none" w:sz="0" w:space="0" w:color="auto"/>
      </w:divBdr>
    </w:div>
    <w:div w:id="336348931">
      <w:bodyDiv w:val="1"/>
      <w:marLeft w:val="0"/>
      <w:marRight w:val="0"/>
      <w:marTop w:val="0"/>
      <w:marBottom w:val="0"/>
      <w:divBdr>
        <w:top w:val="none" w:sz="0" w:space="0" w:color="auto"/>
        <w:left w:val="none" w:sz="0" w:space="0" w:color="auto"/>
        <w:bottom w:val="none" w:sz="0" w:space="0" w:color="auto"/>
        <w:right w:val="none" w:sz="0" w:space="0" w:color="auto"/>
      </w:divBdr>
    </w:div>
    <w:div w:id="337005387">
      <w:bodyDiv w:val="1"/>
      <w:marLeft w:val="0"/>
      <w:marRight w:val="0"/>
      <w:marTop w:val="0"/>
      <w:marBottom w:val="0"/>
      <w:divBdr>
        <w:top w:val="none" w:sz="0" w:space="0" w:color="auto"/>
        <w:left w:val="none" w:sz="0" w:space="0" w:color="auto"/>
        <w:bottom w:val="none" w:sz="0" w:space="0" w:color="auto"/>
        <w:right w:val="none" w:sz="0" w:space="0" w:color="auto"/>
      </w:divBdr>
    </w:div>
    <w:div w:id="337200200">
      <w:bodyDiv w:val="1"/>
      <w:marLeft w:val="0"/>
      <w:marRight w:val="0"/>
      <w:marTop w:val="0"/>
      <w:marBottom w:val="0"/>
      <w:divBdr>
        <w:top w:val="none" w:sz="0" w:space="0" w:color="auto"/>
        <w:left w:val="none" w:sz="0" w:space="0" w:color="auto"/>
        <w:bottom w:val="none" w:sz="0" w:space="0" w:color="auto"/>
        <w:right w:val="none" w:sz="0" w:space="0" w:color="auto"/>
      </w:divBdr>
    </w:div>
    <w:div w:id="337386497">
      <w:bodyDiv w:val="1"/>
      <w:marLeft w:val="0"/>
      <w:marRight w:val="0"/>
      <w:marTop w:val="0"/>
      <w:marBottom w:val="0"/>
      <w:divBdr>
        <w:top w:val="none" w:sz="0" w:space="0" w:color="auto"/>
        <w:left w:val="none" w:sz="0" w:space="0" w:color="auto"/>
        <w:bottom w:val="none" w:sz="0" w:space="0" w:color="auto"/>
        <w:right w:val="none" w:sz="0" w:space="0" w:color="auto"/>
      </w:divBdr>
    </w:div>
    <w:div w:id="338626601">
      <w:bodyDiv w:val="1"/>
      <w:marLeft w:val="0"/>
      <w:marRight w:val="0"/>
      <w:marTop w:val="0"/>
      <w:marBottom w:val="0"/>
      <w:divBdr>
        <w:top w:val="none" w:sz="0" w:space="0" w:color="auto"/>
        <w:left w:val="none" w:sz="0" w:space="0" w:color="auto"/>
        <w:bottom w:val="none" w:sz="0" w:space="0" w:color="auto"/>
        <w:right w:val="none" w:sz="0" w:space="0" w:color="auto"/>
      </w:divBdr>
    </w:div>
    <w:div w:id="338655146">
      <w:bodyDiv w:val="1"/>
      <w:marLeft w:val="0"/>
      <w:marRight w:val="0"/>
      <w:marTop w:val="0"/>
      <w:marBottom w:val="0"/>
      <w:divBdr>
        <w:top w:val="none" w:sz="0" w:space="0" w:color="auto"/>
        <w:left w:val="none" w:sz="0" w:space="0" w:color="auto"/>
        <w:bottom w:val="none" w:sz="0" w:space="0" w:color="auto"/>
        <w:right w:val="none" w:sz="0" w:space="0" w:color="auto"/>
      </w:divBdr>
    </w:div>
    <w:div w:id="340085540">
      <w:bodyDiv w:val="1"/>
      <w:marLeft w:val="0"/>
      <w:marRight w:val="0"/>
      <w:marTop w:val="0"/>
      <w:marBottom w:val="0"/>
      <w:divBdr>
        <w:top w:val="none" w:sz="0" w:space="0" w:color="auto"/>
        <w:left w:val="none" w:sz="0" w:space="0" w:color="auto"/>
        <w:bottom w:val="none" w:sz="0" w:space="0" w:color="auto"/>
        <w:right w:val="none" w:sz="0" w:space="0" w:color="auto"/>
      </w:divBdr>
    </w:div>
    <w:div w:id="340934917">
      <w:bodyDiv w:val="1"/>
      <w:marLeft w:val="0"/>
      <w:marRight w:val="0"/>
      <w:marTop w:val="0"/>
      <w:marBottom w:val="0"/>
      <w:divBdr>
        <w:top w:val="none" w:sz="0" w:space="0" w:color="auto"/>
        <w:left w:val="none" w:sz="0" w:space="0" w:color="auto"/>
        <w:bottom w:val="none" w:sz="0" w:space="0" w:color="auto"/>
        <w:right w:val="none" w:sz="0" w:space="0" w:color="auto"/>
      </w:divBdr>
    </w:div>
    <w:div w:id="341057478">
      <w:bodyDiv w:val="1"/>
      <w:marLeft w:val="0"/>
      <w:marRight w:val="0"/>
      <w:marTop w:val="0"/>
      <w:marBottom w:val="0"/>
      <w:divBdr>
        <w:top w:val="none" w:sz="0" w:space="0" w:color="auto"/>
        <w:left w:val="none" w:sz="0" w:space="0" w:color="auto"/>
        <w:bottom w:val="none" w:sz="0" w:space="0" w:color="auto"/>
        <w:right w:val="none" w:sz="0" w:space="0" w:color="auto"/>
      </w:divBdr>
    </w:div>
    <w:div w:id="341127870">
      <w:bodyDiv w:val="1"/>
      <w:marLeft w:val="0"/>
      <w:marRight w:val="0"/>
      <w:marTop w:val="0"/>
      <w:marBottom w:val="0"/>
      <w:divBdr>
        <w:top w:val="none" w:sz="0" w:space="0" w:color="auto"/>
        <w:left w:val="none" w:sz="0" w:space="0" w:color="auto"/>
        <w:bottom w:val="none" w:sz="0" w:space="0" w:color="auto"/>
        <w:right w:val="none" w:sz="0" w:space="0" w:color="auto"/>
      </w:divBdr>
    </w:div>
    <w:div w:id="341666129">
      <w:bodyDiv w:val="1"/>
      <w:marLeft w:val="0"/>
      <w:marRight w:val="0"/>
      <w:marTop w:val="0"/>
      <w:marBottom w:val="0"/>
      <w:divBdr>
        <w:top w:val="none" w:sz="0" w:space="0" w:color="auto"/>
        <w:left w:val="none" w:sz="0" w:space="0" w:color="auto"/>
        <w:bottom w:val="none" w:sz="0" w:space="0" w:color="auto"/>
        <w:right w:val="none" w:sz="0" w:space="0" w:color="auto"/>
      </w:divBdr>
    </w:div>
    <w:div w:id="341934038">
      <w:bodyDiv w:val="1"/>
      <w:marLeft w:val="0"/>
      <w:marRight w:val="0"/>
      <w:marTop w:val="0"/>
      <w:marBottom w:val="0"/>
      <w:divBdr>
        <w:top w:val="none" w:sz="0" w:space="0" w:color="auto"/>
        <w:left w:val="none" w:sz="0" w:space="0" w:color="auto"/>
        <w:bottom w:val="none" w:sz="0" w:space="0" w:color="auto"/>
        <w:right w:val="none" w:sz="0" w:space="0" w:color="auto"/>
      </w:divBdr>
    </w:div>
    <w:div w:id="342049732">
      <w:bodyDiv w:val="1"/>
      <w:marLeft w:val="0"/>
      <w:marRight w:val="0"/>
      <w:marTop w:val="0"/>
      <w:marBottom w:val="0"/>
      <w:divBdr>
        <w:top w:val="none" w:sz="0" w:space="0" w:color="auto"/>
        <w:left w:val="none" w:sz="0" w:space="0" w:color="auto"/>
        <w:bottom w:val="none" w:sz="0" w:space="0" w:color="auto"/>
        <w:right w:val="none" w:sz="0" w:space="0" w:color="auto"/>
      </w:divBdr>
    </w:div>
    <w:div w:id="342247044">
      <w:bodyDiv w:val="1"/>
      <w:marLeft w:val="0"/>
      <w:marRight w:val="0"/>
      <w:marTop w:val="0"/>
      <w:marBottom w:val="0"/>
      <w:divBdr>
        <w:top w:val="none" w:sz="0" w:space="0" w:color="auto"/>
        <w:left w:val="none" w:sz="0" w:space="0" w:color="auto"/>
        <w:bottom w:val="none" w:sz="0" w:space="0" w:color="auto"/>
        <w:right w:val="none" w:sz="0" w:space="0" w:color="auto"/>
      </w:divBdr>
    </w:div>
    <w:div w:id="343823037">
      <w:bodyDiv w:val="1"/>
      <w:marLeft w:val="0"/>
      <w:marRight w:val="0"/>
      <w:marTop w:val="0"/>
      <w:marBottom w:val="0"/>
      <w:divBdr>
        <w:top w:val="none" w:sz="0" w:space="0" w:color="auto"/>
        <w:left w:val="none" w:sz="0" w:space="0" w:color="auto"/>
        <w:bottom w:val="none" w:sz="0" w:space="0" w:color="auto"/>
        <w:right w:val="none" w:sz="0" w:space="0" w:color="auto"/>
      </w:divBdr>
    </w:div>
    <w:div w:id="344089109">
      <w:bodyDiv w:val="1"/>
      <w:marLeft w:val="0"/>
      <w:marRight w:val="0"/>
      <w:marTop w:val="0"/>
      <w:marBottom w:val="0"/>
      <w:divBdr>
        <w:top w:val="none" w:sz="0" w:space="0" w:color="auto"/>
        <w:left w:val="none" w:sz="0" w:space="0" w:color="auto"/>
        <w:bottom w:val="none" w:sz="0" w:space="0" w:color="auto"/>
        <w:right w:val="none" w:sz="0" w:space="0" w:color="auto"/>
      </w:divBdr>
    </w:div>
    <w:div w:id="344601062">
      <w:bodyDiv w:val="1"/>
      <w:marLeft w:val="0"/>
      <w:marRight w:val="0"/>
      <w:marTop w:val="0"/>
      <w:marBottom w:val="0"/>
      <w:divBdr>
        <w:top w:val="none" w:sz="0" w:space="0" w:color="auto"/>
        <w:left w:val="none" w:sz="0" w:space="0" w:color="auto"/>
        <w:bottom w:val="none" w:sz="0" w:space="0" w:color="auto"/>
        <w:right w:val="none" w:sz="0" w:space="0" w:color="auto"/>
      </w:divBdr>
    </w:div>
    <w:div w:id="344751895">
      <w:bodyDiv w:val="1"/>
      <w:marLeft w:val="0"/>
      <w:marRight w:val="0"/>
      <w:marTop w:val="0"/>
      <w:marBottom w:val="0"/>
      <w:divBdr>
        <w:top w:val="none" w:sz="0" w:space="0" w:color="auto"/>
        <w:left w:val="none" w:sz="0" w:space="0" w:color="auto"/>
        <w:bottom w:val="none" w:sz="0" w:space="0" w:color="auto"/>
        <w:right w:val="none" w:sz="0" w:space="0" w:color="auto"/>
      </w:divBdr>
    </w:div>
    <w:div w:id="345135826">
      <w:bodyDiv w:val="1"/>
      <w:marLeft w:val="0"/>
      <w:marRight w:val="0"/>
      <w:marTop w:val="0"/>
      <w:marBottom w:val="0"/>
      <w:divBdr>
        <w:top w:val="none" w:sz="0" w:space="0" w:color="auto"/>
        <w:left w:val="none" w:sz="0" w:space="0" w:color="auto"/>
        <w:bottom w:val="none" w:sz="0" w:space="0" w:color="auto"/>
        <w:right w:val="none" w:sz="0" w:space="0" w:color="auto"/>
      </w:divBdr>
    </w:div>
    <w:div w:id="345862963">
      <w:bodyDiv w:val="1"/>
      <w:marLeft w:val="0"/>
      <w:marRight w:val="0"/>
      <w:marTop w:val="0"/>
      <w:marBottom w:val="0"/>
      <w:divBdr>
        <w:top w:val="none" w:sz="0" w:space="0" w:color="auto"/>
        <w:left w:val="none" w:sz="0" w:space="0" w:color="auto"/>
        <w:bottom w:val="none" w:sz="0" w:space="0" w:color="auto"/>
        <w:right w:val="none" w:sz="0" w:space="0" w:color="auto"/>
      </w:divBdr>
    </w:div>
    <w:div w:id="347294802">
      <w:bodyDiv w:val="1"/>
      <w:marLeft w:val="0"/>
      <w:marRight w:val="0"/>
      <w:marTop w:val="0"/>
      <w:marBottom w:val="0"/>
      <w:divBdr>
        <w:top w:val="none" w:sz="0" w:space="0" w:color="auto"/>
        <w:left w:val="none" w:sz="0" w:space="0" w:color="auto"/>
        <w:bottom w:val="none" w:sz="0" w:space="0" w:color="auto"/>
        <w:right w:val="none" w:sz="0" w:space="0" w:color="auto"/>
      </w:divBdr>
    </w:div>
    <w:div w:id="347490497">
      <w:bodyDiv w:val="1"/>
      <w:marLeft w:val="0"/>
      <w:marRight w:val="0"/>
      <w:marTop w:val="0"/>
      <w:marBottom w:val="0"/>
      <w:divBdr>
        <w:top w:val="none" w:sz="0" w:space="0" w:color="auto"/>
        <w:left w:val="none" w:sz="0" w:space="0" w:color="auto"/>
        <w:bottom w:val="none" w:sz="0" w:space="0" w:color="auto"/>
        <w:right w:val="none" w:sz="0" w:space="0" w:color="auto"/>
      </w:divBdr>
    </w:div>
    <w:div w:id="347757244">
      <w:bodyDiv w:val="1"/>
      <w:marLeft w:val="0"/>
      <w:marRight w:val="0"/>
      <w:marTop w:val="0"/>
      <w:marBottom w:val="0"/>
      <w:divBdr>
        <w:top w:val="none" w:sz="0" w:space="0" w:color="auto"/>
        <w:left w:val="none" w:sz="0" w:space="0" w:color="auto"/>
        <w:bottom w:val="none" w:sz="0" w:space="0" w:color="auto"/>
        <w:right w:val="none" w:sz="0" w:space="0" w:color="auto"/>
      </w:divBdr>
    </w:div>
    <w:div w:id="348289629">
      <w:bodyDiv w:val="1"/>
      <w:marLeft w:val="0"/>
      <w:marRight w:val="0"/>
      <w:marTop w:val="0"/>
      <w:marBottom w:val="0"/>
      <w:divBdr>
        <w:top w:val="none" w:sz="0" w:space="0" w:color="auto"/>
        <w:left w:val="none" w:sz="0" w:space="0" w:color="auto"/>
        <w:bottom w:val="none" w:sz="0" w:space="0" w:color="auto"/>
        <w:right w:val="none" w:sz="0" w:space="0" w:color="auto"/>
      </w:divBdr>
    </w:div>
    <w:div w:id="348801836">
      <w:bodyDiv w:val="1"/>
      <w:marLeft w:val="0"/>
      <w:marRight w:val="0"/>
      <w:marTop w:val="0"/>
      <w:marBottom w:val="0"/>
      <w:divBdr>
        <w:top w:val="none" w:sz="0" w:space="0" w:color="auto"/>
        <w:left w:val="none" w:sz="0" w:space="0" w:color="auto"/>
        <w:bottom w:val="none" w:sz="0" w:space="0" w:color="auto"/>
        <w:right w:val="none" w:sz="0" w:space="0" w:color="auto"/>
      </w:divBdr>
    </w:div>
    <w:div w:id="349263721">
      <w:bodyDiv w:val="1"/>
      <w:marLeft w:val="0"/>
      <w:marRight w:val="0"/>
      <w:marTop w:val="0"/>
      <w:marBottom w:val="0"/>
      <w:divBdr>
        <w:top w:val="none" w:sz="0" w:space="0" w:color="auto"/>
        <w:left w:val="none" w:sz="0" w:space="0" w:color="auto"/>
        <w:bottom w:val="none" w:sz="0" w:space="0" w:color="auto"/>
        <w:right w:val="none" w:sz="0" w:space="0" w:color="auto"/>
      </w:divBdr>
    </w:div>
    <w:div w:id="350033553">
      <w:bodyDiv w:val="1"/>
      <w:marLeft w:val="0"/>
      <w:marRight w:val="0"/>
      <w:marTop w:val="0"/>
      <w:marBottom w:val="0"/>
      <w:divBdr>
        <w:top w:val="none" w:sz="0" w:space="0" w:color="auto"/>
        <w:left w:val="none" w:sz="0" w:space="0" w:color="auto"/>
        <w:bottom w:val="none" w:sz="0" w:space="0" w:color="auto"/>
        <w:right w:val="none" w:sz="0" w:space="0" w:color="auto"/>
      </w:divBdr>
    </w:div>
    <w:div w:id="350182398">
      <w:bodyDiv w:val="1"/>
      <w:marLeft w:val="0"/>
      <w:marRight w:val="0"/>
      <w:marTop w:val="0"/>
      <w:marBottom w:val="0"/>
      <w:divBdr>
        <w:top w:val="none" w:sz="0" w:space="0" w:color="auto"/>
        <w:left w:val="none" w:sz="0" w:space="0" w:color="auto"/>
        <w:bottom w:val="none" w:sz="0" w:space="0" w:color="auto"/>
        <w:right w:val="none" w:sz="0" w:space="0" w:color="auto"/>
      </w:divBdr>
    </w:div>
    <w:div w:id="350227759">
      <w:bodyDiv w:val="1"/>
      <w:marLeft w:val="0"/>
      <w:marRight w:val="0"/>
      <w:marTop w:val="0"/>
      <w:marBottom w:val="0"/>
      <w:divBdr>
        <w:top w:val="none" w:sz="0" w:space="0" w:color="auto"/>
        <w:left w:val="none" w:sz="0" w:space="0" w:color="auto"/>
        <w:bottom w:val="none" w:sz="0" w:space="0" w:color="auto"/>
        <w:right w:val="none" w:sz="0" w:space="0" w:color="auto"/>
      </w:divBdr>
    </w:div>
    <w:div w:id="350229300">
      <w:bodyDiv w:val="1"/>
      <w:marLeft w:val="0"/>
      <w:marRight w:val="0"/>
      <w:marTop w:val="0"/>
      <w:marBottom w:val="0"/>
      <w:divBdr>
        <w:top w:val="none" w:sz="0" w:space="0" w:color="auto"/>
        <w:left w:val="none" w:sz="0" w:space="0" w:color="auto"/>
        <w:bottom w:val="none" w:sz="0" w:space="0" w:color="auto"/>
        <w:right w:val="none" w:sz="0" w:space="0" w:color="auto"/>
      </w:divBdr>
    </w:div>
    <w:div w:id="351611000">
      <w:bodyDiv w:val="1"/>
      <w:marLeft w:val="0"/>
      <w:marRight w:val="0"/>
      <w:marTop w:val="0"/>
      <w:marBottom w:val="0"/>
      <w:divBdr>
        <w:top w:val="none" w:sz="0" w:space="0" w:color="auto"/>
        <w:left w:val="none" w:sz="0" w:space="0" w:color="auto"/>
        <w:bottom w:val="none" w:sz="0" w:space="0" w:color="auto"/>
        <w:right w:val="none" w:sz="0" w:space="0" w:color="auto"/>
      </w:divBdr>
    </w:div>
    <w:div w:id="352193812">
      <w:bodyDiv w:val="1"/>
      <w:marLeft w:val="0"/>
      <w:marRight w:val="0"/>
      <w:marTop w:val="0"/>
      <w:marBottom w:val="0"/>
      <w:divBdr>
        <w:top w:val="none" w:sz="0" w:space="0" w:color="auto"/>
        <w:left w:val="none" w:sz="0" w:space="0" w:color="auto"/>
        <w:bottom w:val="none" w:sz="0" w:space="0" w:color="auto"/>
        <w:right w:val="none" w:sz="0" w:space="0" w:color="auto"/>
      </w:divBdr>
    </w:div>
    <w:div w:id="352922076">
      <w:bodyDiv w:val="1"/>
      <w:marLeft w:val="0"/>
      <w:marRight w:val="0"/>
      <w:marTop w:val="0"/>
      <w:marBottom w:val="0"/>
      <w:divBdr>
        <w:top w:val="none" w:sz="0" w:space="0" w:color="auto"/>
        <w:left w:val="none" w:sz="0" w:space="0" w:color="auto"/>
        <w:bottom w:val="none" w:sz="0" w:space="0" w:color="auto"/>
        <w:right w:val="none" w:sz="0" w:space="0" w:color="auto"/>
      </w:divBdr>
    </w:div>
    <w:div w:id="352926875">
      <w:bodyDiv w:val="1"/>
      <w:marLeft w:val="0"/>
      <w:marRight w:val="0"/>
      <w:marTop w:val="0"/>
      <w:marBottom w:val="0"/>
      <w:divBdr>
        <w:top w:val="none" w:sz="0" w:space="0" w:color="auto"/>
        <w:left w:val="none" w:sz="0" w:space="0" w:color="auto"/>
        <w:bottom w:val="none" w:sz="0" w:space="0" w:color="auto"/>
        <w:right w:val="none" w:sz="0" w:space="0" w:color="auto"/>
      </w:divBdr>
    </w:div>
    <w:div w:id="353196451">
      <w:bodyDiv w:val="1"/>
      <w:marLeft w:val="0"/>
      <w:marRight w:val="0"/>
      <w:marTop w:val="0"/>
      <w:marBottom w:val="0"/>
      <w:divBdr>
        <w:top w:val="none" w:sz="0" w:space="0" w:color="auto"/>
        <w:left w:val="none" w:sz="0" w:space="0" w:color="auto"/>
        <w:bottom w:val="none" w:sz="0" w:space="0" w:color="auto"/>
        <w:right w:val="none" w:sz="0" w:space="0" w:color="auto"/>
      </w:divBdr>
    </w:div>
    <w:div w:id="353533413">
      <w:bodyDiv w:val="1"/>
      <w:marLeft w:val="0"/>
      <w:marRight w:val="0"/>
      <w:marTop w:val="0"/>
      <w:marBottom w:val="0"/>
      <w:divBdr>
        <w:top w:val="none" w:sz="0" w:space="0" w:color="auto"/>
        <w:left w:val="none" w:sz="0" w:space="0" w:color="auto"/>
        <w:bottom w:val="none" w:sz="0" w:space="0" w:color="auto"/>
        <w:right w:val="none" w:sz="0" w:space="0" w:color="auto"/>
      </w:divBdr>
    </w:div>
    <w:div w:id="353846942">
      <w:bodyDiv w:val="1"/>
      <w:marLeft w:val="0"/>
      <w:marRight w:val="0"/>
      <w:marTop w:val="0"/>
      <w:marBottom w:val="0"/>
      <w:divBdr>
        <w:top w:val="none" w:sz="0" w:space="0" w:color="auto"/>
        <w:left w:val="none" w:sz="0" w:space="0" w:color="auto"/>
        <w:bottom w:val="none" w:sz="0" w:space="0" w:color="auto"/>
        <w:right w:val="none" w:sz="0" w:space="0" w:color="auto"/>
      </w:divBdr>
    </w:div>
    <w:div w:id="354308396">
      <w:bodyDiv w:val="1"/>
      <w:marLeft w:val="0"/>
      <w:marRight w:val="0"/>
      <w:marTop w:val="0"/>
      <w:marBottom w:val="0"/>
      <w:divBdr>
        <w:top w:val="none" w:sz="0" w:space="0" w:color="auto"/>
        <w:left w:val="none" w:sz="0" w:space="0" w:color="auto"/>
        <w:bottom w:val="none" w:sz="0" w:space="0" w:color="auto"/>
        <w:right w:val="none" w:sz="0" w:space="0" w:color="auto"/>
      </w:divBdr>
    </w:div>
    <w:div w:id="354381871">
      <w:bodyDiv w:val="1"/>
      <w:marLeft w:val="0"/>
      <w:marRight w:val="0"/>
      <w:marTop w:val="0"/>
      <w:marBottom w:val="0"/>
      <w:divBdr>
        <w:top w:val="none" w:sz="0" w:space="0" w:color="auto"/>
        <w:left w:val="none" w:sz="0" w:space="0" w:color="auto"/>
        <w:bottom w:val="none" w:sz="0" w:space="0" w:color="auto"/>
        <w:right w:val="none" w:sz="0" w:space="0" w:color="auto"/>
      </w:divBdr>
    </w:div>
    <w:div w:id="355276331">
      <w:bodyDiv w:val="1"/>
      <w:marLeft w:val="0"/>
      <w:marRight w:val="0"/>
      <w:marTop w:val="0"/>
      <w:marBottom w:val="0"/>
      <w:divBdr>
        <w:top w:val="none" w:sz="0" w:space="0" w:color="auto"/>
        <w:left w:val="none" w:sz="0" w:space="0" w:color="auto"/>
        <w:bottom w:val="none" w:sz="0" w:space="0" w:color="auto"/>
        <w:right w:val="none" w:sz="0" w:space="0" w:color="auto"/>
      </w:divBdr>
    </w:div>
    <w:div w:id="356010167">
      <w:bodyDiv w:val="1"/>
      <w:marLeft w:val="0"/>
      <w:marRight w:val="0"/>
      <w:marTop w:val="0"/>
      <w:marBottom w:val="0"/>
      <w:divBdr>
        <w:top w:val="none" w:sz="0" w:space="0" w:color="auto"/>
        <w:left w:val="none" w:sz="0" w:space="0" w:color="auto"/>
        <w:bottom w:val="none" w:sz="0" w:space="0" w:color="auto"/>
        <w:right w:val="none" w:sz="0" w:space="0" w:color="auto"/>
      </w:divBdr>
    </w:div>
    <w:div w:id="356271188">
      <w:bodyDiv w:val="1"/>
      <w:marLeft w:val="0"/>
      <w:marRight w:val="0"/>
      <w:marTop w:val="0"/>
      <w:marBottom w:val="0"/>
      <w:divBdr>
        <w:top w:val="none" w:sz="0" w:space="0" w:color="auto"/>
        <w:left w:val="none" w:sz="0" w:space="0" w:color="auto"/>
        <w:bottom w:val="none" w:sz="0" w:space="0" w:color="auto"/>
        <w:right w:val="none" w:sz="0" w:space="0" w:color="auto"/>
      </w:divBdr>
    </w:div>
    <w:div w:id="357243893">
      <w:bodyDiv w:val="1"/>
      <w:marLeft w:val="0"/>
      <w:marRight w:val="0"/>
      <w:marTop w:val="0"/>
      <w:marBottom w:val="0"/>
      <w:divBdr>
        <w:top w:val="none" w:sz="0" w:space="0" w:color="auto"/>
        <w:left w:val="none" w:sz="0" w:space="0" w:color="auto"/>
        <w:bottom w:val="none" w:sz="0" w:space="0" w:color="auto"/>
        <w:right w:val="none" w:sz="0" w:space="0" w:color="auto"/>
      </w:divBdr>
    </w:div>
    <w:div w:id="357434606">
      <w:bodyDiv w:val="1"/>
      <w:marLeft w:val="0"/>
      <w:marRight w:val="0"/>
      <w:marTop w:val="0"/>
      <w:marBottom w:val="0"/>
      <w:divBdr>
        <w:top w:val="none" w:sz="0" w:space="0" w:color="auto"/>
        <w:left w:val="none" w:sz="0" w:space="0" w:color="auto"/>
        <w:bottom w:val="none" w:sz="0" w:space="0" w:color="auto"/>
        <w:right w:val="none" w:sz="0" w:space="0" w:color="auto"/>
      </w:divBdr>
      <w:divsChild>
        <w:div w:id="225771917">
          <w:marLeft w:val="0"/>
          <w:marRight w:val="0"/>
          <w:marTop w:val="0"/>
          <w:marBottom w:val="0"/>
          <w:divBdr>
            <w:top w:val="none" w:sz="0" w:space="0" w:color="auto"/>
            <w:left w:val="none" w:sz="0" w:space="0" w:color="auto"/>
            <w:bottom w:val="none" w:sz="0" w:space="0" w:color="auto"/>
            <w:right w:val="none" w:sz="0" w:space="0" w:color="auto"/>
          </w:divBdr>
        </w:div>
      </w:divsChild>
    </w:div>
    <w:div w:id="357774377">
      <w:bodyDiv w:val="1"/>
      <w:marLeft w:val="0"/>
      <w:marRight w:val="0"/>
      <w:marTop w:val="0"/>
      <w:marBottom w:val="0"/>
      <w:divBdr>
        <w:top w:val="none" w:sz="0" w:space="0" w:color="auto"/>
        <w:left w:val="none" w:sz="0" w:space="0" w:color="auto"/>
        <w:bottom w:val="none" w:sz="0" w:space="0" w:color="auto"/>
        <w:right w:val="none" w:sz="0" w:space="0" w:color="auto"/>
      </w:divBdr>
    </w:div>
    <w:div w:id="358699385">
      <w:bodyDiv w:val="1"/>
      <w:marLeft w:val="0"/>
      <w:marRight w:val="0"/>
      <w:marTop w:val="0"/>
      <w:marBottom w:val="0"/>
      <w:divBdr>
        <w:top w:val="none" w:sz="0" w:space="0" w:color="auto"/>
        <w:left w:val="none" w:sz="0" w:space="0" w:color="auto"/>
        <w:bottom w:val="none" w:sz="0" w:space="0" w:color="auto"/>
        <w:right w:val="none" w:sz="0" w:space="0" w:color="auto"/>
      </w:divBdr>
    </w:div>
    <w:div w:id="358941494">
      <w:bodyDiv w:val="1"/>
      <w:marLeft w:val="0"/>
      <w:marRight w:val="0"/>
      <w:marTop w:val="0"/>
      <w:marBottom w:val="0"/>
      <w:divBdr>
        <w:top w:val="none" w:sz="0" w:space="0" w:color="auto"/>
        <w:left w:val="none" w:sz="0" w:space="0" w:color="auto"/>
        <w:bottom w:val="none" w:sz="0" w:space="0" w:color="auto"/>
        <w:right w:val="none" w:sz="0" w:space="0" w:color="auto"/>
      </w:divBdr>
    </w:div>
    <w:div w:id="358973044">
      <w:bodyDiv w:val="1"/>
      <w:marLeft w:val="0"/>
      <w:marRight w:val="0"/>
      <w:marTop w:val="0"/>
      <w:marBottom w:val="0"/>
      <w:divBdr>
        <w:top w:val="none" w:sz="0" w:space="0" w:color="auto"/>
        <w:left w:val="none" w:sz="0" w:space="0" w:color="auto"/>
        <w:bottom w:val="none" w:sz="0" w:space="0" w:color="auto"/>
        <w:right w:val="none" w:sz="0" w:space="0" w:color="auto"/>
      </w:divBdr>
    </w:div>
    <w:div w:id="359361577">
      <w:bodyDiv w:val="1"/>
      <w:marLeft w:val="0"/>
      <w:marRight w:val="0"/>
      <w:marTop w:val="0"/>
      <w:marBottom w:val="0"/>
      <w:divBdr>
        <w:top w:val="none" w:sz="0" w:space="0" w:color="auto"/>
        <w:left w:val="none" w:sz="0" w:space="0" w:color="auto"/>
        <w:bottom w:val="none" w:sz="0" w:space="0" w:color="auto"/>
        <w:right w:val="none" w:sz="0" w:space="0" w:color="auto"/>
      </w:divBdr>
    </w:div>
    <w:div w:id="360403023">
      <w:bodyDiv w:val="1"/>
      <w:marLeft w:val="0"/>
      <w:marRight w:val="0"/>
      <w:marTop w:val="0"/>
      <w:marBottom w:val="0"/>
      <w:divBdr>
        <w:top w:val="none" w:sz="0" w:space="0" w:color="auto"/>
        <w:left w:val="none" w:sz="0" w:space="0" w:color="auto"/>
        <w:bottom w:val="none" w:sz="0" w:space="0" w:color="auto"/>
        <w:right w:val="none" w:sz="0" w:space="0" w:color="auto"/>
      </w:divBdr>
    </w:div>
    <w:div w:id="360521063">
      <w:bodyDiv w:val="1"/>
      <w:marLeft w:val="0"/>
      <w:marRight w:val="0"/>
      <w:marTop w:val="0"/>
      <w:marBottom w:val="0"/>
      <w:divBdr>
        <w:top w:val="none" w:sz="0" w:space="0" w:color="auto"/>
        <w:left w:val="none" w:sz="0" w:space="0" w:color="auto"/>
        <w:bottom w:val="none" w:sz="0" w:space="0" w:color="auto"/>
        <w:right w:val="none" w:sz="0" w:space="0" w:color="auto"/>
      </w:divBdr>
    </w:div>
    <w:div w:id="361445728">
      <w:bodyDiv w:val="1"/>
      <w:marLeft w:val="0"/>
      <w:marRight w:val="0"/>
      <w:marTop w:val="0"/>
      <w:marBottom w:val="0"/>
      <w:divBdr>
        <w:top w:val="none" w:sz="0" w:space="0" w:color="auto"/>
        <w:left w:val="none" w:sz="0" w:space="0" w:color="auto"/>
        <w:bottom w:val="none" w:sz="0" w:space="0" w:color="auto"/>
        <w:right w:val="none" w:sz="0" w:space="0" w:color="auto"/>
      </w:divBdr>
    </w:div>
    <w:div w:id="361789491">
      <w:bodyDiv w:val="1"/>
      <w:marLeft w:val="0"/>
      <w:marRight w:val="0"/>
      <w:marTop w:val="0"/>
      <w:marBottom w:val="0"/>
      <w:divBdr>
        <w:top w:val="none" w:sz="0" w:space="0" w:color="auto"/>
        <w:left w:val="none" w:sz="0" w:space="0" w:color="auto"/>
        <w:bottom w:val="none" w:sz="0" w:space="0" w:color="auto"/>
        <w:right w:val="none" w:sz="0" w:space="0" w:color="auto"/>
      </w:divBdr>
    </w:div>
    <w:div w:id="361790385">
      <w:bodyDiv w:val="1"/>
      <w:marLeft w:val="0"/>
      <w:marRight w:val="0"/>
      <w:marTop w:val="0"/>
      <w:marBottom w:val="0"/>
      <w:divBdr>
        <w:top w:val="none" w:sz="0" w:space="0" w:color="auto"/>
        <w:left w:val="none" w:sz="0" w:space="0" w:color="auto"/>
        <w:bottom w:val="none" w:sz="0" w:space="0" w:color="auto"/>
        <w:right w:val="none" w:sz="0" w:space="0" w:color="auto"/>
      </w:divBdr>
    </w:div>
    <w:div w:id="361825566">
      <w:bodyDiv w:val="1"/>
      <w:marLeft w:val="0"/>
      <w:marRight w:val="0"/>
      <w:marTop w:val="0"/>
      <w:marBottom w:val="0"/>
      <w:divBdr>
        <w:top w:val="none" w:sz="0" w:space="0" w:color="auto"/>
        <w:left w:val="none" w:sz="0" w:space="0" w:color="auto"/>
        <w:bottom w:val="none" w:sz="0" w:space="0" w:color="auto"/>
        <w:right w:val="none" w:sz="0" w:space="0" w:color="auto"/>
      </w:divBdr>
    </w:div>
    <w:div w:id="362173710">
      <w:bodyDiv w:val="1"/>
      <w:marLeft w:val="0"/>
      <w:marRight w:val="0"/>
      <w:marTop w:val="0"/>
      <w:marBottom w:val="0"/>
      <w:divBdr>
        <w:top w:val="none" w:sz="0" w:space="0" w:color="auto"/>
        <w:left w:val="none" w:sz="0" w:space="0" w:color="auto"/>
        <w:bottom w:val="none" w:sz="0" w:space="0" w:color="auto"/>
        <w:right w:val="none" w:sz="0" w:space="0" w:color="auto"/>
      </w:divBdr>
    </w:div>
    <w:div w:id="362756537">
      <w:bodyDiv w:val="1"/>
      <w:marLeft w:val="0"/>
      <w:marRight w:val="0"/>
      <w:marTop w:val="0"/>
      <w:marBottom w:val="0"/>
      <w:divBdr>
        <w:top w:val="none" w:sz="0" w:space="0" w:color="auto"/>
        <w:left w:val="none" w:sz="0" w:space="0" w:color="auto"/>
        <w:bottom w:val="none" w:sz="0" w:space="0" w:color="auto"/>
        <w:right w:val="none" w:sz="0" w:space="0" w:color="auto"/>
      </w:divBdr>
    </w:div>
    <w:div w:id="363019658">
      <w:bodyDiv w:val="1"/>
      <w:marLeft w:val="0"/>
      <w:marRight w:val="0"/>
      <w:marTop w:val="0"/>
      <w:marBottom w:val="0"/>
      <w:divBdr>
        <w:top w:val="none" w:sz="0" w:space="0" w:color="auto"/>
        <w:left w:val="none" w:sz="0" w:space="0" w:color="auto"/>
        <w:bottom w:val="none" w:sz="0" w:space="0" w:color="auto"/>
        <w:right w:val="none" w:sz="0" w:space="0" w:color="auto"/>
      </w:divBdr>
    </w:div>
    <w:div w:id="363135081">
      <w:bodyDiv w:val="1"/>
      <w:marLeft w:val="0"/>
      <w:marRight w:val="0"/>
      <w:marTop w:val="0"/>
      <w:marBottom w:val="0"/>
      <w:divBdr>
        <w:top w:val="none" w:sz="0" w:space="0" w:color="auto"/>
        <w:left w:val="none" w:sz="0" w:space="0" w:color="auto"/>
        <w:bottom w:val="none" w:sz="0" w:space="0" w:color="auto"/>
        <w:right w:val="none" w:sz="0" w:space="0" w:color="auto"/>
      </w:divBdr>
    </w:div>
    <w:div w:id="363362040">
      <w:bodyDiv w:val="1"/>
      <w:marLeft w:val="0"/>
      <w:marRight w:val="0"/>
      <w:marTop w:val="0"/>
      <w:marBottom w:val="0"/>
      <w:divBdr>
        <w:top w:val="none" w:sz="0" w:space="0" w:color="auto"/>
        <w:left w:val="none" w:sz="0" w:space="0" w:color="auto"/>
        <w:bottom w:val="none" w:sz="0" w:space="0" w:color="auto"/>
        <w:right w:val="none" w:sz="0" w:space="0" w:color="auto"/>
      </w:divBdr>
    </w:div>
    <w:div w:id="363948039">
      <w:bodyDiv w:val="1"/>
      <w:marLeft w:val="0"/>
      <w:marRight w:val="0"/>
      <w:marTop w:val="0"/>
      <w:marBottom w:val="0"/>
      <w:divBdr>
        <w:top w:val="none" w:sz="0" w:space="0" w:color="auto"/>
        <w:left w:val="none" w:sz="0" w:space="0" w:color="auto"/>
        <w:bottom w:val="none" w:sz="0" w:space="0" w:color="auto"/>
        <w:right w:val="none" w:sz="0" w:space="0" w:color="auto"/>
      </w:divBdr>
    </w:div>
    <w:div w:id="364253532">
      <w:bodyDiv w:val="1"/>
      <w:marLeft w:val="0"/>
      <w:marRight w:val="0"/>
      <w:marTop w:val="0"/>
      <w:marBottom w:val="0"/>
      <w:divBdr>
        <w:top w:val="none" w:sz="0" w:space="0" w:color="auto"/>
        <w:left w:val="none" w:sz="0" w:space="0" w:color="auto"/>
        <w:bottom w:val="none" w:sz="0" w:space="0" w:color="auto"/>
        <w:right w:val="none" w:sz="0" w:space="0" w:color="auto"/>
      </w:divBdr>
    </w:div>
    <w:div w:id="364520213">
      <w:bodyDiv w:val="1"/>
      <w:marLeft w:val="0"/>
      <w:marRight w:val="0"/>
      <w:marTop w:val="0"/>
      <w:marBottom w:val="0"/>
      <w:divBdr>
        <w:top w:val="none" w:sz="0" w:space="0" w:color="auto"/>
        <w:left w:val="none" w:sz="0" w:space="0" w:color="auto"/>
        <w:bottom w:val="none" w:sz="0" w:space="0" w:color="auto"/>
        <w:right w:val="none" w:sz="0" w:space="0" w:color="auto"/>
      </w:divBdr>
    </w:div>
    <w:div w:id="365298073">
      <w:bodyDiv w:val="1"/>
      <w:marLeft w:val="0"/>
      <w:marRight w:val="0"/>
      <w:marTop w:val="0"/>
      <w:marBottom w:val="0"/>
      <w:divBdr>
        <w:top w:val="none" w:sz="0" w:space="0" w:color="auto"/>
        <w:left w:val="none" w:sz="0" w:space="0" w:color="auto"/>
        <w:bottom w:val="none" w:sz="0" w:space="0" w:color="auto"/>
        <w:right w:val="none" w:sz="0" w:space="0" w:color="auto"/>
      </w:divBdr>
    </w:div>
    <w:div w:id="365642037">
      <w:bodyDiv w:val="1"/>
      <w:marLeft w:val="0"/>
      <w:marRight w:val="0"/>
      <w:marTop w:val="0"/>
      <w:marBottom w:val="0"/>
      <w:divBdr>
        <w:top w:val="none" w:sz="0" w:space="0" w:color="auto"/>
        <w:left w:val="none" w:sz="0" w:space="0" w:color="auto"/>
        <w:bottom w:val="none" w:sz="0" w:space="0" w:color="auto"/>
        <w:right w:val="none" w:sz="0" w:space="0" w:color="auto"/>
      </w:divBdr>
    </w:div>
    <w:div w:id="365956100">
      <w:bodyDiv w:val="1"/>
      <w:marLeft w:val="0"/>
      <w:marRight w:val="0"/>
      <w:marTop w:val="0"/>
      <w:marBottom w:val="0"/>
      <w:divBdr>
        <w:top w:val="none" w:sz="0" w:space="0" w:color="auto"/>
        <w:left w:val="none" w:sz="0" w:space="0" w:color="auto"/>
        <w:bottom w:val="none" w:sz="0" w:space="0" w:color="auto"/>
        <w:right w:val="none" w:sz="0" w:space="0" w:color="auto"/>
      </w:divBdr>
    </w:div>
    <w:div w:id="366027857">
      <w:bodyDiv w:val="1"/>
      <w:marLeft w:val="0"/>
      <w:marRight w:val="0"/>
      <w:marTop w:val="0"/>
      <w:marBottom w:val="0"/>
      <w:divBdr>
        <w:top w:val="none" w:sz="0" w:space="0" w:color="auto"/>
        <w:left w:val="none" w:sz="0" w:space="0" w:color="auto"/>
        <w:bottom w:val="none" w:sz="0" w:space="0" w:color="auto"/>
        <w:right w:val="none" w:sz="0" w:space="0" w:color="auto"/>
      </w:divBdr>
    </w:div>
    <w:div w:id="366296017">
      <w:bodyDiv w:val="1"/>
      <w:marLeft w:val="0"/>
      <w:marRight w:val="0"/>
      <w:marTop w:val="0"/>
      <w:marBottom w:val="0"/>
      <w:divBdr>
        <w:top w:val="none" w:sz="0" w:space="0" w:color="auto"/>
        <w:left w:val="none" w:sz="0" w:space="0" w:color="auto"/>
        <w:bottom w:val="none" w:sz="0" w:space="0" w:color="auto"/>
        <w:right w:val="none" w:sz="0" w:space="0" w:color="auto"/>
      </w:divBdr>
    </w:div>
    <w:div w:id="366443989">
      <w:bodyDiv w:val="1"/>
      <w:marLeft w:val="0"/>
      <w:marRight w:val="0"/>
      <w:marTop w:val="0"/>
      <w:marBottom w:val="0"/>
      <w:divBdr>
        <w:top w:val="none" w:sz="0" w:space="0" w:color="auto"/>
        <w:left w:val="none" w:sz="0" w:space="0" w:color="auto"/>
        <w:bottom w:val="none" w:sz="0" w:space="0" w:color="auto"/>
        <w:right w:val="none" w:sz="0" w:space="0" w:color="auto"/>
      </w:divBdr>
    </w:div>
    <w:div w:id="366682256">
      <w:bodyDiv w:val="1"/>
      <w:marLeft w:val="0"/>
      <w:marRight w:val="0"/>
      <w:marTop w:val="0"/>
      <w:marBottom w:val="0"/>
      <w:divBdr>
        <w:top w:val="none" w:sz="0" w:space="0" w:color="auto"/>
        <w:left w:val="none" w:sz="0" w:space="0" w:color="auto"/>
        <w:bottom w:val="none" w:sz="0" w:space="0" w:color="auto"/>
        <w:right w:val="none" w:sz="0" w:space="0" w:color="auto"/>
      </w:divBdr>
    </w:div>
    <w:div w:id="366881339">
      <w:bodyDiv w:val="1"/>
      <w:marLeft w:val="0"/>
      <w:marRight w:val="0"/>
      <w:marTop w:val="0"/>
      <w:marBottom w:val="0"/>
      <w:divBdr>
        <w:top w:val="none" w:sz="0" w:space="0" w:color="auto"/>
        <w:left w:val="none" w:sz="0" w:space="0" w:color="auto"/>
        <w:bottom w:val="none" w:sz="0" w:space="0" w:color="auto"/>
        <w:right w:val="none" w:sz="0" w:space="0" w:color="auto"/>
      </w:divBdr>
    </w:div>
    <w:div w:id="366956454">
      <w:bodyDiv w:val="1"/>
      <w:marLeft w:val="0"/>
      <w:marRight w:val="0"/>
      <w:marTop w:val="0"/>
      <w:marBottom w:val="0"/>
      <w:divBdr>
        <w:top w:val="none" w:sz="0" w:space="0" w:color="auto"/>
        <w:left w:val="none" w:sz="0" w:space="0" w:color="auto"/>
        <w:bottom w:val="none" w:sz="0" w:space="0" w:color="auto"/>
        <w:right w:val="none" w:sz="0" w:space="0" w:color="auto"/>
      </w:divBdr>
    </w:div>
    <w:div w:id="367797797">
      <w:bodyDiv w:val="1"/>
      <w:marLeft w:val="0"/>
      <w:marRight w:val="0"/>
      <w:marTop w:val="0"/>
      <w:marBottom w:val="0"/>
      <w:divBdr>
        <w:top w:val="none" w:sz="0" w:space="0" w:color="auto"/>
        <w:left w:val="none" w:sz="0" w:space="0" w:color="auto"/>
        <w:bottom w:val="none" w:sz="0" w:space="0" w:color="auto"/>
        <w:right w:val="none" w:sz="0" w:space="0" w:color="auto"/>
      </w:divBdr>
    </w:div>
    <w:div w:id="368377992">
      <w:bodyDiv w:val="1"/>
      <w:marLeft w:val="0"/>
      <w:marRight w:val="0"/>
      <w:marTop w:val="0"/>
      <w:marBottom w:val="0"/>
      <w:divBdr>
        <w:top w:val="none" w:sz="0" w:space="0" w:color="auto"/>
        <w:left w:val="none" w:sz="0" w:space="0" w:color="auto"/>
        <w:bottom w:val="none" w:sz="0" w:space="0" w:color="auto"/>
        <w:right w:val="none" w:sz="0" w:space="0" w:color="auto"/>
      </w:divBdr>
    </w:div>
    <w:div w:id="368458069">
      <w:bodyDiv w:val="1"/>
      <w:marLeft w:val="0"/>
      <w:marRight w:val="0"/>
      <w:marTop w:val="0"/>
      <w:marBottom w:val="0"/>
      <w:divBdr>
        <w:top w:val="none" w:sz="0" w:space="0" w:color="auto"/>
        <w:left w:val="none" w:sz="0" w:space="0" w:color="auto"/>
        <w:bottom w:val="none" w:sz="0" w:space="0" w:color="auto"/>
        <w:right w:val="none" w:sz="0" w:space="0" w:color="auto"/>
      </w:divBdr>
    </w:div>
    <w:div w:id="369956760">
      <w:bodyDiv w:val="1"/>
      <w:marLeft w:val="0"/>
      <w:marRight w:val="0"/>
      <w:marTop w:val="0"/>
      <w:marBottom w:val="0"/>
      <w:divBdr>
        <w:top w:val="none" w:sz="0" w:space="0" w:color="auto"/>
        <w:left w:val="none" w:sz="0" w:space="0" w:color="auto"/>
        <w:bottom w:val="none" w:sz="0" w:space="0" w:color="auto"/>
        <w:right w:val="none" w:sz="0" w:space="0" w:color="auto"/>
      </w:divBdr>
    </w:div>
    <w:div w:id="370158256">
      <w:bodyDiv w:val="1"/>
      <w:marLeft w:val="0"/>
      <w:marRight w:val="0"/>
      <w:marTop w:val="0"/>
      <w:marBottom w:val="0"/>
      <w:divBdr>
        <w:top w:val="none" w:sz="0" w:space="0" w:color="auto"/>
        <w:left w:val="none" w:sz="0" w:space="0" w:color="auto"/>
        <w:bottom w:val="none" w:sz="0" w:space="0" w:color="auto"/>
        <w:right w:val="none" w:sz="0" w:space="0" w:color="auto"/>
      </w:divBdr>
    </w:div>
    <w:div w:id="370569665">
      <w:bodyDiv w:val="1"/>
      <w:marLeft w:val="0"/>
      <w:marRight w:val="0"/>
      <w:marTop w:val="0"/>
      <w:marBottom w:val="0"/>
      <w:divBdr>
        <w:top w:val="none" w:sz="0" w:space="0" w:color="auto"/>
        <w:left w:val="none" w:sz="0" w:space="0" w:color="auto"/>
        <w:bottom w:val="none" w:sz="0" w:space="0" w:color="auto"/>
        <w:right w:val="none" w:sz="0" w:space="0" w:color="auto"/>
      </w:divBdr>
    </w:div>
    <w:div w:id="371345389">
      <w:bodyDiv w:val="1"/>
      <w:marLeft w:val="0"/>
      <w:marRight w:val="0"/>
      <w:marTop w:val="0"/>
      <w:marBottom w:val="0"/>
      <w:divBdr>
        <w:top w:val="none" w:sz="0" w:space="0" w:color="auto"/>
        <w:left w:val="none" w:sz="0" w:space="0" w:color="auto"/>
        <w:bottom w:val="none" w:sz="0" w:space="0" w:color="auto"/>
        <w:right w:val="none" w:sz="0" w:space="0" w:color="auto"/>
      </w:divBdr>
    </w:div>
    <w:div w:id="371656165">
      <w:bodyDiv w:val="1"/>
      <w:marLeft w:val="0"/>
      <w:marRight w:val="0"/>
      <w:marTop w:val="0"/>
      <w:marBottom w:val="0"/>
      <w:divBdr>
        <w:top w:val="none" w:sz="0" w:space="0" w:color="auto"/>
        <w:left w:val="none" w:sz="0" w:space="0" w:color="auto"/>
        <w:bottom w:val="none" w:sz="0" w:space="0" w:color="auto"/>
        <w:right w:val="none" w:sz="0" w:space="0" w:color="auto"/>
      </w:divBdr>
    </w:div>
    <w:div w:id="371736442">
      <w:bodyDiv w:val="1"/>
      <w:marLeft w:val="0"/>
      <w:marRight w:val="0"/>
      <w:marTop w:val="0"/>
      <w:marBottom w:val="0"/>
      <w:divBdr>
        <w:top w:val="none" w:sz="0" w:space="0" w:color="auto"/>
        <w:left w:val="none" w:sz="0" w:space="0" w:color="auto"/>
        <w:bottom w:val="none" w:sz="0" w:space="0" w:color="auto"/>
        <w:right w:val="none" w:sz="0" w:space="0" w:color="auto"/>
      </w:divBdr>
    </w:div>
    <w:div w:id="372199026">
      <w:bodyDiv w:val="1"/>
      <w:marLeft w:val="0"/>
      <w:marRight w:val="0"/>
      <w:marTop w:val="0"/>
      <w:marBottom w:val="0"/>
      <w:divBdr>
        <w:top w:val="none" w:sz="0" w:space="0" w:color="auto"/>
        <w:left w:val="none" w:sz="0" w:space="0" w:color="auto"/>
        <w:bottom w:val="none" w:sz="0" w:space="0" w:color="auto"/>
        <w:right w:val="none" w:sz="0" w:space="0" w:color="auto"/>
      </w:divBdr>
    </w:div>
    <w:div w:id="372383859">
      <w:bodyDiv w:val="1"/>
      <w:marLeft w:val="0"/>
      <w:marRight w:val="0"/>
      <w:marTop w:val="0"/>
      <w:marBottom w:val="0"/>
      <w:divBdr>
        <w:top w:val="none" w:sz="0" w:space="0" w:color="auto"/>
        <w:left w:val="none" w:sz="0" w:space="0" w:color="auto"/>
        <w:bottom w:val="none" w:sz="0" w:space="0" w:color="auto"/>
        <w:right w:val="none" w:sz="0" w:space="0" w:color="auto"/>
      </w:divBdr>
    </w:div>
    <w:div w:id="372580013">
      <w:bodyDiv w:val="1"/>
      <w:marLeft w:val="0"/>
      <w:marRight w:val="0"/>
      <w:marTop w:val="0"/>
      <w:marBottom w:val="0"/>
      <w:divBdr>
        <w:top w:val="none" w:sz="0" w:space="0" w:color="auto"/>
        <w:left w:val="none" w:sz="0" w:space="0" w:color="auto"/>
        <w:bottom w:val="none" w:sz="0" w:space="0" w:color="auto"/>
        <w:right w:val="none" w:sz="0" w:space="0" w:color="auto"/>
      </w:divBdr>
    </w:div>
    <w:div w:id="372773290">
      <w:bodyDiv w:val="1"/>
      <w:marLeft w:val="0"/>
      <w:marRight w:val="0"/>
      <w:marTop w:val="0"/>
      <w:marBottom w:val="0"/>
      <w:divBdr>
        <w:top w:val="none" w:sz="0" w:space="0" w:color="auto"/>
        <w:left w:val="none" w:sz="0" w:space="0" w:color="auto"/>
        <w:bottom w:val="none" w:sz="0" w:space="0" w:color="auto"/>
        <w:right w:val="none" w:sz="0" w:space="0" w:color="auto"/>
      </w:divBdr>
    </w:div>
    <w:div w:id="375356113">
      <w:bodyDiv w:val="1"/>
      <w:marLeft w:val="0"/>
      <w:marRight w:val="0"/>
      <w:marTop w:val="0"/>
      <w:marBottom w:val="0"/>
      <w:divBdr>
        <w:top w:val="none" w:sz="0" w:space="0" w:color="auto"/>
        <w:left w:val="none" w:sz="0" w:space="0" w:color="auto"/>
        <w:bottom w:val="none" w:sz="0" w:space="0" w:color="auto"/>
        <w:right w:val="none" w:sz="0" w:space="0" w:color="auto"/>
      </w:divBdr>
    </w:div>
    <w:div w:id="375619343">
      <w:bodyDiv w:val="1"/>
      <w:marLeft w:val="0"/>
      <w:marRight w:val="0"/>
      <w:marTop w:val="0"/>
      <w:marBottom w:val="0"/>
      <w:divBdr>
        <w:top w:val="none" w:sz="0" w:space="0" w:color="auto"/>
        <w:left w:val="none" w:sz="0" w:space="0" w:color="auto"/>
        <w:bottom w:val="none" w:sz="0" w:space="0" w:color="auto"/>
        <w:right w:val="none" w:sz="0" w:space="0" w:color="auto"/>
      </w:divBdr>
    </w:div>
    <w:div w:id="375739788">
      <w:bodyDiv w:val="1"/>
      <w:marLeft w:val="0"/>
      <w:marRight w:val="0"/>
      <w:marTop w:val="0"/>
      <w:marBottom w:val="0"/>
      <w:divBdr>
        <w:top w:val="none" w:sz="0" w:space="0" w:color="auto"/>
        <w:left w:val="none" w:sz="0" w:space="0" w:color="auto"/>
        <w:bottom w:val="none" w:sz="0" w:space="0" w:color="auto"/>
        <w:right w:val="none" w:sz="0" w:space="0" w:color="auto"/>
      </w:divBdr>
    </w:div>
    <w:div w:id="376130024">
      <w:bodyDiv w:val="1"/>
      <w:marLeft w:val="0"/>
      <w:marRight w:val="0"/>
      <w:marTop w:val="0"/>
      <w:marBottom w:val="0"/>
      <w:divBdr>
        <w:top w:val="none" w:sz="0" w:space="0" w:color="auto"/>
        <w:left w:val="none" w:sz="0" w:space="0" w:color="auto"/>
        <w:bottom w:val="none" w:sz="0" w:space="0" w:color="auto"/>
        <w:right w:val="none" w:sz="0" w:space="0" w:color="auto"/>
      </w:divBdr>
    </w:div>
    <w:div w:id="376784771">
      <w:bodyDiv w:val="1"/>
      <w:marLeft w:val="0"/>
      <w:marRight w:val="0"/>
      <w:marTop w:val="0"/>
      <w:marBottom w:val="0"/>
      <w:divBdr>
        <w:top w:val="none" w:sz="0" w:space="0" w:color="auto"/>
        <w:left w:val="none" w:sz="0" w:space="0" w:color="auto"/>
        <w:bottom w:val="none" w:sz="0" w:space="0" w:color="auto"/>
        <w:right w:val="none" w:sz="0" w:space="0" w:color="auto"/>
      </w:divBdr>
    </w:div>
    <w:div w:id="377435955">
      <w:bodyDiv w:val="1"/>
      <w:marLeft w:val="0"/>
      <w:marRight w:val="0"/>
      <w:marTop w:val="0"/>
      <w:marBottom w:val="0"/>
      <w:divBdr>
        <w:top w:val="none" w:sz="0" w:space="0" w:color="auto"/>
        <w:left w:val="none" w:sz="0" w:space="0" w:color="auto"/>
        <w:bottom w:val="none" w:sz="0" w:space="0" w:color="auto"/>
        <w:right w:val="none" w:sz="0" w:space="0" w:color="auto"/>
      </w:divBdr>
    </w:div>
    <w:div w:id="378097052">
      <w:bodyDiv w:val="1"/>
      <w:marLeft w:val="0"/>
      <w:marRight w:val="0"/>
      <w:marTop w:val="0"/>
      <w:marBottom w:val="0"/>
      <w:divBdr>
        <w:top w:val="none" w:sz="0" w:space="0" w:color="auto"/>
        <w:left w:val="none" w:sz="0" w:space="0" w:color="auto"/>
        <w:bottom w:val="none" w:sz="0" w:space="0" w:color="auto"/>
        <w:right w:val="none" w:sz="0" w:space="0" w:color="auto"/>
      </w:divBdr>
    </w:div>
    <w:div w:id="378171025">
      <w:bodyDiv w:val="1"/>
      <w:marLeft w:val="0"/>
      <w:marRight w:val="0"/>
      <w:marTop w:val="0"/>
      <w:marBottom w:val="0"/>
      <w:divBdr>
        <w:top w:val="none" w:sz="0" w:space="0" w:color="auto"/>
        <w:left w:val="none" w:sz="0" w:space="0" w:color="auto"/>
        <w:bottom w:val="none" w:sz="0" w:space="0" w:color="auto"/>
        <w:right w:val="none" w:sz="0" w:space="0" w:color="auto"/>
      </w:divBdr>
    </w:div>
    <w:div w:id="378481522">
      <w:bodyDiv w:val="1"/>
      <w:marLeft w:val="0"/>
      <w:marRight w:val="0"/>
      <w:marTop w:val="0"/>
      <w:marBottom w:val="0"/>
      <w:divBdr>
        <w:top w:val="none" w:sz="0" w:space="0" w:color="auto"/>
        <w:left w:val="none" w:sz="0" w:space="0" w:color="auto"/>
        <w:bottom w:val="none" w:sz="0" w:space="0" w:color="auto"/>
        <w:right w:val="none" w:sz="0" w:space="0" w:color="auto"/>
      </w:divBdr>
    </w:div>
    <w:div w:id="379404313">
      <w:bodyDiv w:val="1"/>
      <w:marLeft w:val="0"/>
      <w:marRight w:val="0"/>
      <w:marTop w:val="0"/>
      <w:marBottom w:val="0"/>
      <w:divBdr>
        <w:top w:val="none" w:sz="0" w:space="0" w:color="auto"/>
        <w:left w:val="none" w:sz="0" w:space="0" w:color="auto"/>
        <w:bottom w:val="none" w:sz="0" w:space="0" w:color="auto"/>
        <w:right w:val="none" w:sz="0" w:space="0" w:color="auto"/>
      </w:divBdr>
    </w:div>
    <w:div w:id="379478713">
      <w:bodyDiv w:val="1"/>
      <w:marLeft w:val="0"/>
      <w:marRight w:val="0"/>
      <w:marTop w:val="0"/>
      <w:marBottom w:val="0"/>
      <w:divBdr>
        <w:top w:val="none" w:sz="0" w:space="0" w:color="auto"/>
        <w:left w:val="none" w:sz="0" w:space="0" w:color="auto"/>
        <w:bottom w:val="none" w:sz="0" w:space="0" w:color="auto"/>
        <w:right w:val="none" w:sz="0" w:space="0" w:color="auto"/>
      </w:divBdr>
    </w:div>
    <w:div w:id="379598367">
      <w:bodyDiv w:val="1"/>
      <w:marLeft w:val="0"/>
      <w:marRight w:val="0"/>
      <w:marTop w:val="0"/>
      <w:marBottom w:val="0"/>
      <w:divBdr>
        <w:top w:val="none" w:sz="0" w:space="0" w:color="auto"/>
        <w:left w:val="none" w:sz="0" w:space="0" w:color="auto"/>
        <w:bottom w:val="none" w:sz="0" w:space="0" w:color="auto"/>
        <w:right w:val="none" w:sz="0" w:space="0" w:color="auto"/>
      </w:divBdr>
    </w:div>
    <w:div w:id="379786264">
      <w:bodyDiv w:val="1"/>
      <w:marLeft w:val="0"/>
      <w:marRight w:val="0"/>
      <w:marTop w:val="0"/>
      <w:marBottom w:val="0"/>
      <w:divBdr>
        <w:top w:val="none" w:sz="0" w:space="0" w:color="auto"/>
        <w:left w:val="none" w:sz="0" w:space="0" w:color="auto"/>
        <w:bottom w:val="none" w:sz="0" w:space="0" w:color="auto"/>
        <w:right w:val="none" w:sz="0" w:space="0" w:color="auto"/>
      </w:divBdr>
    </w:div>
    <w:div w:id="380710640">
      <w:bodyDiv w:val="1"/>
      <w:marLeft w:val="0"/>
      <w:marRight w:val="0"/>
      <w:marTop w:val="0"/>
      <w:marBottom w:val="0"/>
      <w:divBdr>
        <w:top w:val="none" w:sz="0" w:space="0" w:color="auto"/>
        <w:left w:val="none" w:sz="0" w:space="0" w:color="auto"/>
        <w:bottom w:val="none" w:sz="0" w:space="0" w:color="auto"/>
        <w:right w:val="none" w:sz="0" w:space="0" w:color="auto"/>
      </w:divBdr>
    </w:div>
    <w:div w:id="381321147">
      <w:bodyDiv w:val="1"/>
      <w:marLeft w:val="0"/>
      <w:marRight w:val="0"/>
      <w:marTop w:val="0"/>
      <w:marBottom w:val="0"/>
      <w:divBdr>
        <w:top w:val="none" w:sz="0" w:space="0" w:color="auto"/>
        <w:left w:val="none" w:sz="0" w:space="0" w:color="auto"/>
        <w:bottom w:val="none" w:sz="0" w:space="0" w:color="auto"/>
        <w:right w:val="none" w:sz="0" w:space="0" w:color="auto"/>
      </w:divBdr>
    </w:div>
    <w:div w:id="381756638">
      <w:bodyDiv w:val="1"/>
      <w:marLeft w:val="0"/>
      <w:marRight w:val="0"/>
      <w:marTop w:val="0"/>
      <w:marBottom w:val="0"/>
      <w:divBdr>
        <w:top w:val="none" w:sz="0" w:space="0" w:color="auto"/>
        <w:left w:val="none" w:sz="0" w:space="0" w:color="auto"/>
        <w:bottom w:val="none" w:sz="0" w:space="0" w:color="auto"/>
        <w:right w:val="none" w:sz="0" w:space="0" w:color="auto"/>
      </w:divBdr>
    </w:div>
    <w:div w:id="382867607">
      <w:bodyDiv w:val="1"/>
      <w:marLeft w:val="0"/>
      <w:marRight w:val="0"/>
      <w:marTop w:val="0"/>
      <w:marBottom w:val="0"/>
      <w:divBdr>
        <w:top w:val="none" w:sz="0" w:space="0" w:color="auto"/>
        <w:left w:val="none" w:sz="0" w:space="0" w:color="auto"/>
        <w:bottom w:val="none" w:sz="0" w:space="0" w:color="auto"/>
        <w:right w:val="none" w:sz="0" w:space="0" w:color="auto"/>
      </w:divBdr>
    </w:div>
    <w:div w:id="382869394">
      <w:bodyDiv w:val="1"/>
      <w:marLeft w:val="0"/>
      <w:marRight w:val="0"/>
      <w:marTop w:val="0"/>
      <w:marBottom w:val="0"/>
      <w:divBdr>
        <w:top w:val="none" w:sz="0" w:space="0" w:color="auto"/>
        <w:left w:val="none" w:sz="0" w:space="0" w:color="auto"/>
        <w:bottom w:val="none" w:sz="0" w:space="0" w:color="auto"/>
        <w:right w:val="none" w:sz="0" w:space="0" w:color="auto"/>
      </w:divBdr>
    </w:div>
    <w:div w:id="383062111">
      <w:bodyDiv w:val="1"/>
      <w:marLeft w:val="0"/>
      <w:marRight w:val="0"/>
      <w:marTop w:val="0"/>
      <w:marBottom w:val="0"/>
      <w:divBdr>
        <w:top w:val="none" w:sz="0" w:space="0" w:color="auto"/>
        <w:left w:val="none" w:sz="0" w:space="0" w:color="auto"/>
        <w:bottom w:val="none" w:sz="0" w:space="0" w:color="auto"/>
        <w:right w:val="none" w:sz="0" w:space="0" w:color="auto"/>
      </w:divBdr>
    </w:div>
    <w:div w:id="383070399">
      <w:bodyDiv w:val="1"/>
      <w:marLeft w:val="0"/>
      <w:marRight w:val="0"/>
      <w:marTop w:val="0"/>
      <w:marBottom w:val="0"/>
      <w:divBdr>
        <w:top w:val="none" w:sz="0" w:space="0" w:color="auto"/>
        <w:left w:val="none" w:sz="0" w:space="0" w:color="auto"/>
        <w:bottom w:val="none" w:sz="0" w:space="0" w:color="auto"/>
        <w:right w:val="none" w:sz="0" w:space="0" w:color="auto"/>
      </w:divBdr>
    </w:div>
    <w:div w:id="383527738">
      <w:bodyDiv w:val="1"/>
      <w:marLeft w:val="0"/>
      <w:marRight w:val="0"/>
      <w:marTop w:val="0"/>
      <w:marBottom w:val="0"/>
      <w:divBdr>
        <w:top w:val="none" w:sz="0" w:space="0" w:color="auto"/>
        <w:left w:val="none" w:sz="0" w:space="0" w:color="auto"/>
        <w:bottom w:val="none" w:sz="0" w:space="0" w:color="auto"/>
        <w:right w:val="none" w:sz="0" w:space="0" w:color="auto"/>
      </w:divBdr>
    </w:div>
    <w:div w:id="383986606">
      <w:bodyDiv w:val="1"/>
      <w:marLeft w:val="0"/>
      <w:marRight w:val="0"/>
      <w:marTop w:val="0"/>
      <w:marBottom w:val="0"/>
      <w:divBdr>
        <w:top w:val="none" w:sz="0" w:space="0" w:color="auto"/>
        <w:left w:val="none" w:sz="0" w:space="0" w:color="auto"/>
        <w:bottom w:val="none" w:sz="0" w:space="0" w:color="auto"/>
        <w:right w:val="none" w:sz="0" w:space="0" w:color="auto"/>
      </w:divBdr>
    </w:div>
    <w:div w:id="384258286">
      <w:bodyDiv w:val="1"/>
      <w:marLeft w:val="0"/>
      <w:marRight w:val="0"/>
      <w:marTop w:val="0"/>
      <w:marBottom w:val="0"/>
      <w:divBdr>
        <w:top w:val="none" w:sz="0" w:space="0" w:color="auto"/>
        <w:left w:val="none" w:sz="0" w:space="0" w:color="auto"/>
        <w:bottom w:val="none" w:sz="0" w:space="0" w:color="auto"/>
        <w:right w:val="none" w:sz="0" w:space="0" w:color="auto"/>
      </w:divBdr>
    </w:div>
    <w:div w:id="384914547">
      <w:bodyDiv w:val="1"/>
      <w:marLeft w:val="0"/>
      <w:marRight w:val="0"/>
      <w:marTop w:val="0"/>
      <w:marBottom w:val="0"/>
      <w:divBdr>
        <w:top w:val="none" w:sz="0" w:space="0" w:color="auto"/>
        <w:left w:val="none" w:sz="0" w:space="0" w:color="auto"/>
        <w:bottom w:val="none" w:sz="0" w:space="0" w:color="auto"/>
        <w:right w:val="none" w:sz="0" w:space="0" w:color="auto"/>
      </w:divBdr>
    </w:div>
    <w:div w:id="385222657">
      <w:bodyDiv w:val="1"/>
      <w:marLeft w:val="0"/>
      <w:marRight w:val="0"/>
      <w:marTop w:val="0"/>
      <w:marBottom w:val="0"/>
      <w:divBdr>
        <w:top w:val="none" w:sz="0" w:space="0" w:color="auto"/>
        <w:left w:val="none" w:sz="0" w:space="0" w:color="auto"/>
        <w:bottom w:val="none" w:sz="0" w:space="0" w:color="auto"/>
        <w:right w:val="none" w:sz="0" w:space="0" w:color="auto"/>
      </w:divBdr>
    </w:div>
    <w:div w:id="385836742">
      <w:bodyDiv w:val="1"/>
      <w:marLeft w:val="0"/>
      <w:marRight w:val="0"/>
      <w:marTop w:val="0"/>
      <w:marBottom w:val="0"/>
      <w:divBdr>
        <w:top w:val="none" w:sz="0" w:space="0" w:color="auto"/>
        <w:left w:val="none" w:sz="0" w:space="0" w:color="auto"/>
        <w:bottom w:val="none" w:sz="0" w:space="0" w:color="auto"/>
        <w:right w:val="none" w:sz="0" w:space="0" w:color="auto"/>
      </w:divBdr>
    </w:div>
    <w:div w:id="385841547">
      <w:bodyDiv w:val="1"/>
      <w:marLeft w:val="0"/>
      <w:marRight w:val="0"/>
      <w:marTop w:val="0"/>
      <w:marBottom w:val="0"/>
      <w:divBdr>
        <w:top w:val="none" w:sz="0" w:space="0" w:color="auto"/>
        <w:left w:val="none" w:sz="0" w:space="0" w:color="auto"/>
        <w:bottom w:val="none" w:sz="0" w:space="0" w:color="auto"/>
        <w:right w:val="none" w:sz="0" w:space="0" w:color="auto"/>
      </w:divBdr>
    </w:div>
    <w:div w:id="385882895">
      <w:bodyDiv w:val="1"/>
      <w:marLeft w:val="0"/>
      <w:marRight w:val="0"/>
      <w:marTop w:val="0"/>
      <w:marBottom w:val="0"/>
      <w:divBdr>
        <w:top w:val="none" w:sz="0" w:space="0" w:color="auto"/>
        <w:left w:val="none" w:sz="0" w:space="0" w:color="auto"/>
        <w:bottom w:val="none" w:sz="0" w:space="0" w:color="auto"/>
        <w:right w:val="none" w:sz="0" w:space="0" w:color="auto"/>
      </w:divBdr>
    </w:div>
    <w:div w:id="385883356">
      <w:bodyDiv w:val="1"/>
      <w:marLeft w:val="0"/>
      <w:marRight w:val="0"/>
      <w:marTop w:val="0"/>
      <w:marBottom w:val="0"/>
      <w:divBdr>
        <w:top w:val="none" w:sz="0" w:space="0" w:color="auto"/>
        <w:left w:val="none" w:sz="0" w:space="0" w:color="auto"/>
        <w:bottom w:val="none" w:sz="0" w:space="0" w:color="auto"/>
        <w:right w:val="none" w:sz="0" w:space="0" w:color="auto"/>
      </w:divBdr>
    </w:div>
    <w:div w:id="385952507">
      <w:bodyDiv w:val="1"/>
      <w:marLeft w:val="0"/>
      <w:marRight w:val="0"/>
      <w:marTop w:val="0"/>
      <w:marBottom w:val="0"/>
      <w:divBdr>
        <w:top w:val="none" w:sz="0" w:space="0" w:color="auto"/>
        <w:left w:val="none" w:sz="0" w:space="0" w:color="auto"/>
        <w:bottom w:val="none" w:sz="0" w:space="0" w:color="auto"/>
        <w:right w:val="none" w:sz="0" w:space="0" w:color="auto"/>
      </w:divBdr>
    </w:div>
    <w:div w:id="386228970">
      <w:bodyDiv w:val="1"/>
      <w:marLeft w:val="0"/>
      <w:marRight w:val="0"/>
      <w:marTop w:val="0"/>
      <w:marBottom w:val="0"/>
      <w:divBdr>
        <w:top w:val="none" w:sz="0" w:space="0" w:color="auto"/>
        <w:left w:val="none" w:sz="0" w:space="0" w:color="auto"/>
        <w:bottom w:val="none" w:sz="0" w:space="0" w:color="auto"/>
        <w:right w:val="none" w:sz="0" w:space="0" w:color="auto"/>
      </w:divBdr>
    </w:div>
    <w:div w:id="387537935">
      <w:bodyDiv w:val="1"/>
      <w:marLeft w:val="0"/>
      <w:marRight w:val="0"/>
      <w:marTop w:val="0"/>
      <w:marBottom w:val="0"/>
      <w:divBdr>
        <w:top w:val="none" w:sz="0" w:space="0" w:color="auto"/>
        <w:left w:val="none" w:sz="0" w:space="0" w:color="auto"/>
        <w:bottom w:val="none" w:sz="0" w:space="0" w:color="auto"/>
        <w:right w:val="none" w:sz="0" w:space="0" w:color="auto"/>
      </w:divBdr>
    </w:div>
    <w:div w:id="387606498">
      <w:bodyDiv w:val="1"/>
      <w:marLeft w:val="0"/>
      <w:marRight w:val="0"/>
      <w:marTop w:val="0"/>
      <w:marBottom w:val="0"/>
      <w:divBdr>
        <w:top w:val="none" w:sz="0" w:space="0" w:color="auto"/>
        <w:left w:val="none" w:sz="0" w:space="0" w:color="auto"/>
        <w:bottom w:val="none" w:sz="0" w:space="0" w:color="auto"/>
        <w:right w:val="none" w:sz="0" w:space="0" w:color="auto"/>
      </w:divBdr>
    </w:div>
    <w:div w:id="387609960">
      <w:bodyDiv w:val="1"/>
      <w:marLeft w:val="0"/>
      <w:marRight w:val="0"/>
      <w:marTop w:val="0"/>
      <w:marBottom w:val="0"/>
      <w:divBdr>
        <w:top w:val="none" w:sz="0" w:space="0" w:color="auto"/>
        <w:left w:val="none" w:sz="0" w:space="0" w:color="auto"/>
        <w:bottom w:val="none" w:sz="0" w:space="0" w:color="auto"/>
        <w:right w:val="none" w:sz="0" w:space="0" w:color="auto"/>
      </w:divBdr>
    </w:div>
    <w:div w:id="388187655">
      <w:bodyDiv w:val="1"/>
      <w:marLeft w:val="0"/>
      <w:marRight w:val="0"/>
      <w:marTop w:val="0"/>
      <w:marBottom w:val="0"/>
      <w:divBdr>
        <w:top w:val="none" w:sz="0" w:space="0" w:color="auto"/>
        <w:left w:val="none" w:sz="0" w:space="0" w:color="auto"/>
        <w:bottom w:val="none" w:sz="0" w:space="0" w:color="auto"/>
        <w:right w:val="none" w:sz="0" w:space="0" w:color="auto"/>
      </w:divBdr>
    </w:div>
    <w:div w:id="389040003">
      <w:bodyDiv w:val="1"/>
      <w:marLeft w:val="0"/>
      <w:marRight w:val="0"/>
      <w:marTop w:val="0"/>
      <w:marBottom w:val="0"/>
      <w:divBdr>
        <w:top w:val="none" w:sz="0" w:space="0" w:color="auto"/>
        <w:left w:val="none" w:sz="0" w:space="0" w:color="auto"/>
        <w:bottom w:val="none" w:sz="0" w:space="0" w:color="auto"/>
        <w:right w:val="none" w:sz="0" w:space="0" w:color="auto"/>
      </w:divBdr>
    </w:div>
    <w:div w:id="389112593">
      <w:bodyDiv w:val="1"/>
      <w:marLeft w:val="0"/>
      <w:marRight w:val="0"/>
      <w:marTop w:val="0"/>
      <w:marBottom w:val="0"/>
      <w:divBdr>
        <w:top w:val="none" w:sz="0" w:space="0" w:color="auto"/>
        <w:left w:val="none" w:sz="0" w:space="0" w:color="auto"/>
        <w:bottom w:val="none" w:sz="0" w:space="0" w:color="auto"/>
        <w:right w:val="none" w:sz="0" w:space="0" w:color="auto"/>
      </w:divBdr>
    </w:div>
    <w:div w:id="389379157">
      <w:bodyDiv w:val="1"/>
      <w:marLeft w:val="0"/>
      <w:marRight w:val="0"/>
      <w:marTop w:val="0"/>
      <w:marBottom w:val="0"/>
      <w:divBdr>
        <w:top w:val="none" w:sz="0" w:space="0" w:color="auto"/>
        <w:left w:val="none" w:sz="0" w:space="0" w:color="auto"/>
        <w:bottom w:val="none" w:sz="0" w:space="0" w:color="auto"/>
        <w:right w:val="none" w:sz="0" w:space="0" w:color="auto"/>
      </w:divBdr>
    </w:div>
    <w:div w:id="389427267">
      <w:bodyDiv w:val="1"/>
      <w:marLeft w:val="0"/>
      <w:marRight w:val="0"/>
      <w:marTop w:val="0"/>
      <w:marBottom w:val="0"/>
      <w:divBdr>
        <w:top w:val="none" w:sz="0" w:space="0" w:color="auto"/>
        <w:left w:val="none" w:sz="0" w:space="0" w:color="auto"/>
        <w:bottom w:val="none" w:sz="0" w:space="0" w:color="auto"/>
        <w:right w:val="none" w:sz="0" w:space="0" w:color="auto"/>
      </w:divBdr>
    </w:div>
    <w:div w:id="389764699">
      <w:bodyDiv w:val="1"/>
      <w:marLeft w:val="0"/>
      <w:marRight w:val="0"/>
      <w:marTop w:val="0"/>
      <w:marBottom w:val="0"/>
      <w:divBdr>
        <w:top w:val="none" w:sz="0" w:space="0" w:color="auto"/>
        <w:left w:val="none" w:sz="0" w:space="0" w:color="auto"/>
        <w:bottom w:val="none" w:sz="0" w:space="0" w:color="auto"/>
        <w:right w:val="none" w:sz="0" w:space="0" w:color="auto"/>
      </w:divBdr>
    </w:div>
    <w:div w:id="390887396">
      <w:bodyDiv w:val="1"/>
      <w:marLeft w:val="0"/>
      <w:marRight w:val="0"/>
      <w:marTop w:val="0"/>
      <w:marBottom w:val="0"/>
      <w:divBdr>
        <w:top w:val="none" w:sz="0" w:space="0" w:color="auto"/>
        <w:left w:val="none" w:sz="0" w:space="0" w:color="auto"/>
        <w:bottom w:val="none" w:sz="0" w:space="0" w:color="auto"/>
        <w:right w:val="none" w:sz="0" w:space="0" w:color="auto"/>
      </w:divBdr>
    </w:div>
    <w:div w:id="391345167">
      <w:bodyDiv w:val="1"/>
      <w:marLeft w:val="0"/>
      <w:marRight w:val="0"/>
      <w:marTop w:val="0"/>
      <w:marBottom w:val="0"/>
      <w:divBdr>
        <w:top w:val="none" w:sz="0" w:space="0" w:color="auto"/>
        <w:left w:val="none" w:sz="0" w:space="0" w:color="auto"/>
        <w:bottom w:val="none" w:sz="0" w:space="0" w:color="auto"/>
        <w:right w:val="none" w:sz="0" w:space="0" w:color="auto"/>
      </w:divBdr>
    </w:div>
    <w:div w:id="392238513">
      <w:bodyDiv w:val="1"/>
      <w:marLeft w:val="0"/>
      <w:marRight w:val="0"/>
      <w:marTop w:val="0"/>
      <w:marBottom w:val="0"/>
      <w:divBdr>
        <w:top w:val="none" w:sz="0" w:space="0" w:color="auto"/>
        <w:left w:val="none" w:sz="0" w:space="0" w:color="auto"/>
        <w:bottom w:val="none" w:sz="0" w:space="0" w:color="auto"/>
        <w:right w:val="none" w:sz="0" w:space="0" w:color="auto"/>
      </w:divBdr>
    </w:div>
    <w:div w:id="392310756">
      <w:bodyDiv w:val="1"/>
      <w:marLeft w:val="0"/>
      <w:marRight w:val="0"/>
      <w:marTop w:val="0"/>
      <w:marBottom w:val="0"/>
      <w:divBdr>
        <w:top w:val="none" w:sz="0" w:space="0" w:color="auto"/>
        <w:left w:val="none" w:sz="0" w:space="0" w:color="auto"/>
        <w:bottom w:val="none" w:sz="0" w:space="0" w:color="auto"/>
        <w:right w:val="none" w:sz="0" w:space="0" w:color="auto"/>
      </w:divBdr>
    </w:div>
    <w:div w:id="392656385">
      <w:bodyDiv w:val="1"/>
      <w:marLeft w:val="0"/>
      <w:marRight w:val="0"/>
      <w:marTop w:val="0"/>
      <w:marBottom w:val="0"/>
      <w:divBdr>
        <w:top w:val="none" w:sz="0" w:space="0" w:color="auto"/>
        <w:left w:val="none" w:sz="0" w:space="0" w:color="auto"/>
        <w:bottom w:val="none" w:sz="0" w:space="0" w:color="auto"/>
        <w:right w:val="none" w:sz="0" w:space="0" w:color="auto"/>
      </w:divBdr>
    </w:div>
    <w:div w:id="393117670">
      <w:bodyDiv w:val="1"/>
      <w:marLeft w:val="0"/>
      <w:marRight w:val="0"/>
      <w:marTop w:val="0"/>
      <w:marBottom w:val="0"/>
      <w:divBdr>
        <w:top w:val="none" w:sz="0" w:space="0" w:color="auto"/>
        <w:left w:val="none" w:sz="0" w:space="0" w:color="auto"/>
        <w:bottom w:val="none" w:sz="0" w:space="0" w:color="auto"/>
        <w:right w:val="none" w:sz="0" w:space="0" w:color="auto"/>
      </w:divBdr>
    </w:div>
    <w:div w:id="393479483">
      <w:bodyDiv w:val="1"/>
      <w:marLeft w:val="0"/>
      <w:marRight w:val="0"/>
      <w:marTop w:val="0"/>
      <w:marBottom w:val="0"/>
      <w:divBdr>
        <w:top w:val="none" w:sz="0" w:space="0" w:color="auto"/>
        <w:left w:val="none" w:sz="0" w:space="0" w:color="auto"/>
        <w:bottom w:val="none" w:sz="0" w:space="0" w:color="auto"/>
        <w:right w:val="none" w:sz="0" w:space="0" w:color="auto"/>
      </w:divBdr>
    </w:div>
    <w:div w:id="394743293">
      <w:bodyDiv w:val="1"/>
      <w:marLeft w:val="0"/>
      <w:marRight w:val="0"/>
      <w:marTop w:val="0"/>
      <w:marBottom w:val="0"/>
      <w:divBdr>
        <w:top w:val="none" w:sz="0" w:space="0" w:color="auto"/>
        <w:left w:val="none" w:sz="0" w:space="0" w:color="auto"/>
        <w:bottom w:val="none" w:sz="0" w:space="0" w:color="auto"/>
        <w:right w:val="none" w:sz="0" w:space="0" w:color="auto"/>
      </w:divBdr>
    </w:div>
    <w:div w:id="394745930">
      <w:bodyDiv w:val="1"/>
      <w:marLeft w:val="0"/>
      <w:marRight w:val="0"/>
      <w:marTop w:val="0"/>
      <w:marBottom w:val="0"/>
      <w:divBdr>
        <w:top w:val="none" w:sz="0" w:space="0" w:color="auto"/>
        <w:left w:val="none" w:sz="0" w:space="0" w:color="auto"/>
        <w:bottom w:val="none" w:sz="0" w:space="0" w:color="auto"/>
        <w:right w:val="none" w:sz="0" w:space="0" w:color="auto"/>
      </w:divBdr>
    </w:div>
    <w:div w:id="395125275">
      <w:bodyDiv w:val="1"/>
      <w:marLeft w:val="0"/>
      <w:marRight w:val="0"/>
      <w:marTop w:val="0"/>
      <w:marBottom w:val="0"/>
      <w:divBdr>
        <w:top w:val="none" w:sz="0" w:space="0" w:color="auto"/>
        <w:left w:val="none" w:sz="0" w:space="0" w:color="auto"/>
        <w:bottom w:val="none" w:sz="0" w:space="0" w:color="auto"/>
        <w:right w:val="none" w:sz="0" w:space="0" w:color="auto"/>
      </w:divBdr>
    </w:div>
    <w:div w:id="395204192">
      <w:bodyDiv w:val="1"/>
      <w:marLeft w:val="0"/>
      <w:marRight w:val="0"/>
      <w:marTop w:val="0"/>
      <w:marBottom w:val="0"/>
      <w:divBdr>
        <w:top w:val="none" w:sz="0" w:space="0" w:color="auto"/>
        <w:left w:val="none" w:sz="0" w:space="0" w:color="auto"/>
        <w:bottom w:val="none" w:sz="0" w:space="0" w:color="auto"/>
        <w:right w:val="none" w:sz="0" w:space="0" w:color="auto"/>
      </w:divBdr>
    </w:div>
    <w:div w:id="396169418">
      <w:bodyDiv w:val="1"/>
      <w:marLeft w:val="0"/>
      <w:marRight w:val="0"/>
      <w:marTop w:val="0"/>
      <w:marBottom w:val="0"/>
      <w:divBdr>
        <w:top w:val="none" w:sz="0" w:space="0" w:color="auto"/>
        <w:left w:val="none" w:sz="0" w:space="0" w:color="auto"/>
        <w:bottom w:val="none" w:sz="0" w:space="0" w:color="auto"/>
        <w:right w:val="none" w:sz="0" w:space="0" w:color="auto"/>
      </w:divBdr>
    </w:div>
    <w:div w:id="396248639">
      <w:bodyDiv w:val="1"/>
      <w:marLeft w:val="0"/>
      <w:marRight w:val="0"/>
      <w:marTop w:val="0"/>
      <w:marBottom w:val="0"/>
      <w:divBdr>
        <w:top w:val="none" w:sz="0" w:space="0" w:color="auto"/>
        <w:left w:val="none" w:sz="0" w:space="0" w:color="auto"/>
        <w:bottom w:val="none" w:sz="0" w:space="0" w:color="auto"/>
        <w:right w:val="none" w:sz="0" w:space="0" w:color="auto"/>
      </w:divBdr>
    </w:div>
    <w:div w:id="396830178">
      <w:bodyDiv w:val="1"/>
      <w:marLeft w:val="0"/>
      <w:marRight w:val="0"/>
      <w:marTop w:val="0"/>
      <w:marBottom w:val="0"/>
      <w:divBdr>
        <w:top w:val="none" w:sz="0" w:space="0" w:color="auto"/>
        <w:left w:val="none" w:sz="0" w:space="0" w:color="auto"/>
        <w:bottom w:val="none" w:sz="0" w:space="0" w:color="auto"/>
        <w:right w:val="none" w:sz="0" w:space="0" w:color="auto"/>
      </w:divBdr>
    </w:div>
    <w:div w:id="397216514">
      <w:bodyDiv w:val="1"/>
      <w:marLeft w:val="0"/>
      <w:marRight w:val="0"/>
      <w:marTop w:val="0"/>
      <w:marBottom w:val="0"/>
      <w:divBdr>
        <w:top w:val="none" w:sz="0" w:space="0" w:color="auto"/>
        <w:left w:val="none" w:sz="0" w:space="0" w:color="auto"/>
        <w:bottom w:val="none" w:sz="0" w:space="0" w:color="auto"/>
        <w:right w:val="none" w:sz="0" w:space="0" w:color="auto"/>
      </w:divBdr>
    </w:div>
    <w:div w:id="397290407">
      <w:bodyDiv w:val="1"/>
      <w:marLeft w:val="0"/>
      <w:marRight w:val="0"/>
      <w:marTop w:val="0"/>
      <w:marBottom w:val="0"/>
      <w:divBdr>
        <w:top w:val="none" w:sz="0" w:space="0" w:color="auto"/>
        <w:left w:val="none" w:sz="0" w:space="0" w:color="auto"/>
        <w:bottom w:val="none" w:sz="0" w:space="0" w:color="auto"/>
        <w:right w:val="none" w:sz="0" w:space="0" w:color="auto"/>
      </w:divBdr>
    </w:div>
    <w:div w:id="397441868">
      <w:bodyDiv w:val="1"/>
      <w:marLeft w:val="0"/>
      <w:marRight w:val="0"/>
      <w:marTop w:val="0"/>
      <w:marBottom w:val="0"/>
      <w:divBdr>
        <w:top w:val="none" w:sz="0" w:space="0" w:color="auto"/>
        <w:left w:val="none" w:sz="0" w:space="0" w:color="auto"/>
        <w:bottom w:val="none" w:sz="0" w:space="0" w:color="auto"/>
        <w:right w:val="none" w:sz="0" w:space="0" w:color="auto"/>
      </w:divBdr>
    </w:div>
    <w:div w:id="398138496">
      <w:bodyDiv w:val="1"/>
      <w:marLeft w:val="0"/>
      <w:marRight w:val="0"/>
      <w:marTop w:val="0"/>
      <w:marBottom w:val="0"/>
      <w:divBdr>
        <w:top w:val="none" w:sz="0" w:space="0" w:color="auto"/>
        <w:left w:val="none" w:sz="0" w:space="0" w:color="auto"/>
        <w:bottom w:val="none" w:sz="0" w:space="0" w:color="auto"/>
        <w:right w:val="none" w:sz="0" w:space="0" w:color="auto"/>
      </w:divBdr>
    </w:div>
    <w:div w:id="398787549">
      <w:bodyDiv w:val="1"/>
      <w:marLeft w:val="0"/>
      <w:marRight w:val="0"/>
      <w:marTop w:val="0"/>
      <w:marBottom w:val="0"/>
      <w:divBdr>
        <w:top w:val="none" w:sz="0" w:space="0" w:color="auto"/>
        <w:left w:val="none" w:sz="0" w:space="0" w:color="auto"/>
        <w:bottom w:val="none" w:sz="0" w:space="0" w:color="auto"/>
        <w:right w:val="none" w:sz="0" w:space="0" w:color="auto"/>
      </w:divBdr>
    </w:div>
    <w:div w:id="399905558">
      <w:bodyDiv w:val="1"/>
      <w:marLeft w:val="0"/>
      <w:marRight w:val="0"/>
      <w:marTop w:val="0"/>
      <w:marBottom w:val="0"/>
      <w:divBdr>
        <w:top w:val="none" w:sz="0" w:space="0" w:color="auto"/>
        <w:left w:val="none" w:sz="0" w:space="0" w:color="auto"/>
        <w:bottom w:val="none" w:sz="0" w:space="0" w:color="auto"/>
        <w:right w:val="none" w:sz="0" w:space="0" w:color="auto"/>
      </w:divBdr>
    </w:div>
    <w:div w:id="401605963">
      <w:bodyDiv w:val="1"/>
      <w:marLeft w:val="0"/>
      <w:marRight w:val="0"/>
      <w:marTop w:val="0"/>
      <w:marBottom w:val="0"/>
      <w:divBdr>
        <w:top w:val="none" w:sz="0" w:space="0" w:color="auto"/>
        <w:left w:val="none" w:sz="0" w:space="0" w:color="auto"/>
        <w:bottom w:val="none" w:sz="0" w:space="0" w:color="auto"/>
        <w:right w:val="none" w:sz="0" w:space="0" w:color="auto"/>
      </w:divBdr>
    </w:div>
    <w:div w:id="402148416">
      <w:bodyDiv w:val="1"/>
      <w:marLeft w:val="0"/>
      <w:marRight w:val="0"/>
      <w:marTop w:val="0"/>
      <w:marBottom w:val="0"/>
      <w:divBdr>
        <w:top w:val="none" w:sz="0" w:space="0" w:color="auto"/>
        <w:left w:val="none" w:sz="0" w:space="0" w:color="auto"/>
        <w:bottom w:val="none" w:sz="0" w:space="0" w:color="auto"/>
        <w:right w:val="none" w:sz="0" w:space="0" w:color="auto"/>
      </w:divBdr>
    </w:div>
    <w:div w:id="402261346">
      <w:bodyDiv w:val="1"/>
      <w:marLeft w:val="0"/>
      <w:marRight w:val="0"/>
      <w:marTop w:val="0"/>
      <w:marBottom w:val="0"/>
      <w:divBdr>
        <w:top w:val="none" w:sz="0" w:space="0" w:color="auto"/>
        <w:left w:val="none" w:sz="0" w:space="0" w:color="auto"/>
        <w:bottom w:val="none" w:sz="0" w:space="0" w:color="auto"/>
        <w:right w:val="none" w:sz="0" w:space="0" w:color="auto"/>
      </w:divBdr>
    </w:div>
    <w:div w:id="402290816">
      <w:bodyDiv w:val="1"/>
      <w:marLeft w:val="0"/>
      <w:marRight w:val="0"/>
      <w:marTop w:val="0"/>
      <w:marBottom w:val="0"/>
      <w:divBdr>
        <w:top w:val="none" w:sz="0" w:space="0" w:color="auto"/>
        <w:left w:val="none" w:sz="0" w:space="0" w:color="auto"/>
        <w:bottom w:val="none" w:sz="0" w:space="0" w:color="auto"/>
        <w:right w:val="none" w:sz="0" w:space="0" w:color="auto"/>
      </w:divBdr>
    </w:div>
    <w:div w:id="402292082">
      <w:bodyDiv w:val="1"/>
      <w:marLeft w:val="0"/>
      <w:marRight w:val="0"/>
      <w:marTop w:val="0"/>
      <w:marBottom w:val="0"/>
      <w:divBdr>
        <w:top w:val="none" w:sz="0" w:space="0" w:color="auto"/>
        <w:left w:val="none" w:sz="0" w:space="0" w:color="auto"/>
        <w:bottom w:val="none" w:sz="0" w:space="0" w:color="auto"/>
        <w:right w:val="none" w:sz="0" w:space="0" w:color="auto"/>
      </w:divBdr>
    </w:div>
    <w:div w:id="402336752">
      <w:bodyDiv w:val="1"/>
      <w:marLeft w:val="0"/>
      <w:marRight w:val="0"/>
      <w:marTop w:val="0"/>
      <w:marBottom w:val="0"/>
      <w:divBdr>
        <w:top w:val="none" w:sz="0" w:space="0" w:color="auto"/>
        <w:left w:val="none" w:sz="0" w:space="0" w:color="auto"/>
        <w:bottom w:val="none" w:sz="0" w:space="0" w:color="auto"/>
        <w:right w:val="none" w:sz="0" w:space="0" w:color="auto"/>
      </w:divBdr>
    </w:div>
    <w:div w:id="402533902">
      <w:bodyDiv w:val="1"/>
      <w:marLeft w:val="0"/>
      <w:marRight w:val="0"/>
      <w:marTop w:val="0"/>
      <w:marBottom w:val="0"/>
      <w:divBdr>
        <w:top w:val="none" w:sz="0" w:space="0" w:color="auto"/>
        <w:left w:val="none" w:sz="0" w:space="0" w:color="auto"/>
        <w:bottom w:val="none" w:sz="0" w:space="0" w:color="auto"/>
        <w:right w:val="none" w:sz="0" w:space="0" w:color="auto"/>
      </w:divBdr>
    </w:div>
    <w:div w:id="402727035">
      <w:bodyDiv w:val="1"/>
      <w:marLeft w:val="0"/>
      <w:marRight w:val="0"/>
      <w:marTop w:val="0"/>
      <w:marBottom w:val="0"/>
      <w:divBdr>
        <w:top w:val="none" w:sz="0" w:space="0" w:color="auto"/>
        <w:left w:val="none" w:sz="0" w:space="0" w:color="auto"/>
        <w:bottom w:val="none" w:sz="0" w:space="0" w:color="auto"/>
        <w:right w:val="none" w:sz="0" w:space="0" w:color="auto"/>
      </w:divBdr>
    </w:div>
    <w:div w:id="403067614">
      <w:bodyDiv w:val="1"/>
      <w:marLeft w:val="0"/>
      <w:marRight w:val="0"/>
      <w:marTop w:val="0"/>
      <w:marBottom w:val="0"/>
      <w:divBdr>
        <w:top w:val="none" w:sz="0" w:space="0" w:color="auto"/>
        <w:left w:val="none" w:sz="0" w:space="0" w:color="auto"/>
        <w:bottom w:val="none" w:sz="0" w:space="0" w:color="auto"/>
        <w:right w:val="none" w:sz="0" w:space="0" w:color="auto"/>
      </w:divBdr>
    </w:div>
    <w:div w:id="403450682">
      <w:bodyDiv w:val="1"/>
      <w:marLeft w:val="0"/>
      <w:marRight w:val="0"/>
      <w:marTop w:val="0"/>
      <w:marBottom w:val="0"/>
      <w:divBdr>
        <w:top w:val="none" w:sz="0" w:space="0" w:color="auto"/>
        <w:left w:val="none" w:sz="0" w:space="0" w:color="auto"/>
        <w:bottom w:val="none" w:sz="0" w:space="0" w:color="auto"/>
        <w:right w:val="none" w:sz="0" w:space="0" w:color="auto"/>
      </w:divBdr>
    </w:div>
    <w:div w:id="404257118">
      <w:bodyDiv w:val="1"/>
      <w:marLeft w:val="0"/>
      <w:marRight w:val="0"/>
      <w:marTop w:val="0"/>
      <w:marBottom w:val="0"/>
      <w:divBdr>
        <w:top w:val="none" w:sz="0" w:space="0" w:color="auto"/>
        <w:left w:val="none" w:sz="0" w:space="0" w:color="auto"/>
        <w:bottom w:val="none" w:sz="0" w:space="0" w:color="auto"/>
        <w:right w:val="none" w:sz="0" w:space="0" w:color="auto"/>
      </w:divBdr>
    </w:div>
    <w:div w:id="404769641">
      <w:bodyDiv w:val="1"/>
      <w:marLeft w:val="0"/>
      <w:marRight w:val="0"/>
      <w:marTop w:val="0"/>
      <w:marBottom w:val="0"/>
      <w:divBdr>
        <w:top w:val="none" w:sz="0" w:space="0" w:color="auto"/>
        <w:left w:val="none" w:sz="0" w:space="0" w:color="auto"/>
        <w:bottom w:val="none" w:sz="0" w:space="0" w:color="auto"/>
        <w:right w:val="none" w:sz="0" w:space="0" w:color="auto"/>
      </w:divBdr>
    </w:div>
    <w:div w:id="405230324">
      <w:bodyDiv w:val="1"/>
      <w:marLeft w:val="0"/>
      <w:marRight w:val="0"/>
      <w:marTop w:val="0"/>
      <w:marBottom w:val="0"/>
      <w:divBdr>
        <w:top w:val="none" w:sz="0" w:space="0" w:color="auto"/>
        <w:left w:val="none" w:sz="0" w:space="0" w:color="auto"/>
        <w:bottom w:val="none" w:sz="0" w:space="0" w:color="auto"/>
        <w:right w:val="none" w:sz="0" w:space="0" w:color="auto"/>
      </w:divBdr>
    </w:div>
    <w:div w:id="405231464">
      <w:bodyDiv w:val="1"/>
      <w:marLeft w:val="0"/>
      <w:marRight w:val="0"/>
      <w:marTop w:val="0"/>
      <w:marBottom w:val="0"/>
      <w:divBdr>
        <w:top w:val="none" w:sz="0" w:space="0" w:color="auto"/>
        <w:left w:val="none" w:sz="0" w:space="0" w:color="auto"/>
        <w:bottom w:val="none" w:sz="0" w:space="0" w:color="auto"/>
        <w:right w:val="none" w:sz="0" w:space="0" w:color="auto"/>
      </w:divBdr>
    </w:div>
    <w:div w:id="405692914">
      <w:bodyDiv w:val="1"/>
      <w:marLeft w:val="0"/>
      <w:marRight w:val="0"/>
      <w:marTop w:val="0"/>
      <w:marBottom w:val="0"/>
      <w:divBdr>
        <w:top w:val="none" w:sz="0" w:space="0" w:color="auto"/>
        <w:left w:val="none" w:sz="0" w:space="0" w:color="auto"/>
        <w:bottom w:val="none" w:sz="0" w:space="0" w:color="auto"/>
        <w:right w:val="none" w:sz="0" w:space="0" w:color="auto"/>
      </w:divBdr>
    </w:div>
    <w:div w:id="406003033">
      <w:bodyDiv w:val="1"/>
      <w:marLeft w:val="0"/>
      <w:marRight w:val="0"/>
      <w:marTop w:val="0"/>
      <w:marBottom w:val="0"/>
      <w:divBdr>
        <w:top w:val="none" w:sz="0" w:space="0" w:color="auto"/>
        <w:left w:val="none" w:sz="0" w:space="0" w:color="auto"/>
        <w:bottom w:val="none" w:sz="0" w:space="0" w:color="auto"/>
        <w:right w:val="none" w:sz="0" w:space="0" w:color="auto"/>
      </w:divBdr>
    </w:div>
    <w:div w:id="406610805">
      <w:bodyDiv w:val="1"/>
      <w:marLeft w:val="0"/>
      <w:marRight w:val="0"/>
      <w:marTop w:val="0"/>
      <w:marBottom w:val="0"/>
      <w:divBdr>
        <w:top w:val="none" w:sz="0" w:space="0" w:color="auto"/>
        <w:left w:val="none" w:sz="0" w:space="0" w:color="auto"/>
        <w:bottom w:val="none" w:sz="0" w:space="0" w:color="auto"/>
        <w:right w:val="none" w:sz="0" w:space="0" w:color="auto"/>
      </w:divBdr>
    </w:div>
    <w:div w:id="406658260">
      <w:bodyDiv w:val="1"/>
      <w:marLeft w:val="0"/>
      <w:marRight w:val="0"/>
      <w:marTop w:val="0"/>
      <w:marBottom w:val="0"/>
      <w:divBdr>
        <w:top w:val="none" w:sz="0" w:space="0" w:color="auto"/>
        <w:left w:val="none" w:sz="0" w:space="0" w:color="auto"/>
        <w:bottom w:val="none" w:sz="0" w:space="0" w:color="auto"/>
        <w:right w:val="none" w:sz="0" w:space="0" w:color="auto"/>
      </w:divBdr>
    </w:div>
    <w:div w:id="406805158">
      <w:bodyDiv w:val="1"/>
      <w:marLeft w:val="0"/>
      <w:marRight w:val="0"/>
      <w:marTop w:val="0"/>
      <w:marBottom w:val="0"/>
      <w:divBdr>
        <w:top w:val="none" w:sz="0" w:space="0" w:color="auto"/>
        <w:left w:val="none" w:sz="0" w:space="0" w:color="auto"/>
        <w:bottom w:val="none" w:sz="0" w:space="0" w:color="auto"/>
        <w:right w:val="none" w:sz="0" w:space="0" w:color="auto"/>
      </w:divBdr>
    </w:div>
    <w:div w:id="406806772">
      <w:bodyDiv w:val="1"/>
      <w:marLeft w:val="0"/>
      <w:marRight w:val="0"/>
      <w:marTop w:val="0"/>
      <w:marBottom w:val="0"/>
      <w:divBdr>
        <w:top w:val="none" w:sz="0" w:space="0" w:color="auto"/>
        <w:left w:val="none" w:sz="0" w:space="0" w:color="auto"/>
        <w:bottom w:val="none" w:sz="0" w:space="0" w:color="auto"/>
        <w:right w:val="none" w:sz="0" w:space="0" w:color="auto"/>
      </w:divBdr>
    </w:div>
    <w:div w:id="407113906">
      <w:bodyDiv w:val="1"/>
      <w:marLeft w:val="0"/>
      <w:marRight w:val="0"/>
      <w:marTop w:val="0"/>
      <w:marBottom w:val="0"/>
      <w:divBdr>
        <w:top w:val="none" w:sz="0" w:space="0" w:color="auto"/>
        <w:left w:val="none" w:sz="0" w:space="0" w:color="auto"/>
        <w:bottom w:val="none" w:sz="0" w:space="0" w:color="auto"/>
        <w:right w:val="none" w:sz="0" w:space="0" w:color="auto"/>
      </w:divBdr>
    </w:div>
    <w:div w:id="407458282">
      <w:bodyDiv w:val="1"/>
      <w:marLeft w:val="0"/>
      <w:marRight w:val="0"/>
      <w:marTop w:val="0"/>
      <w:marBottom w:val="0"/>
      <w:divBdr>
        <w:top w:val="none" w:sz="0" w:space="0" w:color="auto"/>
        <w:left w:val="none" w:sz="0" w:space="0" w:color="auto"/>
        <w:bottom w:val="none" w:sz="0" w:space="0" w:color="auto"/>
        <w:right w:val="none" w:sz="0" w:space="0" w:color="auto"/>
      </w:divBdr>
    </w:div>
    <w:div w:id="407652172">
      <w:bodyDiv w:val="1"/>
      <w:marLeft w:val="0"/>
      <w:marRight w:val="0"/>
      <w:marTop w:val="0"/>
      <w:marBottom w:val="0"/>
      <w:divBdr>
        <w:top w:val="none" w:sz="0" w:space="0" w:color="auto"/>
        <w:left w:val="none" w:sz="0" w:space="0" w:color="auto"/>
        <w:bottom w:val="none" w:sz="0" w:space="0" w:color="auto"/>
        <w:right w:val="none" w:sz="0" w:space="0" w:color="auto"/>
      </w:divBdr>
    </w:div>
    <w:div w:id="407727235">
      <w:bodyDiv w:val="1"/>
      <w:marLeft w:val="0"/>
      <w:marRight w:val="0"/>
      <w:marTop w:val="0"/>
      <w:marBottom w:val="0"/>
      <w:divBdr>
        <w:top w:val="none" w:sz="0" w:space="0" w:color="auto"/>
        <w:left w:val="none" w:sz="0" w:space="0" w:color="auto"/>
        <w:bottom w:val="none" w:sz="0" w:space="0" w:color="auto"/>
        <w:right w:val="none" w:sz="0" w:space="0" w:color="auto"/>
      </w:divBdr>
    </w:div>
    <w:div w:id="408500594">
      <w:bodyDiv w:val="1"/>
      <w:marLeft w:val="0"/>
      <w:marRight w:val="0"/>
      <w:marTop w:val="0"/>
      <w:marBottom w:val="0"/>
      <w:divBdr>
        <w:top w:val="none" w:sz="0" w:space="0" w:color="auto"/>
        <w:left w:val="none" w:sz="0" w:space="0" w:color="auto"/>
        <w:bottom w:val="none" w:sz="0" w:space="0" w:color="auto"/>
        <w:right w:val="none" w:sz="0" w:space="0" w:color="auto"/>
      </w:divBdr>
    </w:div>
    <w:div w:id="409540950">
      <w:bodyDiv w:val="1"/>
      <w:marLeft w:val="0"/>
      <w:marRight w:val="0"/>
      <w:marTop w:val="0"/>
      <w:marBottom w:val="0"/>
      <w:divBdr>
        <w:top w:val="none" w:sz="0" w:space="0" w:color="auto"/>
        <w:left w:val="none" w:sz="0" w:space="0" w:color="auto"/>
        <w:bottom w:val="none" w:sz="0" w:space="0" w:color="auto"/>
        <w:right w:val="none" w:sz="0" w:space="0" w:color="auto"/>
      </w:divBdr>
    </w:div>
    <w:div w:id="409548653">
      <w:bodyDiv w:val="1"/>
      <w:marLeft w:val="0"/>
      <w:marRight w:val="0"/>
      <w:marTop w:val="0"/>
      <w:marBottom w:val="0"/>
      <w:divBdr>
        <w:top w:val="none" w:sz="0" w:space="0" w:color="auto"/>
        <w:left w:val="none" w:sz="0" w:space="0" w:color="auto"/>
        <w:bottom w:val="none" w:sz="0" w:space="0" w:color="auto"/>
        <w:right w:val="none" w:sz="0" w:space="0" w:color="auto"/>
      </w:divBdr>
    </w:div>
    <w:div w:id="410657746">
      <w:bodyDiv w:val="1"/>
      <w:marLeft w:val="0"/>
      <w:marRight w:val="0"/>
      <w:marTop w:val="0"/>
      <w:marBottom w:val="0"/>
      <w:divBdr>
        <w:top w:val="none" w:sz="0" w:space="0" w:color="auto"/>
        <w:left w:val="none" w:sz="0" w:space="0" w:color="auto"/>
        <w:bottom w:val="none" w:sz="0" w:space="0" w:color="auto"/>
        <w:right w:val="none" w:sz="0" w:space="0" w:color="auto"/>
      </w:divBdr>
    </w:div>
    <w:div w:id="411657994">
      <w:bodyDiv w:val="1"/>
      <w:marLeft w:val="0"/>
      <w:marRight w:val="0"/>
      <w:marTop w:val="0"/>
      <w:marBottom w:val="0"/>
      <w:divBdr>
        <w:top w:val="none" w:sz="0" w:space="0" w:color="auto"/>
        <w:left w:val="none" w:sz="0" w:space="0" w:color="auto"/>
        <w:bottom w:val="none" w:sz="0" w:space="0" w:color="auto"/>
        <w:right w:val="none" w:sz="0" w:space="0" w:color="auto"/>
      </w:divBdr>
    </w:div>
    <w:div w:id="412625835">
      <w:bodyDiv w:val="1"/>
      <w:marLeft w:val="0"/>
      <w:marRight w:val="0"/>
      <w:marTop w:val="0"/>
      <w:marBottom w:val="0"/>
      <w:divBdr>
        <w:top w:val="none" w:sz="0" w:space="0" w:color="auto"/>
        <w:left w:val="none" w:sz="0" w:space="0" w:color="auto"/>
        <w:bottom w:val="none" w:sz="0" w:space="0" w:color="auto"/>
        <w:right w:val="none" w:sz="0" w:space="0" w:color="auto"/>
      </w:divBdr>
    </w:div>
    <w:div w:id="413161551">
      <w:bodyDiv w:val="1"/>
      <w:marLeft w:val="0"/>
      <w:marRight w:val="0"/>
      <w:marTop w:val="0"/>
      <w:marBottom w:val="0"/>
      <w:divBdr>
        <w:top w:val="none" w:sz="0" w:space="0" w:color="auto"/>
        <w:left w:val="none" w:sz="0" w:space="0" w:color="auto"/>
        <w:bottom w:val="none" w:sz="0" w:space="0" w:color="auto"/>
        <w:right w:val="none" w:sz="0" w:space="0" w:color="auto"/>
      </w:divBdr>
    </w:div>
    <w:div w:id="413211594">
      <w:bodyDiv w:val="1"/>
      <w:marLeft w:val="0"/>
      <w:marRight w:val="0"/>
      <w:marTop w:val="0"/>
      <w:marBottom w:val="0"/>
      <w:divBdr>
        <w:top w:val="none" w:sz="0" w:space="0" w:color="auto"/>
        <w:left w:val="none" w:sz="0" w:space="0" w:color="auto"/>
        <w:bottom w:val="none" w:sz="0" w:space="0" w:color="auto"/>
        <w:right w:val="none" w:sz="0" w:space="0" w:color="auto"/>
      </w:divBdr>
    </w:div>
    <w:div w:id="413430493">
      <w:bodyDiv w:val="1"/>
      <w:marLeft w:val="0"/>
      <w:marRight w:val="0"/>
      <w:marTop w:val="0"/>
      <w:marBottom w:val="0"/>
      <w:divBdr>
        <w:top w:val="none" w:sz="0" w:space="0" w:color="auto"/>
        <w:left w:val="none" w:sz="0" w:space="0" w:color="auto"/>
        <w:bottom w:val="none" w:sz="0" w:space="0" w:color="auto"/>
        <w:right w:val="none" w:sz="0" w:space="0" w:color="auto"/>
      </w:divBdr>
    </w:div>
    <w:div w:id="413432939">
      <w:bodyDiv w:val="1"/>
      <w:marLeft w:val="0"/>
      <w:marRight w:val="0"/>
      <w:marTop w:val="0"/>
      <w:marBottom w:val="0"/>
      <w:divBdr>
        <w:top w:val="none" w:sz="0" w:space="0" w:color="auto"/>
        <w:left w:val="none" w:sz="0" w:space="0" w:color="auto"/>
        <w:bottom w:val="none" w:sz="0" w:space="0" w:color="auto"/>
        <w:right w:val="none" w:sz="0" w:space="0" w:color="auto"/>
      </w:divBdr>
    </w:div>
    <w:div w:id="413476412">
      <w:bodyDiv w:val="1"/>
      <w:marLeft w:val="0"/>
      <w:marRight w:val="0"/>
      <w:marTop w:val="0"/>
      <w:marBottom w:val="0"/>
      <w:divBdr>
        <w:top w:val="none" w:sz="0" w:space="0" w:color="auto"/>
        <w:left w:val="none" w:sz="0" w:space="0" w:color="auto"/>
        <w:bottom w:val="none" w:sz="0" w:space="0" w:color="auto"/>
        <w:right w:val="none" w:sz="0" w:space="0" w:color="auto"/>
      </w:divBdr>
    </w:div>
    <w:div w:id="413824331">
      <w:bodyDiv w:val="1"/>
      <w:marLeft w:val="0"/>
      <w:marRight w:val="0"/>
      <w:marTop w:val="0"/>
      <w:marBottom w:val="0"/>
      <w:divBdr>
        <w:top w:val="none" w:sz="0" w:space="0" w:color="auto"/>
        <w:left w:val="none" w:sz="0" w:space="0" w:color="auto"/>
        <w:bottom w:val="none" w:sz="0" w:space="0" w:color="auto"/>
        <w:right w:val="none" w:sz="0" w:space="0" w:color="auto"/>
      </w:divBdr>
    </w:div>
    <w:div w:id="414398567">
      <w:bodyDiv w:val="1"/>
      <w:marLeft w:val="0"/>
      <w:marRight w:val="0"/>
      <w:marTop w:val="0"/>
      <w:marBottom w:val="0"/>
      <w:divBdr>
        <w:top w:val="none" w:sz="0" w:space="0" w:color="auto"/>
        <w:left w:val="none" w:sz="0" w:space="0" w:color="auto"/>
        <w:bottom w:val="none" w:sz="0" w:space="0" w:color="auto"/>
        <w:right w:val="none" w:sz="0" w:space="0" w:color="auto"/>
      </w:divBdr>
    </w:div>
    <w:div w:id="414741656">
      <w:bodyDiv w:val="1"/>
      <w:marLeft w:val="0"/>
      <w:marRight w:val="0"/>
      <w:marTop w:val="0"/>
      <w:marBottom w:val="0"/>
      <w:divBdr>
        <w:top w:val="none" w:sz="0" w:space="0" w:color="auto"/>
        <w:left w:val="none" w:sz="0" w:space="0" w:color="auto"/>
        <w:bottom w:val="none" w:sz="0" w:space="0" w:color="auto"/>
        <w:right w:val="none" w:sz="0" w:space="0" w:color="auto"/>
      </w:divBdr>
    </w:div>
    <w:div w:id="416096923">
      <w:bodyDiv w:val="1"/>
      <w:marLeft w:val="0"/>
      <w:marRight w:val="0"/>
      <w:marTop w:val="0"/>
      <w:marBottom w:val="0"/>
      <w:divBdr>
        <w:top w:val="none" w:sz="0" w:space="0" w:color="auto"/>
        <w:left w:val="none" w:sz="0" w:space="0" w:color="auto"/>
        <w:bottom w:val="none" w:sz="0" w:space="0" w:color="auto"/>
        <w:right w:val="none" w:sz="0" w:space="0" w:color="auto"/>
      </w:divBdr>
    </w:div>
    <w:div w:id="416099774">
      <w:bodyDiv w:val="1"/>
      <w:marLeft w:val="0"/>
      <w:marRight w:val="0"/>
      <w:marTop w:val="0"/>
      <w:marBottom w:val="0"/>
      <w:divBdr>
        <w:top w:val="none" w:sz="0" w:space="0" w:color="auto"/>
        <w:left w:val="none" w:sz="0" w:space="0" w:color="auto"/>
        <w:bottom w:val="none" w:sz="0" w:space="0" w:color="auto"/>
        <w:right w:val="none" w:sz="0" w:space="0" w:color="auto"/>
      </w:divBdr>
    </w:div>
    <w:div w:id="416362375">
      <w:bodyDiv w:val="1"/>
      <w:marLeft w:val="0"/>
      <w:marRight w:val="0"/>
      <w:marTop w:val="0"/>
      <w:marBottom w:val="0"/>
      <w:divBdr>
        <w:top w:val="none" w:sz="0" w:space="0" w:color="auto"/>
        <w:left w:val="none" w:sz="0" w:space="0" w:color="auto"/>
        <w:bottom w:val="none" w:sz="0" w:space="0" w:color="auto"/>
        <w:right w:val="none" w:sz="0" w:space="0" w:color="auto"/>
      </w:divBdr>
    </w:div>
    <w:div w:id="417215885">
      <w:bodyDiv w:val="1"/>
      <w:marLeft w:val="0"/>
      <w:marRight w:val="0"/>
      <w:marTop w:val="0"/>
      <w:marBottom w:val="0"/>
      <w:divBdr>
        <w:top w:val="none" w:sz="0" w:space="0" w:color="auto"/>
        <w:left w:val="none" w:sz="0" w:space="0" w:color="auto"/>
        <w:bottom w:val="none" w:sz="0" w:space="0" w:color="auto"/>
        <w:right w:val="none" w:sz="0" w:space="0" w:color="auto"/>
      </w:divBdr>
    </w:div>
    <w:div w:id="417219442">
      <w:bodyDiv w:val="1"/>
      <w:marLeft w:val="0"/>
      <w:marRight w:val="0"/>
      <w:marTop w:val="0"/>
      <w:marBottom w:val="0"/>
      <w:divBdr>
        <w:top w:val="none" w:sz="0" w:space="0" w:color="auto"/>
        <w:left w:val="none" w:sz="0" w:space="0" w:color="auto"/>
        <w:bottom w:val="none" w:sz="0" w:space="0" w:color="auto"/>
        <w:right w:val="none" w:sz="0" w:space="0" w:color="auto"/>
      </w:divBdr>
    </w:div>
    <w:div w:id="417824373">
      <w:bodyDiv w:val="1"/>
      <w:marLeft w:val="0"/>
      <w:marRight w:val="0"/>
      <w:marTop w:val="0"/>
      <w:marBottom w:val="0"/>
      <w:divBdr>
        <w:top w:val="none" w:sz="0" w:space="0" w:color="auto"/>
        <w:left w:val="none" w:sz="0" w:space="0" w:color="auto"/>
        <w:bottom w:val="none" w:sz="0" w:space="0" w:color="auto"/>
        <w:right w:val="none" w:sz="0" w:space="0" w:color="auto"/>
      </w:divBdr>
    </w:div>
    <w:div w:id="419907905">
      <w:bodyDiv w:val="1"/>
      <w:marLeft w:val="0"/>
      <w:marRight w:val="0"/>
      <w:marTop w:val="0"/>
      <w:marBottom w:val="0"/>
      <w:divBdr>
        <w:top w:val="none" w:sz="0" w:space="0" w:color="auto"/>
        <w:left w:val="none" w:sz="0" w:space="0" w:color="auto"/>
        <w:bottom w:val="none" w:sz="0" w:space="0" w:color="auto"/>
        <w:right w:val="none" w:sz="0" w:space="0" w:color="auto"/>
      </w:divBdr>
    </w:div>
    <w:div w:id="419911694">
      <w:bodyDiv w:val="1"/>
      <w:marLeft w:val="0"/>
      <w:marRight w:val="0"/>
      <w:marTop w:val="0"/>
      <w:marBottom w:val="0"/>
      <w:divBdr>
        <w:top w:val="none" w:sz="0" w:space="0" w:color="auto"/>
        <w:left w:val="none" w:sz="0" w:space="0" w:color="auto"/>
        <w:bottom w:val="none" w:sz="0" w:space="0" w:color="auto"/>
        <w:right w:val="none" w:sz="0" w:space="0" w:color="auto"/>
      </w:divBdr>
    </w:div>
    <w:div w:id="419956162">
      <w:bodyDiv w:val="1"/>
      <w:marLeft w:val="0"/>
      <w:marRight w:val="0"/>
      <w:marTop w:val="0"/>
      <w:marBottom w:val="0"/>
      <w:divBdr>
        <w:top w:val="none" w:sz="0" w:space="0" w:color="auto"/>
        <w:left w:val="none" w:sz="0" w:space="0" w:color="auto"/>
        <w:bottom w:val="none" w:sz="0" w:space="0" w:color="auto"/>
        <w:right w:val="none" w:sz="0" w:space="0" w:color="auto"/>
      </w:divBdr>
    </w:div>
    <w:div w:id="420300548">
      <w:bodyDiv w:val="1"/>
      <w:marLeft w:val="0"/>
      <w:marRight w:val="0"/>
      <w:marTop w:val="0"/>
      <w:marBottom w:val="0"/>
      <w:divBdr>
        <w:top w:val="none" w:sz="0" w:space="0" w:color="auto"/>
        <w:left w:val="none" w:sz="0" w:space="0" w:color="auto"/>
        <w:bottom w:val="none" w:sz="0" w:space="0" w:color="auto"/>
        <w:right w:val="none" w:sz="0" w:space="0" w:color="auto"/>
      </w:divBdr>
    </w:div>
    <w:div w:id="421535690">
      <w:bodyDiv w:val="1"/>
      <w:marLeft w:val="0"/>
      <w:marRight w:val="0"/>
      <w:marTop w:val="0"/>
      <w:marBottom w:val="0"/>
      <w:divBdr>
        <w:top w:val="none" w:sz="0" w:space="0" w:color="auto"/>
        <w:left w:val="none" w:sz="0" w:space="0" w:color="auto"/>
        <w:bottom w:val="none" w:sz="0" w:space="0" w:color="auto"/>
        <w:right w:val="none" w:sz="0" w:space="0" w:color="auto"/>
      </w:divBdr>
    </w:div>
    <w:div w:id="421725836">
      <w:bodyDiv w:val="1"/>
      <w:marLeft w:val="0"/>
      <w:marRight w:val="0"/>
      <w:marTop w:val="0"/>
      <w:marBottom w:val="0"/>
      <w:divBdr>
        <w:top w:val="none" w:sz="0" w:space="0" w:color="auto"/>
        <w:left w:val="none" w:sz="0" w:space="0" w:color="auto"/>
        <w:bottom w:val="none" w:sz="0" w:space="0" w:color="auto"/>
        <w:right w:val="none" w:sz="0" w:space="0" w:color="auto"/>
      </w:divBdr>
    </w:div>
    <w:div w:id="422338121">
      <w:bodyDiv w:val="1"/>
      <w:marLeft w:val="0"/>
      <w:marRight w:val="0"/>
      <w:marTop w:val="0"/>
      <w:marBottom w:val="0"/>
      <w:divBdr>
        <w:top w:val="none" w:sz="0" w:space="0" w:color="auto"/>
        <w:left w:val="none" w:sz="0" w:space="0" w:color="auto"/>
        <w:bottom w:val="none" w:sz="0" w:space="0" w:color="auto"/>
        <w:right w:val="none" w:sz="0" w:space="0" w:color="auto"/>
      </w:divBdr>
    </w:div>
    <w:div w:id="424113116">
      <w:bodyDiv w:val="1"/>
      <w:marLeft w:val="0"/>
      <w:marRight w:val="0"/>
      <w:marTop w:val="0"/>
      <w:marBottom w:val="0"/>
      <w:divBdr>
        <w:top w:val="none" w:sz="0" w:space="0" w:color="auto"/>
        <w:left w:val="none" w:sz="0" w:space="0" w:color="auto"/>
        <w:bottom w:val="none" w:sz="0" w:space="0" w:color="auto"/>
        <w:right w:val="none" w:sz="0" w:space="0" w:color="auto"/>
      </w:divBdr>
    </w:div>
    <w:div w:id="424418678">
      <w:bodyDiv w:val="1"/>
      <w:marLeft w:val="0"/>
      <w:marRight w:val="0"/>
      <w:marTop w:val="0"/>
      <w:marBottom w:val="0"/>
      <w:divBdr>
        <w:top w:val="none" w:sz="0" w:space="0" w:color="auto"/>
        <w:left w:val="none" w:sz="0" w:space="0" w:color="auto"/>
        <w:bottom w:val="none" w:sz="0" w:space="0" w:color="auto"/>
        <w:right w:val="none" w:sz="0" w:space="0" w:color="auto"/>
      </w:divBdr>
    </w:div>
    <w:div w:id="424544803">
      <w:bodyDiv w:val="1"/>
      <w:marLeft w:val="0"/>
      <w:marRight w:val="0"/>
      <w:marTop w:val="0"/>
      <w:marBottom w:val="0"/>
      <w:divBdr>
        <w:top w:val="none" w:sz="0" w:space="0" w:color="auto"/>
        <w:left w:val="none" w:sz="0" w:space="0" w:color="auto"/>
        <w:bottom w:val="none" w:sz="0" w:space="0" w:color="auto"/>
        <w:right w:val="none" w:sz="0" w:space="0" w:color="auto"/>
      </w:divBdr>
    </w:div>
    <w:div w:id="424617595">
      <w:bodyDiv w:val="1"/>
      <w:marLeft w:val="0"/>
      <w:marRight w:val="0"/>
      <w:marTop w:val="0"/>
      <w:marBottom w:val="0"/>
      <w:divBdr>
        <w:top w:val="none" w:sz="0" w:space="0" w:color="auto"/>
        <w:left w:val="none" w:sz="0" w:space="0" w:color="auto"/>
        <w:bottom w:val="none" w:sz="0" w:space="0" w:color="auto"/>
        <w:right w:val="none" w:sz="0" w:space="0" w:color="auto"/>
      </w:divBdr>
    </w:div>
    <w:div w:id="425225474">
      <w:bodyDiv w:val="1"/>
      <w:marLeft w:val="0"/>
      <w:marRight w:val="0"/>
      <w:marTop w:val="0"/>
      <w:marBottom w:val="0"/>
      <w:divBdr>
        <w:top w:val="none" w:sz="0" w:space="0" w:color="auto"/>
        <w:left w:val="none" w:sz="0" w:space="0" w:color="auto"/>
        <w:bottom w:val="none" w:sz="0" w:space="0" w:color="auto"/>
        <w:right w:val="none" w:sz="0" w:space="0" w:color="auto"/>
      </w:divBdr>
    </w:div>
    <w:div w:id="425466966">
      <w:bodyDiv w:val="1"/>
      <w:marLeft w:val="0"/>
      <w:marRight w:val="0"/>
      <w:marTop w:val="0"/>
      <w:marBottom w:val="0"/>
      <w:divBdr>
        <w:top w:val="none" w:sz="0" w:space="0" w:color="auto"/>
        <w:left w:val="none" w:sz="0" w:space="0" w:color="auto"/>
        <w:bottom w:val="none" w:sz="0" w:space="0" w:color="auto"/>
        <w:right w:val="none" w:sz="0" w:space="0" w:color="auto"/>
      </w:divBdr>
    </w:div>
    <w:div w:id="426115315">
      <w:bodyDiv w:val="1"/>
      <w:marLeft w:val="0"/>
      <w:marRight w:val="0"/>
      <w:marTop w:val="0"/>
      <w:marBottom w:val="0"/>
      <w:divBdr>
        <w:top w:val="none" w:sz="0" w:space="0" w:color="auto"/>
        <w:left w:val="none" w:sz="0" w:space="0" w:color="auto"/>
        <w:bottom w:val="none" w:sz="0" w:space="0" w:color="auto"/>
        <w:right w:val="none" w:sz="0" w:space="0" w:color="auto"/>
      </w:divBdr>
    </w:div>
    <w:div w:id="426190649">
      <w:bodyDiv w:val="1"/>
      <w:marLeft w:val="0"/>
      <w:marRight w:val="0"/>
      <w:marTop w:val="0"/>
      <w:marBottom w:val="0"/>
      <w:divBdr>
        <w:top w:val="none" w:sz="0" w:space="0" w:color="auto"/>
        <w:left w:val="none" w:sz="0" w:space="0" w:color="auto"/>
        <w:bottom w:val="none" w:sz="0" w:space="0" w:color="auto"/>
        <w:right w:val="none" w:sz="0" w:space="0" w:color="auto"/>
      </w:divBdr>
    </w:div>
    <w:div w:id="426508428">
      <w:bodyDiv w:val="1"/>
      <w:marLeft w:val="0"/>
      <w:marRight w:val="0"/>
      <w:marTop w:val="0"/>
      <w:marBottom w:val="0"/>
      <w:divBdr>
        <w:top w:val="none" w:sz="0" w:space="0" w:color="auto"/>
        <w:left w:val="none" w:sz="0" w:space="0" w:color="auto"/>
        <w:bottom w:val="none" w:sz="0" w:space="0" w:color="auto"/>
        <w:right w:val="none" w:sz="0" w:space="0" w:color="auto"/>
      </w:divBdr>
    </w:div>
    <w:div w:id="426770864">
      <w:bodyDiv w:val="1"/>
      <w:marLeft w:val="0"/>
      <w:marRight w:val="0"/>
      <w:marTop w:val="0"/>
      <w:marBottom w:val="0"/>
      <w:divBdr>
        <w:top w:val="none" w:sz="0" w:space="0" w:color="auto"/>
        <w:left w:val="none" w:sz="0" w:space="0" w:color="auto"/>
        <w:bottom w:val="none" w:sz="0" w:space="0" w:color="auto"/>
        <w:right w:val="none" w:sz="0" w:space="0" w:color="auto"/>
      </w:divBdr>
    </w:div>
    <w:div w:id="426773223">
      <w:bodyDiv w:val="1"/>
      <w:marLeft w:val="0"/>
      <w:marRight w:val="0"/>
      <w:marTop w:val="0"/>
      <w:marBottom w:val="0"/>
      <w:divBdr>
        <w:top w:val="none" w:sz="0" w:space="0" w:color="auto"/>
        <w:left w:val="none" w:sz="0" w:space="0" w:color="auto"/>
        <w:bottom w:val="none" w:sz="0" w:space="0" w:color="auto"/>
        <w:right w:val="none" w:sz="0" w:space="0" w:color="auto"/>
      </w:divBdr>
    </w:div>
    <w:div w:id="427779060">
      <w:bodyDiv w:val="1"/>
      <w:marLeft w:val="0"/>
      <w:marRight w:val="0"/>
      <w:marTop w:val="0"/>
      <w:marBottom w:val="0"/>
      <w:divBdr>
        <w:top w:val="none" w:sz="0" w:space="0" w:color="auto"/>
        <w:left w:val="none" w:sz="0" w:space="0" w:color="auto"/>
        <w:bottom w:val="none" w:sz="0" w:space="0" w:color="auto"/>
        <w:right w:val="none" w:sz="0" w:space="0" w:color="auto"/>
      </w:divBdr>
    </w:div>
    <w:div w:id="427967923">
      <w:bodyDiv w:val="1"/>
      <w:marLeft w:val="0"/>
      <w:marRight w:val="0"/>
      <w:marTop w:val="0"/>
      <w:marBottom w:val="0"/>
      <w:divBdr>
        <w:top w:val="none" w:sz="0" w:space="0" w:color="auto"/>
        <w:left w:val="none" w:sz="0" w:space="0" w:color="auto"/>
        <w:bottom w:val="none" w:sz="0" w:space="0" w:color="auto"/>
        <w:right w:val="none" w:sz="0" w:space="0" w:color="auto"/>
      </w:divBdr>
    </w:div>
    <w:div w:id="428354201">
      <w:bodyDiv w:val="1"/>
      <w:marLeft w:val="0"/>
      <w:marRight w:val="0"/>
      <w:marTop w:val="0"/>
      <w:marBottom w:val="0"/>
      <w:divBdr>
        <w:top w:val="none" w:sz="0" w:space="0" w:color="auto"/>
        <w:left w:val="none" w:sz="0" w:space="0" w:color="auto"/>
        <w:bottom w:val="none" w:sz="0" w:space="0" w:color="auto"/>
        <w:right w:val="none" w:sz="0" w:space="0" w:color="auto"/>
      </w:divBdr>
    </w:div>
    <w:div w:id="428545360">
      <w:bodyDiv w:val="1"/>
      <w:marLeft w:val="0"/>
      <w:marRight w:val="0"/>
      <w:marTop w:val="0"/>
      <w:marBottom w:val="0"/>
      <w:divBdr>
        <w:top w:val="none" w:sz="0" w:space="0" w:color="auto"/>
        <w:left w:val="none" w:sz="0" w:space="0" w:color="auto"/>
        <w:bottom w:val="none" w:sz="0" w:space="0" w:color="auto"/>
        <w:right w:val="none" w:sz="0" w:space="0" w:color="auto"/>
      </w:divBdr>
    </w:div>
    <w:div w:id="428627734">
      <w:bodyDiv w:val="1"/>
      <w:marLeft w:val="0"/>
      <w:marRight w:val="0"/>
      <w:marTop w:val="0"/>
      <w:marBottom w:val="0"/>
      <w:divBdr>
        <w:top w:val="none" w:sz="0" w:space="0" w:color="auto"/>
        <w:left w:val="none" w:sz="0" w:space="0" w:color="auto"/>
        <w:bottom w:val="none" w:sz="0" w:space="0" w:color="auto"/>
        <w:right w:val="none" w:sz="0" w:space="0" w:color="auto"/>
      </w:divBdr>
    </w:div>
    <w:div w:id="428700820">
      <w:bodyDiv w:val="1"/>
      <w:marLeft w:val="0"/>
      <w:marRight w:val="0"/>
      <w:marTop w:val="0"/>
      <w:marBottom w:val="0"/>
      <w:divBdr>
        <w:top w:val="none" w:sz="0" w:space="0" w:color="auto"/>
        <w:left w:val="none" w:sz="0" w:space="0" w:color="auto"/>
        <w:bottom w:val="none" w:sz="0" w:space="0" w:color="auto"/>
        <w:right w:val="none" w:sz="0" w:space="0" w:color="auto"/>
      </w:divBdr>
    </w:div>
    <w:div w:id="428964680">
      <w:bodyDiv w:val="1"/>
      <w:marLeft w:val="0"/>
      <w:marRight w:val="0"/>
      <w:marTop w:val="0"/>
      <w:marBottom w:val="0"/>
      <w:divBdr>
        <w:top w:val="none" w:sz="0" w:space="0" w:color="auto"/>
        <w:left w:val="none" w:sz="0" w:space="0" w:color="auto"/>
        <w:bottom w:val="none" w:sz="0" w:space="0" w:color="auto"/>
        <w:right w:val="none" w:sz="0" w:space="0" w:color="auto"/>
      </w:divBdr>
    </w:div>
    <w:div w:id="429199725">
      <w:bodyDiv w:val="1"/>
      <w:marLeft w:val="0"/>
      <w:marRight w:val="0"/>
      <w:marTop w:val="0"/>
      <w:marBottom w:val="0"/>
      <w:divBdr>
        <w:top w:val="none" w:sz="0" w:space="0" w:color="auto"/>
        <w:left w:val="none" w:sz="0" w:space="0" w:color="auto"/>
        <w:bottom w:val="none" w:sz="0" w:space="0" w:color="auto"/>
        <w:right w:val="none" w:sz="0" w:space="0" w:color="auto"/>
      </w:divBdr>
    </w:div>
    <w:div w:id="429205744">
      <w:bodyDiv w:val="1"/>
      <w:marLeft w:val="0"/>
      <w:marRight w:val="0"/>
      <w:marTop w:val="0"/>
      <w:marBottom w:val="0"/>
      <w:divBdr>
        <w:top w:val="none" w:sz="0" w:space="0" w:color="auto"/>
        <w:left w:val="none" w:sz="0" w:space="0" w:color="auto"/>
        <w:bottom w:val="none" w:sz="0" w:space="0" w:color="auto"/>
        <w:right w:val="none" w:sz="0" w:space="0" w:color="auto"/>
      </w:divBdr>
    </w:div>
    <w:div w:id="429351268">
      <w:bodyDiv w:val="1"/>
      <w:marLeft w:val="0"/>
      <w:marRight w:val="0"/>
      <w:marTop w:val="0"/>
      <w:marBottom w:val="0"/>
      <w:divBdr>
        <w:top w:val="none" w:sz="0" w:space="0" w:color="auto"/>
        <w:left w:val="none" w:sz="0" w:space="0" w:color="auto"/>
        <w:bottom w:val="none" w:sz="0" w:space="0" w:color="auto"/>
        <w:right w:val="none" w:sz="0" w:space="0" w:color="auto"/>
      </w:divBdr>
    </w:div>
    <w:div w:id="431439810">
      <w:bodyDiv w:val="1"/>
      <w:marLeft w:val="0"/>
      <w:marRight w:val="0"/>
      <w:marTop w:val="0"/>
      <w:marBottom w:val="0"/>
      <w:divBdr>
        <w:top w:val="none" w:sz="0" w:space="0" w:color="auto"/>
        <w:left w:val="none" w:sz="0" w:space="0" w:color="auto"/>
        <w:bottom w:val="none" w:sz="0" w:space="0" w:color="auto"/>
        <w:right w:val="none" w:sz="0" w:space="0" w:color="auto"/>
      </w:divBdr>
    </w:div>
    <w:div w:id="431901290">
      <w:bodyDiv w:val="1"/>
      <w:marLeft w:val="0"/>
      <w:marRight w:val="0"/>
      <w:marTop w:val="0"/>
      <w:marBottom w:val="0"/>
      <w:divBdr>
        <w:top w:val="none" w:sz="0" w:space="0" w:color="auto"/>
        <w:left w:val="none" w:sz="0" w:space="0" w:color="auto"/>
        <w:bottom w:val="none" w:sz="0" w:space="0" w:color="auto"/>
        <w:right w:val="none" w:sz="0" w:space="0" w:color="auto"/>
      </w:divBdr>
    </w:div>
    <w:div w:id="432019425">
      <w:bodyDiv w:val="1"/>
      <w:marLeft w:val="0"/>
      <w:marRight w:val="0"/>
      <w:marTop w:val="0"/>
      <w:marBottom w:val="0"/>
      <w:divBdr>
        <w:top w:val="none" w:sz="0" w:space="0" w:color="auto"/>
        <w:left w:val="none" w:sz="0" w:space="0" w:color="auto"/>
        <w:bottom w:val="none" w:sz="0" w:space="0" w:color="auto"/>
        <w:right w:val="none" w:sz="0" w:space="0" w:color="auto"/>
      </w:divBdr>
    </w:div>
    <w:div w:id="432021315">
      <w:bodyDiv w:val="1"/>
      <w:marLeft w:val="0"/>
      <w:marRight w:val="0"/>
      <w:marTop w:val="0"/>
      <w:marBottom w:val="0"/>
      <w:divBdr>
        <w:top w:val="none" w:sz="0" w:space="0" w:color="auto"/>
        <w:left w:val="none" w:sz="0" w:space="0" w:color="auto"/>
        <w:bottom w:val="none" w:sz="0" w:space="0" w:color="auto"/>
        <w:right w:val="none" w:sz="0" w:space="0" w:color="auto"/>
      </w:divBdr>
    </w:div>
    <w:div w:id="432166711">
      <w:bodyDiv w:val="1"/>
      <w:marLeft w:val="0"/>
      <w:marRight w:val="0"/>
      <w:marTop w:val="0"/>
      <w:marBottom w:val="0"/>
      <w:divBdr>
        <w:top w:val="none" w:sz="0" w:space="0" w:color="auto"/>
        <w:left w:val="none" w:sz="0" w:space="0" w:color="auto"/>
        <w:bottom w:val="none" w:sz="0" w:space="0" w:color="auto"/>
        <w:right w:val="none" w:sz="0" w:space="0" w:color="auto"/>
      </w:divBdr>
    </w:div>
    <w:div w:id="432212271">
      <w:bodyDiv w:val="1"/>
      <w:marLeft w:val="0"/>
      <w:marRight w:val="0"/>
      <w:marTop w:val="0"/>
      <w:marBottom w:val="0"/>
      <w:divBdr>
        <w:top w:val="none" w:sz="0" w:space="0" w:color="auto"/>
        <w:left w:val="none" w:sz="0" w:space="0" w:color="auto"/>
        <w:bottom w:val="none" w:sz="0" w:space="0" w:color="auto"/>
        <w:right w:val="none" w:sz="0" w:space="0" w:color="auto"/>
      </w:divBdr>
    </w:div>
    <w:div w:id="432824647">
      <w:bodyDiv w:val="1"/>
      <w:marLeft w:val="0"/>
      <w:marRight w:val="0"/>
      <w:marTop w:val="0"/>
      <w:marBottom w:val="0"/>
      <w:divBdr>
        <w:top w:val="none" w:sz="0" w:space="0" w:color="auto"/>
        <w:left w:val="none" w:sz="0" w:space="0" w:color="auto"/>
        <w:bottom w:val="none" w:sz="0" w:space="0" w:color="auto"/>
        <w:right w:val="none" w:sz="0" w:space="0" w:color="auto"/>
      </w:divBdr>
    </w:div>
    <w:div w:id="432867969">
      <w:bodyDiv w:val="1"/>
      <w:marLeft w:val="0"/>
      <w:marRight w:val="0"/>
      <w:marTop w:val="0"/>
      <w:marBottom w:val="0"/>
      <w:divBdr>
        <w:top w:val="none" w:sz="0" w:space="0" w:color="auto"/>
        <w:left w:val="none" w:sz="0" w:space="0" w:color="auto"/>
        <w:bottom w:val="none" w:sz="0" w:space="0" w:color="auto"/>
        <w:right w:val="none" w:sz="0" w:space="0" w:color="auto"/>
      </w:divBdr>
    </w:div>
    <w:div w:id="433328807">
      <w:bodyDiv w:val="1"/>
      <w:marLeft w:val="0"/>
      <w:marRight w:val="0"/>
      <w:marTop w:val="0"/>
      <w:marBottom w:val="0"/>
      <w:divBdr>
        <w:top w:val="none" w:sz="0" w:space="0" w:color="auto"/>
        <w:left w:val="none" w:sz="0" w:space="0" w:color="auto"/>
        <w:bottom w:val="none" w:sz="0" w:space="0" w:color="auto"/>
        <w:right w:val="none" w:sz="0" w:space="0" w:color="auto"/>
      </w:divBdr>
    </w:div>
    <w:div w:id="433550716">
      <w:bodyDiv w:val="1"/>
      <w:marLeft w:val="0"/>
      <w:marRight w:val="0"/>
      <w:marTop w:val="0"/>
      <w:marBottom w:val="0"/>
      <w:divBdr>
        <w:top w:val="none" w:sz="0" w:space="0" w:color="auto"/>
        <w:left w:val="none" w:sz="0" w:space="0" w:color="auto"/>
        <w:bottom w:val="none" w:sz="0" w:space="0" w:color="auto"/>
        <w:right w:val="none" w:sz="0" w:space="0" w:color="auto"/>
      </w:divBdr>
    </w:div>
    <w:div w:id="433674563">
      <w:bodyDiv w:val="1"/>
      <w:marLeft w:val="0"/>
      <w:marRight w:val="0"/>
      <w:marTop w:val="0"/>
      <w:marBottom w:val="0"/>
      <w:divBdr>
        <w:top w:val="none" w:sz="0" w:space="0" w:color="auto"/>
        <w:left w:val="none" w:sz="0" w:space="0" w:color="auto"/>
        <w:bottom w:val="none" w:sz="0" w:space="0" w:color="auto"/>
        <w:right w:val="none" w:sz="0" w:space="0" w:color="auto"/>
      </w:divBdr>
    </w:div>
    <w:div w:id="434446756">
      <w:bodyDiv w:val="1"/>
      <w:marLeft w:val="0"/>
      <w:marRight w:val="0"/>
      <w:marTop w:val="0"/>
      <w:marBottom w:val="0"/>
      <w:divBdr>
        <w:top w:val="none" w:sz="0" w:space="0" w:color="auto"/>
        <w:left w:val="none" w:sz="0" w:space="0" w:color="auto"/>
        <w:bottom w:val="none" w:sz="0" w:space="0" w:color="auto"/>
        <w:right w:val="none" w:sz="0" w:space="0" w:color="auto"/>
      </w:divBdr>
    </w:div>
    <w:div w:id="435295786">
      <w:bodyDiv w:val="1"/>
      <w:marLeft w:val="0"/>
      <w:marRight w:val="0"/>
      <w:marTop w:val="0"/>
      <w:marBottom w:val="0"/>
      <w:divBdr>
        <w:top w:val="none" w:sz="0" w:space="0" w:color="auto"/>
        <w:left w:val="none" w:sz="0" w:space="0" w:color="auto"/>
        <w:bottom w:val="none" w:sz="0" w:space="0" w:color="auto"/>
        <w:right w:val="none" w:sz="0" w:space="0" w:color="auto"/>
      </w:divBdr>
    </w:div>
    <w:div w:id="435640061">
      <w:bodyDiv w:val="1"/>
      <w:marLeft w:val="0"/>
      <w:marRight w:val="0"/>
      <w:marTop w:val="0"/>
      <w:marBottom w:val="0"/>
      <w:divBdr>
        <w:top w:val="none" w:sz="0" w:space="0" w:color="auto"/>
        <w:left w:val="none" w:sz="0" w:space="0" w:color="auto"/>
        <w:bottom w:val="none" w:sz="0" w:space="0" w:color="auto"/>
        <w:right w:val="none" w:sz="0" w:space="0" w:color="auto"/>
      </w:divBdr>
    </w:div>
    <w:div w:id="436174567">
      <w:bodyDiv w:val="1"/>
      <w:marLeft w:val="0"/>
      <w:marRight w:val="0"/>
      <w:marTop w:val="0"/>
      <w:marBottom w:val="0"/>
      <w:divBdr>
        <w:top w:val="none" w:sz="0" w:space="0" w:color="auto"/>
        <w:left w:val="none" w:sz="0" w:space="0" w:color="auto"/>
        <w:bottom w:val="none" w:sz="0" w:space="0" w:color="auto"/>
        <w:right w:val="none" w:sz="0" w:space="0" w:color="auto"/>
      </w:divBdr>
    </w:div>
    <w:div w:id="436802067">
      <w:bodyDiv w:val="1"/>
      <w:marLeft w:val="0"/>
      <w:marRight w:val="0"/>
      <w:marTop w:val="0"/>
      <w:marBottom w:val="0"/>
      <w:divBdr>
        <w:top w:val="none" w:sz="0" w:space="0" w:color="auto"/>
        <w:left w:val="none" w:sz="0" w:space="0" w:color="auto"/>
        <w:bottom w:val="none" w:sz="0" w:space="0" w:color="auto"/>
        <w:right w:val="none" w:sz="0" w:space="0" w:color="auto"/>
      </w:divBdr>
    </w:div>
    <w:div w:id="437071038">
      <w:bodyDiv w:val="1"/>
      <w:marLeft w:val="0"/>
      <w:marRight w:val="0"/>
      <w:marTop w:val="0"/>
      <w:marBottom w:val="0"/>
      <w:divBdr>
        <w:top w:val="none" w:sz="0" w:space="0" w:color="auto"/>
        <w:left w:val="none" w:sz="0" w:space="0" w:color="auto"/>
        <w:bottom w:val="none" w:sz="0" w:space="0" w:color="auto"/>
        <w:right w:val="none" w:sz="0" w:space="0" w:color="auto"/>
      </w:divBdr>
    </w:div>
    <w:div w:id="437260278">
      <w:bodyDiv w:val="1"/>
      <w:marLeft w:val="0"/>
      <w:marRight w:val="0"/>
      <w:marTop w:val="0"/>
      <w:marBottom w:val="0"/>
      <w:divBdr>
        <w:top w:val="none" w:sz="0" w:space="0" w:color="auto"/>
        <w:left w:val="none" w:sz="0" w:space="0" w:color="auto"/>
        <w:bottom w:val="none" w:sz="0" w:space="0" w:color="auto"/>
        <w:right w:val="none" w:sz="0" w:space="0" w:color="auto"/>
      </w:divBdr>
    </w:div>
    <w:div w:id="437531042">
      <w:bodyDiv w:val="1"/>
      <w:marLeft w:val="0"/>
      <w:marRight w:val="0"/>
      <w:marTop w:val="0"/>
      <w:marBottom w:val="0"/>
      <w:divBdr>
        <w:top w:val="none" w:sz="0" w:space="0" w:color="auto"/>
        <w:left w:val="none" w:sz="0" w:space="0" w:color="auto"/>
        <w:bottom w:val="none" w:sz="0" w:space="0" w:color="auto"/>
        <w:right w:val="none" w:sz="0" w:space="0" w:color="auto"/>
      </w:divBdr>
    </w:div>
    <w:div w:id="437915755">
      <w:bodyDiv w:val="1"/>
      <w:marLeft w:val="0"/>
      <w:marRight w:val="0"/>
      <w:marTop w:val="0"/>
      <w:marBottom w:val="0"/>
      <w:divBdr>
        <w:top w:val="none" w:sz="0" w:space="0" w:color="auto"/>
        <w:left w:val="none" w:sz="0" w:space="0" w:color="auto"/>
        <w:bottom w:val="none" w:sz="0" w:space="0" w:color="auto"/>
        <w:right w:val="none" w:sz="0" w:space="0" w:color="auto"/>
      </w:divBdr>
    </w:div>
    <w:div w:id="438066448">
      <w:bodyDiv w:val="1"/>
      <w:marLeft w:val="0"/>
      <w:marRight w:val="0"/>
      <w:marTop w:val="0"/>
      <w:marBottom w:val="0"/>
      <w:divBdr>
        <w:top w:val="none" w:sz="0" w:space="0" w:color="auto"/>
        <w:left w:val="none" w:sz="0" w:space="0" w:color="auto"/>
        <w:bottom w:val="none" w:sz="0" w:space="0" w:color="auto"/>
        <w:right w:val="none" w:sz="0" w:space="0" w:color="auto"/>
      </w:divBdr>
    </w:div>
    <w:div w:id="438332665">
      <w:bodyDiv w:val="1"/>
      <w:marLeft w:val="0"/>
      <w:marRight w:val="0"/>
      <w:marTop w:val="0"/>
      <w:marBottom w:val="0"/>
      <w:divBdr>
        <w:top w:val="none" w:sz="0" w:space="0" w:color="auto"/>
        <w:left w:val="none" w:sz="0" w:space="0" w:color="auto"/>
        <w:bottom w:val="none" w:sz="0" w:space="0" w:color="auto"/>
        <w:right w:val="none" w:sz="0" w:space="0" w:color="auto"/>
      </w:divBdr>
    </w:div>
    <w:div w:id="438795555">
      <w:bodyDiv w:val="1"/>
      <w:marLeft w:val="0"/>
      <w:marRight w:val="0"/>
      <w:marTop w:val="0"/>
      <w:marBottom w:val="0"/>
      <w:divBdr>
        <w:top w:val="none" w:sz="0" w:space="0" w:color="auto"/>
        <w:left w:val="none" w:sz="0" w:space="0" w:color="auto"/>
        <w:bottom w:val="none" w:sz="0" w:space="0" w:color="auto"/>
        <w:right w:val="none" w:sz="0" w:space="0" w:color="auto"/>
      </w:divBdr>
    </w:div>
    <w:div w:id="439301494">
      <w:bodyDiv w:val="1"/>
      <w:marLeft w:val="0"/>
      <w:marRight w:val="0"/>
      <w:marTop w:val="0"/>
      <w:marBottom w:val="0"/>
      <w:divBdr>
        <w:top w:val="none" w:sz="0" w:space="0" w:color="auto"/>
        <w:left w:val="none" w:sz="0" w:space="0" w:color="auto"/>
        <w:bottom w:val="none" w:sz="0" w:space="0" w:color="auto"/>
        <w:right w:val="none" w:sz="0" w:space="0" w:color="auto"/>
      </w:divBdr>
    </w:div>
    <w:div w:id="440075808">
      <w:bodyDiv w:val="1"/>
      <w:marLeft w:val="0"/>
      <w:marRight w:val="0"/>
      <w:marTop w:val="0"/>
      <w:marBottom w:val="0"/>
      <w:divBdr>
        <w:top w:val="none" w:sz="0" w:space="0" w:color="auto"/>
        <w:left w:val="none" w:sz="0" w:space="0" w:color="auto"/>
        <w:bottom w:val="none" w:sz="0" w:space="0" w:color="auto"/>
        <w:right w:val="none" w:sz="0" w:space="0" w:color="auto"/>
      </w:divBdr>
    </w:div>
    <w:div w:id="440296479">
      <w:bodyDiv w:val="1"/>
      <w:marLeft w:val="0"/>
      <w:marRight w:val="0"/>
      <w:marTop w:val="0"/>
      <w:marBottom w:val="0"/>
      <w:divBdr>
        <w:top w:val="none" w:sz="0" w:space="0" w:color="auto"/>
        <w:left w:val="none" w:sz="0" w:space="0" w:color="auto"/>
        <w:bottom w:val="none" w:sz="0" w:space="0" w:color="auto"/>
        <w:right w:val="none" w:sz="0" w:space="0" w:color="auto"/>
      </w:divBdr>
    </w:div>
    <w:div w:id="440564011">
      <w:bodyDiv w:val="1"/>
      <w:marLeft w:val="0"/>
      <w:marRight w:val="0"/>
      <w:marTop w:val="0"/>
      <w:marBottom w:val="0"/>
      <w:divBdr>
        <w:top w:val="none" w:sz="0" w:space="0" w:color="auto"/>
        <w:left w:val="none" w:sz="0" w:space="0" w:color="auto"/>
        <w:bottom w:val="none" w:sz="0" w:space="0" w:color="auto"/>
        <w:right w:val="none" w:sz="0" w:space="0" w:color="auto"/>
      </w:divBdr>
    </w:div>
    <w:div w:id="440685879">
      <w:bodyDiv w:val="1"/>
      <w:marLeft w:val="0"/>
      <w:marRight w:val="0"/>
      <w:marTop w:val="0"/>
      <w:marBottom w:val="0"/>
      <w:divBdr>
        <w:top w:val="none" w:sz="0" w:space="0" w:color="auto"/>
        <w:left w:val="none" w:sz="0" w:space="0" w:color="auto"/>
        <w:bottom w:val="none" w:sz="0" w:space="0" w:color="auto"/>
        <w:right w:val="none" w:sz="0" w:space="0" w:color="auto"/>
      </w:divBdr>
    </w:div>
    <w:div w:id="440732219">
      <w:bodyDiv w:val="1"/>
      <w:marLeft w:val="0"/>
      <w:marRight w:val="0"/>
      <w:marTop w:val="0"/>
      <w:marBottom w:val="0"/>
      <w:divBdr>
        <w:top w:val="none" w:sz="0" w:space="0" w:color="auto"/>
        <w:left w:val="none" w:sz="0" w:space="0" w:color="auto"/>
        <w:bottom w:val="none" w:sz="0" w:space="0" w:color="auto"/>
        <w:right w:val="none" w:sz="0" w:space="0" w:color="auto"/>
      </w:divBdr>
    </w:div>
    <w:div w:id="440881746">
      <w:bodyDiv w:val="1"/>
      <w:marLeft w:val="0"/>
      <w:marRight w:val="0"/>
      <w:marTop w:val="0"/>
      <w:marBottom w:val="0"/>
      <w:divBdr>
        <w:top w:val="none" w:sz="0" w:space="0" w:color="auto"/>
        <w:left w:val="none" w:sz="0" w:space="0" w:color="auto"/>
        <w:bottom w:val="none" w:sz="0" w:space="0" w:color="auto"/>
        <w:right w:val="none" w:sz="0" w:space="0" w:color="auto"/>
      </w:divBdr>
    </w:div>
    <w:div w:id="440883909">
      <w:bodyDiv w:val="1"/>
      <w:marLeft w:val="0"/>
      <w:marRight w:val="0"/>
      <w:marTop w:val="0"/>
      <w:marBottom w:val="0"/>
      <w:divBdr>
        <w:top w:val="none" w:sz="0" w:space="0" w:color="auto"/>
        <w:left w:val="none" w:sz="0" w:space="0" w:color="auto"/>
        <w:bottom w:val="none" w:sz="0" w:space="0" w:color="auto"/>
        <w:right w:val="none" w:sz="0" w:space="0" w:color="auto"/>
      </w:divBdr>
    </w:div>
    <w:div w:id="441071675">
      <w:bodyDiv w:val="1"/>
      <w:marLeft w:val="0"/>
      <w:marRight w:val="0"/>
      <w:marTop w:val="0"/>
      <w:marBottom w:val="0"/>
      <w:divBdr>
        <w:top w:val="none" w:sz="0" w:space="0" w:color="auto"/>
        <w:left w:val="none" w:sz="0" w:space="0" w:color="auto"/>
        <w:bottom w:val="none" w:sz="0" w:space="0" w:color="auto"/>
        <w:right w:val="none" w:sz="0" w:space="0" w:color="auto"/>
      </w:divBdr>
    </w:div>
    <w:div w:id="441461151">
      <w:bodyDiv w:val="1"/>
      <w:marLeft w:val="0"/>
      <w:marRight w:val="0"/>
      <w:marTop w:val="0"/>
      <w:marBottom w:val="0"/>
      <w:divBdr>
        <w:top w:val="none" w:sz="0" w:space="0" w:color="auto"/>
        <w:left w:val="none" w:sz="0" w:space="0" w:color="auto"/>
        <w:bottom w:val="none" w:sz="0" w:space="0" w:color="auto"/>
        <w:right w:val="none" w:sz="0" w:space="0" w:color="auto"/>
      </w:divBdr>
    </w:div>
    <w:div w:id="441536271">
      <w:bodyDiv w:val="1"/>
      <w:marLeft w:val="0"/>
      <w:marRight w:val="0"/>
      <w:marTop w:val="0"/>
      <w:marBottom w:val="0"/>
      <w:divBdr>
        <w:top w:val="none" w:sz="0" w:space="0" w:color="auto"/>
        <w:left w:val="none" w:sz="0" w:space="0" w:color="auto"/>
        <w:bottom w:val="none" w:sz="0" w:space="0" w:color="auto"/>
        <w:right w:val="none" w:sz="0" w:space="0" w:color="auto"/>
      </w:divBdr>
    </w:div>
    <w:div w:id="441844285">
      <w:bodyDiv w:val="1"/>
      <w:marLeft w:val="0"/>
      <w:marRight w:val="0"/>
      <w:marTop w:val="0"/>
      <w:marBottom w:val="0"/>
      <w:divBdr>
        <w:top w:val="none" w:sz="0" w:space="0" w:color="auto"/>
        <w:left w:val="none" w:sz="0" w:space="0" w:color="auto"/>
        <w:bottom w:val="none" w:sz="0" w:space="0" w:color="auto"/>
        <w:right w:val="none" w:sz="0" w:space="0" w:color="auto"/>
      </w:divBdr>
    </w:div>
    <w:div w:id="442846332">
      <w:bodyDiv w:val="1"/>
      <w:marLeft w:val="0"/>
      <w:marRight w:val="0"/>
      <w:marTop w:val="0"/>
      <w:marBottom w:val="0"/>
      <w:divBdr>
        <w:top w:val="none" w:sz="0" w:space="0" w:color="auto"/>
        <w:left w:val="none" w:sz="0" w:space="0" w:color="auto"/>
        <w:bottom w:val="none" w:sz="0" w:space="0" w:color="auto"/>
        <w:right w:val="none" w:sz="0" w:space="0" w:color="auto"/>
      </w:divBdr>
    </w:div>
    <w:div w:id="443113375">
      <w:bodyDiv w:val="1"/>
      <w:marLeft w:val="0"/>
      <w:marRight w:val="0"/>
      <w:marTop w:val="0"/>
      <w:marBottom w:val="0"/>
      <w:divBdr>
        <w:top w:val="none" w:sz="0" w:space="0" w:color="auto"/>
        <w:left w:val="none" w:sz="0" w:space="0" w:color="auto"/>
        <w:bottom w:val="none" w:sz="0" w:space="0" w:color="auto"/>
        <w:right w:val="none" w:sz="0" w:space="0" w:color="auto"/>
      </w:divBdr>
    </w:div>
    <w:div w:id="443308186">
      <w:bodyDiv w:val="1"/>
      <w:marLeft w:val="0"/>
      <w:marRight w:val="0"/>
      <w:marTop w:val="0"/>
      <w:marBottom w:val="0"/>
      <w:divBdr>
        <w:top w:val="none" w:sz="0" w:space="0" w:color="auto"/>
        <w:left w:val="none" w:sz="0" w:space="0" w:color="auto"/>
        <w:bottom w:val="none" w:sz="0" w:space="0" w:color="auto"/>
        <w:right w:val="none" w:sz="0" w:space="0" w:color="auto"/>
      </w:divBdr>
    </w:div>
    <w:div w:id="443496676">
      <w:bodyDiv w:val="1"/>
      <w:marLeft w:val="0"/>
      <w:marRight w:val="0"/>
      <w:marTop w:val="0"/>
      <w:marBottom w:val="0"/>
      <w:divBdr>
        <w:top w:val="none" w:sz="0" w:space="0" w:color="auto"/>
        <w:left w:val="none" w:sz="0" w:space="0" w:color="auto"/>
        <w:bottom w:val="none" w:sz="0" w:space="0" w:color="auto"/>
        <w:right w:val="none" w:sz="0" w:space="0" w:color="auto"/>
      </w:divBdr>
    </w:div>
    <w:div w:id="443690764">
      <w:bodyDiv w:val="1"/>
      <w:marLeft w:val="0"/>
      <w:marRight w:val="0"/>
      <w:marTop w:val="0"/>
      <w:marBottom w:val="0"/>
      <w:divBdr>
        <w:top w:val="none" w:sz="0" w:space="0" w:color="auto"/>
        <w:left w:val="none" w:sz="0" w:space="0" w:color="auto"/>
        <w:bottom w:val="none" w:sz="0" w:space="0" w:color="auto"/>
        <w:right w:val="none" w:sz="0" w:space="0" w:color="auto"/>
      </w:divBdr>
    </w:div>
    <w:div w:id="444813914">
      <w:bodyDiv w:val="1"/>
      <w:marLeft w:val="0"/>
      <w:marRight w:val="0"/>
      <w:marTop w:val="0"/>
      <w:marBottom w:val="0"/>
      <w:divBdr>
        <w:top w:val="none" w:sz="0" w:space="0" w:color="auto"/>
        <w:left w:val="none" w:sz="0" w:space="0" w:color="auto"/>
        <w:bottom w:val="none" w:sz="0" w:space="0" w:color="auto"/>
        <w:right w:val="none" w:sz="0" w:space="0" w:color="auto"/>
      </w:divBdr>
    </w:div>
    <w:div w:id="444933223">
      <w:bodyDiv w:val="1"/>
      <w:marLeft w:val="0"/>
      <w:marRight w:val="0"/>
      <w:marTop w:val="0"/>
      <w:marBottom w:val="0"/>
      <w:divBdr>
        <w:top w:val="none" w:sz="0" w:space="0" w:color="auto"/>
        <w:left w:val="none" w:sz="0" w:space="0" w:color="auto"/>
        <w:bottom w:val="none" w:sz="0" w:space="0" w:color="auto"/>
        <w:right w:val="none" w:sz="0" w:space="0" w:color="auto"/>
      </w:divBdr>
    </w:div>
    <w:div w:id="445002065">
      <w:bodyDiv w:val="1"/>
      <w:marLeft w:val="0"/>
      <w:marRight w:val="0"/>
      <w:marTop w:val="0"/>
      <w:marBottom w:val="0"/>
      <w:divBdr>
        <w:top w:val="none" w:sz="0" w:space="0" w:color="auto"/>
        <w:left w:val="none" w:sz="0" w:space="0" w:color="auto"/>
        <w:bottom w:val="none" w:sz="0" w:space="0" w:color="auto"/>
        <w:right w:val="none" w:sz="0" w:space="0" w:color="auto"/>
      </w:divBdr>
    </w:div>
    <w:div w:id="445513782">
      <w:bodyDiv w:val="1"/>
      <w:marLeft w:val="0"/>
      <w:marRight w:val="0"/>
      <w:marTop w:val="0"/>
      <w:marBottom w:val="0"/>
      <w:divBdr>
        <w:top w:val="none" w:sz="0" w:space="0" w:color="auto"/>
        <w:left w:val="none" w:sz="0" w:space="0" w:color="auto"/>
        <w:bottom w:val="none" w:sz="0" w:space="0" w:color="auto"/>
        <w:right w:val="none" w:sz="0" w:space="0" w:color="auto"/>
      </w:divBdr>
    </w:div>
    <w:div w:id="445736279">
      <w:bodyDiv w:val="1"/>
      <w:marLeft w:val="0"/>
      <w:marRight w:val="0"/>
      <w:marTop w:val="0"/>
      <w:marBottom w:val="0"/>
      <w:divBdr>
        <w:top w:val="none" w:sz="0" w:space="0" w:color="auto"/>
        <w:left w:val="none" w:sz="0" w:space="0" w:color="auto"/>
        <w:bottom w:val="none" w:sz="0" w:space="0" w:color="auto"/>
        <w:right w:val="none" w:sz="0" w:space="0" w:color="auto"/>
      </w:divBdr>
    </w:div>
    <w:div w:id="445780084">
      <w:bodyDiv w:val="1"/>
      <w:marLeft w:val="0"/>
      <w:marRight w:val="0"/>
      <w:marTop w:val="0"/>
      <w:marBottom w:val="0"/>
      <w:divBdr>
        <w:top w:val="none" w:sz="0" w:space="0" w:color="auto"/>
        <w:left w:val="none" w:sz="0" w:space="0" w:color="auto"/>
        <w:bottom w:val="none" w:sz="0" w:space="0" w:color="auto"/>
        <w:right w:val="none" w:sz="0" w:space="0" w:color="auto"/>
      </w:divBdr>
    </w:div>
    <w:div w:id="446123478">
      <w:bodyDiv w:val="1"/>
      <w:marLeft w:val="0"/>
      <w:marRight w:val="0"/>
      <w:marTop w:val="0"/>
      <w:marBottom w:val="0"/>
      <w:divBdr>
        <w:top w:val="none" w:sz="0" w:space="0" w:color="auto"/>
        <w:left w:val="none" w:sz="0" w:space="0" w:color="auto"/>
        <w:bottom w:val="none" w:sz="0" w:space="0" w:color="auto"/>
        <w:right w:val="none" w:sz="0" w:space="0" w:color="auto"/>
      </w:divBdr>
    </w:div>
    <w:div w:id="446851600">
      <w:bodyDiv w:val="1"/>
      <w:marLeft w:val="0"/>
      <w:marRight w:val="0"/>
      <w:marTop w:val="0"/>
      <w:marBottom w:val="0"/>
      <w:divBdr>
        <w:top w:val="none" w:sz="0" w:space="0" w:color="auto"/>
        <w:left w:val="none" w:sz="0" w:space="0" w:color="auto"/>
        <w:bottom w:val="none" w:sz="0" w:space="0" w:color="auto"/>
        <w:right w:val="none" w:sz="0" w:space="0" w:color="auto"/>
      </w:divBdr>
    </w:div>
    <w:div w:id="446975152">
      <w:bodyDiv w:val="1"/>
      <w:marLeft w:val="0"/>
      <w:marRight w:val="0"/>
      <w:marTop w:val="0"/>
      <w:marBottom w:val="0"/>
      <w:divBdr>
        <w:top w:val="none" w:sz="0" w:space="0" w:color="auto"/>
        <w:left w:val="none" w:sz="0" w:space="0" w:color="auto"/>
        <w:bottom w:val="none" w:sz="0" w:space="0" w:color="auto"/>
        <w:right w:val="none" w:sz="0" w:space="0" w:color="auto"/>
      </w:divBdr>
    </w:div>
    <w:div w:id="447622718">
      <w:bodyDiv w:val="1"/>
      <w:marLeft w:val="0"/>
      <w:marRight w:val="0"/>
      <w:marTop w:val="0"/>
      <w:marBottom w:val="0"/>
      <w:divBdr>
        <w:top w:val="none" w:sz="0" w:space="0" w:color="auto"/>
        <w:left w:val="none" w:sz="0" w:space="0" w:color="auto"/>
        <w:bottom w:val="none" w:sz="0" w:space="0" w:color="auto"/>
        <w:right w:val="none" w:sz="0" w:space="0" w:color="auto"/>
      </w:divBdr>
    </w:div>
    <w:div w:id="447629167">
      <w:bodyDiv w:val="1"/>
      <w:marLeft w:val="0"/>
      <w:marRight w:val="0"/>
      <w:marTop w:val="0"/>
      <w:marBottom w:val="0"/>
      <w:divBdr>
        <w:top w:val="none" w:sz="0" w:space="0" w:color="auto"/>
        <w:left w:val="none" w:sz="0" w:space="0" w:color="auto"/>
        <w:bottom w:val="none" w:sz="0" w:space="0" w:color="auto"/>
        <w:right w:val="none" w:sz="0" w:space="0" w:color="auto"/>
      </w:divBdr>
    </w:div>
    <w:div w:id="447700623">
      <w:bodyDiv w:val="1"/>
      <w:marLeft w:val="0"/>
      <w:marRight w:val="0"/>
      <w:marTop w:val="0"/>
      <w:marBottom w:val="0"/>
      <w:divBdr>
        <w:top w:val="none" w:sz="0" w:space="0" w:color="auto"/>
        <w:left w:val="none" w:sz="0" w:space="0" w:color="auto"/>
        <w:bottom w:val="none" w:sz="0" w:space="0" w:color="auto"/>
        <w:right w:val="none" w:sz="0" w:space="0" w:color="auto"/>
      </w:divBdr>
    </w:div>
    <w:div w:id="447891110">
      <w:bodyDiv w:val="1"/>
      <w:marLeft w:val="0"/>
      <w:marRight w:val="0"/>
      <w:marTop w:val="0"/>
      <w:marBottom w:val="0"/>
      <w:divBdr>
        <w:top w:val="none" w:sz="0" w:space="0" w:color="auto"/>
        <w:left w:val="none" w:sz="0" w:space="0" w:color="auto"/>
        <w:bottom w:val="none" w:sz="0" w:space="0" w:color="auto"/>
        <w:right w:val="none" w:sz="0" w:space="0" w:color="auto"/>
      </w:divBdr>
    </w:div>
    <w:div w:id="448625159">
      <w:bodyDiv w:val="1"/>
      <w:marLeft w:val="0"/>
      <w:marRight w:val="0"/>
      <w:marTop w:val="0"/>
      <w:marBottom w:val="0"/>
      <w:divBdr>
        <w:top w:val="none" w:sz="0" w:space="0" w:color="auto"/>
        <w:left w:val="none" w:sz="0" w:space="0" w:color="auto"/>
        <w:bottom w:val="none" w:sz="0" w:space="0" w:color="auto"/>
        <w:right w:val="none" w:sz="0" w:space="0" w:color="auto"/>
      </w:divBdr>
    </w:div>
    <w:div w:id="449054491">
      <w:bodyDiv w:val="1"/>
      <w:marLeft w:val="0"/>
      <w:marRight w:val="0"/>
      <w:marTop w:val="0"/>
      <w:marBottom w:val="0"/>
      <w:divBdr>
        <w:top w:val="none" w:sz="0" w:space="0" w:color="auto"/>
        <w:left w:val="none" w:sz="0" w:space="0" w:color="auto"/>
        <w:bottom w:val="none" w:sz="0" w:space="0" w:color="auto"/>
        <w:right w:val="none" w:sz="0" w:space="0" w:color="auto"/>
      </w:divBdr>
    </w:div>
    <w:div w:id="449085191">
      <w:bodyDiv w:val="1"/>
      <w:marLeft w:val="0"/>
      <w:marRight w:val="0"/>
      <w:marTop w:val="0"/>
      <w:marBottom w:val="0"/>
      <w:divBdr>
        <w:top w:val="none" w:sz="0" w:space="0" w:color="auto"/>
        <w:left w:val="none" w:sz="0" w:space="0" w:color="auto"/>
        <w:bottom w:val="none" w:sz="0" w:space="0" w:color="auto"/>
        <w:right w:val="none" w:sz="0" w:space="0" w:color="auto"/>
      </w:divBdr>
    </w:div>
    <w:div w:id="449516027">
      <w:bodyDiv w:val="1"/>
      <w:marLeft w:val="0"/>
      <w:marRight w:val="0"/>
      <w:marTop w:val="0"/>
      <w:marBottom w:val="0"/>
      <w:divBdr>
        <w:top w:val="none" w:sz="0" w:space="0" w:color="auto"/>
        <w:left w:val="none" w:sz="0" w:space="0" w:color="auto"/>
        <w:bottom w:val="none" w:sz="0" w:space="0" w:color="auto"/>
        <w:right w:val="none" w:sz="0" w:space="0" w:color="auto"/>
      </w:divBdr>
    </w:div>
    <w:div w:id="449864728">
      <w:bodyDiv w:val="1"/>
      <w:marLeft w:val="0"/>
      <w:marRight w:val="0"/>
      <w:marTop w:val="0"/>
      <w:marBottom w:val="0"/>
      <w:divBdr>
        <w:top w:val="none" w:sz="0" w:space="0" w:color="auto"/>
        <w:left w:val="none" w:sz="0" w:space="0" w:color="auto"/>
        <w:bottom w:val="none" w:sz="0" w:space="0" w:color="auto"/>
        <w:right w:val="none" w:sz="0" w:space="0" w:color="auto"/>
      </w:divBdr>
    </w:div>
    <w:div w:id="450050439">
      <w:bodyDiv w:val="1"/>
      <w:marLeft w:val="0"/>
      <w:marRight w:val="0"/>
      <w:marTop w:val="0"/>
      <w:marBottom w:val="0"/>
      <w:divBdr>
        <w:top w:val="none" w:sz="0" w:space="0" w:color="auto"/>
        <w:left w:val="none" w:sz="0" w:space="0" w:color="auto"/>
        <w:bottom w:val="none" w:sz="0" w:space="0" w:color="auto"/>
        <w:right w:val="none" w:sz="0" w:space="0" w:color="auto"/>
      </w:divBdr>
    </w:div>
    <w:div w:id="450443135">
      <w:bodyDiv w:val="1"/>
      <w:marLeft w:val="0"/>
      <w:marRight w:val="0"/>
      <w:marTop w:val="0"/>
      <w:marBottom w:val="0"/>
      <w:divBdr>
        <w:top w:val="none" w:sz="0" w:space="0" w:color="auto"/>
        <w:left w:val="none" w:sz="0" w:space="0" w:color="auto"/>
        <w:bottom w:val="none" w:sz="0" w:space="0" w:color="auto"/>
        <w:right w:val="none" w:sz="0" w:space="0" w:color="auto"/>
      </w:divBdr>
    </w:div>
    <w:div w:id="451288367">
      <w:bodyDiv w:val="1"/>
      <w:marLeft w:val="0"/>
      <w:marRight w:val="0"/>
      <w:marTop w:val="0"/>
      <w:marBottom w:val="0"/>
      <w:divBdr>
        <w:top w:val="none" w:sz="0" w:space="0" w:color="auto"/>
        <w:left w:val="none" w:sz="0" w:space="0" w:color="auto"/>
        <w:bottom w:val="none" w:sz="0" w:space="0" w:color="auto"/>
        <w:right w:val="none" w:sz="0" w:space="0" w:color="auto"/>
      </w:divBdr>
    </w:div>
    <w:div w:id="452527428">
      <w:bodyDiv w:val="1"/>
      <w:marLeft w:val="0"/>
      <w:marRight w:val="0"/>
      <w:marTop w:val="0"/>
      <w:marBottom w:val="0"/>
      <w:divBdr>
        <w:top w:val="none" w:sz="0" w:space="0" w:color="auto"/>
        <w:left w:val="none" w:sz="0" w:space="0" w:color="auto"/>
        <w:bottom w:val="none" w:sz="0" w:space="0" w:color="auto"/>
        <w:right w:val="none" w:sz="0" w:space="0" w:color="auto"/>
      </w:divBdr>
    </w:div>
    <w:div w:id="452672389">
      <w:bodyDiv w:val="1"/>
      <w:marLeft w:val="0"/>
      <w:marRight w:val="0"/>
      <w:marTop w:val="0"/>
      <w:marBottom w:val="0"/>
      <w:divBdr>
        <w:top w:val="none" w:sz="0" w:space="0" w:color="auto"/>
        <w:left w:val="none" w:sz="0" w:space="0" w:color="auto"/>
        <w:bottom w:val="none" w:sz="0" w:space="0" w:color="auto"/>
        <w:right w:val="none" w:sz="0" w:space="0" w:color="auto"/>
      </w:divBdr>
    </w:div>
    <w:div w:id="453251609">
      <w:bodyDiv w:val="1"/>
      <w:marLeft w:val="0"/>
      <w:marRight w:val="0"/>
      <w:marTop w:val="0"/>
      <w:marBottom w:val="0"/>
      <w:divBdr>
        <w:top w:val="none" w:sz="0" w:space="0" w:color="auto"/>
        <w:left w:val="none" w:sz="0" w:space="0" w:color="auto"/>
        <w:bottom w:val="none" w:sz="0" w:space="0" w:color="auto"/>
        <w:right w:val="none" w:sz="0" w:space="0" w:color="auto"/>
      </w:divBdr>
    </w:div>
    <w:div w:id="453721190">
      <w:bodyDiv w:val="1"/>
      <w:marLeft w:val="0"/>
      <w:marRight w:val="0"/>
      <w:marTop w:val="0"/>
      <w:marBottom w:val="0"/>
      <w:divBdr>
        <w:top w:val="none" w:sz="0" w:space="0" w:color="auto"/>
        <w:left w:val="none" w:sz="0" w:space="0" w:color="auto"/>
        <w:bottom w:val="none" w:sz="0" w:space="0" w:color="auto"/>
        <w:right w:val="none" w:sz="0" w:space="0" w:color="auto"/>
      </w:divBdr>
    </w:div>
    <w:div w:id="456410464">
      <w:bodyDiv w:val="1"/>
      <w:marLeft w:val="0"/>
      <w:marRight w:val="0"/>
      <w:marTop w:val="0"/>
      <w:marBottom w:val="0"/>
      <w:divBdr>
        <w:top w:val="none" w:sz="0" w:space="0" w:color="auto"/>
        <w:left w:val="none" w:sz="0" w:space="0" w:color="auto"/>
        <w:bottom w:val="none" w:sz="0" w:space="0" w:color="auto"/>
        <w:right w:val="none" w:sz="0" w:space="0" w:color="auto"/>
      </w:divBdr>
    </w:div>
    <w:div w:id="456947835">
      <w:bodyDiv w:val="1"/>
      <w:marLeft w:val="0"/>
      <w:marRight w:val="0"/>
      <w:marTop w:val="0"/>
      <w:marBottom w:val="0"/>
      <w:divBdr>
        <w:top w:val="none" w:sz="0" w:space="0" w:color="auto"/>
        <w:left w:val="none" w:sz="0" w:space="0" w:color="auto"/>
        <w:bottom w:val="none" w:sz="0" w:space="0" w:color="auto"/>
        <w:right w:val="none" w:sz="0" w:space="0" w:color="auto"/>
      </w:divBdr>
    </w:div>
    <w:div w:id="456991508">
      <w:bodyDiv w:val="1"/>
      <w:marLeft w:val="0"/>
      <w:marRight w:val="0"/>
      <w:marTop w:val="0"/>
      <w:marBottom w:val="0"/>
      <w:divBdr>
        <w:top w:val="none" w:sz="0" w:space="0" w:color="auto"/>
        <w:left w:val="none" w:sz="0" w:space="0" w:color="auto"/>
        <w:bottom w:val="none" w:sz="0" w:space="0" w:color="auto"/>
        <w:right w:val="none" w:sz="0" w:space="0" w:color="auto"/>
      </w:divBdr>
    </w:div>
    <w:div w:id="458453167">
      <w:bodyDiv w:val="1"/>
      <w:marLeft w:val="0"/>
      <w:marRight w:val="0"/>
      <w:marTop w:val="0"/>
      <w:marBottom w:val="0"/>
      <w:divBdr>
        <w:top w:val="none" w:sz="0" w:space="0" w:color="auto"/>
        <w:left w:val="none" w:sz="0" w:space="0" w:color="auto"/>
        <w:bottom w:val="none" w:sz="0" w:space="0" w:color="auto"/>
        <w:right w:val="none" w:sz="0" w:space="0" w:color="auto"/>
      </w:divBdr>
    </w:div>
    <w:div w:id="458645354">
      <w:bodyDiv w:val="1"/>
      <w:marLeft w:val="0"/>
      <w:marRight w:val="0"/>
      <w:marTop w:val="0"/>
      <w:marBottom w:val="0"/>
      <w:divBdr>
        <w:top w:val="none" w:sz="0" w:space="0" w:color="auto"/>
        <w:left w:val="none" w:sz="0" w:space="0" w:color="auto"/>
        <w:bottom w:val="none" w:sz="0" w:space="0" w:color="auto"/>
        <w:right w:val="none" w:sz="0" w:space="0" w:color="auto"/>
      </w:divBdr>
    </w:div>
    <w:div w:id="458769143">
      <w:bodyDiv w:val="1"/>
      <w:marLeft w:val="0"/>
      <w:marRight w:val="0"/>
      <w:marTop w:val="0"/>
      <w:marBottom w:val="0"/>
      <w:divBdr>
        <w:top w:val="none" w:sz="0" w:space="0" w:color="auto"/>
        <w:left w:val="none" w:sz="0" w:space="0" w:color="auto"/>
        <w:bottom w:val="none" w:sz="0" w:space="0" w:color="auto"/>
        <w:right w:val="none" w:sz="0" w:space="0" w:color="auto"/>
      </w:divBdr>
    </w:div>
    <w:div w:id="458839025">
      <w:bodyDiv w:val="1"/>
      <w:marLeft w:val="0"/>
      <w:marRight w:val="0"/>
      <w:marTop w:val="0"/>
      <w:marBottom w:val="0"/>
      <w:divBdr>
        <w:top w:val="none" w:sz="0" w:space="0" w:color="auto"/>
        <w:left w:val="none" w:sz="0" w:space="0" w:color="auto"/>
        <w:bottom w:val="none" w:sz="0" w:space="0" w:color="auto"/>
        <w:right w:val="none" w:sz="0" w:space="0" w:color="auto"/>
      </w:divBdr>
    </w:div>
    <w:div w:id="458886464">
      <w:bodyDiv w:val="1"/>
      <w:marLeft w:val="0"/>
      <w:marRight w:val="0"/>
      <w:marTop w:val="0"/>
      <w:marBottom w:val="0"/>
      <w:divBdr>
        <w:top w:val="none" w:sz="0" w:space="0" w:color="auto"/>
        <w:left w:val="none" w:sz="0" w:space="0" w:color="auto"/>
        <w:bottom w:val="none" w:sz="0" w:space="0" w:color="auto"/>
        <w:right w:val="none" w:sz="0" w:space="0" w:color="auto"/>
      </w:divBdr>
    </w:div>
    <w:div w:id="458912358">
      <w:bodyDiv w:val="1"/>
      <w:marLeft w:val="0"/>
      <w:marRight w:val="0"/>
      <w:marTop w:val="0"/>
      <w:marBottom w:val="0"/>
      <w:divBdr>
        <w:top w:val="none" w:sz="0" w:space="0" w:color="auto"/>
        <w:left w:val="none" w:sz="0" w:space="0" w:color="auto"/>
        <w:bottom w:val="none" w:sz="0" w:space="0" w:color="auto"/>
        <w:right w:val="none" w:sz="0" w:space="0" w:color="auto"/>
      </w:divBdr>
    </w:div>
    <w:div w:id="459299174">
      <w:bodyDiv w:val="1"/>
      <w:marLeft w:val="0"/>
      <w:marRight w:val="0"/>
      <w:marTop w:val="0"/>
      <w:marBottom w:val="0"/>
      <w:divBdr>
        <w:top w:val="none" w:sz="0" w:space="0" w:color="auto"/>
        <w:left w:val="none" w:sz="0" w:space="0" w:color="auto"/>
        <w:bottom w:val="none" w:sz="0" w:space="0" w:color="auto"/>
        <w:right w:val="none" w:sz="0" w:space="0" w:color="auto"/>
      </w:divBdr>
    </w:div>
    <w:div w:id="459421669">
      <w:bodyDiv w:val="1"/>
      <w:marLeft w:val="0"/>
      <w:marRight w:val="0"/>
      <w:marTop w:val="0"/>
      <w:marBottom w:val="0"/>
      <w:divBdr>
        <w:top w:val="none" w:sz="0" w:space="0" w:color="auto"/>
        <w:left w:val="none" w:sz="0" w:space="0" w:color="auto"/>
        <w:bottom w:val="none" w:sz="0" w:space="0" w:color="auto"/>
        <w:right w:val="none" w:sz="0" w:space="0" w:color="auto"/>
      </w:divBdr>
    </w:div>
    <w:div w:id="459496342">
      <w:bodyDiv w:val="1"/>
      <w:marLeft w:val="0"/>
      <w:marRight w:val="0"/>
      <w:marTop w:val="0"/>
      <w:marBottom w:val="0"/>
      <w:divBdr>
        <w:top w:val="none" w:sz="0" w:space="0" w:color="auto"/>
        <w:left w:val="none" w:sz="0" w:space="0" w:color="auto"/>
        <w:bottom w:val="none" w:sz="0" w:space="0" w:color="auto"/>
        <w:right w:val="none" w:sz="0" w:space="0" w:color="auto"/>
      </w:divBdr>
    </w:div>
    <w:div w:id="459953363">
      <w:bodyDiv w:val="1"/>
      <w:marLeft w:val="0"/>
      <w:marRight w:val="0"/>
      <w:marTop w:val="0"/>
      <w:marBottom w:val="0"/>
      <w:divBdr>
        <w:top w:val="none" w:sz="0" w:space="0" w:color="auto"/>
        <w:left w:val="none" w:sz="0" w:space="0" w:color="auto"/>
        <w:bottom w:val="none" w:sz="0" w:space="0" w:color="auto"/>
        <w:right w:val="none" w:sz="0" w:space="0" w:color="auto"/>
      </w:divBdr>
    </w:div>
    <w:div w:id="460807029">
      <w:bodyDiv w:val="1"/>
      <w:marLeft w:val="0"/>
      <w:marRight w:val="0"/>
      <w:marTop w:val="0"/>
      <w:marBottom w:val="0"/>
      <w:divBdr>
        <w:top w:val="none" w:sz="0" w:space="0" w:color="auto"/>
        <w:left w:val="none" w:sz="0" w:space="0" w:color="auto"/>
        <w:bottom w:val="none" w:sz="0" w:space="0" w:color="auto"/>
        <w:right w:val="none" w:sz="0" w:space="0" w:color="auto"/>
      </w:divBdr>
    </w:div>
    <w:div w:id="461072714">
      <w:bodyDiv w:val="1"/>
      <w:marLeft w:val="0"/>
      <w:marRight w:val="0"/>
      <w:marTop w:val="0"/>
      <w:marBottom w:val="0"/>
      <w:divBdr>
        <w:top w:val="none" w:sz="0" w:space="0" w:color="auto"/>
        <w:left w:val="none" w:sz="0" w:space="0" w:color="auto"/>
        <w:bottom w:val="none" w:sz="0" w:space="0" w:color="auto"/>
        <w:right w:val="none" w:sz="0" w:space="0" w:color="auto"/>
      </w:divBdr>
    </w:div>
    <w:div w:id="461507140">
      <w:bodyDiv w:val="1"/>
      <w:marLeft w:val="0"/>
      <w:marRight w:val="0"/>
      <w:marTop w:val="0"/>
      <w:marBottom w:val="0"/>
      <w:divBdr>
        <w:top w:val="none" w:sz="0" w:space="0" w:color="auto"/>
        <w:left w:val="none" w:sz="0" w:space="0" w:color="auto"/>
        <w:bottom w:val="none" w:sz="0" w:space="0" w:color="auto"/>
        <w:right w:val="none" w:sz="0" w:space="0" w:color="auto"/>
      </w:divBdr>
    </w:div>
    <w:div w:id="461580773">
      <w:bodyDiv w:val="1"/>
      <w:marLeft w:val="0"/>
      <w:marRight w:val="0"/>
      <w:marTop w:val="0"/>
      <w:marBottom w:val="0"/>
      <w:divBdr>
        <w:top w:val="none" w:sz="0" w:space="0" w:color="auto"/>
        <w:left w:val="none" w:sz="0" w:space="0" w:color="auto"/>
        <w:bottom w:val="none" w:sz="0" w:space="0" w:color="auto"/>
        <w:right w:val="none" w:sz="0" w:space="0" w:color="auto"/>
      </w:divBdr>
    </w:div>
    <w:div w:id="461731923">
      <w:bodyDiv w:val="1"/>
      <w:marLeft w:val="0"/>
      <w:marRight w:val="0"/>
      <w:marTop w:val="0"/>
      <w:marBottom w:val="0"/>
      <w:divBdr>
        <w:top w:val="none" w:sz="0" w:space="0" w:color="auto"/>
        <w:left w:val="none" w:sz="0" w:space="0" w:color="auto"/>
        <w:bottom w:val="none" w:sz="0" w:space="0" w:color="auto"/>
        <w:right w:val="none" w:sz="0" w:space="0" w:color="auto"/>
      </w:divBdr>
    </w:div>
    <w:div w:id="462432260">
      <w:bodyDiv w:val="1"/>
      <w:marLeft w:val="0"/>
      <w:marRight w:val="0"/>
      <w:marTop w:val="0"/>
      <w:marBottom w:val="0"/>
      <w:divBdr>
        <w:top w:val="none" w:sz="0" w:space="0" w:color="auto"/>
        <w:left w:val="none" w:sz="0" w:space="0" w:color="auto"/>
        <w:bottom w:val="none" w:sz="0" w:space="0" w:color="auto"/>
        <w:right w:val="none" w:sz="0" w:space="0" w:color="auto"/>
      </w:divBdr>
    </w:div>
    <w:div w:id="462700675">
      <w:bodyDiv w:val="1"/>
      <w:marLeft w:val="0"/>
      <w:marRight w:val="0"/>
      <w:marTop w:val="0"/>
      <w:marBottom w:val="0"/>
      <w:divBdr>
        <w:top w:val="none" w:sz="0" w:space="0" w:color="auto"/>
        <w:left w:val="none" w:sz="0" w:space="0" w:color="auto"/>
        <w:bottom w:val="none" w:sz="0" w:space="0" w:color="auto"/>
        <w:right w:val="none" w:sz="0" w:space="0" w:color="auto"/>
      </w:divBdr>
    </w:div>
    <w:div w:id="462891656">
      <w:bodyDiv w:val="1"/>
      <w:marLeft w:val="0"/>
      <w:marRight w:val="0"/>
      <w:marTop w:val="0"/>
      <w:marBottom w:val="0"/>
      <w:divBdr>
        <w:top w:val="none" w:sz="0" w:space="0" w:color="auto"/>
        <w:left w:val="none" w:sz="0" w:space="0" w:color="auto"/>
        <w:bottom w:val="none" w:sz="0" w:space="0" w:color="auto"/>
        <w:right w:val="none" w:sz="0" w:space="0" w:color="auto"/>
      </w:divBdr>
    </w:div>
    <w:div w:id="463275456">
      <w:bodyDiv w:val="1"/>
      <w:marLeft w:val="0"/>
      <w:marRight w:val="0"/>
      <w:marTop w:val="0"/>
      <w:marBottom w:val="0"/>
      <w:divBdr>
        <w:top w:val="none" w:sz="0" w:space="0" w:color="auto"/>
        <w:left w:val="none" w:sz="0" w:space="0" w:color="auto"/>
        <w:bottom w:val="none" w:sz="0" w:space="0" w:color="auto"/>
        <w:right w:val="none" w:sz="0" w:space="0" w:color="auto"/>
      </w:divBdr>
    </w:div>
    <w:div w:id="463423398">
      <w:bodyDiv w:val="1"/>
      <w:marLeft w:val="0"/>
      <w:marRight w:val="0"/>
      <w:marTop w:val="0"/>
      <w:marBottom w:val="0"/>
      <w:divBdr>
        <w:top w:val="none" w:sz="0" w:space="0" w:color="auto"/>
        <w:left w:val="none" w:sz="0" w:space="0" w:color="auto"/>
        <w:bottom w:val="none" w:sz="0" w:space="0" w:color="auto"/>
        <w:right w:val="none" w:sz="0" w:space="0" w:color="auto"/>
      </w:divBdr>
    </w:div>
    <w:div w:id="463500651">
      <w:bodyDiv w:val="1"/>
      <w:marLeft w:val="0"/>
      <w:marRight w:val="0"/>
      <w:marTop w:val="0"/>
      <w:marBottom w:val="0"/>
      <w:divBdr>
        <w:top w:val="none" w:sz="0" w:space="0" w:color="auto"/>
        <w:left w:val="none" w:sz="0" w:space="0" w:color="auto"/>
        <w:bottom w:val="none" w:sz="0" w:space="0" w:color="auto"/>
        <w:right w:val="none" w:sz="0" w:space="0" w:color="auto"/>
      </w:divBdr>
    </w:div>
    <w:div w:id="464205905">
      <w:bodyDiv w:val="1"/>
      <w:marLeft w:val="0"/>
      <w:marRight w:val="0"/>
      <w:marTop w:val="0"/>
      <w:marBottom w:val="0"/>
      <w:divBdr>
        <w:top w:val="none" w:sz="0" w:space="0" w:color="auto"/>
        <w:left w:val="none" w:sz="0" w:space="0" w:color="auto"/>
        <w:bottom w:val="none" w:sz="0" w:space="0" w:color="auto"/>
        <w:right w:val="none" w:sz="0" w:space="0" w:color="auto"/>
      </w:divBdr>
    </w:div>
    <w:div w:id="465124345">
      <w:bodyDiv w:val="1"/>
      <w:marLeft w:val="0"/>
      <w:marRight w:val="0"/>
      <w:marTop w:val="0"/>
      <w:marBottom w:val="0"/>
      <w:divBdr>
        <w:top w:val="none" w:sz="0" w:space="0" w:color="auto"/>
        <w:left w:val="none" w:sz="0" w:space="0" w:color="auto"/>
        <w:bottom w:val="none" w:sz="0" w:space="0" w:color="auto"/>
        <w:right w:val="none" w:sz="0" w:space="0" w:color="auto"/>
      </w:divBdr>
    </w:div>
    <w:div w:id="466436356">
      <w:bodyDiv w:val="1"/>
      <w:marLeft w:val="0"/>
      <w:marRight w:val="0"/>
      <w:marTop w:val="0"/>
      <w:marBottom w:val="0"/>
      <w:divBdr>
        <w:top w:val="none" w:sz="0" w:space="0" w:color="auto"/>
        <w:left w:val="none" w:sz="0" w:space="0" w:color="auto"/>
        <w:bottom w:val="none" w:sz="0" w:space="0" w:color="auto"/>
        <w:right w:val="none" w:sz="0" w:space="0" w:color="auto"/>
      </w:divBdr>
    </w:div>
    <w:div w:id="466506538">
      <w:bodyDiv w:val="1"/>
      <w:marLeft w:val="0"/>
      <w:marRight w:val="0"/>
      <w:marTop w:val="0"/>
      <w:marBottom w:val="0"/>
      <w:divBdr>
        <w:top w:val="none" w:sz="0" w:space="0" w:color="auto"/>
        <w:left w:val="none" w:sz="0" w:space="0" w:color="auto"/>
        <w:bottom w:val="none" w:sz="0" w:space="0" w:color="auto"/>
        <w:right w:val="none" w:sz="0" w:space="0" w:color="auto"/>
      </w:divBdr>
    </w:div>
    <w:div w:id="467433616">
      <w:bodyDiv w:val="1"/>
      <w:marLeft w:val="0"/>
      <w:marRight w:val="0"/>
      <w:marTop w:val="0"/>
      <w:marBottom w:val="0"/>
      <w:divBdr>
        <w:top w:val="none" w:sz="0" w:space="0" w:color="auto"/>
        <w:left w:val="none" w:sz="0" w:space="0" w:color="auto"/>
        <w:bottom w:val="none" w:sz="0" w:space="0" w:color="auto"/>
        <w:right w:val="none" w:sz="0" w:space="0" w:color="auto"/>
      </w:divBdr>
    </w:div>
    <w:div w:id="467864155">
      <w:bodyDiv w:val="1"/>
      <w:marLeft w:val="0"/>
      <w:marRight w:val="0"/>
      <w:marTop w:val="0"/>
      <w:marBottom w:val="0"/>
      <w:divBdr>
        <w:top w:val="none" w:sz="0" w:space="0" w:color="auto"/>
        <w:left w:val="none" w:sz="0" w:space="0" w:color="auto"/>
        <w:bottom w:val="none" w:sz="0" w:space="0" w:color="auto"/>
        <w:right w:val="none" w:sz="0" w:space="0" w:color="auto"/>
      </w:divBdr>
    </w:div>
    <w:div w:id="467940611">
      <w:bodyDiv w:val="1"/>
      <w:marLeft w:val="0"/>
      <w:marRight w:val="0"/>
      <w:marTop w:val="0"/>
      <w:marBottom w:val="0"/>
      <w:divBdr>
        <w:top w:val="none" w:sz="0" w:space="0" w:color="auto"/>
        <w:left w:val="none" w:sz="0" w:space="0" w:color="auto"/>
        <w:bottom w:val="none" w:sz="0" w:space="0" w:color="auto"/>
        <w:right w:val="none" w:sz="0" w:space="0" w:color="auto"/>
      </w:divBdr>
    </w:div>
    <w:div w:id="468135049">
      <w:bodyDiv w:val="1"/>
      <w:marLeft w:val="0"/>
      <w:marRight w:val="0"/>
      <w:marTop w:val="0"/>
      <w:marBottom w:val="0"/>
      <w:divBdr>
        <w:top w:val="none" w:sz="0" w:space="0" w:color="auto"/>
        <w:left w:val="none" w:sz="0" w:space="0" w:color="auto"/>
        <w:bottom w:val="none" w:sz="0" w:space="0" w:color="auto"/>
        <w:right w:val="none" w:sz="0" w:space="0" w:color="auto"/>
      </w:divBdr>
    </w:div>
    <w:div w:id="468547309">
      <w:bodyDiv w:val="1"/>
      <w:marLeft w:val="0"/>
      <w:marRight w:val="0"/>
      <w:marTop w:val="0"/>
      <w:marBottom w:val="0"/>
      <w:divBdr>
        <w:top w:val="none" w:sz="0" w:space="0" w:color="auto"/>
        <w:left w:val="none" w:sz="0" w:space="0" w:color="auto"/>
        <w:bottom w:val="none" w:sz="0" w:space="0" w:color="auto"/>
        <w:right w:val="none" w:sz="0" w:space="0" w:color="auto"/>
      </w:divBdr>
    </w:div>
    <w:div w:id="468983353">
      <w:bodyDiv w:val="1"/>
      <w:marLeft w:val="0"/>
      <w:marRight w:val="0"/>
      <w:marTop w:val="0"/>
      <w:marBottom w:val="0"/>
      <w:divBdr>
        <w:top w:val="none" w:sz="0" w:space="0" w:color="auto"/>
        <w:left w:val="none" w:sz="0" w:space="0" w:color="auto"/>
        <w:bottom w:val="none" w:sz="0" w:space="0" w:color="auto"/>
        <w:right w:val="none" w:sz="0" w:space="0" w:color="auto"/>
      </w:divBdr>
    </w:div>
    <w:div w:id="469372294">
      <w:bodyDiv w:val="1"/>
      <w:marLeft w:val="0"/>
      <w:marRight w:val="0"/>
      <w:marTop w:val="0"/>
      <w:marBottom w:val="0"/>
      <w:divBdr>
        <w:top w:val="none" w:sz="0" w:space="0" w:color="auto"/>
        <w:left w:val="none" w:sz="0" w:space="0" w:color="auto"/>
        <w:bottom w:val="none" w:sz="0" w:space="0" w:color="auto"/>
        <w:right w:val="none" w:sz="0" w:space="0" w:color="auto"/>
      </w:divBdr>
    </w:div>
    <w:div w:id="469594133">
      <w:bodyDiv w:val="1"/>
      <w:marLeft w:val="0"/>
      <w:marRight w:val="0"/>
      <w:marTop w:val="0"/>
      <w:marBottom w:val="0"/>
      <w:divBdr>
        <w:top w:val="none" w:sz="0" w:space="0" w:color="auto"/>
        <w:left w:val="none" w:sz="0" w:space="0" w:color="auto"/>
        <w:bottom w:val="none" w:sz="0" w:space="0" w:color="auto"/>
        <w:right w:val="none" w:sz="0" w:space="0" w:color="auto"/>
      </w:divBdr>
    </w:div>
    <w:div w:id="469635976">
      <w:bodyDiv w:val="1"/>
      <w:marLeft w:val="0"/>
      <w:marRight w:val="0"/>
      <w:marTop w:val="0"/>
      <w:marBottom w:val="0"/>
      <w:divBdr>
        <w:top w:val="none" w:sz="0" w:space="0" w:color="auto"/>
        <w:left w:val="none" w:sz="0" w:space="0" w:color="auto"/>
        <w:bottom w:val="none" w:sz="0" w:space="0" w:color="auto"/>
        <w:right w:val="none" w:sz="0" w:space="0" w:color="auto"/>
      </w:divBdr>
    </w:div>
    <w:div w:id="470098459">
      <w:bodyDiv w:val="1"/>
      <w:marLeft w:val="0"/>
      <w:marRight w:val="0"/>
      <w:marTop w:val="0"/>
      <w:marBottom w:val="0"/>
      <w:divBdr>
        <w:top w:val="none" w:sz="0" w:space="0" w:color="auto"/>
        <w:left w:val="none" w:sz="0" w:space="0" w:color="auto"/>
        <w:bottom w:val="none" w:sz="0" w:space="0" w:color="auto"/>
        <w:right w:val="none" w:sz="0" w:space="0" w:color="auto"/>
      </w:divBdr>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470447030">
      <w:bodyDiv w:val="1"/>
      <w:marLeft w:val="0"/>
      <w:marRight w:val="0"/>
      <w:marTop w:val="0"/>
      <w:marBottom w:val="0"/>
      <w:divBdr>
        <w:top w:val="none" w:sz="0" w:space="0" w:color="auto"/>
        <w:left w:val="none" w:sz="0" w:space="0" w:color="auto"/>
        <w:bottom w:val="none" w:sz="0" w:space="0" w:color="auto"/>
        <w:right w:val="none" w:sz="0" w:space="0" w:color="auto"/>
      </w:divBdr>
    </w:div>
    <w:div w:id="471020764">
      <w:bodyDiv w:val="1"/>
      <w:marLeft w:val="0"/>
      <w:marRight w:val="0"/>
      <w:marTop w:val="0"/>
      <w:marBottom w:val="0"/>
      <w:divBdr>
        <w:top w:val="none" w:sz="0" w:space="0" w:color="auto"/>
        <w:left w:val="none" w:sz="0" w:space="0" w:color="auto"/>
        <w:bottom w:val="none" w:sz="0" w:space="0" w:color="auto"/>
        <w:right w:val="none" w:sz="0" w:space="0" w:color="auto"/>
      </w:divBdr>
    </w:div>
    <w:div w:id="472060588">
      <w:bodyDiv w:val="1"/>
      <w:marLeft w:val="0"/>
      <w:marRight w:val="0"/>
      <w:marTop w:val="0"/>
      <w:marBottom w:val="0"/>
      <w:divBdr>
        <w:top w:val="none" w:sz="0" w:space="0" w:color="auto"/>
        <w:left w:val="none" w:sz="0" w:space="0" w:color="auto"/>
        <w:bottom w:val="none" w:sz="0" w:space="0" w:color="auto"/>
        <w:right w:val="none" w:sz="0" w:space="0" w:color="auto"/>
      </w:divBdr>
    </w:div>
    <w:div w:id="472525377">
      <w:bodyDiv w:val="1"/>
      <w:marLeft w:val="0"/>
      <w:marRight w:val="0"/>
      <w:marTop w:val="0"/>
      <w:marBottom w:val="0"/>
      <w:divBdr>
        <w:top w:val="none" w:sz="0" w:space="0" w:color="auto"/>
        <w:left w:val="none" w:sz="0" w:space="0" w:color="auto"/>
        <w:bottom w:val="none" w:sz="0" w:space="0" w:color="auto"/>
        <w:right w:val="none" w:sz="0" w:space="0" w:color="auto"/>
      </w:divBdr>
    </w:div>
    <w:div w:id="473765446">
      <w:bodyDiv w:val="1"/>
      <w:marLeft w:val="0"/>
      <w:marRight w:val="0"/>
      <w:marTop w:val="0"/>
      <w:marBottom w:val="0"/>
      <w:divBdr>
        <w:top w:val="none" w:sz="0" w:space="0" w:color="auto"/>
        <w:left w:val="none" w:sz="0" w:space="0" w:color="auto"/>
        <w:bottom w:val="none" w:sz="0" w:space="0" w:color="auto"/>
        <w:right w:val="none" w:sz="0" w:space="0" w:color="auto"/>
      </w:divBdr>
    </w:div>
    <w:div w:id="473988994">
      <w:bodyDiv w:val="1"/>
      <w:marLeft w:val="0"/>
      <w:marRight w:val="0"/>
      <w:marTop w:val="0"/>
      <w:marBottom w:val="0"/>
      <w:divBdr>
        <w:top w:val="none" w:sz="0" w:space="0" w:color="auto"/>
        <w:left w:val="none" w:sz="0" w:space="0" w:color="auto"/>
        <w:bottom w:val="none" w:sz="0" w:space="0" w:color="auto"/>
        <w:right w:val="none" w:sz="0" w:space="0" w:color="auto"/>
      </w:divBdr>
    </w:div>
    <w:div w:id="474221364">
      <w:bodyDiv w:val="1"/>
      <w:marLeft w:val="0"/>
      <w:marRight w:val="0"/>
      <w:marTop w:val="0"/>
      <w:marBottom w:val="0"/>
      <w:divBdr>
        <w:top w:val="none" w:sz="0" w:space="0" w:color="auto"/>
        <w:left w:val="none" w:sz="0" w:space="0" w:color="auto"/>
        <w:bottom w:val="none" w:sz="0" w:space="0" w:color="auto"/>
        <w:right w:val="none" w:sz="0" w:space="0" w:color="auto"/>
      </w:divBdr>
    </w:div>
    <w:div w:id="475609839">
      <w:bodyDiv w:val="1"/>
      <w:marLeft w:val="0"/>
      <w:marRight w:val="0"/>
      <w:marTop w:val="0"/>
      <w:marBottom w:val="0"/>
      <w:divBdr>
        <w:top w:val="none" w:sz="0" w:space="0" w:color="auto"/>
        <w:left w:val="none" w:sz="0" w:space="0" w:color="auto"/>
        <w:bottom w:val="none" w:sz="0" w:space="0" w:color="auto"/>
        <w:right w:val="none" w:sz="0" w:space="0" w:color="auto"/>
      </w:divBdr>
    </w:div>
    <w:div w:id="476268272">
      <w:bodyDiv w:val="1"/>
      <w:marLeft w:val="0"/>
      <w:marRight w:val="0"/>
      <w:marTop w:val="0"/>
      <w:marBottom w:val="0"/>
      <w:divBdr>
        <w:top w:val="none" w:sz="0" w:space="0" w:color="auto"/>
        <w:left w:val="none" w:sz="0" w:space="0" w:color="auto"/>
        <w:bottom w:val="none" w:sz="0" w:space="0" w:color="auto"/>
        <w:right w:val="none" w:sz="0" w:space="0" w:color="auto"/>
      </w:divBdr>
    </w:div>
    <w:div w:id="477187249">
      <w:bodyDiv w:val="1"/>
      <w:marLeft w:val="0"/>
      <w:marRight w:val="0"/>
      <w:marTop w:val="0"/>
      <w:marBottom w:val="0"/>
      <w:divBdr>
        <w:top w:val="none" w:sz="0" w:space="0" w:color="auto"/>
        <w:left w:val="none" w:sz="0" w:space="0" w:color="auto"/>
        <w:bottom w:val="none" w:sz="0" w:space="0" w:color="auto"/>
        <w:right w:val="none" w:sz="0" w:space="0" w:color="auto"/>
      </w:divBdr>
    </w:div>
    <w:div w:id="477574828">
      <w:bodyDiv w:val="1"/>
      <w:marLeft w:val="0"/>
      <w:marRight w:val="0"/>
      <w:marTop w:val="0"/>
      <w:marBottom w:val="0"/>
      <w:divBdr>
        <w:top w:val="none" w:sz="0" w:space="0" w:color="auto"/>
        <w:left w:val="none" w:sz="0" w:space="0" w:color="auto"/>
        <w:bottom w:val="none" w:sz="0" w:space="0" w:color="auto"/>
        <w:right w:val="none" w:sz="0" w:space="0" w:color="auto"/>
      </w:divBdr>
    </w:div>
    <w:div w:id="477696773">
      <w:bodyDiv w:val="1"/>
      <w:marLeft w:val="0"/>
      <w:marRight w:val="0"/>
      <w:marTop w:val="0"/>
      <w:marBottom w:val="0"/>
      <w:divBdr>
        <w:top w:val="none" w:sz="0" w:space="0" w:color="auto"/>
        <w:left w:val="none" w:sz="0" w:space="0" w:color="auto"/>
        <w:bottom w:val="none" w:sz="0" w:space="0" w:color="auto"/>
        <w:right w:val="none" w:sz="0" w:space="0" w:color="auto"/>
      </w:divBdr>
    </w:div>
    <w:div w:id="478688598">
      <w:bodyDiv w:val="1"/>
      <w:marLeft w:val="0"/>
      <w:marRight w:val="0"/>
      <w:marTop w:val="0"/>
      <w:marBottom w:val="0"/>
      <w:divBdr>
        <w:top w:val="none" w:sz="0" w:space="0" w:color="auto"/>
        <w:left w:val="none" w:sz="0" w:space="0" w:color="auto"/>
        <w:bottom w:val="none" w:sz="0" w:space="0" w:color="auto"/>
        <w:right w:val="none" w:sz="0" w:space="0" w:color="auto"/>
      </w:divBdr>
    </w:div>
    <w:div w:id="478763133">
      <w:bodyDiv w:val="1"/>
      <w:marLeft w:val="0"/>
      <w:marRight w:val="0"/>
      <w:marTop w:val="0"/>
      <w:marBottom w:val="0"/>
      <w:divBdr>
        <w:top w:val="none" w:sz="0" w:space="0" w:color="auto"/>
        <w:left w:val="none" w:sz="0" w:space="0" w:color="auto"/>
        <w:bottom w:val="none" w:sz="0" w:space="0" w:color="auto"/>
        <w:right w:val="none" w:sz="0" w:space="0" w:color="auto"/>
      </w:divBdr>
    </w:div>
    <w:div w:id="478883203">
      <w:bodyDiv w:val="1"/>
      <w:marLeft w:val="0"/>
      <w:marRight w:val="0"/>
      <w:marTop w:val="0"/>
      <w:marBottom w:val="0"/>
      <w:divBdr>
        <w:top w:val="none" w:sz="0" w:space="0" w:color="auto"/>
        <w:left w:val="none" w:sz="0" w:space="0" w:color="auto"/>
        <w:bottom w:val="none" w:sz="0" w:space="0" w:color="auto"/>
        <w:right w:val="none" w:sz="0" w:space="0" w:color="auto"/>
      </w:divBdr>
    </w:div>
    <w:div w:id="479153396">
      <w:bodyDiv w:val="1"/>
      <w:marLeft w:val="0"/>
      <w:marRight w:val="0"/>
      <w:marTop w:val="0"/>
      <w:marBottom w:val="0"/>
      <w:divBdr>
        <w:top w:val="none" w:sz="0" w:space="0" w:color="auto"/>
        <w:left w:val="none" w:sz="0" w:space="0" w:color="auto"/>
        <w:bottom w:val="none" w:sz="0" w:space="0" w:color="auto"/>
        <w:right w:val="none" w:sz="0" w:space="0" w:color="auto"/>
      </w:divBdr>
    </w:div>
    <w:div w:id="479730086">
      <w:bodyDiv w:val="1"/>
      <w:marLeft w:val="0"/>
      <w:marRight w:val="0"/>
      <w:marTop w:val="0"/>
      <w:marBottom w:val="0"/>
      <w:divBdr>
        <w:top w:val="none" w:sz="0" w:space="0" w:color="auto"/>
        <w:left w:val="none" w:sz="0" w:space="0" w:color="auto"/>
        <w:bottom w:val="none" w:sz="0" w:space="0" w:color="auto"/>
        <w:right w:val="none" w:sz="0" w:space="0" w:color="auto"/>
      </w:divBdr>
    </w:div>
    <w:div w:id="480344579">
      <w:bodyDiv w:val="1"/>
      <w:marLeft w:val="0"/>
      <w:marRight w:val="0"/>
      <w:marTop w:val="0"/>
      <w:marBottom w:val="0"/>
      <w:divBdr>
        <w:top w:val="none" w:sz="0" w:space="0" w:color="auto"/>
        <w:left w:val="none" w:sz="0" w:space="0" w:color="auto"/>
        <w:bottom w:val="none" w:sz="0" w:space="0" w:color="auto"/>
        <w:right w:val="none" w:sz="0" w:space="0" w:color="auto"/>
      </w:divBdr>
    </w:div>
    <w:div w:id="481046260">
      <w:bodyDiv w:val="1"/>
      <w:marLeft w:val="0"/>
      <w:marRight w:val="0"/>
      <w:marTop w:val="0"/>
      <w:marBottom w:val="0"/>
      <w:divBdr>
        <w:top w:val="none" w:sz="0" w:space="0" w:color="auto"/>
        <w:left w:val="none" w:sz="0" w:space="0" w:color="auto"/>
        <w:bottom w:val="none" w:sz="0" w:space="0" w:color="auto"/>
        <w:right w:val="none" w:sz="0" w:space="0" w:color="auto"/>
      </w:divBdr>
    </w:div>
    <w:div w:id="481166626">
      <w:bodyDiv w:val="1"/>
      <w:marLeft w:val="0"/>
      <w:marRight w:val="0"/>
      <w:marTop w:val="0"/>
      <w:marBottom w:val="0"/>
      <w:divBdr>
        <w:top w:val="none" w:sz="0" w:space="0" w:color="auto"/>
        <w:left w:val="none" w:sz="0" w:space="0" w:color="auto"/>
        <w:bottom w:val="none" w:sz="0" w:space="0" w:color="auto"/>
        <w:right w:val="none" w:sz="0" w:space="0" w:color="auto"/>
      </w:divBdr>
    </w:div>
    <w:div w:id="481387032">
      <w:bodyDiv w:val="1"/>
      <w:marLeft w:val="0"/>
      <w:marRight w:val="0"/>
      <w:marTop w:val="0"/>
      <w:marBottom w:val="0"/>
      <w:divBdr>
        <w:top w:val="none" w:sz="0" w:space="0" w:color="auto"/>
        <w:left w:val="none" w:sz="0" w:space="0" w:color="auto"/>
        <w:bottom w:val="none" w:sz="0" w:space="0" w:color="auto"/>
        <w:right w:val="none" w:sz="0" w:space="0" w:color="auto"/>
      </w:divBdr>
    </w:div>
    <w:div w:id="481777323">
      <w:bodyDiv w:val="1"/>
      <w:marLeft w:val="0"/>
      <w:marRight w:val="0"/>
      <w:marTop w:val="0"/>
      <w:marBottom w:val="0"/>
      <w:divBdr>
        <w:top w:val="none" w:sz="0" w:space="0" w:color="auto"/>
        <w:left w:val="none" w:sz="0" w:space="0" w:color="auto"/>
        <w:bottom w:val="none" w:sz="0" w:space="0" w:color="auto"/>
        <w:right w:val="none" w:sz="0" w:space="0" w:color="auto"/>
      </w:divBdr>
    </w:div>
    <w:div w:id="482043383">
      <w:bodyDiv w:val="1"/>
      <w:marLeft w:val="0"/>
      <w:marRight w:val="0"/>
      <w:marTop w:val="0"/>
      <w:marBottom w:val="0"/>
      <w:divBdr>
        <w:top w:val="none" w:sz="0" w:space="0" w:color="auto"/>
        <w:left w:val="none" w:sz="0" w:space="0" w:color="auto"/>
        <w:bottom w:val="none" w:sz="0" w:space="0" w:color="auto"/>
        <w:right w:val="none" w:sz="0" w:space="0" w:color="auto"/>
      </w:divBdr>
    </w:div>
    <w:div w:id="482159929">
      <w:bodyDiv w:val="1"/>
      <w:marLeft w:val="0"/>
      <w:marRight w:val="0"/>
      <w:marTop w:val="0"/>
      <w:marBottom w:val="0"/>
      <w:divBdr>
        <w:top w:val="none" w:sz="0" w:space="0" w:color="auto"/>
        <w:left w:val="none" w:sz="0" w:space="0" w:color="auto"/>
        <w:bottom w:val="none" w:sz="0" w:space="0" w:color="auto"/>
        <w:right w:val="none" w:sz="0" w:space="0" w:color="auto"/>
      </w:divBdr>
    </w:div>
    <w:div w:id="482357067">
      <w:bodyDiv w:val="1"/>
      <w:marLeft w:val="0"/>
      <w:marRight w:val="0"/>
      <w:marTop w:val="0"/>
      <w:marBottom w:val="0"/>
      <w:divBdr>
        <w:top w:val="none" w:sz="0" w:space="0" w:color="auto"/>
        <w:left w:val="none" w:sz="0" w:space="0" w:color="auto"/>
        <w:bottom w:val="none" w:sz="0" w:space="0" w:color="auto"/>
        <w:right w:val="none" w:sz="0" w:space="0" w:color="auto"/>
      </w:divBdr>
    </w:div>
    <w:div w:id="483088710">
      <w:bodyDiv w:val="1"/>
      <w:marLeft w:val="0"/>
      <w:marRight w:val="0"/>
      <w:marTop w:val="0"/>
      <w:marBottom w:val="0"/>
      <w:divBdr>
        <w:top w:val="none" w:sz="0" w:space="0" w:color="auto"/>
        <w:left w:val="none" w:sz="0" w:space="0" w:color="auto"/>
        <w:bottom w:val="none" w:sz="0" w:space="0" w:color="auto"/>
        <w:right w:val="none" w:sz="0" w:space="0" w:color="auto"/>
      </w:divBdr>
    </w:div>
    <w:div w:id="483548720">
      <w:bodyDiv w:val="1"/>
      <w:marLeft w:val="0"/>
      <w:marRight w:val="0"/>
      <w:marTop w:val="0"/>
      <w:marBottom w:val="0"/>
      <w:divBdr>
        <w:top w:val="none" w:sz="0" w:space="0" w:color="auto"/>
        <w:left w:val="none" w:sz="0" w:space="0" w:color="auto"/>
        <w:bottom w:val="none" w:sz="0" w:space="0" w:color="auto"/>
        <w:right w:val="none" w:sz="0" w:space="0" w:color="auto"/>
      </w:divBdr>
    </w:div>
    <w:div w:id="483590840">
      <w:bodyDiv w:val="1"/>
      <w:marLeft w:val="0"/>
      <w:marRight w:val="0"/>
      <w:marTop w:val="0"/>
      <w:marBottom w:val="0"/>
      <w:divBdr>
        <w:top w:val="none" w:sz="0" w:space="0" w:color="auto"/>
        <w:left w:val="none" w:sz="0" w:space="0" w:color="auto"/>
        <w:bottom w:val="none" w:sz="0" w:space="0" w:color="auto"/>
        <w:right w:val="none" w:sz="0" w:space="0" w:color="auto"/>
      </w:divBdr>
    </w:div>
    <w:div w:id="483815935">
      <w:bodyDiv w:val="1"/>
      <w:marLeft w:val="0"/>
      <w:marRight w:val="0"/>
      <w:marTop w:val="0"/>
      <w:marBottom w:val="0"/>
      <w:divBdr>
        <w:top w:val="none" w:sz="0" w:space="0" w:color="auto"/>
        <w:left w:val="none" w:sz="0" w:space="0" w:color="auto"/>
        <w:bottom w:val="none" w:sz="0" w:space="0" w:color="auto"/>
        <w:right w:val="none" w:sz="0" w:space="0" w:color="auto"/>
      </w:divBdr>
    </w:div>
    <w:div w:id="483935647">
      <w:bodyDiv w:val="1"/>
      <w:marLeft w:val="0"/>
      <w:marRight w:val="0"/>
      <w:marTop w:val="0"/>
      <w:marBottom w:val="0"/>
      <w:divBdr>
        <w:top w:val="none" w:sz="0" w:space="0" w:color="auto"/>
        <w:left w:val="none" w:sz="0" w:space="0" w:color="auto"/>
        <w:bottom w:val="none" w:sz="0" w:space="0" w:color="auto"/>
        <w:right w:val="none" w:sz="0" w:space="0" w:color="auto"/>
      </w:divBdr>
    </w:div>
    <w:div w:id="484054562">
      <w:bodyDiv w:val="1"/>
      <w:marLeft w:val="0"/>
      <w:marRight w:val="0"/>
      <w:marTop w:val="0"/>
      <w:marBottom w:val="0"/>
      <w:divBdr>
        <w:top w:val="none" w:sz="0" w:space="0" w:color="auto"/>
        <w:left w:val="none" w:sz="0" w:space="0" w:color="auto"/>
        <w:bottom w:val="none" w:sz="0" w:space="0" w:color="auto"/>
        <w:right w:val="none" w:sz="0" w:space="0" w:color="auto"/>
      </w:divBdr>
    </w:div>
    <w:div w:id="484247392">
      <w:bodyDiv w:val="1"/>
      <w:marLeft w:val="0"/>
      <w:marRight w:val="0"/>
      <w:marTop w:val="0"/>
      <w:marBottom w:val="0"/>
      <w:divBdr>
        <w:top w:val="none" w:sz="0" w:space="0" w:color="auto"/>
        <w:left w:val="none" w:sz="0" w:space="0" w:color="auto"/>
        <w:bottom w:val="none" w:sz="0" w:space="0" w:color="auto"/>
        <w:right w:val="none" w:sz="0" w:space="0" w:color="auto"/>
      </w:divBdr>
    </w:div>
    <w:div w:id="484860280">
      <w:bodyDiv w:val="1"/>
      <w:marLeft w:val="0"/>
      <w:marRight w:val="0"/>
      <w:marTop w:val="0"/>
      <w:marBottom w:val="0"/>
      <w:divBdr>
        <w:top w:val="none" w:sz="0" w:space="0" w:color="auto"/>
        <w:left w:val="none" w:sz="0" w:space="0" w:color="auto"/>
        <w:bottom w:val="none" w:sz="0" w:space="0" w:color="auto"/>
        <w:right w:val="none" w:sz="0" w:space="0" w:color="auto"/>
      </w:divBdr>
    </w:div>
    <w:div w:id="485514515">
      <w:bodyDiv w:val="1"/>
      <w:marLeft w:val="0"/>
      <w:marRight w:val="0"/>
      <w:marTop w:val="0"/>
      <w:marBottom w:val="0"/>
      <w:divBdr>
        <w:top w:val="none" w:sz="0" w:space="0" w:color="auto"/>
        <w:left w:val="none" w:sz="0" w:space="0" w:color="auto"/>
        <w:bottom w:val="none" w:sz="0" w:space="0" w:color="auto"/>
        <w:right w:val="none" w:sz="0" w:space="0" w:color="auto"/>
      </w:divBdr>
    </w:div>
    <w:div w:id="485904093">
      <w:bodyDiv w:val="1"/>
      <w:marLeft w:val="0"/>
      <w:marRight w:val="0"/>
      <w:marTop w:val="0"/>
      <w:marBottom w:val="0"/>
      <w:divBdr>
        <w:top w:val="none" w:sz="0" w:space="0" w:color="auto"/>
        <w:left w:val="none" w:sz="0" w:space="0" w:color="auto"/>
        <w:bottom w:val="none" w:sz="0" w:space="0" w:color="auto"/>
        <w:right w:val="none" w:sz="0" w:space="0" w:color="auto"/>
      </w:divBdr>
    </w:div>
    <w:div w:id="486481995">
      <w:bodyDiv w:val="1"/>
      <w:marLeft w:val="0"/>
      <w:marRight w:val="0"/>
      <w:marTop w:val="0"/>
      <w:marBottom w:val="0"/>
      <w:divBdr>
        <w:top w:val="none" w:sz="0" w:space="0" w:color="auto"/>
        <w:left w:val="none" w:sz="0" w:space="0" w:color="auto"/>
        <w:bottom w:val="none" w:sz="0" w:space="0" w:color="auto"/>
        <w:right w:val="none" w:sz="0" w:space="0" w:color="auto"/>
      </w:divBdr>
    </w:div>
    <w:div w:id="486749175">
      <w:bodyDiv w:val="1"/>
      <w:marLeft w:val="0"/>
      <w:marRight w:val="0"/>
      <w:marTop w:val="0"/>
      <w:marBottom w:val="0"/>
      <w:divBdr>
        <w:top w:val="none" w:sz="0" w:space="0" w:color="auto"/>
        <w:left w:val="none" w:sz="0" w:space="0" w:color="auto"/>
        <w:bottom w:val="none" w:sz="0" w:space="0" w:color="auto"/>
        <w:right w:val="none" w:sz="0" w:space="0" w:color="auto"/>
      </w:divBdr>
    </w:div>
    <w:div w:id="486895036">
      <w:bodyDiv w:val="1"/>
      <w:marLeft w:val="0"/>
      <w:marRight w:val="0"/>
      <w:marTop w:val="0"/>
      <w:marBottom w:val="0"/>
      <w:divBdr>
        <w:top w:val="none" w:sz="0" w:space="0" w:color="auto"/>
        <w:left w:val="none" w:sz="0" w:space="0" w:color="auto"/>
        <w:bottom w:val="none" w:sz="0" w:space="0" w:color="auto"/>
        <w:right w:val="none" w:sz="0" w:space="0" w:color="auto"/>
      </w:divBdr>
    </w:div>
    <w:div w:id="487014180">
      <w:bodyDiv w:val="1"/>
      <w:marLeft w:val="0"/>
      <w:marRight w:val="0"/>
      <w:marTop w:val="0"/>
      <w:marBottom w:val="0"/>
      <w:divBdr>
        <w:top w:val="none" w:sz="0" w:space="0" w:color="auto"/>
        <w:left w:val="none" w:sz="0" w:space="0" w:color="auto"/>
        <w:bottom w:val="none" w:sz="0" w:space="0" w:color="auto"/>
        <w:right w:val="none" w:sz="0" w:space="0" w:color="auto"/>
      </w:divBdr>
    </w:div>
    <w:div w:id="487016536">
      <w:bodyDiv w:val="1"/>
      <w:marLeft w:val="0"/>
      <w:marRight w:val="0"/>
      <w:marTop w:val="0"/>
      <w:marBottom w:val="0"/>
      <w:divBdr>
        <w:top w:val="none" w:sz="0" w:space="0" w:color="auto"/>
        <w:left w:val="none" w:sz="0" w:space="0" w:color="auto"/>
        <w:bottom w:val="none" w:sz="0" w:space="0" w:color="auto"/>
        <w:right w:val="none" w:sz="0" w:space="0" w:color="auto"/>
      </w:divBdr>
    </w:div>
    <w:div w:id="487477117">
      <w:bodyDiv w:val="1"/>
      <w:marLeft w:val="0"/>
      <w:marRight w:val="0"/>
      <w:marTop w:val="0"/>
      <w:marBottom w:val="0"/>
      <w:divBdr>
        <w:top w:val="none" w:sz="0" w:space="0" w:color="auto"/>
        <w:left w:val="none" w:sz="0" w:space="0" w:color="auto"/>
        <w:bottom w:val="none" w:sz="0" w:space="0" w:color="auto"/>
        <w:right w:val="none" w:sz="0" w:space="0" w:color="auto"/>
      </w:divBdr>
    </w:div>
    <w:div w:id="487478547">
      <w:bodyDiv w:val="1"/>
      <w:marLeft w:val="0"/>
      <w:marRight w:val="0"/>
      <w:marTop w:val="0"/>
      <w:marBottom w:val="0"/>
      <w:divBdr>
        <w:top w:val="none" w:sz="0" w:space="0" w:color="auto"/>
        <w:left w:val="none" w:sz="0" w:space="0" w:color="auto"/>
        <w:bottom w:val="none" w:sz="0" w:space="0" w:color="auto"/>
        <w:right w:val="none" w:sz="0" w:space="0" w:color="auto"/>
      </w:divBdr>
    </w:div>
    <w:div w:id="488444145">
      <w:bodyDiv w:val="1"/>
      <w:marLeft w:val="0"/>
      <w:marRight w:val="0"/>
      <w:marTop w:val="0"/>
      <w:marBottom w:val="0"/>
      <w:divBdr>
        <w:top w:val="none" w:sz="0" w:space="0" w:color="auto"/>
        <w:left w:val="none" w:sz="0" w:space="0" w:color="auto"/>
        <w:bottom w:val="none" w:sz="0" w:space="0" w:color="auto"/>
        <w:right w:val="none" w:sz="0" w:space="0" w:color="auto"/>
      </w:divBdr>
    </w:div>
    <w:div w:id="488447827">
      <w:bodyDiv w:val="1"/>
      <w:marLeft w:val="0"/>
      <w:marRight w:val="0"/>
      <w:marTop w:val="0"/>
      <w:marBottom w:val="0"/>
      <w:divBdr>
        <w:top w:val="none" w:sz="0" w:space="0" w:color="auto"/>
        <w:left w:val="none" w:sz="0" w:space="0" w:color="auto"/>
        <w:bottom w:val="none" w:sz="0" w:space="0" w:color="auto"/>
        <w:right w:val="none" w:sz="0" w:space="0" w:color="auto"/>
      </w:divBdr>
    </w:div>
    <w:div w:id="488860549">
      <w:bodyDiv w:val="1"/>
      <w:marLeft w:val="0"/>
      <w:marRight w:val="0"/>
      <w:marTop w:val="0"/>
      <w:marBottom w:val="0"/>
      <w:divBdr>
        <w:top w:val="none" w:sz="0" w:space="0" w:color="auto"/>
        <w:left w:val="none" w:sz="0" w:space="0" w:color="auto"/>
        <w:bottom w:val="none" w:sz="0" w:space="0" w:color="auto"/>
        <w:right w:val="none" w:sz="0" w:space="0" w:color="auto"/>
      </w:divBdr>
    </w:div>
    <w:div w:id="489254891">
      <w:bodyDiv w:val="1"/>
      <w:marLeft w:val="0"/>
      <w:marRight w:val="0"/>
      <w:marTop w:val="0"/>
      <w:marBottom w:val="0"/>
      <w:divBdr>
        <w:top w:val="none" w:sz="0" w:space="0" w:color="auto"/>
        <w:left w:val="none" w:sz="0" w:space="0" w:color="auto"/>
        <w:bottom w:val="none" w:sz="0" w:space="0" w:color="auto"/>
        <w:right w:val="none" w:sz="0" w:space="0" w:color="auto"/>
      </w:divBdr>
    </w:div>
    <w:div w:id="489446748">
      <w:bodyDiv w:val="1"/>
      <w:marLeft w:val="0"/>
      <w:marRight w:val="0"/>
      <w:marTop w:val="0"/>
      <w:marBottom w:val="0"/>
      <w:divBdr>
        <w:top w:val="none" w:sz="0" w:space="0" w:color="auto"/>
        <w:left w:val="none" w:sz="0" w:space="0" w:color="auto"/>
        <w:bottom w:val="none" w:sz="0" w:space="0" w:color="auto"/>
        <w:right w:val="none" w:sz="0" w:space="0" w:color="auto"/>
      </w:divBdr>
    </w:div>
    <w:div w:id="489447577">
      <w:bodyDiv w:val="1"/>
      <w:marLeft w:val="0"/>
      <w:marRight w:val="0"/>
      <w:marTop w:val="0"/>
      <w:marBottom w:val="0"/>
      <w:divBdr>
        <w:top w:val="none" w:sz="0" w:space="0" w:color="auto"/>
        <w:left w:val="none" w:sz="0" w:space="0" w:color="auto"/>
        <w:bottom w:val="none" w:sz="0" w:space="0" w:color="auto"/>
        <w:right w:val="none" w:sz="0" w:space="0" w:color="auto"/>
      </w:divBdr>
    </w:div>
    <w:div w:id="489448955">
      <w:bodyDiv w:val="1"/>
      <w:marLeft w:val="0"/>
      <w:marRight w:val="0"/>
      <w:marTop w:val="0"/>
      <w:marBottom w:val="0"/>
      <w:divBdr>
        <w:top w:val="none" w:sz="0" w:space="0" w:color="auto"/>
        <w:left w:val="none" w:sz="0" w:space="0" w:color="auto"/>
        <w:bottom w:val="none" w:sz="0" w:space="0" w:color="auto"/>
        <w:right w:val="none" w:sz="0" w:space="0" w:color="auto"/>
      </w:divBdr>
    </w:div>
    <w:div w:id="491456995">
      <w:bodyDiv w:val="1"/>
      <w:marLeft w:val="0"/>
      <w:marRight w:val="0"/>
      <w:marTop w:val="0"/>
      <w:marBottom w:val="0"/>
      <w:divBdr>
        <w:top w:val="none" w:sz="0" w:space="0" w:color="auto"/>
        <w:left w:val="none" w:sz="0" w:space="0" w:color="auto"/>
        <w:bottom w:val="none" w:sz="0" w:space="0" w:color="auto"/>
        <w:right w:val="none" w:sz="0" w:space="0" w:color="auto"/>
      </w:divBdr>
    </w:div>
    <w:div w:id="492380184">
      <w:bodyDiv w:val="1"/>
      <w:marLeft w:val="0"/>
      <w:marRight w:val="0"/>
      <w:marTop w:val="0"/>
      <w:marBottom w:val="0"/>
      <w:divBdr>
        <w:top w:val="none" w:sz="0" w:space="0" w:color="auto"/>
        <w:left w:val="none" w:sz="0" w:space="0" w:color="auto"/>
        <w:bottom w:val="none" w:sz="0" w:space="0" w:color="auto"/>
        <w:right w:val="none" w:sz="0" w:space="0" w:color="auto"/>
      </w:divBdr>
    </w:div>
    <w:div w:id="492525246">
      <w:bodyDiv w:val="1"/>
      <w:marLeft w:val="0"/>
      <w:marRight w:val="0"/>
      <w:marTop w:val="0"/>
      <w:marBottom w:val="0"/>
      <w:divBdr>
        <w:top w:val="none" w:sz="0" w:space="0" w:color="auto"/>
        <w:left w:val="none" w:sz="0" w:space="0" w:color="auto"/>
        <w:bottom w:val="none" w:sz="0" w:space="0" w:color="auto"/>
        <w:right w:val="none" w:sz="0" w:space="0" w:color="auto"/>
      </w:divBdr>
    </w:div>
    <w:div w:id="492765404">
      <w:bodyDiv w:val="1"/>
      <w:marLeft w:val="0"/>
      <w:marRight w:val="0"/>
      <w:marTop w:val="0"/>
      <w:marBottom w:val="0"/>
      <w:divBdr>
        <w:top w:val="none" w:sz="0" w:space="0" w:color="auto"/>
        <w:left w:val="none" w:sz="0" w:space="0" w:color="auto"/>
        <w:bottom w:val="none" w:sz="0" w:space="0" w:color="auto"/>
        <w:right w:val="none" w:sz="0" w:space="0" w:color="auto"/>
      </w:divBdr>
    </w:div>
    <w:div w:id="492917620">
      <w:bodyDiv w:val="1"/>
      <w:marLeft w:val="0"/>
      <w:marRight w:val="0"/>
      <w:marTop w:val="0"/>
      <w:marBottom w:val="0"/>
      <w:divBdr>
        <w:top w:val="none" w:sz="0" w:space="0" w:color="auto"/>
        <w:left w:val="none" w:sz="0" w:space="0" w:color="auto"/>
        <w:bottom w:val="none" w:sz="0" w:space="0" w:color="auto"/>
        <w:right w:val="none" w:sz="0" w:space="0" w:color="auto"/>
      </w:divBdr>
    </w:div>
    <w:div w:id="493224769">
      <w:bodyDiv w:val="1"/>
      <w:marLeft w:val="0"/>
      <w:marRight w:val="0"/>
      <w:marTop w:val="0"/>
      <w:marBottom w:val="0"/>
      <w:divBdr>
        <w:top w:val="none" w:sz="0" w:space="0" w:color="auto"/>
        <w:left w:val="none" w:sz="0" w:space="0" w:color="auto"/>
        <w:bottom w:val="none" w:sz="0" w:space="0" w:color="auto"/>
        <w:right w:val="none" w:sz="0" w:space="0" w:color="auto"/>
      </w:divBdr>
    </w:div>
    <w:div w:id="493230659">
      <w:bodyDiv w:val="1"/>
      <w:marLeft w:val="0"/>
      <w:marRight w:val="0"/>
      <w:marTop w:val="0"/>
      <w:marBottom w:val="0"/>
      <w:divBdr>
        <w:top w:val="none" w:sz="0" w:space="0" w:color="auto"/>
        <w:left w:val="none" w:sz="0" w:space="0" w:color="auto"/>
        <w:bottom w:val="none" w:sz="0" w:space="0" w:color="auto"/>
        <w:right w:val="none" w:sz="0" w:space="0" w:color="auto"/>
      </w:divBdr>
    </w:div>
    <w:div w:id="493255353">
      <w:bodyDiv w:val="1"/>
      <w:marLeft w:val="0"/>
      <w:marRight w:val="0"/>
      <w:marTop w:val="0"/>
      <w:marBottom w:val="0"/>
      <w:divBdr>
        <w:top w:val="none" w:sz="0" w:space="0" w:color="auto"/>
        <w:left w:val="none" w:sz="0" w:space="0" w:color="auto"/>
        <w:bottom w:val="none" w:sz="0" w:space="0" w:color="auto"/>
        <w:right w:val="none" w:sz="0" w:space="0" w:color="auto"/>
      </w:divBdr>
    </w:div>
    <w:div w:id="493447947">
      <w:bodyDiv w:val="1"/>
      <w:marLeft w:val="0"/>
      <w:marRight w:val="0"/>
      <w:marTop w:val="0"/>
      <w:marBottom w:val="0"/>
      <w:divBdr>
        <w:top w:val="none" w:sz="0" w:space="0" w:color="auto"/>
        <w:left w:val="none" w:sz="0" w:space="0" w:color="auto"/>
        <w:bottom w:val="none" w:sz="0" w:space="0" w:color="auto"/>
        <w:right w:val="none" w:sz="0" w:space="0" w:color="auto"/>
      </w:divBdr>
    </w:div>
    <w:div w:id="493884039">
      <w:bodyDiv w:val="1"/>
      <w:marLeft w:val="0"/>
      <w:marRight w:val="0"/>
      <w:marTop w:val="0"/>
      <w:marBottom w:val="0"/>
      <w:divBdr>
        <w:top w:val="none" w:sz="0" w:space="0" w:color="auto"/>
        <w:left w:val="none" w:sz="0" w:space="0" w:color="auto"/>
        <w:bottom w:val="none" w:sz="0" w:space="0" w:color="auto"/>
        <w:right w:val="none" w:sz="0" w:space="0" w:color="auto"/>
      </w:divBdr>
    </w:div>
    <w:div w:id="494299007">
      <w:bodyDiv w:val="1"/>
      <w:marLeft w:val="0"/>
      <w:marRight w:val="0"/>
      <w:marTop w:val="0"/>
      <w:marBottom w:val="0"/>
      <w:divBdr>
        <w:top w:val="none" w:sz="0" w:space="0" w:color="auto"/>
        <w:left w:val="none" w:sz="0" w:space="0" w:color="auto"/>
        <w:bottom w:val="none" w:sz="0" w:space="0" w:color="auto"/>
        <w:right w:val="none" w:sz="0" w:space="0" w:color="auto"/>
      </w:divBdr>
    </w:div>
    <w:div w:id="494303211">
      <w:bodyDiv w:val="1"/>
      <w:marLeft w:val="0"/>
      <w:marRight w:val="0"/>
      <w:marTop w:val="0"/>
      <w:marBottom w:val="0"/>
      <w:divBdr>
        <w:top w:val="none" w:sz="0" w:space="0" w:color="auto"/>
        <w:left w:val="none" w:sz="0" w:space="0" w:color="auto"/>
        <w:bottom w:val="none" w:sz="0" w:space="0" w:color="auto"/>
        <w:right w:val="none" w:sz="0" w:space="0" w:color="auto"/>
      </w:divBdr>
    </w:div>
    <w:div w:id="494952644">
      <w:bodyDiv w:val="1"/>
      <w:marLeft w:val="0"/>
      <w:marRight w:val="0"/>
      <w:marTop w:val="0"/>
      <w:marBottom w:val="0"/>
      <w:divBdr>
        <w:top w:val="none" w:sz="0" w:space="0" w:color="auto"/>
        <w:left w:val="none" w:sz="0" w:space="0" w:color="auto"/>
        <w:bottom w:val="none" w:sz="0" w:space="0" w:color="auto"/>
        <w:right w:val="none" w:sz="0" w:space="0" w:color="auto"/>
      </w:divBdr>
    </w:div>
    <w:div w:id="495271976">
      <w:bodyDiv w:val="1"/>
      <w:marLeft w:val="0"/>
      <w:marRight w:val="0"/>
      <w:marTop w:val="0"/>
      <w:marBottom w:val="0"/>
      <w:divBdr>
        <w:top w:val="none" w:sz="0" w:space="0" w:color="auto"/>
        <w:left w:val="none" w:sz="0" w:space="0" w:color="auto"/>
        <w:bottom w:val="none" w:sz="0" w:space="0" w:color="auto"/>
        <w:right w:val="none" w:sz="0" w:space="0" w:color="auto"/>
      </w:divBdr>
    </w:div>
    <w:div w:id="497044544">
      <w:bodyDiv w:val="1"/>
      <w:marLeft w:val="0"/>
      <w:marRight w:val="0"/>
      <w:marTop w:val="0"/>
      <w:marBottom w:val="0"/>
      <w:divBdr>
        <w:top w:val="none" w:sz="0" w:space="0" w:color="auto"/>
        <w:left w:val="none" w:sz="0" w:space="0" w:color="auto"/>
        <w:bottom w:val="none" w:sz="0" w:space="0" w:color="auto"/>
        <w:right w:val="none" w:sz="0" w:space="0" w:color="auto"/>
      </w:divBdr>
    </w:div>
    <w:div w:id="497692918">
      <w:bodyDiv w:val="1"/>
      <w:marLeft w:val="0"/>
      <w:marRight w:val="0"/>
      <w:marTop w:val="0"/>
      <w:marBottom w:val="0"/>
      <w:divBdr>
        <w:top w:val="none" w:sz="0" w:space="0" w:color="auto"/>
        <w:left w:val="none" w:sz="0" w:space="0" w:color="auto"/>
        <w:bottom w:val="none" w:sz="0" w:space="0" w:color="auto"/>
        <w:right w:val="none" w:sz="0" w:space="0" w:color="auto"/>
      </w:divBdr>
    </w:div>
    <w:div w:id="497967222">
      <w:bodyDiv w:val="1"/>
      <w:marLeft w:val="0"/>
      <w:marRight w:val="0"/>
      <w:marTop w:val="0"/>
      <w:marBottom w:val="0"/>
      <w:divBdr>
        <w:top w:val="none" w:sz="0" w:space="0" w:color="auto"/>
        <w:left w:val="none" w:sz="0" w:space="0" w:color="auto"/>
        <w:bottom w:val="none" w:sz="0" w:space="0" w:color="auto"/>
        <w:right w:val="none" w:sz="0" w:space="0" w:color="auto"/>
      </w:divBdr>
    </w:div>
    <w:div w:id="498545654">
      <w:bodyDiv w:val="1"/>
      <w:marLeft w:val="0"/>
      <w:marRight w:val="0"/>
      <w:marTop w:val="0"/>
      <w:marBottom w:val="0"/>
      <w:divBdr>
        <w:top w:val="none" w:sz="0" w:space="0" w:color="auto"/>
        <w:left w:val="none" w:sz="0" w:space="0" w:color="auto"/>
        <w:bottom w:val="none" w:sz="0" w:space="0" w:color="auto"/>
        <w:right w:val="none" w:sz="0" w:space="0" w:color="auto"/>
      </w:divBdr>
    </w:div>
    <w:div w:id="498691121">
      <w:bodyDiv w:val="1"/>
      <w:marLeft w:val="0"/>
      <w:marRight w:val="0"/>
      <w:marTop w:val="0"/>
      <w:marBottom w:val="0"/>
      <w:divBdr>
        <w:top w:val="none" w:sz="0" w:space="0" w:color="auto"/>
        <w:left w:val="none" w:sz="0" w:space="0" w:color="auto"/>
        <w:bottom w:val="none" w:sz="0" w:space="0" w:color="auto"/>
        <w:right w:val="none" w:sz="0" w:space="0" w:color="auto"/>
      </w:divBdr>
    </w:div>
    <w:div w:id="498815309">
      <w:bodyDiv w:val="1"/>
      <w:marLeft w:val="0"/>
      <w:marRight w:val="0"/>
      <w:marTop w:val="0"/>
      <w:marBottom w:val="0"/>
      <w:divBdr>
        <w:top w:val="none" w:sz="0" w:space="0" w:color="auto"/>
        <w:left w:val="none" w:sz="0" w:space="0" w:color="auto"/>
        <w:bottom w:val="none" w:sz="0" w:space="0" w:color="auto"/>
        <w:right w:val="none" w:sz="0" w:space="0" w:color="auto"/>
      </w:divBdr>
    </w:div>
    <w:div w:id="499009643">
      <w:bodyDiv w:val="1"/>
      <w:marLeft w:val="0"/>
      <w:marRight w:val="0"/>
      <w:marTop w:val="0"/>
      <w:marBottom w:val="0"/>
      <w:divBdr>
        <w:top w:val="none" w:sz="0" w:space="0" w:color="auto"/>
        <w:left w:val="none" w:sz="0" w:space="0" w:color="auto"/>
        <w:bottom w:val="none" w:sz="0" w:space="0" w:color="auto"/>
        <w:right w:val="none" w:sz="0" w:space="0" w:color="auto"/>
      </w:divBdr>
    </w:div>
    <w:div w:id="499391594">
      <w:bodyDiv w:val="1"/>
      <w:marLeft w:val="0"/>
      <w:marRight w:val="0"/>
      <w:marTop w:val="0"/>
      <w:marBottom w:val="0"/>
      <w:divBdr>
        <w:top w:val="none" w:sz="0" w:space="0" w:color="auto"/>
        <w:left w:val="none" w:sz="0" w:space="0" w:color="auto"/>
        <w:bottom w:val="none" w:sz="0" w:space="0" w:color="auto"/>
        <w:right w:val="none" w:sz="0" w:space="0" w:color="auto"/>
      </w:divBdr>
    </w:div>
    <w:div w:id="500656818">
      <w:bodyDiv w:val="1"/>
      <w:marLeft w:val="0"/>
      <w:marRight w:val="0"/>
      <w:marTop w:val="0"/>
      <w:marBottom w:val="0"/>
      <w:divBdr>
        <w:top w:val="none" w:sz="0" w:space="0" w:color="auto"/>
        <w:left w:val="none" w:sz="0" w:space="0" w:color="auto"/>
        <w:bottom w:val="none" w:sz="0" w:space="0" w:color="auto"/>
        <w:right w:val="none" w:sz="0" w:space="0" w:color="auto"/>
      </w:divBdr>
    </w:div>
    <w:div w:id="500894064">
      <w:bodyDiv w:val="1"/>
      <w:marLeft w:val="0"/>
      <w:marRight w:val="0"/>
      <w:marTop w:val="0"/>
      <w:marBottom w:val="0"/>
      <w:divBdr>
        <w:top w:val="none" w:sz="0" w:space="0" w:color="auto"/>
        <w:left w:val="none" w:sz="0" w:space="0" w:color="auto"/>
        <w:bottom w:val="none" w:sz="0" w:space="0" w:color="auto"/>
        <w:right w:val="none" w:sz="0" w:space="0" w:color="auto"/>
      </w:divBdr>
    </w:div>
    <w:div w:id="501118239">
      <w:bodyDiv w:val="1"/>
      <w:marLeft w:val="0"/>
      <w:marRight w:val="0"/>
      <w:marTop w:val="0"/>
      <w:marBottom w:val="0"/>
      <w:divBdr>
        <w:top w:val="none" w:sz="0" w:space="0" w:color="auto"/>
        <w:left w:val="none" w:sz="0" w:space="0" w:color="auto"/>
        <w:bottom w:val="none" w:sz="0" w:space="0" w:color="auto"/>
        <w:right w:val="none" w:sz="0" w:space="0" w:color="auto"/>
      </w:divBdr>
    </w:div>
    <w:div w:id="502092240">
      <w:bodyDiv w:val="1"/>
      <w:marLeft w:val="0"/>
      <w:marRight w:val="0"/>
      <w:marTop w:val="0"/>
      <w:marBottom w:val="0"/>
      <w:divBdr>
        <w:top w:val="none" w:sz="0" w:space="0" w:color="auto"/>
        <w:left w:val="none" w:sz="0" w:space="0" w:color="auto"/>
        <w:bottom w:val="none" w:sz="0" w:space="0" w:color="auto"/>
        <w:right w:val="none" w:sz="0" w:space="0" w:color="auto"/>
      </w:divBdr>
    </w:div>
    <w:div w:id="502938001">
      <w:bodyDiv w:val="1"/>
      <w:marLeft w:val="0"/>
      <w:marRight w:val="0"/>
      <w:marTop w:val="0"/>
      <w:marBottom w:val="0"/>
      <w:divBdr>
        <w:top w:val="none" w:sz="0" w:space="0" w:color="auto"/>
        <w:left w:val="none" w:sz="0" w:space="0" w:color="auto"/>
        <w:bottom w:val="none" w:sz="0" w:space="0" w:color="auto"/>
        <w:right w:val="none" w:sz="0" w:space="0" w:color="auto"/>
      </w:divBdr>
    </w:div>
    <w:div w:id="503084745">
      <w:bodyDiv w:val="1"/>
      <w:marLeft w:val="0"/>
      <w:marRight w:val="0"/>
      <w:marTop w:val="0"/>
      <w:marBottom w:val="0"/>
      <w:divBdr>
        <w:top w:val="none" w:sz="0" w:space="0" w:color="auto"/>
        <w:left w:val="none" w:sz="0" w:space="0" w:color="auto"/>
        <w:bottom w:val="none" w:sz="0" w:space="0" w:color="auto"/>
        <w:right w:val="none" w:sz="0" w:space="0" w:color="auto"/>
      </w:divBdr>
    </w:div>
    <w:div w:id="503209733">
      <w:bodyDiv w:val="1"/>
      <w:marLeft w:val="0"/>
      <w:marRight w:val="0"/>
      <w:marTop w:val="0"/>
      <w:marBottom w:val="0"/>
      <w:divBdr>
        <w:top w:val="none" w:sz="0" w:space="0" w:color="auto"/>
        <w:left w:val="none" w:sz="0" w:space="0" w:color="auto"/>
        <w:bottom w:val="none" w:sz="0" w:space="0" w:color="auto"/>
        <w:right w:val="none" w:sz="0" w:space="0" w:color="auto"/>
      </w:divBdr>
    </w:div>
    <w:div w:id="503401432">
      <w:bodyDiv w:val="1"/>
      <w:marLeft w:val="0"/>
      <w:marRight w:val="0"/>
      <w:marTop w:val="0"/>
      <w:marBottom w:val="0"/>
      <w:divBdr>
        <w:top w:val="none" w:sz="0" w:space="0" w:color="auto"/>
        <w:left w:val="none" w:sz="0" w:space="0" w:color="auto"/>
        <w:bottom w:val="none" w:sz="0" w:space="0" w:color="auto"/>
        <w:right w:val="none" w:sz="0" w:space="0" w:color="auto"/>
      </w:divBdr>
    </w:div>
    <w:div w:id="503589054">
      <w:bodyDiv w:val="1"/>
      <w:marLeft w:val="0"/>
      <w:marRight w:val="0"/>
      <w:marTop w:val="0"/>
      <w:marBottom w:val="0"/>
      <w:divBdr>
        <w:top w:val="none" w:sz="0" w:space="0" w:color="auto"/>
        <w:left w:val="none" w:sz="0" w:space="0" w:color="auto"/>
        <w:bottom w:val="none" w:sz="0" w:space="0" w:color="auto"/>
        <w:right w:val="none" w:sz="0" w:space="0" w:color="auto"/>
      </w:divBdr>
    </w:div>
    <w:div w:id="503594882">
      <w:bodyDiv w:val="1"/>
      <w:marLeft w:val="0"/>
      <w:marRight w:val="0"/>
      <w:marTop w:val="0"/>
      <w:marBottom w:val="0"/>
      <w:divBdr>
        <w:top w:val="none" w:sz="0" w:space="0" w:color="auto"/>
        <w:left w:val="none" w:sz="0" w:space="0" w:color="auto"/>
        <w:bottom w:val="none" w:sz="0" w:space="0" w:color="auto"/>
        <w:right w:val="none" w:sz="0" w:space="0" w:color="auto"/>
      </w:divBdr>
    </w:div>
    <w:div w:id="503739995">
      <w:bodyDiv w:val="1"/>
      <w:marLeft w:val="0"/>
      <w:marRight w:val="0"/>
      <w:marTop w:val="0"/>
      <w:marBottom w:val="0"/>
      <w:divBdr>
        <w:top w:val="none" w:sz="0" w:space="0" w:color="auto"/>
        <w:left w:val="none" w:sz="0" w:space="0" w:color="auto"/>
        <w:bottom w:val="none" w:sz="0" w:space="0" w:color="auto"/>
        <w:right w:val="none" w:sz="0" w:space="0" w:color="auto"/>
      </w:divBdr>
    </w:div>
    <w:div w:id="504176351">
      <w:bodyDiv w:val="1"/>
      <w:marLeft w:val="0"/>
      <w:marRight w:val="0"/>
      <w:marTop w:val="0"/>
      <w:marBottom w:val="0"/>
      <w:divBdr>
        <w:top w:val="none" w:sz="0" w:space="0" w:color="auto"/>
        <w:left w:val="none" w:sz="0" w:space="0" w:color="auto"/>
        <w:bottom w:val="none" w:sz="0" w:space="0" w:color="auto"/>
        <w:right w:val="none" w:sz="0" w:space="0" w:color="auto"/>
      </w:divBdr>
    </w:div>
    <w:div w:id="504830892">
      <w:bodyDiv w:val="1"/>
      <w:marLeft w:val="0"/>
      <w:marRight w:val="0"/>
      <w:marTop w:val="0"/>
      <w:marBottom w:val="0"/>
      <w:divBdr>
        <w:top w:val="none" w:sz="0" w:space="0" w:color="auto"/>
        <w:left w:val="none" w:sz="0" w:space="0" w:color="auto"/>
        <w:bottom w:val="none" w:sz="0" w:space="0" w:color="auto"/>
        <w:right w:val="none" w:sz="0" w:space="0" w:color="auto"/>
      </w:divBdr>
    </w:div>
    <w:div w:id="504979771">
      <w:bodyDiv w:val="1"/>
      <w:marLeft w:val="0"/>
      <w:marRight w:val="0"/>
      <w:marTop w:val="0"/>
      <w:marBottom w:val="0"/>
      <w:divBdr>
        <w:top w:val="none" w:sz="0" w:space="0" w:color="auto"/>
        <w:left w:val="none" w:sz="0" w:space="0" w:color="auto"/>
        <w:bottom w:val="none" w:sz="0" w:space="0" w:color="auto"/>
        <w:right w:val="none" w:sz="0" w:space="0" w:color="auto"/>
      </w:divBdr>
    </w:div>
    <w:div w:id="505167774">
      <w:bodyDiv w:val="1"/>
      <w:marLeft w:val="0"/>
      <w:marRight w:val="0"/>
      <w:marTop w:val="0"/>
      <w:marBottom w:val="0"/>
      <w:divBdr>
        <w:top w:val="none" w:sz="0" w:space="0" w:color="auto"/>
        <w:left w:val="none" w:sz="0" w:space="0" w:color="auto"/>
        <w:bottom w:val="none" w:sz="0" w:space="0" w:color="auto"/>
        <w:right w:val="none" w:sz="0" w:space="0" w:color="auto"/>
      </w:divBdr>
    </w:div>
    <w:div w:id="505360817">
      <w:bodyDiv w:val="1"/>
      <w:marLeft w:val="0"/>
      <w:marRight w:val="0"/>
      <w:marTop w:val="0"/>
      <w:marBottom w:val="0"/>
      <w:divBdr>
        <w:top w:val="none" w:sz="0" w:space="0" w:color="auto"/>
        <w:left w:val="none" w:sz="0" w:space="0" w:color="auto"/>
        <w:bottom w:val="none" w:sz="0" w:space="0" w:color="auto"/>
        <w:right w:val="none" w:sz="0" w:space="0" w:color="auto"/>
      </w:divBdr>
    </w:div>
    <w:div w:id="505553933">
      <w:bodyDiv w:val="1"/>
      <w:marLeft w:val="0"/>
      <w:marRight w:val="0"/>
      <w:marTop w:val="0"/>
      <w:marBottom w:val="0"/>
      <w:divBdr>
        <w:top w:val="none" w:sz="0" w:space="0" w:color="auto"/>
        <w:left w:val="none" w:sz="0" w:space="0" w:color="auto"/>
        <w:bottom w:val="none" w:sz="0" w:space="0" w:color="auto"/>
        <w:right w:val="none" w:sz="0" w:space="0" w:color="auto"/>
      </w:divBdr>
    </w:div>
    <w:div w:id="506404799">
      <w:bodyDiv w:val="1"/>
      <w:marLeft w:val="0"/>
      <w:marRight w:val="0"/>
      <w:marTop w:val="0"/>
      <w:marBottom w:val="0"/>
      <w:divBdr>
        <w:top w:val="none" w:sz="0" w:space="0" w:color="auto"/>
        <w:left w:val="none" w:sz="0" w:space="0" w:color="auto"/>
        <w:bottom w:val="none" w:sz="0" w:space="0" w:color="auto"/>
        <w:right w:val="none" w:sz="0" w:space="0" w:color="auto"/>
      </w:divBdr>
    </w:div>
    <w:div w:id="507255303">
      <w:bodyDiv w:val="1"/>
      <w:marLeft w:val="0"/>
      <w:marRight w:val="0"/>
      <w:marTop w:val="0"/>
      <w:marBottom w:val="0"/>
      <w:divBdr>
        <w:top w:val="none" w:sz="0" w:space="0" w:color="auto"/>
        <w:left w:val="none" w:sz="0" w:space="0" w:color="auto"/>
        <w:bottom w:val="none" w:sz="0" w:space="0" w:color="auto"/>
        <w:right w:val="none" w:sz="0" w:space="0" w:color="auto"/>
      </w:divBdr>
    </w:div>
    <w:div w:id="508911965">
      <w:bodyDiv w:val="1"/>
      <w:marLeft w:val="0"/>
      <w:marRight w:val="0"/>
      <w:marTop w:val="0"/>
      <w:marBottom w:val="0"/>
      <w:divBdr>
        <w:top w:val="none" w:sz="0" w:space="0" w:color="auto"/>
        <w:left w:val="none" w:sz="0" w:space="0" w:color="auto"/>
        <w:bottom w:val="none" w:sz="0" w:space="0" w:color="auto"/>
        <w:right w:val="none" w:sz="0" w:space="0" w:color="auto"/>
      </w:divBdr>
    </w:div>
    <w:div w:id="509834335">
      <w:bodyDiv w:val="1"/>
      <w:marLeft w:val="0"/>
      <w:marRight w:val="0"/>
      <w:marTop w:val="0"/>
      <w:marBottom w:val="0"/>
      <w:divBdr>
        <w:top w:val="none" w:sz="0" w:space="0" w:color="auto"/>
        <w:left w:val="none" w:sz="0" w:space="0" w:color="auto"/>
        <w:bottom w:val="none" w:sz="0" w:space="0" w:color="auto"/>
        <w:right w:val="none" w:sz="0" w:space="0" w:color="auto"/>
      </w:divBdr>
    </w:div>
    <w:div w:id="511380652">
      <w:bodyDiv w:val="1"/>
      <w:marLeft w:val="0"/>
      <w:marRight w:val="0"/>
      <w:marTop w:val="0"/>
      <w:marBottom w:val="0"/>
      <w:divBdr>
        <w:top w:val="none" w:sz="0" w:space="0" w:color="auto"/>
        <w:left w:val="none" w:sz="0" w:space="0" w:color="auto"/>
        <w:bottom w:val="none" w:sz="0" w:space="0" w:color="auto"/>
        <w:right w:val="none" w:sz="0" w:space="0" w:color="auto"/>
      </w:divBdr>
    </w:div>
    <w:div w:id="511724105">
      <w:bodyDiv w:val="1"/>
      <w:marLeft w:val="0"/>
      <w:marRight w:val="0"/>
      <w:marTop w:val="0"/>
      <w:marBottom w:val="0"/>
      <w:divBdr>
        <w:top w:val="none" w:sz="0" w:space="0" w:color="auto"/>
        <w:left w:val="none" w:sz="0" w:space="0" w:color="auto"/>
        <w:bottom w:val="none" w:sz="0" w:space="0" w:color="auto"/>
        <w:right w:val="none" w:sz="0" w:space="0" w:color="auto"/>
      </w:divBdr>
    </w:div>
    <w:div w:id="511922282">
      <w:bodyDiv w:val="1"/>
      <w:marLeft w:val="0"/>
      <w:marRight w:val="0"/>
      <w:marTop w:val="0"/>
      <w:marBottom w:val="0"/>
      <w:divBdr>
        <w:top w:val="none" w:sz="0" w:space="0" w:color="auto"/>
        <w:left w:val="none" w:sz="0" w:space="0" w:color="auto"/>
        <w:bottom w:val="none" w:sz="0" w:space="0" w:color="auto"/>
        <w:right w:val="none" w:sz="0" w:space="0" w:color="auto"/>
      </w:divBdr>
    </w:div>
    <w:div w:id="511992776">
      <w:bodyDiv w:val="1"/>
      <w:marLeft w:val="0"/>
      <w:marRight w:val="0"/>
      <w:marTop w:val="0"/>
      <w:marBottom w:val="0"/>
      <w:divBdr>
        <w:top w:val="none" w:sz="0" w:space="0" w:color="auto"/>
        <w:left w:val="none" w:sz="0" w:space="0" w:color="auto"/>
        <w:bottom w:val="none" w:sz="0" w:space="0" w:color="auto"/>
        <w:right w:val="none" w:sz="0" w:space="0" w:color="auto"/>
      </w:divBdr>
    </w:div>
    <w:div w:id="512260243">
      <w:bodyDiv w:val="1"/>
      <w:marLeft w:val="0"/>
      <w:marRight w:val="0"/>
      <w:marTop w:val="0"/>
      <w:marBottom w:val="0"/>
      <w:divBdr>
        <w:top w:val="none" w:sz="0" w:space="0" w:color="auto"/>
        <w:left w:val="none" w:sz="0" w:space="0" w:color="auto"/>
        <w:bottom w:val="none" w:sz="0" w:space="0" w:color="auto"/>
        <w:right w:val="none" w:sz="0" w:space="0" w:color="auto"/>
      </w:divBdr>
    </w:div>
    <w:div w:id="512451425">
      <w:bodyDiv w:val="1"/>
      <w:marLeft w:val="0"/>
      <w:marRight w:val="0"/>
      <w:marTop w:val="0"/>
      <w:marBottom w:val="0"/>
      <w:divBdr>
        <w:top w:val="none" w:sz="0" w:space="0" w:color="auto"/>
        <w:left w:val="none" w:sz="0" w:space="0" w:color="auto"/>
        <w:bottom w:val="none" w:sz="0" w:space="0" w:color="auto"/>
        <w:right w:val="none" w:sz="0" w:space="0" w:color="auto"/>
      </w:divBdr>
    </w:div>
    <w:div w:id="514424312">
      <w:bodyDiv w:val="1"/>
      <w:marLeft w:val="0"/>
      <w:marRight w:val="0"/>
      <w:marTop w:val="0"/>
      <w:marBottom w:val="0"/>
      <w:divBdr>
        <w:top w:val="none" w:sz="0" w:space="0" w:color="auto"/>
        <w:left w:val="none" w:sz="0" w:space="0" w:color="auto"/>
        <w:bottom w:val="none" w:sz="0" w:space="0" w:color="auto"/>
        <w:right w:val="none" w:sz="0" w:space="0" w:color="auto"/>
      </w:divBdr>
    </w:div>
    <w:div w:id="514467611">
      <w:bodyDiv w:val="1"/>
      <w:marLeft w:val="0"/>
      <w:marRight w:val="0"/>
      <w:marTop w:val="0"/>
      <w:marBottom w:val="0"/>
      <w:divBdr>
        <w:top w:val="none" w:sz="0" w:space="0" w:color="auto"/>
        <w:left w:val="none" w:sz="0" w:space="0" w:color="auto"/>
        <w:bottom w:val="none" w:sz="0" w:space="0" w:color="auto"/>
        <w:right w:val="none" w:sz="0" w:space="0" w:color="auto"/>
      </w:divBdr>
    </w:div>
    <w:div w:id="515003895">
      <w:bodyDiv w:val="1"/>
      <w:marLeft w:val="0"/>
      <w:marRight w:val="0"/>
      <w:marTop w:val="0"/>
      <w:marBottom w:val="0"/>
      <w:divBdr>
        <w:top w:val="none" w:sz="0" w:space="0" w:color="auto"/>
        <w:left w:val="none" w:sz="0" w:space="0" w:color="auto"/>
        <w:bottom w:val="none" w:sz="0" w:space="0" w:color="auto"/>
        <w:right w:val="none" w:sz="0" w:space="0" w:color="auto"/>
      </w:divBdr>
    </w:div>
    <w:div w:id="516387783">
      <w:bodyDiv w:val="1"/>
      <w:marLeft w:val="0"/>
      <w:marRight w:val="0"/>
      <w:marTop w:val="0"/>
      <w:marBottom w:val="0"/>
      <w:divBdr>
        <w:top w:val="none" w:sz="0" w:space="0" w:color="auto"/>
        <w:left w:val="none" w:sz="0" w:space="0" w:color="auto"/>
        <w:bottom w:val="none" w:sz="0" w:space="0" w:color="auto"/>
        <w:right w:val="none" w:sz="0" w:space="0" w:color="auto"/>
      </w:divBdr>
    </w:div>
    <w:div w:id="516652901">
      <w:bodyDiv w:val="1"/>
      <w:marLeft w:val="0"/>
      <w:marRight w:val="0"/>
      <w:marTop w:val="0"/>
      <w:marBottom w:val="0"/>
      <w:divBdr>
        <w:top w:val="none" w:sz="0" w:space="0" w:color="auto"/>
        <w:left w:val="none" w:sz="0" w:space="0" w:color="auto"/>
        <w:bottom w:val="none" w:sz="0" w:space="0" w:color="auto"/>
        <w:right w:val="none" w:sz="0" w:space="0" w:color="auto"/>
      </w:divBdr>
    </w:div>
    <w:div w:id="517433093">
      <w:bodyDiv w:val="1"/>
      <w:marLeft w:val="0"/>
      <w:marRight w:val="0"/>
      <w:marTop w:val="0"/>
      <w:marBottom w:val="0"/>
      <w:divBdr>
        <w:top w:val="none" w:sz="0" w:space="0" w:color="auto"/>
        <w:left w:val="none" w:sz="0" w:space="0" w:color="auto"/>
        <w:bottom w:val="none" w:sz="0" w:space="0" w:color="auto"/>
        <w:right w:val="none" w:sz="0" w:space="0" w:color="auto"/>
      </w:divBdr>
    </w:div>
    <w:div w:id="517813652">
      <w:bodyDiv w:val="1"/>
      <w:marLeft w:val="0"/>
      <w:marRight w:val="0"/>
      <w:marTop w:val="0"/>
      <w:marBottom w:val="0"/>
      <w:divBdr>
        <w:top w:val="none" w:sz="0" w:space="0" w:color="auto"/>
        <w:left w:val="none" w:sz="0" w:space="0" w:color="auto"/>
        <w:bottom w:val="none" w:sz="0" w:space="0" w:color="auto"/>
        <w:right w:val="none" w:sz="0" w:space="0" w:color="auto"/>
      </w:divBdr>
    </w:div>
    <w:div w:id="517816779">
      <w:bodyDiv w:val="1"/>
      <w:marLeft w:val="0"/>
      <w:marRight w:val="0"/>
      <w:marTop w:val="0"/>
      <w:marBottom w:val="0"/>
      <w:divBdr>
        <w:top w:val="none" w:sz="0" w:space="0" w:color="auto"/>
        <w:left w:val="none" w:sz="0" w:space="0" w:color="auto"/>
        <w:bottom w:val="none" w:sz="0" w:space="0" w:color="auto"/>
        <w:right w:val="none" w:sz="0" w:space="0" w:color="auto"/>
      </w:divBdr>
    </w:div>
    <w:div w:id="518156020">
      <w:bodyDiv w:val="1"/>
      <w:marLeft w:val="0"/>
      <w:marRight w:val="0"/>
      <w:marTop w:val="0"/>
      <w:marBottom w:val="0"/>
      <w:divBdr>
        <w:top w:val="none" w:sz="0" w:space="0" w:color="auto"/>
        <w:left w:val="none" w:sz="0" w:space="0" w:color="auto"/>
        <w:bottom w:val="none" w:sz="0" w:space="0" w:color="auto"/>
        <w:right w:val="none" w:sz="0" w:space="0" w:color="auto"/>
      </w:divBdr>
    </w:div>
    <w:div w:id="518853099">
      <w:bodyDiv w:val="1"/>
      <w:marLeft w:val="0"/>
      <w:marRight w:val="0"/>
      <w:marTop w:val="0"/>
      <w:marBottom w:val="0"/>
      <w:divBdr>
        <w:top w:val="none" w:sz="0" w:space="0" w:color="auto"/>
        <w:left w:val="none" w:sz="0" w:space="0" w:color="auto"/>
        <w:bottom w:val="none" w:sz="0" w:space="0" w:color="auto"/>
        <w:right w:val="none" w:sz="0" w:space="0" w:color="auto"/>
      </w:divBdr>
    </w:div>
    <w:div w:id="519439747">
      <w:bodyDiv w:val="1"/>
      <w:marLeft w:val="0"/>
      <w:marRight w:val="0"/>
      <w:marTop w:val="0"/>
      <w:marBottom w:val="0"/>
      <w:divBdr>
        <w:top w:val="none" w:sz="0" w:space="0" w:color="auto"/>
        <w:left w:val="none" w:sz="0" w:space="0" w:color="auto"/>
        <w:bottom w:val="none" w:sz="0" w:space="0" w:color="auto"/>
        <w:right w:val="none" w:sz="0" w:space="0" w:color="auto"/>
      </w:divBdr>
    </w:div>
    <w:div w:id="519470799">
      <w:bodyDiv w:val="1"/>
      <w:marLeft w:val="0"/>
      <w:marRight w:val="0"/>
      <w:marTop w:val="0"/>
      <w:marBottom w:val="0"/>
      <w:divBdr>
        <w:top w:val="none" w:sz="0" w:space="0" w:color="auto"/>
        <w:left w:val="none" w:sz="0" w:space="0" w:color="auto"/>
        <w:bottom w:val="none" w:sz="0" w:space="0" w:color="auto"/>
        <w:right w:val="none" w:sz="0" w:space="0" w:color="auto"/>
      </w:divBdr>
    </w:div>
    <w:div w:id="520323032">
      <w:bodyDiv w:val="1"/>
      <w:marLeft w:val="0"/>
      <w:marRight w:val="0"/>
      <w:marTop w:val="0"/>
      <w:marBottom w:val="0"/>
      <w:divBdr>
        <w:top w:val="none" w:sz="0" w:space="0" w:color="auto"/>
        <w:left w:val="none" w:sz="0" w:space="0" w:color="auto"/>
        <w:bottom w:val="none" w:sz="0" w:space="0" w:color="auto"/>
        <w:right w:val="none" w:sz="0" w:space="0" w:color="auto"/>
      </w:divBdr>
    </w:div>
    <w:div w:id="521011907">
      <w:bodyDiv w:val="1"/>
      <w:marLeft w:val="0"/>
      <w:marRight w:val="0"/>
      <w:marTop w:val="0"/>
      <w:marBottom w:val="0"/>
      <w:divBdr>
        <w:top w:val="none" w:sz="0" w:space="0" w:color="auto"/>
        <w:left w:val="none" w:sz="0" w:space="0" w:color="auto"/>
        <w:bottom w:val="none" w:sz="0" w:space="0" w:color="auto"/>
        <w:right w:val="none" w:sz="0" w:space="0" w:color="auto"/>
      </w:divBdr>
    </w:div>
    <w:div w:id="521824287">
      <w:bodyDiv w:val="1"/>
      <w:marLeft w:val="0"/>
      <w:marRight w:val="0"/>
      <w:marTop w:val="0"/>
      <w:marBottom w:val="0"/>
      <w:divBdr>
        <w:top w:val="none" w:sz="0" w:space="0" w:color="auto"/>
        <w:left w:val="none" w:sz="0" w:space="0" w:color="auto"/>
        <w:bottom w:val="none" w:sz="0" w:space="0" w:color="auto"/>
        <w:right w:val="none" w:sz="0" w:space="0" w:color="auto"/>
      </w:divBdr>
    </w:div>
    <w:div w:id="522062042">
      <w:bodyDiv w:val="1"/>
      <w:marLeft w:val="0"/>
      <w:marRight w:val="0"/>
      <w:marTop w:val="0"/>
      <w:marBottom w:val="0"/>
      <w:divBdr>
        <w:top w:val="none" w:sz="0" w:space="0" w:color="auto"/>
        <w:left w:val="none" w:sz="0" w:space="0" w:color="auto"/>
        <w:bottom w:val="none" w:sz="0" w:space="0" w:color="auto"/>
        <w:right w:val="none" w:sz="0" w:space="0" w:color="auto"/>
      </w:divBdr>
    </w:div>
    <w:div w:id="522325556">
      <w:bodyDiv w:val="1"/>
      <w:marLeft w:val="0"/>
      <w:marRight w:val="0"/>
      <w:marTop w:val="0"/>
      <w:marBottom w:val="0"/>
      <w:divBdr>
        <w:top w:val="none" w:sz="0" w:space="0" w:color="auto"/>
        <w:left w:val="none" w:sz="0" w:space="0" w:color="auto"/>
        <w:bottom w:val="none" w:sz="0" w:space="0" w:color="auto"/>
        <w:right w:val="none" w:sz="0" w:space="0" w:color="auto"/>
      </w:divBdr>
    </w:div>
    <w:div w:id="522590527">
      <w:bodyDiv w:val="1"/>
      <w:marLeft w:val="0"/>
      <w:marRight w:val="0"/>
      <w:marTop w:val="0"/>
      <w:marBottom w:val="0"/>
      <w:divBdr>
        <w:top w:val="none" w:sz="0" w:space="0" w:color="auto"/>
        <w:left w:val="none" w:sz="0" w:space="0" w:color="auto"/>
        <w:bottom w:val="none" w:sz="0" w:space="0" w:color="auto"/>
        <w:right w:val="none" w:sz="0" w:space="0" w:color="auto"/>
      </w:divBdr>
    </w:div>
    <w:div w:id="522859821">
      <w:bodyDiv w:val="1"/>
      <w:marLeft w:val="0"/>
      <w:marRight w:val="0"/>
      <w:marTop w:val="0"/>
      <w:marBottom w:val="0"/>
      <w:divBdr>
        <w:top w:val="none" w:sz="0" w:space="0" w:color="auto"/>
        <w:left w:val="none" w:sz="0" w:space="0" w:color="auto"/>
        <w:bottom w:val="none" w:sz="0" w:space="0" w:color="auto"/>
        <w:right w:val="none" w:sz="0" w:space="0" w:color="auto"/>
      </w:divBdr>
    </w:div>
    <w:div w:id="523328123">
      <w:bodyDiv w:val="1"/>
      <w:marLeft w:val="0"/>
      <w:marRight w:val="0"/>
      <w:marTop w:val="0"/>
      <w:marBottom w:val="0"/>
      <w:divBdr>
        <w:top w:val="none" w:sz="0" w:space="0" w:color="auto"/>
        <w:left w:val="none" w:sz="0" w:space="0" w:color="auto"/>
        <w:bottom w:val="none" w:sz="0" w:space="0" w:color="auto"/>
        <w:right w:val="none" w:sz="0" w:space="0" w:color="auto"/>
      </w:divBdr>
    </w:div>
    <w:div w:id="523402345">
      <w:bodyDiv w:val="1"/>
      <w:marLeft w:val="0"/>
      <w:marRight w:val="0"/>
      <w:marTop w:val="0"/>
      <w:marBottom w:val="0"/>
      <w:divBdr>
        <w:top w:val="none" w:sz="0" w:space="0" w:color="auto"/>
        <w:left w:val="none" w:sz="0" w:space="0" w:color="auto"/>
        <w:bottom w:val="none" w:sz="0" w:space="0" w:color="auto"/>
        <w:right w:val="none" w:sz="0" w:space="0" w:color="auto"/>
      </w:divBdr>
    </w:div>
    <w:div w:id="523446113">
      <w:bodyDiv w:val="1"/>
      <w:marLeft w:val="0"/>
      <w:marRight w:val="0"/>
      <w:marTop w:val="0"/>
      <w:marBottom w:val="0"/>
      <w:divBdr>
        <w:top w:val="none" w:sz="0" w:space="0" w:color="auto"/>
        <w:left w:val="none" w:sz="0" w:space="0" w:color="auto"/>
        <w:bottom w:val="none" w:sz="0" w:space="0" w:color="auto"/>
        <w:right w:val="none" w:sz="0" w:space="0" w:color="auto"/>
      </w:divBdr>
    </w:div>
    <w:div w:id="523790200">
      <w:bodyDiv w:val="1"/>
      <w:marLeft w:val="0"/>
      <w:marRight w:val="0"/>
      <w:marTop w:val="0"/>
      <w:marBottom w:val="0"/>
      <w:divBdr>
        <w:top w:val="none" w:sz="0" w:space="0" w:color="auto"/>
        <w:left w:val="none" w:sz="0" w:space="0" w:color="auto"/>
        <w:bottom w:val="none" w:sz="0" w:space="0" w:color="auto"/>
        <w:right w:val="none" w:sz="0" w:space="0" w:color="auto"/>
      </w:divBdr>
    </w:div>
    <w:div w:id="523905514">
      <w:bodyDiv w:val="1"/>
      <w:marLeft w:val="0"/>
      <w:marRight w:val="0"/>
      <w:marTop w:val="0"/>
      <w:marBottom w:val="0"/>
      <w:divBdr>
        <w:top w:val="none" w:sz="0" w:space="0" w:color="auto"/>
        <w:left w:val="none" w:sz="0" w:space="0" w:color="auto"/>
        <w:bottom w:val="none" w:sz="0" w:space="0" w:color="auto"/>
        <w:right w:val="none" w:sz="0" w:space="0" w:color="auto"/>
      </w:divBdr>
    </w:div>
    <w:div w:id="524905812">
      <w:bodyDiv w:val="1"/>
      <w:marLeft w:val="0"/>
      <w:marRight w:val="0"/>
      <w:marTop w:val="0"/>
      <w:marBottom w:val="0"/>
      <w:divBdr>
        <w:top w:val="none" w:sz="0" w:space="0" w:color="auto"/>
        <w:left w:val="none" w:sz="0" w:space="0" w:color="auto"/>
        <w:bottom w:val="none" w:sz="0" w:space="0" w:color="auto"/>
        <w:right w:val="none" w:sz="0" w:space="0" w:color="auto"/>
      </w:divBdr>
    </w:div>
    <w:div w:id="524949893">
      <w:bodyDiv w:val="1"/>
      <w:marLeft w:val="0"/>
      <w:marRight w:val="0"/>
      <w:marTop w:val="0"/>
      <w:marBottom w:val="0"/>
      <w:divBdr>
        <w:top w:val="none" w:sz="0" w:space="0" w:color="auto"/>
        <w:left w:val="none" w:sz="0" w:space="0" w:color="auto"/>
        <w:bottom w:val="none" w:sz="0" w:space="0" w:color="auto"/>
        <w:right w:val="none" w:sz="0" w:space="0" w:color="auto"/>
      </w:divBdr>
    </w:div>
    <w:div w:id="525220754">
      <w:bodyDiv w:val="1"/>
      <w:marLeft w:val="0"/>
      <w:marRight w:val="0"/>
      <w:marTop w:val="0"/>
      <w:marBottom w:val="0"/>
      <w:divBdr>
        <w:top w:val="none" w:sz="0" w:space="0" w:color="auto"/>
        <w:left w:val="none" w:sz="0" w:space="0" w:color="auto"/>
        <w:bottom w:val="none" w:sz="0" w:space="0" w:color="auto"/>
        <w:right w:val="none" w:sz="0" w:space="0" w:color="auto"/>
      </w:divBdr>
    </w:div>
    <w:div w:id="526914615">
      <w:bodyDiv w:val="1"/>
      <w:marLeft w:val="0"/>
      <w:marRight w:val="0"/>
      <w:marTop w:val="0"/>
      <w:marBottom w:val="0"/>
      <w:divBdr>
        <w:top w:val="none" w:sz="0" w:space="0" w:color="auto"/>
        <w:left w:val="none" w:sz="0" w:space="0" w:color="auto"/>
        <w:bottom w:val="none" w:sz="0" w:space="0" w:color="auto"/>
        <w:right w:val="none" w:sz="0" w:space="0" w:color="auto"/>
      </w:divBdr>
    </w:div>
    <w:div w:id="527185197">
      <w:bodyDiv w:val="1"/>
      <w:marLeft w:val="0"/>
      <w:marRight w:val="0"/>
      <w:marTop w:val="0"/>
      <w:marBottom w:val="0"/>
      <w:divBdr>
        <w:top w:val="none" w:sz="0" w:space="0" w:color="auto"/>
        <w:left w:val="none" w:sz="0" w:space="0" w:color="auto"/>
        <w:bottom w:val="none" w:sz="0" w:space="0" w:color="auto"/>
        <w:right w:val="none" w:sz="0" w:space="0" w:color="auto"/>
      </w:divBdr>
    </w:div>
    <w:div w:id="528418460">
      <w:bodyDiv w:val="1"/>
      <w:marLeft w:val="0"/>
      <w:marRight w:val="0"/>
      <w:marTop w:val="0"/>
      <w:marBottom w:val="0"/>
      <w:divBdr>
        <w:top w:val="none" w:sz="0" w:space="0" w:color="auto"/>
        <w:left w:val="none" w:sz="0" w:space="0" w:color="auto"/>
        <w:bottom w:val="none" w:sz="0" w:space="0" w:color="auto"/>
        <w:right w:val="none" w:sz="0" w:space="0" w:color="auto"/>
      </w:divBdr>
    </w:div>
    <w:div w:id="528495989">
      <w:bodyDiv w:val="1"/>
      <w:marLeft w:val="0"/>
      <w:marRight w:val="0"/>
      <w:marTop w:val="0"/>
      <w:marBottom w:val="0"/>
      <w:divBdr>
        <w:top w:val="none" w:sz="0" w:space="0" w:color="auto"/>
        <w:left w:val="none" w:sz="0" w:space="0" w:color="auto"/>
        <w:bottom w:val="none" w:sz="0" w:space="0" w:color="auto"/>
        <w:right w:val="none" w:sz="0" w:space="0" w:color="auto"/>
      </w:divBdr>
    </w:div>
    <w:div w:id="528496524">
      <w:bodyDiv w:val="1"/>
      <w:marLeft w:val="0"/>
      <w:marRight w:val="0"/>
      <w:marTop w:val="0"/>
      <w:marBottom w:val="0"/>
      <w:divBdr>
        <w:top w:val="none" w:sz="0" w:space="0" w:color="auto"/>
        <w:left w:val="none" w:sz="0" w:space="0" w:color="auto"/>
        <w:bottom w:val="none" w:sz="0" w:space="0" w:color="auto"/>
        <w:right w:val="none" w:sz="0" w:space="0" w:color="auto"/>
      </w:divBdr>
    </w:div>
    <w:div w:id="528883014">
      <w:bodyDiv w:val="1"/>
      <w:marLeft w:val="0"/>
      <w:marRight w:val="0"/>
      <w:marTop w:val="0"/>
      <w:marBottom w:val="0"/>
      <w:divBdr>
        <w:top w:val="none" w:sz="0" w:space="0" w:color="auto"/>
        <w:left w:val="none" w:sz="0" w:space="0" w:color="auto"/>
        <w:bottom w:val="none" w:sz="0" w:space="0" w:color="auto"/>
        <w:right w:val="none" w:sz="0" w:space="0" w:color="auto"/>
      </w:divBdr>
    </w:div>
    <w:div w:id="530385220">
      <w:bodyDiv w:val="1"/>
      <w:marLeft w:val="0"/>
      <w:marRight w:val="0"/>
      <w:marTop w:val="0"/>
      <w:marBottom w:val="0"/>
      <w:divBdr>
        <w:top w:val="none" w:sz="0" w:space="0" w:color="auto"/>
        <w:left w:val="none" w:sz="0" w:space="0" w:color="auto"/>
        <w:bottom w:val="none" w:sz="0" w:space="0" w:color="auto"/>
        <w:right w:val="none" w:sz="0" w:space="0" w:color="auto"/>
      </w:divBdr>
    </w:div>
    <w:div w:id="531263361">
      <w:bodyDiv w:val="1"/>
      <w:marLeft w:val="0"/>
      <w:marRight w:val="0"/>
      <w:marTop w:val="0"/>
      <w:marBottom w:val="0"/>
      <w:divBdr>
        <w:top w:val="none" w:sz="0" w:space="0" w:color="auto"/>
        <w:left w:val="none" w:sz="0" w:space="0" w:color="auto"/>
        <w:bottom w:val="none" w:sz="0" w:space="0" w:color="auto"/>
        <w:right w:val="none" w:sz="0" w:space="0" w:color="auto"/>
      </w:divBdr>
    </w:div>
    <w:div w:id="531652617">
      <w:bodyDiv w:val="1"/>
      <w:marLeft w:val="0"/>
      <w:marRight w:val="0"/>
      <w:marTop w:val="0"/>
      <w:marBottom w:val="0"/>
      <w:divBdr>
        <w:top w:val="none" w:sz="0" w:space="0" w:color="auto"/>
        <w:left w:val="none" w:sz="0" w:space="0" w:color="auto"/>
        <w:bottom w:val="none" w:sz="0" w:space="0" w:color="auto"/>
        <w:right w:val="none" w:sz="0" w:space="0" w:color="auto"/>
      </w:divBdr>
    </w:div>
    <w:div w:id="531772136">
      <w:bodyDiv w:val="1"/>
      <w:marLeft w:val="0"/>
      <w:marRight w:val="0"/>
      <w:marTop w:val="0"/>
      <w:marBottom w:val="0"/>
      <w:divBdr>
        <w:top w:val="none" w:sz="0" w:space="0" w:color="auto"/>
        <w:left w:val="none" w:sz="0" w:space="0" w:color="auto"/>
        <w:bottom w:val="none" w:sz="0" w:space="0" w:color="auto"/>
        <w:right w:val="none" w:sz="0" w:space="0" w:color="auto"/>
      </w:divBdr>
    </w:div>
    <w:div w:id="532308044">
      <w:bodyDiv w:val="1"/>
      <w:marLeft w:val="0"/>
      <w:marRight w:val="0"/>
      <w:marTop w:val="0"/>
      <w:marBottom w:val="0"/>
      <w:divBdr>
        <w:top w:val="none" w:sz="0" w:space="0" w:color="auto"/>
        <w:left w:val="none" w:sz="0" w:space="0" w:color="auto"/>
        <w:bottom w:val="none" w:sz="0" w:space="0" w:color="auto"/>
        <w:right w:val="none" w:sz="0" w:space="0" w:color="auto"/>
      </w:divBdr>
    </w:div>
    <w:div w:id="532425375">
      <w:bodyDiv w:val="1"/>
      <w:marLeft w:val="0"/>
      <w:marRight w:val="0"/>
      <w:marTop w:val="0"/>
      <w:marBottom w:val="0"/>
      <w:divBdr>
        <w:top w:val="none" w:sz="0" w:space="0" w:color="auto"/>
        <w:left w:val="none" w:sz="0" w:space="0" w:color="auto"/>
        <w:bottom w:val="none" w:sz="0" w:space="0" w:color="auto"/>
        <w:right w:val="none" w:sz="0" w:space="0" w:color="auto"/>
      </w:divBdr>
    </w:div>
    <w:div w:id="532500292">
      <w:bodyDiv w:val="1"/>
      <w:marLeft w:val="0"/>
      <w:marRight w:val="0"/>
      <w:marTop w:val="0"/>
      <w:marBottom w:val="0"/>
      <w:divBdr>
        <w:top w:val="none" w:sz="0" w:space="0" w:color="auto"/>
        <w:left w:val="none" w:sz="0" w:space="0" w:color="auto"/>
        <w:bottom w:val="none" w:sz="0" w:space="0" w:color="auto"/>
        <w:right w:val="none" w:sz="0" w:space="0" w:color="auto"/>
      </w:divBdr>
    </w:div>
    <w:div w:id="533153726">
      <w:bodyDiv w:val="1"/>
      <w:marLeft w:val="0"/>
      <w:marRight w:val="0"/>
      <w:marTop w:val="0"/>
      <w:marBottom w:val="0"/>
      <w:divBdr>
        <w:top w:val="none" w:sz="0" w:space="0" w:color="auto"/>
        <w:left w:val="none" w:sz="0" w:space="0" w:color="auto"/>
        <w:bottom w:val="none" w:sz="0" w:space="0" w:color="auto"/>
        <w:right w:val="none" w:sz="0" w:space="0" w:color="auto"/>
      </w:divBdr>
    </w:div>
    <w:div w:id="534078988">
      <w:bodyDiv w:val="1"/>
      <w:marLeft w:val="0"/>
      <w:marRight w:val="0"/>
      <w:marTop w:val="0"/>
      <w:marBottom w:val="0"/>
      <w:divBdr>
        <w:top w:val="none" w:sz="0" w:space="0" w:color="auto"/>
        <w:left w:val="none" w:sz="0" w:space="0" w:color="auto"/>
        <w:bottom w:val="none" w:sz="0" w:space="0" w:color="auto"/>
        <w:right w:val="none" w:sz="0" w:space="0" w:color="auto"/>
      </w:divBdr>
    </w:div>
    <w:div w:id="534394384">
      <w:bodyDiv w:val="1"/>
      <w:marLeft w:val="0"/>
      <w:marRight w:val="0"/>
      <w:marTop w:val="0"/>
      <w:marBottom w:val="0"/>
      <w:divBdr>
        <w:top w:val="none" w:sz="0" w:space="0" w:color="auto"/>
        <w:left w:val="none" w:sz="0" w:space="0" w:color="auto"/>
        <w:bottom w:val="none" w:sz="0" w:space="0" w:color="auto"/>
        <w:right w:val="none" w:sz="0" w:space="0" w:color="auto"/>
      </w:divBdr>
    </w:div>
    <w:div w:id="535168102">
      <w:bodyDiv w:val="1"/>
      <w:marLeft w:val="0"/>
      <w:marRight w:val="0"/>
      <w:marTop w:val="0"/>
      <w:marBottom w:val="0"/>
      <w:divBdr>
        <w:top w:val="none" w:sz="0" w:space="0" w:color="auto"/>
        <w:left w:val="none" w:sz="0" w:space="0" w:color="auto"/>
        <w:bottom w:val="none" w:sz="0" w:space="0" w:color="auto"/>
        <w:right w:val="none" w:sz="0" w:space="0" w:color="auto"/>
      </w:divBdr>
    </w:div>
    <w:div w:id="535898196">
      <w:bodyDiv w:val="1"/>
      <w:marLeft w:val="0"/>
      <w:marRight w:val="0"/>
      <w:marTop w:val="0"/>
      <w:marBottom w:val="0"/>
      <w:divBdr>
        <w:top w:val="none" w:sz="0" w:space="0" w:color="auto"/>
        <w:left w:val="none" w:sz="0" w:space="0" w:color="auto"/>
        <w:bottom w:val="none" w:sz="0" w:space="0" w:color="auto"/>
        <w:right w:val="none" w:sz="0" w:space="0" w:color="auto"/>
      </w:divBdr>
    </w:div>
    <w:div w:id="536047782">
      <w:bodyDiv w:val="1"/>
      <w:marLeft w:val="0"/>
      <w:marRight w:val="0"/>
      <w:marTop w:val="0"/>
      <w:marBottom w:val="0"/>
      <w:divBdr>
        <w:top w:val="none" w:sz="0" w:space="0" w:color="auto"/>
        <w:left w:val="none" w:sz="0" w:space="0" w:color="auto"/>
        <w:bottom w:val="none" w:sz="0" w:space="0" w:color="auto"/>
        <w:right w:val="none" w:sz="0" w:space="0" w:color="auto"/>
      </w:divBdr>
    </w:div>
    <w:div w:id="536167609">
      <w:bodyDiv w:val="1"/>
      <w:marLeft w:val="0"/>
      <w:marRight w:val="0"/>
      <w:marTop w:val="0"/>
      <w:marBottom w:val="0"/>
      <w:divBdr>
        <w:top w:val="none" w:sz="0" w:space="0" w:color="auto"/>
        <w:left w:val="none" w:sz="0" w:space="0" w:color="auto"/>
        <w:bottom w:val="none" w:sz="0" w:space="0" w:color="auto"/>
        <w:right w:val="none" w:sz="0" w:space="0" w:color="auto"/>
      </w:divBdr>
    </w:div>
    <w:div w:id="536354288">
      <w:bodyDiv w:val="1"/>
      <w:marLeft w:val="0"/>
      <w:marRight w:val="0"/>
      <w:marTop w:val="0"/>
      <w:marBottom w:val="0"/>
      <w:divBdr>
        <w:top w:val="none" w:sz="0" w:space="0" w:color="auto"/>
        <w:left w:val="none" w:sz="0" w:space="0" w:color="auto"/>
        <w:bottom w:val="none" w:sz="0" w:space="0" w:color="auto"/>
        <w:right w:val="none" w:sz="0" w:space="0" w:color="auto"/>
      </w:divBdr>
    </w:div>
    <w:div w:id="536818547">
      <w:bodyDiv w:val="1"/>
      <w:marLeft w:val="0"/>
      <w:marRight w:val="0"/>
      <w:marTop w:val="0"/>
      <w:marBottom w:val="0"/>
      <w:divBdr>
        <w:top w:val="none" w:sz="0" w:space="0" w:color="auto"/>
        <w:left w:val="none" w:sz="0" w:space="0" w:color="auto"/>
        <w:bottom w:val="none" w:sz="0" w:space="0" w:color="auto"/>
        <w:right w:val="none" w:sz="0" w:space="0" w:color="auto"/>
      </w:divBdr>
    </w:div>
    <w:div w:id="537622379">
      <w:bodyDiv w:val="1"/>
      <w:marLeft w:val="0"/>
      <w:marRight w:val="0"/>
      <w:marTop w:val="0"/>
      <w:marBottom w:val="0"/>
      <w:divBdr>
        <w:top w:val="none" w:sz="0" w:space="0" w:color="auto"/>
        <w:left w:val="none" w:sz="0" w:space="0" w:color="auto"/>
        <w:bottom w:val="none" w:sz="0" w:space="0" w:color="auto"/>
        <w:right w:val="none" w:sz="0" w:space="0" w:color="auto"/>
      </w:divBdr>
    </w:div>
    <w:div w:id="539516013">
      <w:bodyDiv w:val="1"/>
      <w:marLeft w:val="0"/>
      <w:marRight w:val="0"/>
      <w:marTop w:val="0"/>
      <w:marBottom w:val="0"/>
      <w:divBdr>
        <w:top w:val="none" w:sz="0" w:space="0" w:color="auto"/>
        <w:left w:val="none" w:sz="0" w:space="0" w:color="auto"/>
        <w:bottom w:val="none" w:sz="0" w:space="0" w:color="auto"/>
        <w:right w:val="none" w:sz="0" w:space="0" w:color="auto"/>
      </w:divBdr>
    </w:div>
    <w:div w:id="539899537">
      <w:bodyDiv w:val="1"/>
      <w:marLeft w:val="0"/>
      <w:marRight w:val="0"/>
      <w:marTop w:val="0"/>
      <w:marBottom w:val="0"/>
      <w:divBdr>
        <w:top w:val="none" w:sz="0" w:space="0" w:color="auto"/>
        <w:left w:val="none" w:sz="0" w:space="0" w:color="auto"/>
        <w:bottom w:val="none" w:sz="0" w:space="0" w:color="auto"/>
        <w:right w:val="none" w:sz="0" w:space="0" w:color="auto"/>
      </w:divBdr>
    </w:div>
    <w:div w:id="540291181">
      <w:bodyDiv w:val="1"/>
      <w:marLeft w:val="0"/>
      <w:marRight w:val="0"/>
      <w:marTop w:val="0"/>
      <w:marBottom w:val="0"/>
      <w:divBdr>
        <w:top w:val="none" w:sz="0" w:space="0" w:color="auto"/>
        <w:left w:val="none" w:sz="0" w:space="0" w:color="auto"/>
        <w:bottom w:val="none" w:sz="0" w:space="0" w:color="auto"/>
        <w:right w:val="none" w:sz="0" w:space="0" w:color="auto"/>
      </w:divBdr>
    </w:div>
    <w:div w:id="541599749">
      <w:bodyDiv w:val="1"/>
      <w:marLeft w:val="0"/>
      <w:marRight w:val="0"/>
      <w:marTop w:val="0"/>
      <w:marBottom w:val="0"/>
      <w:divBdr>
        <w:top w:val="none" w:sz="0" w:space="0" w:color="auto"/>
        <w:left w:val="none" w:sz="0" w:space="0" w:color="auto"/>
        <w:bottom w:val="none" w:sz="0" w:space="0" w:color="auto"/>
        <w:right w:val="none" w:sz="0" w:space="0" w:color="auto"/>
      </w:divBdr>
    </w:div>
    <w:div w:id="541745922">
      <w:bodyDiv w:val="1"/>
      <w:marLeft w:val="0"/>
      <w:marRight w:val="0"/>
      <w:marTop w:val="0"/>
      <w:marBottom w:val="0"/>
      <w:divBdr>
        <w:top w:val="none" w:sz="0" w:space="0" w:color="auto"/>
        <w:left w:val="none" w:sz="0" w:space="0" w:color="auto"/>
        <w:bottom w:val="none" w:sz="0" w:space="0" w:color="auto"/>
        <w:right w:val="none" w:sz="0" w:space="0" w:color="auto"/>
      </w:divBdr>
    </w:div>
    <w:div w:id="543059995">
      <w:bodyDiv w:val="1"/>
      <w:marLeft w:val="0"/>
      <w:marRight w:val="0"/>
      <w:marTop w:val="0"/>
      <w:marBottom w:val="0"/>
      <w:divBdr>
        <w:top w:val="none" w:sz="0" w:space="0" w:color="auto"/>
        <w:left w:val="none" w:sz="0" w:space="0" w:color="auto"/>
        <w:bottom w:val="none" w:sz="0" w:space="0" w:color="auto"/>
        <w:right w:val="none" w:sz="0" w:space="0" w:color="auto"/>
      </w:divBdr>
    </w:div>
    <w:div w:id="543178678">
      <w:bodyDiv w:val="1"/>
      <w:marLeft w:val="0"/>
      <w:marRight w:val="0"/>
      <w:marTop w:val="0"/>
      <w:marBottom w:val="0"/>
      <w:divBdr>
        <w:top w:val="none" w:sz="0" w:space="0" w:color="auto"/>
        <w:left w:val="none" w:sz="0" w:space="0" w:color="auto"/>
        <w:bottom w:val="none" w:sz="0" w:space="0" w:color="auto"/>
        <w:right w:val="none" w:sz="0" w:space="0" w:color="auto"/>
      </w:divBdr>
    </w:div>
    <w:div w:id="543180755">
      <w:bodyDiv w:val="1"/>
      <w:marLeft w:val="0"/>
      <w:marRight w:val="0"/>
      <w:marTop w:val="0"/>
      <w:marBottom w:val="0"/>
      <w:divBdr>
        <w:top w:val="none" w:sz="0" w:space="0" w:color="auto"/>
        <w:left w:val="none" w:sz="0" w:space="0" w:color="auto"/>
        <w:bottom w:val="none" w:sz="0" w:space="0" w:color="auto"/>
        <w:right w:val="none" w:sz="0" w:space="0" w:color="auto"/>
      </w:divBdr>
    </w:div>
    <w:div w:id="544293945">
      <w:bodyDiv w:val="1"/>
      <w:marLeft w:val="0"/>
      <w:marRight w:val="0"/>
      <w:marTop w:val="0"/>
      <w:marBottom w:val="0"/>
      <w:divBdr>
        <w:top w:val="none" w:sz="0" w:space="0" w:color="auto"/>
        <w:left w:val="none" w:sz="0" w:space="0" w:color="auto"/>
        <w:bottom w:val="none" w:sz="0" w:space="0" w:color="auto"/>
        <w:right w:val="none" w:sz="0" w:space="0" w:color="auto"/>
      </w:divBdr>
    </w:div>
    <w:div w:id="544414974">
      <w:bodyDiv w:val="1"/>
      <w:marLeft w:val="0"/>
      <w:marRight w:val="0"/>
      <w:marTop w:val="0"/>
      <w:marBottom w:val="0"/>
      <w:divBdr>
        <w:top w:val="none" w:sz="0" w:space="0" w:color="auto"/>
        <w:left w:val="none" w:sz="0" w:space="0" w:color="auto"/>
        <w:bottom w:val="none" w:sz="0" w:space="0" w:color="auto"/>
        <w:right w:val="none" w:sz="0" w:space="0" w:color="auto"/>
      </w:divBdr>
    </w:div>
    <w:div w:id="544679712">
      <w:bodyDiv w:val="1"/>
      <w:marLeft w:val="0"/>
      <w:marRight w:val="0"/>
      <w:marTop w:val="0"/>
      <w:marBottom w:val="0"/>
      <w:divBdr>
        <w:top w:val="none" w:sz="0" w:space="0" w:color="auto"/>
        <w:left w:val="none" w:sz="0" w:space="0" w:color="auto"/>
        <w:bottom w:val="none" w:sz="0" w:space="0" w:color="auto"/>
        <w:right w:val="none" w:sz="0" w:space="0" w:color="auto"/>
      </w:divBdr>
    </w:div>
    <w:div w:id="545222139">
      <w:bodyDiv w:val="1"/>
      <w:marLeft w:val="0"/>
      <w:marRight w:val="0"/>
      <w:marTop w:val="0"/>
      <w:marBottom w:val="0"/>
      <w:divBdr>
        <w:top w:val="none" w:sz="0" w:space="0" w:color="auto"/>
        <w:left w:val="none" w:sz="0" w:space="0" w:color="auto"/>
        <w:bottom w:val="none" w:sz="0" w:space="0" w:color="auto"/>
        <w:right w:val="none" w:sz="0" w:space="0" w:color="auto"/>
      </w:divBdr>
    </w:div>
    <w:div w:id="545600759">
      <w:bodyDiv w:val="1"/>
      <w:marLeft w:val="0"/>
      <w:marRight w:val="0"/>
      <w:marTop w:val="0"/>
      <w:marBottom w:val="0"/>
      <w:divBdr>
        <w:top w:val="none" w:sz="0" w:space="0" w:color="auto"/>
        <w:left w:val="none" w:sz="0" w:space="0" w:color="auto"/>
        <w:bottom w:val="none" w:sz="0" w:space="0" w:color="auto"/>
        <w:right w:val="none" w:sz="0" w:space="0" w:color="auto"/>
      </w:divBdr>
    </w:div>
    <w:div w:id="545723086">
      <w:bodyDiv w:val="1"/>
      <w:marLeft w:val="0"/>
      <w:marRight w:val="0"/>
      <w:marTop w:val="0"/>
      <w:marBottom w:val="0"/>
      <w:divBdr>
        <w:top w:val="none" w:sz="0" w:space="0" w:color="auto"/>
        <w:left w:val="none" w:sz="0" w:space="0" w:color="auto"/>
        <w:bottom w:val="none" w:sz="0" w:space="0" w:color="auto"/>
        <w:right w:val="none" w:sz="0" w:space="0" w:color="auto"/>
      </w:divBdr>
    </w:div>
    <w:div w:id="546114639">
      <w:bodyDiv w:val="1"/>
      <w:marLeft w:val="0"/>
      <w:marRight w:val="0"/>
      <w:marTop w:val="0"/>
      <w:marBottom w:val="0"/>
      <w:divBdr>
        <w:top w:val="none" w:sz="0" w:space="0" w:color="auto"/>
        <w:left w:val="none" w:sz="0" w:space="0" w:color="auto"/>
        <w:bottom w:val="none" w:sz="0" w:space="0" w:color="auto"/>
        <w:right w:val="none" w:sz="0" w:space="0" w:color="auto"/>
      </w:divBdr>
    </w:div>
    <w:div w:id="546261357">
      <w:bodyDiv w:val="1"/>
      <w:marLeft w:val="0"/>
      <w:marRight w:val="0"/>
      <w:marTop w:val="0"/>
      <w:marBottom w:val="0"/>
      <w:divBdr>
        <w:top w:val="none" w:sz="0" w:space="0" w:color="auto"/>
        <w:left w:val="none" w:sz="0" w:space="0" w:color="auto"/>
        <w:bottom w:val="none" w:sz="0" w:space="0" w:color="auto"/>
        <w:right w:val="none" w:sz="0" w:space="0" w:color="auto"/>
      </w:divBdr>
    </w:div>
    <w:div w:id="547763806">
      <w:bodyDiv w:val="1"/>
      <w:marLeft w:val="0"/>
      <w:marRight w:val="0"/>
      <w:marTop w:val="0"/>
      <w:marBottom w:val="0"/>
      <w:divBdr>
        <w:top w:val="none" w:sz="0" w:space="0" w:color="auto"/>
        <w:left w:val="none" w:sz="0" w:space="0" w:color="auto"/>
        <w:bottom w:val="none" w:sz="0" w:space="0" w:color="auto"/>
        <w:right w:val="none" w:sz="0" w:space="0" w:color="auto"/>
      </w:divBdr>
    </w:div>
    <w:div w:id="547884271">
      <w:bodyDiv w:val="1"/>
      <w:marLeft w:val="0"/>
      <w:marRight w:val="0"/>
      <w:marTop w:val="0"/>
      <w:marBottom w:val="0"/>
      <w:divBdr>
        <w:top w:val="none" w:sz="0" w:space="0" w:color="auto"/>
        <w:left w:val="none" w:sz="0" w:space="0" w:color="auto"/>
        <w:bottom w:val="none" w:sz="0" w:space="0" w:color="auto"/>
        <w:right w:val="none" w:sz="0" w:space="0" w:color="auto"/>
      </w:divBdr>
    </w:div>
    <w:div w:id="548105940">
      <w:bodyDiv w:val="1"/>
      <w:marLeft w:val="0"/>
      <w:marRight w:val="0"/>
      <w:marTop w:val="0"/>
      <w:marBottom w:val="0"/>
      <w:divBdr>
        <w:top w:val="none" w:sz="0" w:space="0" w:color="auto"/>
        <w:left w:val="none" w:sz="0" w:space="0" w:color="auto"/>
        <w:bottom w:val="none" w:sz="0" w:space="0" w:color="auto"/>
        <w:right w:val="none" w:sz="0" w:space="0" w:color="auto"/>
      </w:divBdr>
    </w:div>
    <w:div w:id="549729270">
      <w:bodyDiv w:val="1"/>
      <w:marLeft w:val="0"/>
      <w:marRight w:val="0"/>
      <w:marTop w:val="0"/>
      <w:marBottom w:val="0"/>
      <w:divBdr>
        <w:top w:val="none" w:sz="0" w:space="0" w:color="auto"/>
        <w:left w:val="none" w:sz="0" w:space="0" w:color="auto"/>
        <w:bottom w:val="none" w:sz="0" w:space="0" w:color="auto"/>
        <w:right w:val="none" w:sz="0" w:space="0" w:color="auto"/>
      </w:divBdr>
    </w:div>
    <w:div w:id="550000113">
      <w:bodyDiv w:val="1"/>
      <w:marLeft w:val="0"/>
      <w:marRight w:val="0"/>
      <w:marTop w:val="0"/>
      <w:marBottom w:val="0"/>
      <w:divBdr>
        <w:top w:val="none" w:sz="0" w:space="0" w:color="auto"/>
        <w:left w:val="none" w:sz="0" w:space="0" w:color="auto"/>
        <w:bottom w:val="none" w:sz="0" w:space="0" w:color="auto"/>
        <w:right w:val="none" w:sz="0" w:space="0" w:color="auto"/>
      </w:divBdr>
    </w:div>
    <w:div w:id="550653512">
      <w:bodyDiv w:val="1"/>
      <w:marLeft w:val="0"/>
      <w:marRight w:val="0"/>
      <w:marTop w:val="0"/>
      <w:marBottom w:val="0"/>
      <w:divBdr>
        <w:top w:val="none" w:sz="0" w:space="0" w:color="auto"/>
        <w:left w:val="none" w:sz="0" w:space="0" w:color="auto"/>
        <w:bottom w:val="none" w:sz="0" w:space="0" w:color="auto"/>
        <w:right w:val="none" w:sz="0" w:space="0" w:color="auto"/>
      </w:divBdr>
    </w:div>
    <w:div w:id="550844104">
      <w:bodyDiv w:val="1"/>
      <w:marLeft w:val="0"/>
      <w:marRight w:val="0"/>
      <w:marTop w:val="0"/>
      <w:marBottom w:val="0"/>
      <w:divBdr>
        <w:top w:val="none" w:sz="0" w:space="0" w:color="auto"/>
        <w:left w:val="none" w:sz="0" w:space="0" w:color="auto"/>
        <w:bottom w:val="none" w:sz="0" w:space="0" w:color="auto"/>
        <w:right w:val="none" w:sz="0" w:space="0" w:color="auto"/>
      </w:divBdr>
    </w:div>
    <w:div w:id="550993397">
      <w:bodyDiv w:val="1"/>
      <w:marLeft w:val="0"/>
      <w:marRight w:val="0"/>
      <w:marTop w:val="0"/>
      <w:marBottom w:val="0"/>
      <w:divBdr>
        <w:top w:val="none" w:sz="0" w:space="0" w:color="auto"/>
        <w:left w:val="none" w:sz="0" w:space="0" w:color="auto"/>
        <w:bottom w:val="none" w:sz="0" w:space="0" w:color="auto"/>
        <w:right w:val="none" w:sz="0" w:space="0" w:color="auto"/>
      </w:divBdr>
    </w:div>
    <w:div w:id="551308700">
      <w:bodyDiv w:val="1"/>
      <w:marLeft w:val="0"/>
      <w:marRight w:val="0"/>
      <w:marTop w:val="0"/>
      <w:marBottom w:val="0"/>
      <w:divBdr>
        <w:top w:val="none" w:sz="0" w:space="0" w:color="auto"/>
        <w:left w:val="none" w:sz="0" w:space="0" w:color="auto"/>
        <w:bottom w:val="none" w:sz="0" w:space="0" w:color="auto"/>
        <w:right w:val="none" w:sz="0" w:space="0" w:color="auto"/>
      </w:divBdr>
    </w:div>
    <w:div w:id="551815432">
      <w:bodyDiv w:val="1"/>
      <w:marLeft w:val="0"/>
      <w:marRight w:val="0"/>
      <w:marTop w:val="0"/>
      <w:marBottom w:val="0"/>
      <w:divBdr>
        <w:top w:val="none" w:sz="0" w:space="0" w:color="auto"/>
        <w:left w:val="none" w:sz="0" w:space="0" w:color="auto"/>
        <w:bottom w:val="none" w:sz="0" w:space="0" w:color="auto"/>
        <w:right w:val="none" w:sz="0" w:space="0" w:color="auto"/>
      </w:divBdr>
    </w:div>
    <w:div w:id="552349072">
      <w:bodyDiv w:val="1"/>
      <w:marLeft w:val="0"/>
      <w:marRight w:val="0"/>
      <w:marTop w:val="0"/>
      <w:marBottom w:val="0"/>
      <w:divBdr>
        <w:top w:val="none" w:sz="0" w:space="0" w:color="auto"/>
        <w:left w:val="none" w:sz="0" w:space="0" w:color="auto"/>
        <w:bottom w:val="none" w:sz="0" w:space="0" w:color="auto"/>
        <w:right w:val="none" w:sz="0" w:space="0" w:color="auto"/>
      </w:divBdr>
    </w:div>
    <w:div w:id="553665891">
      <w:bodyDiv w:val="1"/>
      <w:marLeft w:val="0"/>
      <w:marRight w:val="0"/>
      <w:marTop w:val="0"/>
      <w:marBottom w:val="0"/>
      <w:divBdr>
        <w:top w:val="none" w:sz="0" w:space="0" w:color="auto"/>
        <w:left w:val="none" w:sz="0" w:space="0" w:color="auto"/>
        <w:bottom w:val="none" w:sz="0" w:space="0" w:color="auto"/>
        <w:right w:val="none" w:sz="0" w:space="0" w:color="auto"/>
      </w:divBdr>
    </w:div>
    <w:div w:id="554003553">
      <w:bodyDiv w:val="1"/>
      <w:marLeft w:val="0"/>
      <w:marRight w:val="0"/>
      <w:marTop w:val="0"/>
      <w:marBottom w:val="0"/>
      <w:divBdr>
        <w:top w:val="none" w:sz="0" w:space="0" w:color="auto"/>
        <w:left w:val="none" w:sz="0" w:space="0" w:color="auto"/>
        <w:bottom w:val="none" w:sz="0" w:space="0" w:color="auto"/>
        <w:right w:val="none" w:sz="0" w:space="0" w:color="auto"/>
      </w:divBdr>
    </w:div>
    <w:div w:id="554702524">
      <w:bodyDiv w:val="1"/>
      <w:marLeft w:val="0"/>
      <w:marRight w:val="0"/>
      <w:marTop w:val="0"/>
      <w:marBottom w:val="0"/>
      <w:divBdr>
        <w:top w:val="none" w:sz="0" w:space="0" w:color="auto"/>
        <w:left w:val="none" w:sz="0" w:space="0" w:color="auto"/>
        <w:bottom w:val="none" w:sz="0" w:space="0" w:color="auto"/>
        <w:right w:val="none" w:sz="0" w:space="0" w:color="auto"/>
      </w:divBdr>
    </w:div>
    <w:div w:id="555896498">
      <w:bodyDiv w:val="1"/>
      <w:marLeft w:val="0"/>
      <w:marRight w:val="0"/>
      <w:marTop w:val="0"/>
      <w:marBottom w:val="0"/>
      <w:divBdr>
        <w:top w:val="none" w:sz="0" w:space="0" w:color="auto"/>
        <w:left w:val="none" w:sz="0" w:space="0" w:color="auto"/>
        <w:bottom w:val="none" w:sz="0" w:space="0" w:color="auto"/>
        <w:right w:val="none" w:sz="0" w:space="0" w:color="auto"/>
      </w:divBdr>
      <w:divsChild>
        <w:div w:id="1832257290">
          <w:marLeft w:val="0"/>
          <w:marRight w:val="0"/>
          <w:marTop w:val="0"/>
          <w:marBottom w:val="0"/>
          <w:divBdr>
            <w:top w:val="none" w:sz="0" w:space="0" w:color="auto"/>
            <w:left w:val="none" w:sz="0" w:space="0" w:color="auto"/>
            <w:bottom w:val="none" w:sz="0" w:space="0" w:color="auto"/>
            <w:right w:val="none" w:sz="0" w:space="0" w:color="auto"/>
          </w:divBdr>
          <w:divsChild>
            <w:div w:id="241452446">
              <w:marLeft w:val="0"/>
              <w:marRight w:val="0"/>
              <w:marTop w:val="0"/>
              <w:marBottom w:val="0"/>
              <w:divBdr>
                <w:top w:val="none" w:sz="0" w:space="0" w:color="auto"/>
                <w:left w:val="none" w:sz="0" w:space="0" w:color="auto"/>
                <w:bottom w:val="none" w:sz="0" w:space="0" w:color="auto"/>
                <w:right w:val="none" w:sz="0" w:space="0" w:color="auto"/>
              </w:divBdr>
              <w:divsChild>
                <w:div w:id="1923173672">
                  <w:marLeft w:val="0"/>
                  <w:marRight w:val="0"/>
                  <w:marTop w:val="0"/>
                  <w:marBottom w:val="0"/>
                  <w:divBdr>
                    <w:top w:val="none" w:sz="0" w:space="0" w:color="auto"/>
                    <w:left w:val="none" w:sz="0" w:space="0" w:color="auto"/>
                    <w:bottom w:val="none" w:sz="0" w:space="0" w:color="auto"/>
                    <w:right w:val="none" w:sz="0" w:space="0" w:color="auto"/>
                  </w:divBdr>
                  <w:divsChild>
                    <w:div w:id="21387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03837">
      <w:bodyDiv w:val="1"/>
      <w:marLeft w:val="0"/>
      <w:marRight w:val="0"/>
      <w:marTop w:val="0"/>
      <w:marBottom w:val="0"/>
      <w:divBdr>
        <w:top w:val="none" w:sz="0" w:space="0" w:color="auto"/>
        <w:left w:val="none" w:sz="0" w:space="0" w:color="auto"/>
        <w:bottom w:val="none" w:sz="0" w:space="0" w:color="auto"/>
        <w:right w:val="none" w:sz="0" w:space="0" w:color="auto"/>
      </w:divBdr>
    </w:div>
    <w:div w:id="557131763">
      <w:bodyDiv w:val="1"/>
      <w:marLeft w:val="0"/>
      <w:marRight w:val="0"/>
      <w:marTop w:val="0"/>
      <w:marBottom w:val="0"/>
      <w:divBdr>
        <w:top w:val="none" w:sz="0" w:space="0" w:color="auto"/>
        <w:left w:val="none" w:sz="0" w:space="0" w:color="auto"/>
        <w:bottom w:val="none" w:sz="0" w:space="0" w:color="auto"/>
        <w:right w:val="none" w:sz="0" w:space="0" w:color="auto"/>
      </w:divBdr>
    </w:div>
    <w:div w:id="557589864">
      <w:bodyDiv w:val="1"/>
      <w:marLeft w:val="0"/>
      <w:marRight w:val="0"/>
      <w:marTop w:val="0"/>
      <w:marBottom w:val="0"/>
      <w:divBdr>
        <w:top w:val="none" w:sz="0" w:space="0" w:color="auto"/>
        <w:left w:val="none" w:sz="0" w:space="0" w:color="auto"/>
        <w:bottom w:val="none" w:sz="0" w:space="0" w:color="auto"/>
        <w:right w:val="none" w:sz="0" w:space="0" w:color="auto"/>
      </w:divBdr>
    </w:div>
    <w:div w:id="558246112">
      <w:bodyDiv w:val="1"/>
      <w:marLeft w:val="0"/>
      <w:marRight w:val="0"/>
      <w:marTop w:val="0"/>
      <w:marBottom w:val="0"/>
      <w:divBdr>
        <w:top w:val="none" w:sz="0" w:space="0" w:color="auto"/>
        <w:left w:val="none" w:sz="0" w:space="0" w:color="auto"/>
        <w:bottom w:val="none" w:sz="0" w:space="0" w:color="auto"/>
        <w:right w:val="none" w:sz="0" w:space="0" w:color="auto"/>
      </w:divBdr>
    </w:div>
    <w:div w:id="558324014">
      <w:bodyDiv w:val="1"/>
      <w:marLeft w:val="0"/>
      <w:marRight w:val="0"/>
      <w:marTop w:val="0"/>
      <w:marBottom w:val="0"/>
      <w:divBdr>
        <w:top w:val="none" w:sz="0" w:space="0" w:color="auto"/>
        <w:left w:val="none" w:sz="0" w:space="0" w:color="auto"/>
        <w:bottom w:val="none" w:sz="0" w:space="0" w:color="auto"/>
        <w:right w:val="none" w:sz="0" w:space="0" w:color="auto"/>
      </w:divBdr>
    </w:div>
    <w:div w:id="558564265">
      <w:bodyDiv w:val="1"/>
      <w:marLeft w:val="0"/>
      <w:marRight w:val="0"/>
      <w:marTop w:val="0"/>
      <w:marBottom w:val="0"/>
      <w:divBdr>
        <w:top w:val="none" w:sz="0" w:space="0" w:color="auto"/>
        <w:left w:val="none" w:sz="0" w:space="0" w:color="auto"/>
        <w:bottom w:val="none" w:sz="0" w:space="0" w:color="auto"/>
        <w:right w:val="none" w:sz="0" w:space="0" w:color="auto"/>
      </w:divBdr>
    </w:div>
    <w:div w:id="558593713">
      <w:bodyDiv w:val="1"/>
      <w:marLeft w:val="0"/>
      <w:marRight w:val="0"/>
      <w:marTop w:val="0"/>
      <w:marBottom w:val="0"/>
      <w:divBdr>
        <w:top w:val="none" w:sz="0" w:space="0" w:color="auto"/>
        <w:left w:val="none" w:sz="0" w:space="0" w:color="auto"/>
        <w:bottom w:val="none" w:sz="0" w:space="0" w:color="auto"/>
        <w:right w:val="none" w:sz="0" w:space="0" w:color="auto"/>
      </w:divBdr>
    </w:div>
    <w:div w:id="558831127">
      <w:bodyDiv w:val="1"/>
      <w:marLeft w:val="0"/>
      <w:marRight w:val="0"/>
      <w:marTop w:val="0"/>
      <w:marBottom w:val="0"/>
      <w:divBdr>
        <w:top w:val="none" w:sz="0" w:space="0" w:color="auto"/>
        <w:left w:val="none" w:sz="0" w:space="0" w:color="auto"/>
        <w:bottom w:val="none" w:sz="0" w:space="0" w:color="auto"/>
        <w:right w:val="none" w:sz="0" w:space="0" w:color="auto"/>
      </w:divBdr>
    </w:div>
    <w:div w:id="558901686">
      <w:bodyDiv w:val="1"/>
      <w:marLeft w:val="0"/>
      <w:marRight w:val="0"/>
      <w:marTop w:val="0"/>
      <w:marBottom w:val="0"/>
      <w:divBdr>
        <w:top w:val="none" w:sz="0" w:space="0" w:color="auto"/>
        <w:left w:val="none" w:sz="0" w:space="0" w:color="auto"/>
        <w:bottom w:val="none" w:sz="0" w:space="0" w:color="auto"/>
        <w:right w:val="none" w:sz="0" w:space="0" w:color="auto"/>
      </w:divBdr>
    </w:div>
    <w:div w:id="560167736">
      <w:bodyDiv w:val="1"/>
      <w:marLeft w:val="0"/>
      <w:marRight w:val="0"/>
      <w:marTop w:val="0"/>
      <w:marBottom w:val="0"/>
      <w:divBdr>
        <w:top w:val="none" w:sz="0" w:space="0" w:color="auto"/>
        <w:left w:val="none" w:sz="0" w:space="0" w:color="auto"/>
        <w:bottom w:val="none" w:sz="0" w:space="0" w:color="auto"/>
        <w:right w:val="none" w:sz="0" w:space="0" w:color="auto"/>
      </w:divBdr>
    </w:div>
    <w:div w:id="560216314">
      <w:bodyDiv w:val="1"/>
      <w:marLeft w:val="0"/>
      <w:marRight w:val="0"/>
      <w:marTop w:val="0"/>
      <w:marBottom w:val="0"/>
      <w:divBdr>
        <w:top w:val="none" w:sz="0" w:space="0" w:color="auto"/>
        <w:left w:val="none" w:sz="0" w:space="0" w:color="auto"/>
        <w:bottom w:val="none" w:sz="0" w:space="0" w:color="auto"/>
        <w:right w:val="none" w:sz="0" w:space="0" w:color="auto"/>
      </w:divBdr>
    </w:div>
    <w:div w:id="560287216">
      <w:bodyDiv w:val="1"/>
      <w:marLeft w:val="0"/>
      <w:marRight w:val="0"/>
      <w:marTop w:val="0"/>
      <w:marBottom w:val="0"/>
      <w:divBdr>
        <w:top w:val="none" w:sz="0" w:space="0" w:color="auto"/>
        <w:left w:val="none" w:sz="0" w:space="0" w:color="auto"/>
        <w:bottom w:val="none" w:sz="0" w:space="0" w:color="auto"/>
        <w:right w:val="none" w:sz="0" w:space="0" w:color="auto"/>
      </w:divBdr>
    </w:div>
    <w:div w:id="560558313">
      <w:bodyDiv w:val="1"/>
      <w:marLeft w:val="0"/>
      <w:marRight w:val="0"/>
      <w:marTop w:val="0"/>
      <w:marBottom w:val="0"/>
      <w:divBdr>
        <w:top w:val="none" w:sz="0" w:space="0" w:color="auto"/>
        <w:left w:val="none" w:sz="0" w:space="0" w:color="auto"/>
        <w:bottom w:val="none" w:sz="0" w:space="0" w:color="auto"/>
        <w:right w:val="none" w:sz="0" w:space="0" w:color="auto"/>
      </w:divBdr>
    </w:div>
    <w:div w:id="560865023">
      <w:bodyDiv w:val="1"/>
      <w:marLeft w:val="0"/>
      <w:marRight w:val="0"/>
      <w:marTop w:val="0"/>
      <w:marBottom w:val="0"/>
      <w:divBdr>
        <w:top w:val="none" w:sz="0" w:space="0" w:color="auto"/>
        <w:left w:val="none" w:sz="0" w:space="0" w:color="auto"/>
        <w:bottom w:val="none" w:sz="0" w:space="0" w:color="auto"/>
        <w:right w:val="none" w:sz="0" w:space="0" w:color="auto"/>
      </w:divBdr>
    </w:div>
    <w:div w:id="561334574">
      <w:bodyDiv w:val="1"/>
      <w:marLeft w:val="0"/>
      <w:marRight w:val="0"/>
      <w:marTop w:val="0"/>
      <w:marBottom w:val="0"/>
      <w:divBdr>
        <w:top w:val="none" w:sz="0" w:space="0" w:color="auto"/>
        <w:left w:val="none" w:sz="0" w:space="0" w:color="auto"/>
        <w:bottom w:val="none" w:sz="0" w:space="0" w:color="auto"/>
        <w:right w:val="none" w:sz="0" w:space="0" w:color="auto"/>
      </w:divBdr>
    </w:div>
    <w:div w:id="561914911">
      <w:bodyDiv w:val="1"/>
      <w:marLeft w:val="0"/>
      <w:marRight w:val="0"/>
      <w:marTop w:val="0"/>
      <w:marBottom w:val="0"/>
      <w:divBdr>
        <w:top w:val="none" w:sz="0" w:space="0" w:color="auto"/>
        <w:left w:val="none" w:sz="0" w:space="0" w:color="auto"/>
        <w:bottom w:val="none" w:sz="0" w:space="0" w:color="auto"/>
        <w:right w:val="none" w:sz="0" w:space="0" w:color="auto"/>
      </w:divBdr>
    </w:div>
    <w:div w:id="563376201">
      <w:bodyDiv w:val="1"/>
      <w:marLeft w:val="0"/>
      <w:marRight w:val="0"/>
      <w:marTop w:val="0"/>
      <w:marBottom w:val="0"/>
      <w:divBdr>
        <w:top w:val="none" w:sz="0" w:space="0" w:color="auto"/>
        <w:left w:val="none" w:sz="0" w:space="0" w:color="auto"/>
        <w:bottom w:val="none" w:sz="0" w:space="0" w:color="auto"/>
        <w:right w:val="none" w:sz="0" w:space="0" w:color="auto"/>
      </w:divBdr>
    </w:div>
    <w:div w:id="563613078">
      <w:bodyDiv w:val="1"/>
      <w:marLeft w:val="0"/>
      <w:marRight w:val="0"/>
      <w:marTop w:val="0"/>
      <w:marBottom w:val="0"/>
      <w:divBdr>
        <w:top w:val="none" w:sz="0" w:space="0" w:color="auto"/>
        <w:left w:val="none" w:sz="0" w:space="0" w:color="auto"/>
        <w:bottom w:val="none" w:sz="0" w:space="0" w:color="auto"/>
        <w:right w:val="none" w:sz="0" w:space="0" w:color="auto"/>
      </w:divBdr>
    </w:div>
    <w:div w:id="564724636">
      <w:bodyDiv w:val="1"/>
      <w:marLeft w:val="0"/>
      <w:marRight w:val="0"/>
      <w:marTop w:val="0"/>
      <w:marBottom w:val="0"/>
      <w:divBdr>
        <w:top w:val="none" w:sz="0" w:space="0" w:color="auto"/>
        <w:left w:val="none" w:sz="0" w:space="0" w:color="auto"/>
        <w:bottom w:val="none" w:sz="0" w:space="0" w:color="auto"/>
        <w:right w:val="none" w:sz="0" w:space="0" w:color="auto"/>
      </w:divBdr>
    </w:div>
    <w:div w:id="565996691">
      <w:bodyDiv w:val="1"/>
      <w:marLeft w:val="0"/>
      <w:marRight w:val="0"/>
      <w:marTop w:val="0"/>
      <w:marBottom w:val="0"/>
      <w:divBdr>
        <w:top w:val="none" w:sz="0" w:space="0" w:color="auto"/>
        <w:left w:val="none" w:sz="0" w:space="0" w:color="auto"/>
        <w:bottom w:val="none" w:sz="0" w:space="0" w:color="auto"/>
        <w:right w:val="none" w:sz="0" w:space="0" w:color="auto"/>
      </w:divBdr>
    </w:div>
    <w:div w:id="567692574">
      <w:bodyDiv w:val="1"/>
      <w:marLeft w:val="0"/>
      <w:marRight w:val="0"/>
      <w:marTop w:val="0"/>
      <w:marBottom w:val="0"/>
      <w:divBdr>
        <w:top w:val="none" w:sz="0" w:space="0" w:color="auto"/>
        <w:left w:val="none" w:sz="0" w:space="0" w:color="auto"/>
        <w:bottom w:val="none" w:sz="0" w:space="0" w:color="auto"/>
        <w:right w:val="none" w:sz="0" w:space="0" w:color="auto"/>
      </w:divBdr>
    </w:div>
    <w:div w:id="567805034">
      <w:bodyDiv w:val="1"/>
      <w:marLeft w:val="0"/>
      <w:marRight w:val="0"/>
      <w:marTop w:val="0"/>
      <w:marBottom w:val="0"/>
      <w:divBdr>
        <w:top w:val="none" w:sz="0" w:space="0" w:color="auto"/>
        <w:left w:val="none" w:sz="0" w:space="0" w:color="auto"/>
        <w:bottom w:val="none" w:sz="0" w:space="0" w:color="auto"/>
        <w:right w:val="none" w:sz="0" w:space="0" w:color="auto"/>
      </w:divBdr>
    </w:div>
    <w:div w:id="568422420">
      <w:bodyDiv w:val="1"/>
      <w:marLeft w:val="0"/>
      <w:marRight w:val="0"/>
      <w:marTop w:val="0"/>
      <w:marBottom w:val="0"/>
      <w:divBdr>
        <w:top w:val="none" w:sz="0" w:space="0" w:color="auto"/>
        <w:left w:val="none" w:sz="0" w:space="0" w:color="auto"/>
        <w:bottom w:val="none" w:sz="0" w:space="0" w:color="auto"/>
        <w:right w:val="none" w:sz="0" w:space="0" w:color="auto"/>
      </w:divBdr>
    </w:div>
    <w:div w:id="568468918">
      <w:bodyDiv w:val="1"/>
      <w:marLeft w:val="0"/>
      <w:marRight w:val="0"/>
      <w:marTop w:val="0"/>
      <w:marBottom w:val="0"/>
      <w:divBdr>
        <w:top w:val="none" w:sz="0" w:space="0" w:color="auto"/>
        <w:left w:val="none" w:sz="0" w:space="0" w:color="auto"/>
        <w:bottom w:val="none" w:sz="0" w:space="0" w:color="auto"/>
        <w:right w:val="none" w:sz="0" w:space="0" w:color="auto"/>
      </w:divBdr>
    </w:div>
    <w:div w:id="568921573">
      <w:bodyDiv w:val="1"/>
      <w:marLeft w:val="0"/>
      <w:marRight w:val="0"/>
      <w:marTop w:val="0"/>
      <w:marBottom w:val="0"/>
      <w:divBdr>
        <w:top w:val="none" w:sz="0" w:space="0" w:color="auto"/>
        <w:left w:val="none" w:sz="0" w:space="0" w:color="auto"/>
        <w:bottom w:val="none" w:sz="0" w:space="0" w:color="auto"/>
        <w:right w:val="none" w:sz="0" w:space="0" w:color="auto"/>
      </w:divBdr>
    </w:div>
    <w:div w:id="569315710">
      <w:bodyDiv w:val="1"/>
      <w:marLeft w:val="0"/>
      <w:marRight w:val="0"/>
      <w:marTop w:val="0"/>
      <w:marBottom w:val="0"/>
      <w:divBdr>
        <w:top w:val="none" w:sz="0" w:space="0" w:color="auto"/>
        <w:left w:val="none" w:sz="0" w:space="0" w:color="auto"/>
        <w:bottom w:val="none" w:sz="0" w:space="0" w:color="auto"/>
        <w:right w:val="none" w:sz="0" w:space="0" w:color="auto"/>
      </w:divBdr>
    </w:div>
    <w:div w:id="569926488">
      <w:bodyDiv w:val="1"/>
      <w:marLeft w:val="0"/>
      <w:marRight w:val="0"/>
      <w:marTop w:val="0"/>
      <w:marBottom w:val="0"/>
      <w:divBdr>
        <w:top w:val="none" w:sz="0" w:space="0" w:color="auto"/>
        <w:left w:val="none" w:sz="0" w:space="0" w:color="auto"/>
        <w:bottom w:val="none" w:sz="0" w:space="0" w:color="auto"/>
        <w:right w:val="none" w:sz="0" w:space="0" w:color="auto"/>
      </w:divBdr>
    </w:div>
    <w:div w:id="570577543">
      <w:bodyDiv w:val="1"/>
      <w:marLeft w:val="0"/>
      <w:marRight w:val="0"/>
      <w:marTop w:val="0"/>
      <w:marBottom w:val="0"/>
      <w:divBdr>
        <w:top w:val="none" w:sz="0" w:space="0" w:color="auto"/>
        <w:left w:val="none" w:sz="0" w:space="0" w:color="auto"/>
        <w:bottom w:val="none" w:sz="0" w:space="0" w:color="auto"/>
        <w:right w:val="none" w:sz="0" w:space="0" w:color="auto"/>
      </w:divBdr>
    </w:div>
    <w:div w:id="570896371">
      <w:bodyDiv w:val="1"/>
      <w:marLeft w:val="0"/>
      <w:marRight w:val="0"/>
      <w:marTop w:val="0"/>
      <w:marBottom w:val="0"/>
      <w:divBdr>
        <w:top w:val="none" w:sz="0" w:space="0" w:color="auto"/>
        <w:left w:val="none" w:sz="0" w:space="0" w:color="auto"/>
        <w:bottom w:val="none" w:sz="0" w:space="0" w:color="auto"/>
        <w:right w:val="none" w:sz="0" w:space="0" w:color="auto"/>
      </w:divBdr>
    </w:div>
    <w:div w:id="571083590">
      <w:bodyDiv w:val="1"/>
      <w:marLeft w:val="0"/>
      <w:marRight w:val="0"/>
      <w:marTop w:val="0"/>
      <w:marBottom w:val="0"/>
      <w:divBdr>
        <w:top w:val="none" w:sz="0" w:space="0" w:color="auto"/>
        <w:left w:val="none" w:sz="0" w:space="0" w:color="auto"/>
        <w:bottom w:val="none" w:sz="0" w:space="0" w:color="auto"/>
        <w:right w:val="none" w:sz="0" w:space="0" w:color="auto"/>
      </w:divBdr>
    </w:div>
    <w:div w:id="571550721">
      <w:bodyDiv w:val="1"/>
      <w:marLeft w:val="0"/>
      <w:marRight w:val="0"/>
      <w:marTop w:val="0"/>
      <w:marBottom w:val="0"/>
      <w:divBdr>
        <w:top w:val="none" w:sz="0" w:space="0" w:color="auto"/>
        <w:left w:val="none" w:sz="0" w:space="0" w:color="auto"/>
        <w:bottom w:val="none" w:sz="0" w:space="0" w:color="auto"/>
        <w:right w:val="none" w:sz="0" w:space="0" w:color="auto"/>
      </w:divBdr>
    </w:div>
    <w:div w:id="571962503">
      <w:bodyDiv w:val="1"/>
      <w:marLeft w:val="0"/>
      <w:marRight w:val="0"/>
      <w:marTop w:val="0"/>
      <w:marBottom w:val="0"/>
      <w:divBdr>
        <w:top w:val="none" w:sz="0" w:space="0" w:color="auto"/>
        <w:left w:val="none" w:sz="0" w:space="0" w:color="auto"/>
        <w:bottom w:val="none" w:sz="0" w:space="0" w:color="auto"/>
        <w:right w:val="none" w:sz="0" w:space="0" w:color="auto"/>
      </w:divBdr>
    </w:div>
    <w:div w:id="571963775">
      <w:bodyDiv w:val="1"/>
      <w:marLeft w:val="0"/>
      <w:marRight w:val="0"/>
      <w:marTop w:val="0"/>
      <w:marBottom w:val="0"/>
      <w:divBdr>
        <w:top w:val="none" w:sz="0" w:space="0" w:color="auto"/>
        <w:left w:val="none" w:sz="0" w:space="0" w:color="auto"/>
        <w:bottom w:val="none" w:sz="0" w:space="0" w:color="auto"/>
        <w:right w:val="none" w:sz="0" w:space="0" w:color="auto"/>
      </w:divBdr>
    </w:div>
    <w:div w:id="572397972">
      <w:bodyDiv w:val="1"/>
      <w:marLeft w:val="0"/>
      <w:marRight w:val="0"/>
      <w:marTop w:val="0"/>
      <w:marBottom w:val="0"/>
      <w:divBdr>
        <w:top w:val="none" w:sz="0" w:space="0" w:color="auto"/>
        <w:left w:val="none" w:sz="0" w:space="0" w:color="auto"/>
        <w:bottom w:val="none" w:sz="0" w:space="0" w:color="auto"/>
        <w:right w:val="none" w:sz="0" w:space="0" w:color="auto"/>
      </w:divBdr>
    </w:div>
    <w:div w:id="572400386">
      <w:bodyDiv w:val="1"/>
      <w:marLeft w:val="0"/>
      <w:marRight w:val="0"/>
      <w:marTop w:val="0"/>
      <w:marBottom w:val="0"/>
      <w:divBdr>
        <w:top w:val="none" w:sz="0" w:space="0" w:color="auto"/>
        <w:left w:val="none" w:sz="0" w:space="0" w:color="auto"/>
        <w:bottom w:val="none" w:sz="0" w:space="0" w:color="auto"/>
        <w:right w:val="none" w:sz="0" w:space="0" w:color="auto"/>
      </w:divBdr>
    </w:div>
    <w:div w:id="572467041">
      <w:bodyDiv w:val="1"/>
      <w:marLeft w:val="0"/>
      <w:marRight w:val="0"/>
      <w:marTop w:val="0"/>
      <w:marBottom w:val="0"/>
      <w:divBdr>
        <w:top w:val="none" w:sz="0" w:space="0" w:color="auto"/>
        <w:left w:val="none" w:sz="0" w:space="0" w:color="auto"/>
        <w:bottom w:val="none" w:sz="0" w:space="0" w:color="auto"/>
        <w:right w:val="none" w:sz="0" w:space="0" w:color="auto"/>
      </w:divBdr>
    </w:div>
    <w:div w:id="572546699">
      <w:bodyDiv w:val="1"/>
      <w:marLeft w:val="0"/>
      <w:marRight w:val="0"/>
      <w:marTop w:val="0"/>
      <w:marBottom w:val="0"/>
      <w:divBdr>
        <w:top w:val="none" w:sz="0" w:space="0" w:color="auto"/>
        <w:left w:val="none" w:sz="0" w:space="0" w:color="auto"/>
        <w:bottom w:val="none" w:sz="0" w:space="0" w:color="auto"/>
        <w:right w:val="none" w:sz="0" w:space="0" w:color="auto"/>
      </w:divBdr>
    </w:div>
    <w:div w:id="572663657">
      <w:bodyDiv w:val="1"/>
      <w:marLeft w:val="0"/>
      <w:marRight w:val="0"/>
      <w:marTop w:val="0"/>
      <w:marBottom w:val="0"/>
      <w:divBdr>
        <w:top w:val="none" w:sz="0" w:space="0" w:color="auto"/>
        <w:left w:val="none" w:sz="0" w:space="0" w:color="auto"/>
        <w:bottom w:val="none" w:sz="0" w:space="0" w:color="auto"/>
        <w:right w:val="none" w:sz="0" w:space="0" w:color="auto"/>
      </w:divBdr>
    </w:div>
    <w:div w:id="572787270">
      <w:bodyDiv w:val="1"/>
      <w:marLeft w:val="0"/>
      <w:marRight w:val="0"/>
      <w:marTop w:val="0"/>
      <w:marBottom w:val="0"/>
      <w:divBdr>
        <w:top w:val="none" w:sz="0" w:space="0" w:color="auto"/>
        <w:left w:val="none" w:sz="0" w:space="0" w:color="auto"/>
        <w:bottom w:val="none" w:sz="0" w:space="0" w:color="auto"/>
        <w:right w:val="none" w:sz="0" w:space="0" w:color="auto"/>
      </w:divBdr>
    </w:div>
    <w:div w:id="573010436">
      <w:bodyDiv w:val="1"/>
      <w:marLeft w:val="0"/>
      <w:marRight w:val="0"/>
      <w:marTop w:val="0"/>
      <w:marBottom w:val="0"/>
      <w:divBdr>
        <w:top w:val="none" w:sz="0" w:space="0" w:color="auto"/>
        <w:left w:val="none" w:sz="0" w:space="0" w:color="auto"/>
        <w:bottom w:val="none" w:sz="0" w:space="0" w:color="auto"/>
        <w:right w:val="none" w:sz="0" w:space="0" w:color="auto"/>
      </w:divBdr>
    </w:div>
    <w:div w:id="573321392">
      <w:bodyDiv w:val="1"/>
      <w:marLeft w:val="0"/>
      <w:marRight w:val="0"/>
      <w:marTop w:val="0"/>
      <w:marBottom w:val="0"/>
      <w:divBdr>
        <w:top w:val="none" w:sz="0" w:space="0" w:color="auto"/>
        <w:left w:val="none" w:sz="0" w:space="0" w:color="auto"/>
        <w:bottom w:val="none" w:sz="0" w:space="0" w:color="auto"/>
        <w:right w:val="none" w:sz="0" w:space="0" w:color="auto"/>
      </w:divBdr>
    </w:div>
    <w:div w:id="574632110">
      <w:bodyDiv w:val="1"/>
      <w:marLeft w:val="0"/>
      <w:marRight w:val="0"/>
      <w:marTop w:val="0"/>
      <w:marBottom w:val="0"/>
      <w:divBdr>
        <w:top w:val="none" w:sz="0" w:space="0" w:color="auto"/>
        <w:left w:val="none" w:sz="0" w:space="0" w:color="auto"/>
        <w:bottom w:val="none" w:sz="0" w:space="0" w:color="auto"/>
        <w:right w:val="none" w:sz="0" w:space="0" w:color="auto"/>
      </w:divBdr>
    </w:div>
    <w:div w:id="574971413">
      <w:bodyDiv w:val="1"/>
      <w:marLeft w:val="0"/>
      <w:marRight w:val="0"/>
      <w:marTop w:val="0"/>
      <w:marBottom w:val="0"/>
      <w:divBdr>
        <w:top w:val="none" w:sz="0" w:space="0" w:color="auto"/>
        <w:left w:val="none" w:sz="0" w:space="0" w:color="auto"/>
        <w:bottom w:val="none" w:sz="0" w:space="0" w:color="auto"/>
        <w:right w:val="none" w:sz="0" w:space="0" w:color="auto"/>
      </w:divBdr>
    </w:div>
    <w:div w:id="574975353">
      <w:bodyDiv w:val="1"/>
      <w:marLeft w:val="0"/>
      <w:marRight w:val="0"/>
      <w:marTop w:val="0"/>
      <w:marBottom w:val="0"/>
      <w:divBdr>
        <w:top w:val="none" w:sz="0" w:space="0" w:color="auto"/>
        <w:left w:val="none" w:sz="0" w:space="0" w:color="auto"/>
        <w:bottom w:val="none" w:sz="0" w:space="0" w:color="auto"/>
        <w:right w:val="none" w:sz="0" w:space="0" w:color="auto"/>
      </w:divBdr>
    </w:div>
    <w:div w:id="575549461">
      <w:bodyDiv w:val="1"/>
      <w:marLeft w:val="0"/>
      <w:marRight w:val="0"/>
      <w:marTop w:val="0"/>
      <w:marBottom w:val="0"/>
      <w:divBdr>
        <w:top w:val="none" w:sz="0" w:space="0" w:color="auto"/>
        <w:left w:val="none" w:sz="0" w:space="0" w:color="auto"/>
        <w:bottom w:val="none" w:sz="0" w:space="0" w:color="auto"/>
        <w:right w:val="none" w:sz="0" w:space="0" w:color="auto"/>
      </w:divBdr>
    </w:div>
    <w:div w:id="575553010">
      <w:bodyDiv w:val="1"/>
      <w:marLeft w:val="0"/>
      <w:marRight w:val="0"/>
      <w:marTop w:val="0"/>
      <w:marBottom w:val="0"/>
      <w:divBdr>
        <w:top w:val="none" w:sz="0" w:space="0" w:color="auto"/>
        <w:left w:val="none" w:sz="0" w:space="0" w:color="auto"/>
        <w:bottom w:val="none" w:sz="0" w:space="0" w:color="auto"/>
        <w:right w:val="none" w:sz="0" w:space="0" w:color="auto"/>
      </w:divBdr>
    </w:div>
    <w:div w:id="575752403">
      <w:bodyDiv w:val="1"/>
      <w:marLeft w:val="0"/>
      <w:marRight w:val="0"/>
      <w:marTop w:val="0"/>
      <w:marBottom w:val="0"/>
      <w:divBdr>
        <w:top w:val="none" w:sz="0" w:space="0" w:color="auto"/>
        <w:left w:val="none" w:sz="0" w:space="0" w:color="auto"/>
        <w:bottom w:val="none" w:sz="0" w:space="0" w:color="auto"/>
        <w:right w:val="none" w:sz="0" w:space="0" w:color="auto"/>
      </w:divBdr>
    </w:div>
    <w:div w:id="575820779">
      <w:bodyDiv w:val="1"/>
      <w:marLeft w:val="0"/>
      <w:marRight w:val="0"/>
      <w:marTop w:val="0"/>
      <w:marBottom w:val="0"/>
      <w:divBdr>
        <w:top w:val="none" w:sz="0" w:space="0" w:color="auto"/>
        <w:left w:val="none" w:sz="0" w:space="0" w:color="auto"/>
        <w:bottom w:val="none" w:sz="0" w:space="0" w:color="auto"/>
        <w:right w:val="none" w:sz="0" w:space="0" w:color="auto"/>
      </w:divBdr>
    </w:div>
    <w:div w:id="576476769">
      <w:bodyDiv w:val="1"/>
      <w:marLeft w:val="0"/>
      <w:marRight w:val="0"/>
      <w:marTop w:val="0"/>
      <w:marBottom w:val="0"/>
      <w:divBdr>
        <w:top w:val="none" w:sz="0" w:space="0" w:color="auto"/>
        <w:left w:val="none" w:sz="0" w:space="0" w:color="auto"/>
        <w:bottom w:val="none" w:sz="0" w:space="0" w:color="auto"/>
        <w:right w:val="none" w:sz="0" w:space="0" w:color="auto"/>
      </w:divBdr>
    </w:div>
    <w:div w:id="576785465">
      <w:bodyDiv w:val="1"/>
      <w:marLeft w:val="0"/>
      <w:marRight w:val="0"/>
      <w:marTop w:val="0"/>
      <w:marBottom w:val="0"/>
      <w:divBdr>
        <w:top w:val="none" w:sz="0" w:space="0" w:color="auto"/>
        <w:left w:val="none" w:sz="0" w:space="0" w:color="auto"/>
        <w:bottom w:val="none" w:sz="0" w:space="0" w:color="auto"/>
        <w:right w:val="none" w:sz="0" w:space="0" w:color="auto"/>
      </w:divBdr>
    </w:div>
    <w:div w:id="578294315">
      <w:bodyDiv w:val="1"/>
      <w:marLeft w:val="0"/>
      <w:marRight w:val="0"/>
      <w:marTop w:val="0"/>
      <w:marBottom w:val="0"/>
      <w:divBdr>
        <w:top w:val="none" w:sz="0" w:space="0" w:color="auto"/>
        <w:left w:val="none" w:sz="0" w:space="0" w:color="auto"/>
        <w:bottom w:val="none" w:sz="0" w:space="0" w:color="auto"/>
        <w:right w:val="none" w:sz="0" w:space="0" w:color="auto"/>
      </w:divBdr>
    </w:div>
    <w:div w:id="578367410">
      <w:bodyDiv w:val="1"/>
      <w:marLeft w:val="0"/>
      <w:marRight w:val="0"/>
      <w:marTop w:val="0"/>
      <w:marBottom w:val="0"/>
      <w:divBdr>
        <w:top w:val="none" w:sz="0" w:space="0" w:color="auto"/>
        <w:left w:val="none" w:sz="0" w:space="0" w:color="auto"/>
        <w:bottom w:val="none" w:sz="0" w:space="0" w:color="auto"/>
        <w:right w:val="none" w:sz="0" w:space="0" w:color="auto"/>
      </w:divBdr>
    </w:div>
    <w:div w:id="579825724">
      <w:bodyDiv w:val="1"/>
      <w:marLeft w:val="0"/>
      <w:marRight w:val="0"/>
      <w:marTop w:val="0"/>
      <w:marBottom w:val="0"/>
      <w:divBdr>
        <w:top w:val="none" w:sz="0" w:space="0" w:color="auto"/>
        <w:left w:val="none" w:sz="0" w:space="0" w:color="auto"/>
        <w:bottom w:val="none" w:sz="0" w:space="0" w:color="auto"/>
        <w:right w:val="none" w:sz="0" w:space="0" w:color="auto"/>
      </w:divBdr>
    </w:div>
    <w:div w:id="580607568">
      <w:bodyDiv w:val="1"/>
      <w:marLeft w:val="0"/>
      <w:marRight w:val="0"/>
      <w:marTop w:val="0"/>
      <w:marBottom w:val="0"/>
      <w:divBdr>
        <w:top w:val="none" w:sz="0" w:space="0" w:color="auto"/>
        <w:left w:val="none" w:sz="0" w:space="0" w:color="auto"/>
        <w:bottom w:val="none" w:sz="0" w:space="0" w:color="auto"/>
        <w:right w:val="none" w:sz="0" w:space="0" w:color="auto"/>
      </w:divBdr>
    </w:div>
    <w:div w:id="580870141">
      <w:bodyDiv w:val="1"/>
      <w:marLeft w:val="0"/>
      <w:marRight w:val="0"/>
      <w:marTop w:val="0"/>
      <w:marBottom w:val="0"/>
      <w:divBdr>
        <w:top w:val="none" w:sz="0" w:space="0" w:color="auto"/>
        <w:left w:val="none" w:sz="0" w:space="0" w:color="auto"/>
        <w:bottom w:val="none" w:sz="0" w:space="0" w:color="auto"/>
        <w:right w:val="none" w:sz="0" w:space="0" w:color="auto"/>
      </w:divBdr>
    </w:div>
    <w:div w:id="581381005">
      <w:bodyDiv w:val="1"/>
      <w:marLeft w:val="0"/>
      <w:marRight w:val="0"/>
      <w:marTop w:val="0"/>
      <w:marBottom w:val="0"/>
      <w:divBdr>
        <w:top w:val="none" w:sz="0" w:space="0" w:color="auto"/>
        <w:left w:val="none" w:sz="0" w:space="0" w:color="auto"/>
        <w:bottom w:val="none" w:sz="0" w:space="0" w:color="auto"/>
        <w:right w:val="none" w:sz="0" w:space="0" w:color="auto"/>
      </w:divBdr>
    </w:div>
    <w:div w:id="581640486">
      <w:bodyDiv w:val="1"/>
      <w:marLeft w:val="0"/>
      <w:marRight w:val="0"/>
      <w:marTop w:val="0"/>
      <w:marBottom w:val="0"/>
      <w:divBdr>
        <w:top w:val="none" w:sz="0" w:space="0" w:color="auto"/>
        <w:left w:val="none" w:sz="0" w:space="0" w:color="auto"/>
        <w:bottom w:val="none" w:sz="0" w:space="0" w:color="auto"/>
        <w:right w:val="none" w:sz="0" w:space="0" w:color="auto"/>
      </w:divBdr>
    </w:div>
    <w:div w:id="581765643">
      <w:bodyDiv w:val="1"/>
      <w:marLeft w:val="0"/>
      <w:marRight w:val="0"/>
      <w:marTop w:val="0"/>
      <w:marBottom w:val="0"/>
      <w:divBdr>
        <w:top w:val="none" w:sz="0" w:space="0" w:color="auto"/>
        <w:left w:val="none" w:sz="0" w:space="0" w:color="auto"/>
        <w:bottom w:val="none" w:sz="0" w:space="0" w:color="auto"/>
        <w:right w:val="none" w:sz="0" w:space="0" w:color="auto"/>
      </w:divBdr>
    </w:div>
    <w:div w:id="582685014">
      <w:bodyDiv w:val="1"/>
      <w:marLeft w:val="0"/>
      <w:marRight w:val="0"/>
      <w:marTop w:val="0"/>
      <w:marBottom w:val="0"/>
      <w:divBdr>
        <w:top w:val="none" w:sz="0" w:space="0" w:color="auto"/>
        <w:left w:val="none" w:sz="0" w:space="0" w:color="auto"/>
        <w:bottom w:val="none" w:sz="0" w:space="0" w:color="auto"/>
        <w:right w:val="none" w:sz="0" w:space="0" w:color="auto"/>
      </w:divBdr>
    </w:div>
    <w:div w:id="584462122">
      <w:bodyDiv w:val="1"/>
      <w:marLeft w:val="0"/>
      <w:marRight w:val="0"/>
      <w:marTop w:val="0"/>
      <w:marBottom w:val="0"/>
      <w:divBdr>
        <w:top w:val="none" w:sz="0" w:space="0" w:color="auto"/>
        <w:left w:val="none" w:sz="0" w:space="0" w:color="auto"/>
        <w:bottom w:val="none" w:sz="0" w:space="0" w:color="auto"/>
        <w:right w:val="none" w:sz="0" w:space="0" w:color="auto"/>
      </w:divBdr>
    </w:div>
    <w:div w:id="585111131">
      <w:bodyDiv w:val="1"/>
      <w:marLeft w:val="0"/>
      <w:marRight w:val="0"/>
      <w:marTop w:val="0"/>
      <w:marBottom w:val="0"/>
      <w:divBdr>
        <w:top w:val="none" w:sz="0" w:space="0" w:color="auto"/>
        <w:left w:val="none" w:sz="0" w:space="0" w:color="auto"/>
        <w:bottom w:val="none" w:sz="0" w:space="0" w:color="auto"/>
        <w:right w:val="none" w:sz="0" w:space="0" w:color="auto"/>
      </w:divBdr>
    </w:div>
    <w:div w:id="585119235">
      <w:bodyDiv w:val="1"/>
      <w:marLeft w:val="0"/>
      <w:marRight w:val="0"/>
      <w:marTop w:val="0"/>
      <w:marBottom w:val="0"/>
      <w:divBdr>
        <w:top w:val="none" w:sz="0" w:space="0" w:color="auto"/>
        <w:left w:val="none" w:sz="0" w:space="0" w:color="auto"/>
        <w:bottom w:val="none" w:sz="0" w:space="0" w:color="auto"/>
        <w:right w:val="none" w:sz="0" w:space="0" w:color="auto"/>
      </w:divBdr>
    </w:div>
    <w:div w:id="585386730">
      <w:bodyDiv w:val="1"/>
      <w:marLeft w:val="0"/>
      <w:marRight w:val="0"/>
      <w:marTop w:val="0"/>
      <w:marBottom w:val="0"/>
      <w:divBdr>
        <w:top w:val="none" w:sz="0" w:space="0" w:color="auto"/>
        <w:left w:val="none" w:sz="0" w:space="0" w:color="auto"/>
        <w:bottom w:val="none" w:sz="0" w:space="0" w:color="auto"/>
        <w:right w:val="none" w:sz="0" w:space="0" w:color="auto"/>
      </w:divBdr>
    </w:div>
    <w:div w:id="585531190">
      <w:bodyDiv w:val="1"/>
      <w:marLeft w:val="0"/>
      <w:marRight w:val="0"/>
      <w:marTop w:val="0"/>
      <w:marBottom w:val="0"/>
      <w:divBdr>
        <w:top w:val="none" w:sz="0" w:space="0" w:color="auto"/>
        <w:left w:val="none" w:sz="0" w:space="0" w:color="auto"/>
        <w:bottom w:val="none" w:sz="0" w:space="0" w:color="auto"/>
        <w:right w:val="none" w:sz="0" w:space="0" w:color="auto"/>
      </w:divBdr>
    </w:div>
    <w:div w:id="585967508">
      <w:bodyDiv w:val="1"/>
      <w:marLeft w:val="0"/>
      <w:marRight w:val="0"/>
      <w:marTop w:val="0"/>
      <w:marBottom w:val="0"/>
      <w:divBdr>
        <w:top w:val="none" w:sz="0" w:space="0" w:color="auto"/>
        <w:left w:val="none" w:sz="0" w:space="0" w:color="auto"/>
        <w:bottom w:val="none" w:sz="0" w:space="0" w:color="auto"/>
        <w:right w:val="none" w:sz="0" w:space="0" w:color="auto"/>
      </w:divBdr>
    </w:div>
    <w:div w:id="586498001">
      <w:bodyDiv w:val="1"/>
      <w:marLeft w:val="0"/>
      <w:marRight w:val="0"/>
      <w:marTop w:val="0"/>
      <w:marBottom w:val="0"/>
      <w:divBdr>
        <w:top w:val="none" w:sz="0" w:space="0" w:color="auto"/>
        <w:left w:val="none" w:sz="0" w:space="0" w:color="auto"/>
        <w:bottom w:val="none" w:sz="0" w:space="0" w:color="auto"/>
        <w:right w:val="none" w:sz="0" w:space="0" w:color="auto"/>
      </w:divBdr>
    </w:div>
    <w:div w:id="586574938">
      <w:bodyDiv w:val="1"/>
      <w:marLeft w:val="0"/>
      <w:marRight w:val="0"/>
      <w:marTop w:val="0"/>
      <w:marBottom w:val="0"/>
      <w:divBdr>
        <w:top w:val="none" w:sz="0" w:space="0" w:color="auto"/>
        <w:left w:val="none" w:sz="0" w:space="0" w:color="auto"/>
        <w:bottom w:val="none" w:sz="0" w:space="0" w:color="auto"/>
        <w:right w:val="none" w:sz="0" w:space="0" w:color="auto"/>
      </w:divBdr>
    </w:div>
    <w:div w:id="586772860">
      <w:bodyDiv w:val="1"/>
      <w:marLeft w:val="0"/>
      <w:marRight w:val="0"/>
      <w:marTop w:val="0"/>
      <w:marBottom w:val="0"/>
      <w:divBdr>
        <w:top w:val="none" w:sz="0" w:space="0" w:color="auto"/>
        <w:left w:val="none" w:sz="0" w:space="0" w:color="auto"/>
        <w:bottom w:val="none" w:sz="0" w:space="0" w:color="auto"/>
        <w:right w:val="none" w:sz="0" w:space="0" w:color="auto"/>
      </w:divBdr>
    </w:div>
    <w:div w:id="586884167">
      <w:bodyDiv w:val="1"/>
      <w:marLeft w:val="0"/>
      <w:marRight w:val="0"/>
      <w:marTop w:val="0"/>
      <w:marBottom w:val="0"/>
      <w:divBdr>
        <w:top w:val="none" w:sz="0" w:space="0" w:color="auto"/>
        <w:left w:val="none" w:sz="0" w:space="0" w:color="auto"/>
        <w:bottom w:val="none" w:sz="0" w:space="0" w:color="auto"/>
        <w:right w:val="none" w:sz="0" w:space="0" w:color="auto"/>
      </w:divBdr>
    </w:div>
    <w:div w:id="587469703">
      <w:bodyDiv w:val="1"/>
      <w:marLeft w:val="0"/>
      <w:marRight w:val="0"/>
      <w:marTop w:val="0"/>
      <w:marBottom w:val="0"/>
      <w:divBdr>
        <w:top w:val="none" w:sz="0" w:space="0" w:color="auto"/>
        <w:left w:val="none" w:sz="0" w:space="0" w:color="auto"/>
        <w:bottom w:val="none" w:sz="0" w:space="0" w:color="auto"/>
        <w:right w:val="none" w:sz="0" w:space="0" w:color="auto"/>
      </w:divBdr>
    </w:div>
    <w:div w:id="587889552">
      <w:bodyDiv w:val="1"/>
      <w:marLeft w:val="0"/>
      <w:marRight w:val="0"/>
      <w:marTop w:val="0"/>
      <w:marBottom w:val="0"/>
      <w:divBdr>
        <w:top w:val="none" w:sz="0" w:space="0" w:color="auto"/>
        <w:left w:val="none" w:sz="0" w:space="0" w:color="auto"/>
        <w:bottom w:val="none" w:sz="0" w:space="0" w:color="auto"/>
        <w:right w:val="none" w:sz="0" w:space="0" w:color="auto"/>
      </w:divBdr>
    </w:div>
    <w:div w:id="588123584">
      <w:bodyDiv w:val="1"/>
      <w:marLeft w:val="0"/>
      <w:marRight w:val="0"/>
      <w:marTop w:val="0"/>
      <w:marBottom w:val="0"/>
      <w:divBdr>
        <w:top w:val="none" w:sz="0" w:space="0" w:color="auto"/>
        <w:left w:val="none" w:sz="0" w:space="0" w:color="auto"/>
        <w:bottom w:val="none" w:sz="0" w:space="0" w:color="auto"/>
        <w:right w:val="none" w:sz="0" w:space="0" w:color="auto"/>
      </w:divBdr>
    </w:div>
    <w:div w:id="588124162">
      <w:bodyDiv w:val="1"/>
      <w:marLeft w:val="0"/>
      <w:marRight w:val="0"/>
      <w:marTop w:val="0"/>
      <w:marBottom w:val="0"/>
      <w:divBdr>
        <w:top w:val="none" w:sz="0" w:space="0" w:color="auto"/>
        <w:left w:val="none" w:sz="0" w:space="0" w:color="auto"/>
        <w:bottom w:val="none" w:sz="0" w:space="0" w:color="auto"/>
        <w:right w:val="none" w:sz="0" w:space="0" w:color="auto"/>
      </w:divBdr>
    </w:div>
    <w:div w:id="588346147">
      <w:bodyDiv w:val="1"/>
      <w:marLeft w:val="0"/>
      <w:marRight w:val="0"/>
      <w:marTop w:val="0"/>
      <w:marBottom w:val="0"/>
      <w:divBdr>
        <w:top w:val="none" w:sz="0" w:space="0" w:color="auto"/>
        <w:left w:val="none" w:sz="0" w:space="0" w:color="auto"/>
        <w:bottom w:val="none" w:sz="0" w:space="0" w:color="auto"/>
        <w:right w:val="none" w:sz="0" w:space="0" w:color="auto"/>
      </w:divBdr>
    </w:div>
    <w:div w:id="588538452">
      <w:bodyDiv w:val="1"/>
      <w:marLeft w:val="0"/>
      <w:marRight w:val="0"/>
      <w:marTop w:val="0"/>
      <w:marBottom w:val="0"/>
      <w:divBdr>
        <w:top w:val="none" w:sz="0" w:space="0" w:color="auto"/>
        <w:left w:val="none" w:sz="0" w:space="0" w:color="auto"/>
        <w:bottom w:val="none" w:sz="0" w:space="0" w:color="auto"/>
        <w:right w:val="none" w:sz="0" w:space="0" w:color="auto"/>
      </w:divBdr>
    </w:div>
    <w:div w:id="588540230">
      <w:bodyDiv w:val="1"/>
      <w:marLeft w:val="0"/>
      <w:marRight w:val="0"/>
      <w:marTop w:val="0"/>
      <w:marBottom w:val="0"/>
      <w:divBdr>
        <w:top w:val="none" w:sz="0" w:space="0" w:color="auto"/>
        <w:left w:val="none" w:sz="0" w:space="0" w:color="auto"/>
        <w:bottom w:val="none" w:sz="0" w:space="0" w:color="auto"/>
        <w:right w:val="none" w:sz="0" w:space="0" w:color="auto"/>
      </w:divBdr>
    </w:div>
    <w:div w:id="589120991">
      <w:bodyDiv w:val="1"/>
      <w:marLeft w:val="0"/>
      <w:marRight w:val="0"/>
      <w:marTop w:val="0"/>
      <w:marBottom w:val="0"/>
      <w:divBdr>
        <w:top w:val="none" w:sz="0" w:space="0" w:color="auto"/>
        <w:left w:val="none" w:sz="0" w:space="0" w:color="auto"/>
        <w:bottom w:val="none" w:sz="0" w:space="0" w:color="auto"/>
        <w:right w:val="none" w:sz="0" w:space="0" w:color="auto"/>
      </w:divBdr>
    </w:div>
    <w:div w:id="589897260">
      <w:bodyDiv w:val="1"/>
      <w:marLeft w:val="0"/>
      <w:marRight w:val="0"/>
      <w:marTop w:val="0"/>
      <w:marBottom w:val="0"/>
      <w:divBdr>
        <w:top w:val="none" w:sz="0" w:space="0" w:color="auto"/>
        <w:left w:val="none" w:sz="0" w:space="0" w:color="auto"/>
        <w:bottom w:val="none" w:sz="0" w:space="0" w:color="auto"/>
        <w:right w:val="none" w:sz="0" w:space="0" w:color="auto"/>
      </w:divBdr>
    </w:div>
    <w:div w:id="590745871">
      <w:bodyDiv w:val="1"/>
      <w:marLeft w:val="0"/>
      <w:marRight w:val="0"/>
      <w:marTop w:val="0"/>
      <w:marBottom w:val="0"/>
      <w:divBdr>
        <w:top w:val="none" w:sz="0" w:space="0" w:color="auto"/>
        <w:left w:val="none" w:sz="0" w:space="0" w:color="auto"/>
        <w:bottom w:val="none" w:sz="0" w:space="0" w:color="auto"/>
        <w:right w:val="none" w:sz="0" w:space="0" w:color="auto"/>
      </w:divBdr>
    </w:div>
    <w:div w:id="590815183">
      <w:bodyDiv w:val="1"/>
      <w:marLeft w:val="0"/>
      <w:marRight w:val="0"/>
      <w:marTop w:val="0"/>
      <w:marBottom w:val="0"/>
      <w:divBdr>
        <w:top w:val="none" w:sz="0" w:space="0" w:color="auto"/>
        <w:left w:val="none" w:sz="0" w:space="0" w:color="auto"/>
        <w:bottom w:val="none" w:sz="0" w:space="0" w:color="auto"/>
        <w:right w:val="none" w:sz="0" w:space="0" w:color="auto"/>
      </w:divBdr>
    </w:div>
    <w:div w:id="591477709">
      <w:bodyDiv w:val="1"/>
      <w:marLeft w:val="0"/>
      <w:marRight w:val="0"/>
      <w:marTop w:val="0"/>
      <w:marBottom w:val="0"/>
      <w:divBdr>
        <w:top w:val="none" w:sz="0" w:space="0" w:color="auto"/>
        <w:left w:val="none" w:sz="0" w:space="0" w:color="auto"/>
        <w:bottom w:val="none" w:sz="0" w:space="0" w:color="auto"/>
        <w:right w:val="none" w:sz="0" w:space="0" w:color="auto"/>
      </w:divBdr>
    </w:div>
    <w:div w:id="591816865">
      <w:bodyDiv w:val="1"/>
      <w:marLeft w:val="0"/>
      <w:marRight w:val="0"/>
      <w:marTop w:val="0"/>
      <w:marBottom w:val="0"/>
      <w:divBdr>
        <w:top w:val="none" w:sz="0" w:space="0" w:color="auto"/>
        <w:left w:val="none" w:sz="0" w:space="0" w:color="auto"/>
        <w:bottom w:val="none" w:sz="0" w:space="0" w:color="auto"/>
        <w:right w:val="none" w:sz="0" w:space="0" w:color="auto"/>
      </w:divBdr>
    </w:div>
    <w:div w:id="592514326">
      <w:bodyDiv w:val="1"/>
      <w:marLeft w:val="0"/>
      <w:marRight w:val="0"/>
      <w:marTop w:val="0"/>
      <w:marBottom w:val="0"/>
      <w:divBdr>
        <w:top w:val="none" w:sz="0" w:space="0" w:color="auto"/>
        <w:left w:val="none" w:sz="0" w:space="0" w:color="auto"/>
        <w:bottom w:val="none" w:sz="0" w:space="0" w:color="auto"/>
        <w:right w:val="none" w:sz="0" w:space="0" w:color="auto"/>
      </w:divBdr>
    </w:div>
    <w:div w:id="592863885">
      <w:bodyDiv w:val="1"/>
      <w:marLeft w:val="0"/>
      <w:marRight w:val="0"/>
      <w:marTop w:val="0"/>
      <w:marBottom w:val="0"/>
      <w:divBdr>
        <w:top w:val="none" w:sz="0" w:space="0" w:color="auto"/>
        <w:left w:val="none" w:sz="0" w:space="0" w:color="auto"/>
        <w:bottom w:val="none" w:sz="0" w:space="0" w:color="auto"/>
        <w:right w:val="none" w:sz="0" w:space="0" w:color="auto"/>
      </w:divBdr>
    </w:div>
    <w:div w:id="595285000">
      <w:bodyDiv w:val="1"/>
      <w:marLeft w:val="0"/>
      <w:marRight w:val="0"/>
      <w:marTop w:val="0"/>
      <w:marBottom w:val="0"/>
      <w:divBdr>
        <w:top w:val="none" w:sz="0" w:space="0" w:color="auto"/>
        <w:left w:val="none" w:sz="0" w:space="0" w:color="auto"/>
        <w:bottom w:val="none" w:sz="0" w:space="0" w:color="auto"/>
        <w:right w:val="none" w:sz="0" w:space="0" w:color="auto"/>
      </w:divBdr>
    </w:div>
    <w:div w:id="595334095">
      <w:bodyDiv w:val="1"/>
      <w:marLeft w:val="0"/>
      <w:marRight w:val="0"/>
      <w:marTop w:val="0"/>
      <w:marBottom w:val="0"/>
      <w:divBdr>
        <w:top w:val="none" w:sz="0" w:space="0" w:color="auto"/>
        <w:left w:val="none" w:sz="0" w:space="0" w:color="auto"/>
        <w:bottom w:val="none" w:sz="0" w:space="0" w:color="auto"/>
        <w:right w:val="none" w:sz="0" w:space="0" w:color="auto"/>
      </w:divBdr>
    </w:div>
    <w:div w:id="595556749">
      <w:bodyDiv w:val="1"/>
      <w:marLeft w:val="0"/>
      <w:marRight w:val="0"/>
      <w:marTop w:val="0"/>
      <w:marBottom w:val="0"/>
      <w:divBdr>
        <w:top w:val="none" w:sz="0" w:space="0" w:color="auto"/>
        <w:left w:val="none" w:sz="0" w:space="0" w:color="auto"/>
        <w:bottom w:val="none" w:sz="0" w:space="0" w:color="auto"/>
        <w:right w:val="none" w:sz="0" w:space="0" w:color="auto"/>
      </w:divBdr>
    </w:div>
    <w:div w:id="595946025">
      <w:bodyDiv w:val="1"/>
      <w:marLeft w:val="0"/>
      <w:marRight w:val="0"/>
      <w:marTop w:val="0"/>
      <w:marBottom w:val="0"/>
      <w:divBdr>
        <w:top w:val="none" w:sz="0" w:space="0" w:color="auto"/>
        <w:left w:val="none" w:sz="0" w:space="0" w:color="auto"/>
        <w:bottom w:val="none" w:sz="0" w:space="0" w:color="auto"/>
        <w:right w:val="none" w:sz="0" w:space="0" w:color="auto"/>
      </w:divBdr>
    </w:div>
    <w:div w:id="596134133">
      <w:bodyDiv w:val="1"/>
      <w:marLeft w:val="0"/>
      <w:marRight w:val="0"/>
      <w:marTop w:val="0"/>
      <w:marBottom w:val="0"/>
      <w:divBdr>
        <w:top w:val="none" w:sz="0" w:space="0" w:color="auto"/>
        <w:left w:val="none" w:sz="0" w:space="0" w:color="auto"/>
        <w:bottom w:val="none" w:sz="0" w:space="0" w:color="auto"/>
        <w:right w:val="none" w:sz="0" w:space="0" w:color="auto"/>
      </w:divBdr>
    </w:div>
    <w:div w:id="596671880">
      <w:bodyDiv w:val="1"/>
      <w:marLeft w:val="0"/>
      <w:marRight w:val="0"/>
      <w:marTop w:val="0"/>
      <w:marBottom w:val="0"/>
      <w:divBdr>
        <w:top w:val="none" w:sz="0" w:space="0" w:color="auto"/>
        <w:left w:val="none" w:sz="0" w:space="0" w:color="auto"/>
        <w:bottom w:val="none" w:sz="0" w:space="0" w:color="auto"/>
        <w:right w:val="none" w:sz="0" w:space="0" w:color="auto"/>
      </w:divBdr>
    </w:div>
    <w:div w:id="596788685">
      <w:bodyDiv w:val="1"/>
      <w:marLeft w:val="0"/>
      <w:marRight w:val="0"/>
      <w:marTop w:val="0"/>
      <w:marBottom w:val="0"/>
      <w:divBdr>
        <w:top w:val="none" w:sz="0" w:space="0" w:color="auto"/>
        <w:left w:val="none" w:sz="0" w:space="0" w:color="auto"/>
        <w:bottom w:val="none" w:sz="0" w:space="0" w:color="auto"/>
        <w:right w:val="none" w:sz="0" w:space="0" w:color="auto"/>
      </w:divBdr>
    </w:div>
    <w:div w:id="596868692">
      <w:bodyDiv w:val="1"/>
      <w:marLeft w:val="0"/>
      <w:marRight w:val="0"/>
      <w:marTop w:val="0"/>
      <w:marBottom w:val="0"/>
      <w:divBdr>
        <w:top w:val="none" w:sz="0" w:space="0" w:color="auto"/>
        <w:left w:val="none" w:sz="0" w:space="0" w:color="auto"/>
        <w:bottom w:val="none" w:sz="0" w:space="0" w:color="auto"/>
        <w:right w:val="none" w:sz="0" w:space="0" w:color="auto"/>
      </w:divBdr>
    </w:div>
    <w:div w:id="597064361">
      <w:bodyDiv w:val="1"/>
      <w:marLeft w:val="0"/>
      <w:marRight w:val="0"/>
      <w:marTop w:val="0"/>
      <w:marBottom w:val="0"/>
      <w:divBdr>
        <w:top w:val="none" w:sz="0" w:space="0" w:color="auto"/>
        <w:left w:val="none" w:sz="0" w:space="0" w:color="auto"/>
        <w:bottom w:val="none" w:sz="0" w:space="0" w:color="auto"/>
        <w:right w:val="none" w:sz="0" w:space="0" w:color="auto"/>
      </w:divBdr>
    </w:div>
    <w:div w:id="597367341">
      <w:bodyDiv w:val="1"/>
      <w:marLeft w:val="0"/>
      <w:marRight w:val="0"/>
      <w:marTop w:val="0"/>
      <w:marBottom w:val="0"/>
      <w:divBdr>
        <w:top w:val="none" w:sz="0" w:space="0" w:color="auto"/>
        <w:left w:val="none" w:sz="0" w:space="0" w:color="auto"/>
        <w:bottom w:val="none" w:sz="0" w:space="0" w:color="auto"/>
        <w:right w:val="none" w:sz="0" w:space="0" w:color="auto"/>
      </w:divBdr>
    </w:div>
    <w:div w:id="597832281">
      <w:bodyDiv w:val="1"/>
      <w:marLeft w:val="0"/>
      <w:marRight w:val="0"/>
      <w:marTop w:val="0"/>
      <w:marBottom w:val="0"/>
      <w:divBdr>
        <w:top w:val="none" w:sz="0" w:space="0" w:color="auto"/>
        <w:left w:val="none" w:sz="0" w:space="0" w:color="auto"/>
        <w:bottom w:val="none" w:sz="0" w:space="0" w:color="auto"/>
        <w:right w:val="none" w:sz="0" w:space="0" w:color="auto"/>
      </w:divBdr>
    </w:div>
    <w:div w:id="597908318">
      <w:bodyDiv w:val="1"/>
      <w:marLeft w:val="0"/>
      <w:marRight w:val="0"/>
      <w:marTop w:val="0"/>
      <w:marBottom w:val="0"/>
      <w:divBdr>
        <w:top w:val="none" w:sz="0" w:space="0" w:color="auto"/>
        <w:left w:val="none" w:sz="0" w:space="0" w:color="auto"/>
        <w:bottom w:val="none" w:sz="0" w:space="0" w:color="auto"/>
        <w:right w:val="none" w:sz="0" w:space="0" w:color="auto"/>
      </w:divBdr>
    </w:div>
    <w:div w:id="598100469">
      <w:bodyDiv w:val="1"/>
      <w:marLeft w:val="0"/>
      <w:marRight w:val="0"/>
      <w:marTop w:val="0"/>
      <w:marBottom w:val="0"/>
      <w:divBdr>
        <w:top w:val="none" w:sz="0" w:space="0" w:color="auto"/>
        <w:left w:val="none" w:sz="0" w:space="0" w:color="auto"/>
        <w:bottom w:val="none" w:sz="0" w:space="0" w:color="auto"/>
        <w:right w:val="none" w:sz="0" w:space="0" w:color="auto"/>
      </w:divBdr>
    </w:div>
    <w:div w:id="598218651">
      <w:bodyDiv w:val="1"/>
      <w:marLeft w:val="0"/>
      <w:marRight w:val="0"/>
      <w:marTop w:val="0"/>
      <w:marBottom w:val="0"/>
      <w:divBdr>
        <w:top w:val="none" w:sz="0" w:space="0" w:color="auto"/>
        <w:left w:val="none" w:sz="0" w:space="0" w:color="auto"/>
        <w:bottom w:val="none" w:sz="0" w:space="0" w:color="auto"/>
        <w:right w:val="none" w:sz="0" w:space="0" w:color="auto"/>
      </w:divBdr>
    </w:div>
    <w:div w:id="598296477">
      <w:bodyDiv w:val="1"/>
      <w:marLeft w:val="0"/>
      <w:marRight w:val="0"/>
      <w:marTop w:val="0"/>
      <w:marBottom w:val="0"/>
      <w:divBdr>
        <w:top w:val="none" w:sz="0" w:space="0" w:color="auto"/>
        <w:left w:val="none" w:sz="0" w:space="0" w:color="auto"/>
        <w:bottom w:val="none" w:sz="0" w:space="0" w:color="auto"/>
        <w:right w:val="none" w:sz="0" w:space="0" w:color="auto"/>
      </w:divBdr>
    </w:div>
    <w:div w:id="598560735">
      <w:bodyDiv w:val="1"/>
      <w:marLeft w:val="0"/>
      <w:marRight w:val="0"/>
      <w:marTop w:val="0"/>
      <w:marBottom w:val="0"/>
      <w:divBdr>
        <w:top w:val="none" w:sz="0" w:space="0" w:color="auto"/>
        <w:left w:val="none" w:sz="0" w:space="0" w:color="auto"/>
        <w:bottom w:val="none" w:sz="0" w:space="0" w:color="auto"/>
        <w:right w:val="none" w:sz="0" w:space="0" w:color="auto"/>
      </w:divBdr>
    </w:div>
    <w:div w:id="599023721">
      <w:bodyDiv w:val="1"/>
      <w:marLeft w:val="0"/>
      <w:marRight w:val="0"/>
      <w:marTop w:val="0"/>
      <w:marBottom w:val="0"/>
      <w:divBdr>
        <w:top w:val="none" w:sz="0" w:space="0" w:color="auto"/>
        <w:left w:val="none" w:sz="0" w:space="0" w:color="auto"/>
        <w:bottom w:val="none" w:sz="0" w:space="0" w:color="auto"/>
        <w:right w:val="none" w:sz="0" w:space="0" w:color="auto"/>
      </w:divBdr>
    </w:div>
    <w:div w:id="599487342">
      <w:bodyDiv w:val="1"/>
      <w:marLeft w:val="0"/>
      <w:marRight w:val="0"/>
      <w:marTop w:val="0"/>
      <w:marBottom w:val="0"/>
      <w:divBdr>
        <w:top w:val="none" w:sz="0" w:space="0" w:color="auto"/>
        <w:left w:val="none" w:sz="0" w:space="0" w:color="auto"/>
        <w:bottom w:val="none" w:sz="0" w:space="0" w:color="auto"/>
        <w:right w:val="none" w:sz="0" w:space="0" w:color="auto"/>
      </w:divBdr>
    </w:div>
    <w:div w:id="599602229">
      <w:bodyDiv w:val="1"/>
      <w:marLeft w:val="0"/>
      <w:marRight w:val="0"/>
      <w:marTop w:val="0"/>
      <w:marBottom w:val="0"/>
      <w:divBdr>
        <w:top w:val="none" w:sz="0" w:space="0" w:color="auto"/>
        <w:left w:val="none" w:sz="0" w:space="0" w:color="auto"/>
        <w:bottom w:val="none" w:sz="0" w:space="0" w:color="auto"/>
        <w:right w:val="none" w:sz="0" w:space="0" w:color="auto"/>
      </w:divBdr>
    </w:div>
    <w:div w:id="600770546">
      <w:bodyDiv w:val="1"/>
      <w:marLeft w:val="0"/>
      <w:marRight w:val="0"/>
      <w:marTop w:val="0"/>
      <w:marBottom w:val="0"/>
      <w:divBdr>
        <w:top w:val="none" w:sz="0" w:space="0" w:color="auto"/>
        <w:left w:val="none" w:sz="0" w:space="0" w:color="auto"/>
        <w:bottom w:val="none" w:sz="0" w:space="0" w:color="auto"/>
        <w:right w:val="none" w:sz="0" w:space="0" w:color="auto"/>
      </w:divBdr>
    </w:div>
    <w:div w:id="600990695">
      <w:bodyDiv w:val="1"/>
      <w:marLeft w:val="0"/>
      <w:marRight w:val="0"/>
      <w:marTop w:val="0"/>
      <w:marBottom w:val="0"/>
      <w:divBdr>
        <w:top w:val="none" w:sz="0" w:space="0" w:color="auto"/>
        <w:left w:val="none" w:sz="0" w:space="0" w:color="auto"/>
        <w:bottom w:val="none" w:sz="0" w:space="0" w:color="auto"/>
        <w:right w:val="none" w:sz="0" w:space="0" w:color="auto"/>
      </w:divBdr>
    </w:div>
    <w:div w:id="601110812">
      <w:bodyDiv w:val="1"/>
      <w:marLeft w:val="0"/>
      <w:marRight w:val="0"/>
      <w:marTop w:val="0"/>
      <w:marBottom w:val="0"/>
      <w:divBdr>
        <w:top w:val="none" w:sz="0" w:space="0" w:color="auto"/>
        <w:left w:val="none" w:sz="0" w:space="0" w:color="auto"/>
        <w:bottom w:val="none" w:sz="0" w:space="0" w:color="auto"/>
        <w:right w:val="none" w:sz="0" w:space="0" w:color="auto"/>
      </w:divBdr>
    </w:div>
    <w:div w:id="601304278">
      <w:bodyDiv w:val="1"/>
      <w:marLeft w:val="0"/>
      <w:marRight w:val="0"/>
      <w:marTop w:val="0"/>
      <w:marBottom w:val="0"/>
      <w:divBdr>
        <w:top w:val="none" w:sz="0" w:space="0" w:color="auto"/>
        <w:left w:val="none" w:sz="0" w:space="0" w:color="auto"/>
        <w:bottom w:val="none" w:sz="0" w:space="0" w:color="auto"/>
        <w:right w:val="none" w:sz="0" w:space="0" w:color="auto"/>
      </w:divBdr>
    </w:div>
    <w:div w:id="601451731">
      <w:bodyDiv w:val="1"/>
      <w:marLeft w:val="0"/>
      <w:marRight w:val="0"/>
      <w:marTop w:val="0"/>
      <w:marBottom w:val="0"/>
      <w:divBdr>
        <w:top w:val="none" w:sz="0" w:space="0" w:color="auto"/>
        <w:left w:val="none" w:sz="0" w:space="0" w:color="auto"/>
        <w:bottom w:val="none" w:sz="0" w:space="0" w:color="auto"/>
        <w:right w:val="none" w:sz="0" w:space="0" w:color="auto"/>
      </w:divBdr>
    </w:div>
    <w:div w:id="601495489">
      <w:bodyDiv w:val="1"/>
      <w:marLeft w:val="0"/>
      <w:marRight w:val="0"/>
      <w:marTop w:val="0"/>
      <w:marBottom w:val="0"/>
      <w:divBdr>
        <w:top w:val="none" w:sz="0" w:space="0" w:color="auto"/>
        <w:left w:val="none" w:sz="0" w:space="0" w:color="auto"/>
        <w:bottom w:val="none" w:sz="0" w:space="0" w:color="auto"/>
        <w:right w:val="none" w:sz="0" w:space="0" w:color="auto"/>
      </w:divBdr>
    </w:div>
    <w:div w:id="601956150">
      <w:bodyDiv w:val="1"/>
      <w:marLeft w:val="0"/>
      <w:marRight w:val="0"/>
      <w:marTop w:val="0"/>
      <w:marBottom w:val="0"/>
      <w:divBdr>
        <w:top w:val="none" w:sz="0" w:space="0" w:color="auto"/>
        <w:left w:val="none" w:sz="0" w:space="0" w:color="auto"/>
        <w:bottom w:val="none" w:sz="0" w:space="0" w:color="auto"/>
        <w:right w:val="none" w:sz="0" w:space="0" w:color="auto"/>
      </w:divBdr>
    </w:div>
    <w:div w:id="602617003">
      <w:bodyDiv w:val="1"/>
      <w:marLeft w:val="0"/>
      <w:marRight w:val="0"/>
      <w:marTop w:val="0"/>
      <w:marBottom w:val="0"/>
      <w:divBdr>
        <w:top w:val="none" w:sz="0" w:space="0" w:color="auto"/>
        <w:left w:val="none" w:sz="0" w:space="0" w:color="auto"/>
        <w:bottom w:val="none" w:sz="0" w:space="0" w:color="auto"/>
        <w:right w:val="none" w:sz="0" w:space="0" w:color="auto"/>
      </w:divBdr>
    </w:div>
    <w:div w:id="602684298">
      <w:bodyDiv w:val="1"/>
      <w:marLeft w:val="0"/>
      <w:marRight w:val="0"/>
      <w:marTop w:val="0"/>
      <w:marBottom w:val="0"/>
      <w:divBdr>
        <w:top w:val="none" w:sz="0" w:space="0" w:color="auto"/>
        <w:left w:val="none" w:sz="0" w:space="0" w:color="auto"/>
        <w:bottom w:val="none" w:sz="0" w:space="0" w:color="auto"/>
        <w:right w:val="none" w:sz="0" w:space="0" w:color="auto"/>
      </w:divBdr>
    </w:div>
    <w:div w:id="602807800">
      <w:bodyDiv w:val="1"/>
      <w:marLeft w:val="0"/>
      <w:marRight w:val="0"/>
      <w:marTop w:val="0"/>
      <w:marBottom w:val="0"/>
      <w:divBdr>
        <w:top w:val="none" w:sz="0" w:space="0" w:color="auto"/>
        <w:left w:val="none" w:sz="0" w:space="0" w:color="auto"/>
        <w:bottom w:val="none" w:sz="0" w:space="0" w:color="auto"/>
        <w:right w:val="none" w:sz="0" w:space="0" w:color="auto"/>
      </w:divBdr>
    </w:div>
    <w:div w:id="602959599">
      <w:bodyDiv w:val="1"/>
      <w:marLeft w:val="0"/>
      <w:marRight w:val="0"/>
      <w:marTop w:val="0"/>
      <w:marBottom w:val="0"/>
      <w:divBdr>
        <w:top w:val="none" w:sz="0" w:space="0" w:color="auto"/>
        <w:left w:val="none" w:sz="0" w:space="0" w:color="auto"/>
        <w:bottom w:val="none" w:sz="0" w:space="0" w:color="auto"/>
        <w:right w:val="none" w:sz="0" w:space="0" w:color="auto"/>
      </w:divBdr>
    </w:div>
    <w:div w:id="603341749">
      <w:bodyDiv w:val="1"/>
      <w:marLeft w:val="0"/>
      <w:marRight w:val="0"/>
      <w:marTop w:val="0"/>
      <w:marBottom w:val="0"/>
      <w:divBdr>
        <w:top w:val="none" w:sz="0" w:space="0" w:color="auto"/>
        <w:left w:val="none" w:sz="0" w:space="0" w:color="auto"/>
        <w:bottom w:val="none" w:sz="0" w:space="0" w:color="auto"/>
        <w:right w:val="none" w:sz="0" w:space="0" w:color="auto"/>
      </w:divBdr>
    </w:div>
    <w:div w:id="603347948">
      <w:bodyDiv w:val="1"/>
      <w:marLeft w:val="0"/>
      <w:marRight w:val="0"/>
      <w:marTop w:val="0"/>
      <w:marBottom w:val="0"/>
      <w:divBdr>
        <w:top w:val="none" w:sz="0" w:space="0" w:color="auto"/>
        <w:left w:val="none" w:sz="0" w:space="0" w:color="auto"/>
        <w:bottom w:val="none" w:sz="0" w:space="0" w:color="auto"/>
        <w:right w:val="none" w:sz="0" w:space="0" w:color="auto"/>
      </w:divBdr>
    </w:div>
    <w:div w:id="604119744">
      <w:bodyDiv w:val="1"/>
      <w:marLeft w:val="0"/>
      <w:marRight w:val="0"/>
      <w:marTop w:val="0"/>
      <w:marBottom w:val="0"/>
      <w:divBdr>
        <w:top w:val="none" w:sz="0" w:space="0" w:color="auto"/>
        <w:left w:val="none" w:sz="0" w:space="0" w:color="auto"/>
        <w:bottom w:val="none" w:sz="0" w:space="0" w:color="auto"/>
        <w:right w:val="none" w:sz="0" w:space="0" w:color="auto"/>
      </w:divBdr>
    </w:div>
    <w:div w:id="605121298">
      <w:bodyDiv w:val="1"/>
      <w:marLeft w:val="0"/>
      <w:marRight w:val="0"/>
      <w:marTop w:val="0"/>
      <w:marBottom w:val="0"/>
      <w:divBdr>
        <w:top w:val="none" w:sz="0" w:space="0" w:color="auto"/>
        <w:left w:val="none" w:sz="0" w:space="0" w:color="auto"/>
        <w:bottom w:val="none" w:sz="0" w:space="0" w:color="auto"/>
        <w:right w:val="none" w:sz="0" w:space="0" w:color="auto"/>
      </w:divBdr>
    </w:div>
    <w:div w:id="606423805">
      <w:bodyDiv w:val="1"/>
      <w:marLeft w:val="0"/>
      <w:marRight w:val="0"/>
      <w:marTop w:val="0"/>
      <w:marBottom w:val="0"/>
      <w:divBdr>
        <w:top w:val="none" w:sz="0" w:space="0" w:color="auto"/>
        <w:left w:val="none" w:sz="0" w:space="0" w:color="auto"/>
        <w:bottom w:val="none" w:sz="0" w:space="0" w:color="auto"/>
        <w:right w:val="none" w:sz="0" w:space="0" w:color="auto"/>
      </w:divBdr>
    </w:div>
    <w:div w:id="606616515">
      <w:bodyDiv w:val="1"/>
      <w:marLeft w:val="0"/>
      <w:marRight w:val="0"/>
      <w:marTop w:val="0"/>
      <w:marBottom w:val="0"/>
      <w:divBdr>
        <w:top w:val="none" w:sz="0" w:space="0" w:color="auto"/>
        <w:left w:val="none" w:sz="0" w:space="0" w:color="auto"/>
        <w:bottom w:val="none" w:sz="0" w:space="0" w:color="auto"/>
        <w:right w:val="none" w:sz="0" w:space="0" w:color="auto"/>
      </w:divBdr>
    </w:div>
    <w:div w:id="607348024">
      <w:bodyDiv w:val="1"/>
      <w:marLeft w:val="0"/>
      <w:marRight w:val="0"/>
      <w:marTop w:val="0"/>
      <w:marBottom w:val="0"/>
      <w:divBdr>
        <w:top w:val="none" w:sz="0" w:space="0" w:color="auto"/>
        <w:left w:val="none" w:sz="0" w:space="0" w:color="auto"/>
        <w:bottom w:val="none" w:sz="0" w:space="0" w:color="auto"/>
        <w:right w:val="none" w:sz="0" w:space="0" w:color="auto"/>
      </w:divBdr>
    </w:div>
    <w:div w:id="607392497">
      <w:bodyDiv w:val="1"/>
      <w:marLeft w:val="0"/>
      <w:marRight w:val="0"/>
      <w:marTop w:val="0"/>
      <w:marBottom w:val="0"/>
      <w:divBdr>
        <w:top w:val="none" w:sz="0" w:space="0" w:color="auto"/>
        <w:left w:val="none" w:sz="0" w:space="0" w:color="auto"/>
        <w:bottom w:val="none" w:sz="0" w:space="0" w:color="auto"/>
        <w:right w:val="none" w:sz="0" w:space="0" w:color="auto"/>
      </w:divBdr>
    </w:div>
    <w:div w:id="607588506">
      <w:bodyDiv w:val="1"/>
      <w:marLeft w:val="0"/>
      <w:marRight w:val="0"/>
      <w:marTop w:val="0"/>
      <w:marBottom w:val="0"/>
      <w:divBdr>
        <w:top w:val="none" w:sz="0" w:space="0" w:color="auto"/>
        <w:left w:val="none" w:sz="0" w:space="0" w:color="auto"/>
        <w:bottom w:val="none" w:sz="0" w:space="0" w:color="auto"/>
        <w:right w:val="none" w:sz="0" w:space="0" w:color="auto"/>
      </w:divBdr>
    </w:div>
    <w:div w:id="608005483">
      <w:bodyDiv w:val="1"/>
      <w:marLeft w:val="0"/>
      <w:marRight w:val="0"/>
      <w:marTop w:val="0"/>
      <w:marBottom w:val="0"/>
      <w:divBdr>
        <w:top w:val="none" w:sz="0" w:space="0" w:color="auto"/>
        <w:left w:val="none" w:sz="0" w:space="0" w:color="auto"/>
        <w:bottom w:val="none" w:sz="0" w:space="0" w:color="auto"/>
        <w:right w:val="none" w:sz="0" w:space="0" w:color="auto"/>
      </w:divBdr>
    </w:div>
    <w:div w:id="608585362">
      <w:bodyDiv w:val="1"/>
      <w:marLeft w:val="0"/>
      <w:marRight w:val="0"/>
      <w:marTop w:val="0"/>
      <w:marBottom w:val="0"/>
      <w:divBdr>
        <w:top w:val="none" w:sz="0" w:space="0" w:color="auto"/>
        <w:left w:val="none" w:sz="0" w:space="0" w:color="auto"/>
        <w:bottom w:val="none" w:sz="0" w:space="0" w:color="auto"/>
        <w:right w:val="none" w:sz="0" w:space="0" w:color="auto"/>
      </w:divBdr>
    </w:div>
    <w:div w:id="610429894">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129798">
      <w:bodyDiv w:val="1"/>
      <w:marLeft w:val="0"/>
      <w:marRight w:val="0"/>
      <w:marTop w:val="0"/>
      <w:marBottom w:val="0"/>
      <w:divBdr>
        <w:top w:val="none" w:sz="0" w:space="0" w:color="auto"/>
        <w:left w:val="none" w:sz="0" w:space="0" w:color="auto"/>
        <w:bottom w:val="none" w:sz="0" w:space="0" w:color="auto"/>
        <w:right w:val="none" w:sz="0" w:space="0" w:color="auto"/>
      </w:divBdr>
    </w:div>
    <w:div w:id="611130165">
      <w:bodyDiv w:val="1"/>
      <w:marLeft w:val="0"/>
      <w:marRight w:val="0"/>
      <w:marTop w:val="0"/>
      <w:marBottom w:val="0"/>
      <w:divBdr>
        <w:top w:val="none" w:sz="0" w:space="0" w:color="auto"/>
        <w:left w:val="none" w:sz="0" w:space="0" w:color="auto"/>
        <w:bottom w:val="none" w:sz="0" w:space="0" w:color="auto"/>
        <w:right w:val="none" w:sz="0" w:space="0" w:color="auto"/>
      </w:divBdr>
    </w:div>
    <w:div w:id="611479338">
      <w:bodyDiv w:val="1"/>
      <w:marLeft w:val="0"/>
      <w:marRight w:val="0"/>
      <w:marTop w:val="0"/>
      <w:marBottom w:val="0"/>
      <w:divBdr>
        <w:top w:val="none" w:sz="0" w:space="0" w:color="auto"/>
        <w:left w:val="none" w:sz="0" w:space="0" w:color="auto"/>
        <w:bottom w:val="none" w:sz="0" w:space="0" w:color="auto"/>
        <w:right w:val="none" w:sz="0" w:space="0" w:color="auto"/>
      </w:divBdr>
    </w:div>
    <w:div w:id="611549082">
      <w:bodyDiv w:val="1"/>
      <w:marLeft w:val="0"/>
      <w:marRight w:val="0"/>
      <w:marTop w:val="0"/>
      <w:marBottom w:val="0"/>
      <w:divBdr>
        <w:top w:val="none" w:sz="0" w:space="0" w:color="auto"/>
        <w:left w:val="none" w:sz="0" w:space="0" w:color="auto"/>
        <w:bottom w:val="none" w:sz="0" w:space="0" w:color="auto"/>
        <w:right w:val="none" w:sz="0" w:space="0" w:color="auto"/>
      </w:divBdr>
    </w:div>
    <w:div w:id="611787966">
      <w:bodyDiv w:val="1"/>
      <w:marLeft w:val="0"/>
      <w:marRight w:val="0"/>
      <w:marTop w:val="0"/>
      <w:marBottom w:val="0"/>
      <w:divBdr>
        <w:top w:val="none" w:sz="0" w:space="0" w:color="auto"/>
        <w:left w:val="none" w:sz="0" w:space="0" w:color="auto"/>
        <w:bottom w:val="none" w:sz="0" w:space="0" w:color="auto"/>
        <w:right w:val="none" w:sz="0" w:space="0" w:color="auto"/>
      </w:divBdr>
    </w:div>
    <w:div w:id="611939418">
      <w:bodyDiv w:val="1"/>
      <w:marLeft w:val="0"/>
      <w:marRight w:val="0"/>
      <w:marTop w:val="0"/>
      <w:marBottom w:val="0"/>
      <w:divBdr>
        <w:top w:val="none" w:sz="0" w:space="0" w:color="auto"/>
        <w:left w:val="none" w:sz="0" w:space="0" w:color="auto"/>
        <w:bottom w:val="none" w:sz="0" w:space="0" w:color="auto"/>
        <w:right w:val="none" w:sz="0" w:space="0" w:color="auto"/>
      </w:divBdr>
    </w:div>
    <w:div w:id="613635546">
      <w:bodyDiv w:val="1"/>
      <w:marLeft w:val="0"/>
      <w:marRight w:val="0"/>
      <w:marTop w:val="0"/>
      <w:marBottom w:val="0"/>
      <w:divBdr>
        <w:top w:val="none" w:sz="0" w:space="0" w:color="auto"/>
        <w:left w:val="none" w:sz="0" w:space="0" w:color="auto"/>
        <w:bottom w:val="none" w:sz="0" w:space="0" w:color="auto"/>
        <w:right w:val="none" w:sz="0" w:space="0" w:color="auto"/>
      </w:divBdr>
    </w:div>
    <w:div w:id="613948819">
      <w:bodyDiv w:val="1"/>
      <w:marLeft w:val="0"/>
      <w:marRight w:val="0"/>
      <w:marTop w:val="0"/>
      <w:marBottom w:val="0"/>
      <w:divBdr>
        <w:top w:val="none" w:sz="0" w:space="0" w:color="auto"/>
        <w:left w:val="none" w:sz="0" w:space="0" w:color="auto"/>
        <w:bottom w:val="none" w:sz="0" w:space="0" w:color="auto"/>
        <w:right w:val="none" w:sz="0" w:space="0" w:color="auto"/>
      </w:divBdr>
    </w:div>
    <w:div w:id="614025128">
      <w:bodyDiv w:val="1"/>
      <w:marLeft w:val="0"/>
      <w:marRight w:val="0"/>
      <w:marTop w:val="0"/>
      <w:marBottom w:val="0"/>
      <w:divBdr>
        <w:top w:val="none" w:sz="0" w:space="0" w:color="auto"/>
        <w:left w:val="none" w:sz="0" w:space="0" w:color="auto"/>
        <w:bottom w:val="none" w:sz="0" w:space="0" w:color="auto"/>
        <w:right w:val="none" w:sz="0" w:space="0" w:color="auto"/>
      </w:divBdr>
    </w:div>
    <w:div w:id="614676913">
      <w:bodyDiv w:val="1"/>
      <w:marLeft w:val="0"/>
      <w:marRight w:val="0"/>
      <w:marTop w:val="0"/>
      <w:marBottom w:val="0"/>
      <w:divBdr>
        <w:top w:val="none" w:sz="0" w:space="0" w:color="auto"/>
        <w:left w:val="none" w:sz="0" w:space="0" w:color="auto"/>
        <w:bottom w:val="none" w:sz="0" w:space="0" w:color="auto"/>
        <w:right w:val="none" w:sz="0" w:space="0" w:color="auto"/>
      </w:divBdr>
    </w:div>
    <w:div w:id="615135650">
      <w:bodyDiv w:val="1"/>
      <w:marLeft w:val="0"/>
      <w:marRight w:val="0"/>
      <w:marTop w:val="0"/>
      <w:marBottom w:val="0"/>
      <w:divBdr>
        <w:top w:val="none" w:sz="0" w:space="0" w:color="auto"/>
        <w:left w:val="none" w:sz="0" w:space="0" w:color="auto"/>
        <w:bottom w:val="none" w:sz="0" w:space="0" w:color="auto"/>
        <w:right w:val="none" w:sz="0" w:space="0" w:color="auto"/>
      </w:divBdr>
    </w:div>
    <w:div w:id="615865568">
      <w:bodyDiv w:val="1"/>
      <w:marLeft w:val="0"/>
      <w:marRight w:val="0"/>
      <w:marTop w:val="0"/>
      <w:marBottom w:val="0"/>
      <w:divBdr>
        <w:top w:val="none" w:sz="0" w:space="0" w:color="auto"/>
        <w:left w:val="none" w:sz="0" w:space="0" w:color="auto"/>
        <w:bottom w:val="none" w:sz="0" w:space="0" w:color="auto"/>
        <w:right w:val="none" w:sz="0" w:space="0" w:color="auto"/>
      </w:divBdr>
    </w:div>
    <w:div w:id="615912745">
      <w:bodyDiv w:val="1"/>
      <w:marLeft w:val="0"/>
      <w:marRight w:val="0"/>
      <w:marTop w:val="0"/>
      <w:marBottom w:val="0"/>
      <w:divBdr>
        <w:top w:val="none" w:sz="0" w:space="0" w:color="auto"/>
        <w:left w:val="none" w:sz="0" w:space="0" w:color="auto"/>
        <w:bottom w:val="none" w:sz="0" w:space="0" w:color="auto"/>
        <w:right w:val="none" w:sz="0" w:space="0" w:color="auto"/>
      </w:divBdr>
    </w:div>
    <w:div w:id="615991146">
      <w:bodyDiv w:val="1"/>
      <w:marLeft w:val="0"/>
      <w:marRight w:val="0"/>
      <w:marTop w:val="0"/>
      <w:marBottom w:val="0"/>
      <w:divBdr>
        <w:top w:val="none" w:sz="0" w:space="0" w:color="auto"/>
        <w:left w:val="none" w:sz="0" w:space="0" w:color="auto"/>
        <w:bottom w:val="none" w:sz="0" w:space="0" w:color="auto"/>
        <w:right w:val="none" w:sz="0" w:space="0" w:color="auto"/>
      </w:divBdr>
    </w:div>
    <w:div w:id="616177558">
      <w:bodyDiv w:val="1"/>
      <w:marLeft w:val="0"/>
      <w:marRight w:val="0"/>
      <w:marTop w:val="0"/>
      <w:marBottom w:val="0"/>
      <w:divBdr>
        <w:top w:val="none" w:sz="0" w:space="0" w:color="auto"/>
        <w:left w:val="none" w:sz="0" w:space="0" w:color="auto"/>
        <w:bottom w:val="none" w:sz="0" w:space="0" w:color="auto"/>
        <w:right w:val="none" w:sz="0" w:space="0" w:color="auto"/>
      </w:divBdr>
    </w:div>
    <w:div w:id="616524773">
      <w:bodyDiv w:val="1"/>
      <w:marLeft w:val="0"/>
      <w:marRight w:val="0"/>
      <w:marTop w:val="0"/>
      <w:marBottom w:val="0"/>
      <w:divBdr>
        <w:top w:val="none" w:sz="0" w:space="0" w:color="auto"/>
        <w:left w:val="none" w:sz="0" w:space="0" w:color="auto"/>
        <w:bottom w:val="none" w:sz="0" w:space="0" w:color="auto"/>
        <w:right w:val="none" w:sz="0" w:space="0" w:color="auto"/>
      </w:divBdr>
    </w:div>
    <w:div w:id="617033150">
      <w:bodyDiv w:val="1"/>
      <w:marLeft w:val="0"/>
      <w:marRight w:val="0"/>
      <w:marTop w:val="0"/>
      <w:marBottom w:val="0"/>
      <w:divBdr>
        <w:top w:val="none" w:sz="0" w:space="0" w:color="auto"/>
        <w:left w:val="none" w:sz="0" w:space="0" w:color="auto"/>
        <w:bottom w:val="none" w:sz="0" w:space="0" w:color="auto"/>
        <w:right w:val="none" w:sz="0" w:space="0" w:color="auto"/>
      </w:divBdr>
    </w:div>
    <w:div w:id="618337261">
      <w:bodyDiv w:val="1"/>
      <w:marLeft w:val="0"/>
      <w:marRight w:val="0"/>
      <w:marTop w:val="0"/>
      <w:marBottom w:val="0"/>
      <w:divBdr>
        <w:top w:val="none" w:sz="0" w:space="0" w:color="auto"/>
        <w:left w:val="none" w:sz="0" w:space="0" w:color="auto"/>
        <w:bottom w:val="none" w:sz="0" w:space="0" w:color="auto"/>
        <w:right w:val="none" w:sz="0" w:space="0" w:color="auto"/>
      </w:divBdr>
    </w:div>
    <w:div w:id="618491354">
      <w:bodyDiv w:val="1"/>
      <w:marLeft w:val="0"/>
      <w:marRight w:val="0"/>
      <w:marTop w:val="0"/>
      <w:marBottom w:val="0"/>
      <w:divBdr>
        <w:top w:val="none" w:sz="0" w:space="0" w:color="auto"/>
        <w:left w:val="none" w:sz="0" w:space="0" w:color="auto"/>
        <w:bottom w:val="none" w:sz="0" w:space="0" w:color="auto"/>
        <w:right w:val="none" w:sz="0" w:space="0" w:color="auto"/>
      </w:divBdr>
    </w:div>
    <w:div w:id="618533651">
      <w:bodyDiv w:val="1"/>
      <w:marLeft w:val="0"/>
      <w:marRight w:val="0"/>
      <w:marTop w:val="0"/>
      <w:marBottom w:val="0"/>
      <w:divBdr>
        <w:top w:val="none" w:sz="0" w:space="0" w:color="auto"/>
        <w:left w:val="none" w:sz="0" w:space="0" w:color="auto"/>
        <w:bottom w:val="none" w:sz="0" w:space="0" w:color="auto"/>
        <w:right w:val="none" w:sz="0" w:space="0" w:color="auto"/>
      </w:divBdr>
    </w:div>
    <w:div w:id="619535332">
      <w:bodyDiv w:val="1"/>
      <w:marLeft w:val="0"/>
      <w:marRight w:val="0"/>
      <w:marTop w:val="0"/>
      <w:marBottom w:val="0"/>
      <w:divBdr>
        <w:top w:val="none" w:sz="0" w:space="0" w:color="auto"/>
        <w:left w:val="none" w:sz="0" w:space="0" w:color="auto"/>
        <w:bottom w:val="none" w:sz="0" w:space="0" w:color="auto"/>
        <w:right w:val="none" w:sz="0" w:space="0" w:color="auto"/>
      </w:divBdr>
    </w:div>
    <w:div w:id="619727511">
      <w:bodyDiv w:val="1"/>
      <w:marLeft w:val="0"/>
      <w:marRight w:val="0"/>
      <w:marTop w:val="0"/>
      <w:marBottom w:val="0"/>
      <w:divBdr>
        <w:top w:val="none" w:sz="0" w:space="0" w:color="auto"/>
        <w:left w:val="none" w:sz="0" w:space="0" w:color="auto"/>
        <w:bottom w:val="none" w:sz="0" w:space="0" w:color="auto"/>
        <w:right w:val="none" w:sz="0" w:space="0" w:color="auto"/>
      </w:divBdr>
    </w:div>
    <w:div w:id="619797846">
      <w:bodyDiv w:val="1"/>
      <w:marLeft w:val="0"/>
      <w:marRight w:val="0"/>
      <w:marTop w:val="0"/>
      <w:marBottom w:val="0"/>
      <w:divBdr>
        <w:top w:val="none" w:sz="0" w:space="0" w:color="auto"/>
        <w:left w:val="none" w:sz="0" w:space="0" w:color="auto"/>
        <w:bottom w:val="none" w:sz="0" w:space="0" w:color="auto"/>
        <w:right w:val="none" w:sz="0" w:space="0" w:color="auto"/>
      </w:divBdr>
    </w:div>
    <w:div w:id="620575650">
      <w:bodyDiv w:val="1"/>
      <w:marLeft w:val="0"/>
      <w:marRight w:val="0"/>
      <w:marTop w:val="0"/>
      <w:marBottom w:val="0"/>
      <w:divBdr>
        <w:top w:val="none" w:sz="0" w:space="0" w:color="auto"/>
        <w:left w:val="none" w:sz="0" w:space="0" w:color="auto"/>
        <w:bottom w:val="none" w:sz="0" w:space="0" w:color="auto"/>
        <w:right w:val="none" w:sz="0" w:space="0" w:color="auto"/>
      </w:divBdr>
    </w:div>
    <w:div w:id="620961276">
      <w:bodyDiv w:val="1"/>
      <w:marLeft w:val="0"/>
      <w:marRight w:val="0"/>
      <w:marTop w:val="0"/>
      <w:marBottom w:val="0"/>
      <w:divBdr>
        <w:top w:val="none" w:sz="0" w:space="0" w:color="auto"/>
        <w:left w:val="none" w:sz="0" w:space="0" w:color="auto"/>
        <w:bottom w:val="none" w:sz="0" w:space="0" w:color="auto"/>
        <w:right w:val="none" w:sz="0" w:space="0" w:color="auto"/>
      </w:divBdr>
    </w:div>
    <w:div w:id="621687054">
      <w:bodyDiv w:val="1"/>
      <w:marLeft w:val="0"/>
      <w:marRight w:val="0"/>
      <w:marTop w:val="0"/>
      <w:marBottom w:val="0"/>
      <w:divBdr>
        <w:top w:val="none" w:sz="0" w:space="0" w:color="auto"/>
        <w:left w:val="none" w:sz="0" w:space="0" w:color="auto"/>
        <w:bottom w:val="none" w:sz="0" w:space="0" w:color="auto"/>
        <w:right w:val="none" w:sz="0" w:space="0" w:color="auto"/>
      </w:divBdr>
    </w:div>
    <w:div w:id="622464146">
      <w:bodyDiv w:val="1"/>
      <w:marLeft w:val="0"/>
      <w:marRight w:val="0"/>
      <w:marTop w:val="0"/>
      <w:marBottom w:val="0"/>
      <w:divBdr>
        <w:top w:val="none" w:sz="0" w:space="0" w:color="auto"/>
        <w:left w:val="none" w:sz="0" w:space="0" w:color="auto"/>
        <w:bottom w:val="none" w:sz="0" w:space="0" w:color="auto"/>
        <w:right w:val="none" w:sz="0" w:space="0" w:color="auto"/>
      </w:divBdr>
    </w:div>
    <w:div w:id="622881395">
      <w:bodyDiv w:val="1"/>
      <w:marLeft w:val="0"/>
      <w:marRight w:val="0"/>
      <w:marTop w:val="0"/>
      <w:marBottom w:val="0"/>
      <w:divBdr>
        <w:top w:val="none" w:sz="0" w:space="0" w:color="auto"/>
        <w:left w:val="none" w:sz="0" w:space="0" w:color="auto"/>
        <w:bottom w:val="none" w:sz="0" w:space="0" w:color="auto"/>
        <w:right w:val="none" w:sz="0" w:space="0" w:color="auto"/>
      </w:divBdr>
    </w:div>
    <w:div w:id="623195834">
      <w:bodyDiv w:val="1"/>
      <w:marLeft w:val="0"/>
      <w:marRight w:val="0"/>
      <w:marTop w:val="0"/>
      <w:marBottom w:val="0"/>
      <w:divBdr>
        <w:top w:val="none" w:sz="0" w:space="0" w:color="auto"/>
        <w:left w:val="none" w:sz="0" w:space="0" w:color="auto"/>
        <w:bottom w:val="none" w:sz="0" w:space="0" w:color="auto"/>
        <w:right w:val="none" w:sz="0" w:space="0" w:color="auto"/>
      </w:divBdr>
    </w:div>
    <w:div w:id="623313611">
      <w:bodyDiv w:val="1"/>
      <w:marLeft w:val="0"/>
      <w:marRight w:val="0"/>
      <w:marTop w:val="0"/>
      <w:marBottom w:val="0"/>
      <w:divBdr>
        <w:top w:val="none" w:sz="0" w:space="0" w:color="auto"/>
        <w:left w:val="none" w:sz="0" w:space="0" w:color="auto"/>
        <w:bottom w:val="none" w:sz="0" w:space="0" w:color="auto"/>
        <w:right w:val="none" w:sz="0" w:space="0" w:color="auto"/>
      </w:divBdr>
    </w:div>
    <w:div w:id="623581082">
      <w:bodyDiv w:val="1"/>
      <w:marLeft w:val="0"/>
      <w:marRight w:val="0"/>
      <w:marTop w:val="0"/>
      <w:marBottom w:val="0"/>
      <w:divBdr>
        <w:top w:val="none" w:sz="0" w:space="0" w:color="auto"/>
        <w:left w:val="none" w:sz="0" w:space="0" w:color="auto"/>
        <w:bottom w:val="none" w:sz="0" w:space="0" w:color="auto"/>
        <w:right w:val="none" w:sz="0" w:space="0" w:color="auto"/>
      </w:divBdr>
    </w:div>
    <w:div w:id="623731130">
      <w:bodyDiv w:val="1"/>
      <w:marLeft w:val="0"/>
      <w:marRight w:val="0"/>
      <w:marTop w:val="0"/>
      <w:marBottom w:val="0"/>
      <w:divBdr>
        <w:top w:val="none" w:sz="0" w:space="0" w:color="auto"/>
        <w:left w:val="none" w:sz="0" w:space="0" w:color="auto"/>
        <w:bottom w:val="none" w:sz="0" w:space="0" w:color="auto"/>
        <w:right w:val="none" w:sz="0" w:space="0" w:color="auto"/>
      </w:divBdr>
    </w:div>
    <w:div w:id="624501712">
      <w:bodyDiv w:val="1"/>
      <w:marLeft w:val="0"/>
      <w:marRight w:val="0"/>
      <w:marTop w:val="0"/>
      <w:marBottom w:val="0"/>
      <w:divBdr>
        <w:top w:val="none" w:sz="0" w:space="0" w:color="auto"/>
        <w:left w:val="none" w:sz="0" w:space="0" w:color="auto"/>
        <w:bottom w:val="none" w:sz="0" w:space="0" w:color="auto"/>
        <w:right w:val="none" w:sz="0" w:space="0" w:color="auto"/>
      </w:divBdr>
    </w:div>
    <w:div w:id="624581820">
      <w:bodyDiv w:val="1"/>
      <w:marLeft w:val="0"/>
      <w:marRight w:val="0"/>
      <w:marTop w:val="0"/>
      <w:marBottom w:val="0"/>
      <w:divBdr>
        <w:top w:val="none" w:sz="0" w:space="0" w:color="auto"/>
        <w:left w:val="none" w:sz="0" w:space="0" w:color="auto"/>
        <w:bottom w:val="none" w:sz="0" w:space="0" w:color="auto"/>
        <w:right w:val="none" w:sz="0" w:space="0" w:color="auto"/>
      </w:divBdr>
    </w:div>
    <w:div w:id="625047895">
      <w:bodyDiv w:val="1"/>
      <w:marLeft w:val="0"/>
      <w:marRight w:val="0"/>
      <w:marTop w:val="0"/>
      <w:marBottom w:val="0"/>
      <w:divBdr>
        <w:top w:val="none" w:sz="0" w:space="0" w:color="auto"/>
        <w:left w:val="none" w:sz="0" w:space="0" w:color="auto"/>
        <w:bottom w:val="none" w:sz="0" w:space="0" w:color="auto"/>
        <w:right w:val="none" w:sz="0" w:space="0" w:color="auto"/>
      </w:divBdr>
    </w:div>
    <w:div w:id="625627788">
      <w:bodyDiv w:val="1"/>
      <w:marLeft w:val="0"/>
      <w:marRight w:val="0"/>
      <w:marTop w:val="0"/>
      <w:marBottom w:val="0"/>
      <w:divBdr>
        <w:top w:val="none" w:sz="0" w:space="0" w:color="auto"/>
        <w:left w:val="none" w:sz="0" w:space="0" w:color="auto"/>
        <w:bottom w:val="none" w:sz="0" w:space="0" w:color="auto"/>
        <w:right w:val="none" w:sz="0" w:space="0" w:color="auto"/>
      </w:divBdr>
    </w:div>
    <w:div w:id="626008203">
      <w:bodyDiv w:val="1"/>
      <w:marLeft w:val="0"/>
      <w:marRight w:val="0"/>
      <w:marTop w:val="0"/>
      <w:marBottom w:val="0"/>
      <w:divBdr>
        <w:top w:val="none" w:sz="0" w:space="0" w:color="auto"/>
        <w:left w:val="none" w:sz="0" w:space="0" w:color="auto"/>
        <w:bottom w:val="none" w:sz="0" w:space="0" w:color="auto"/>
        <w:right w:val="none" w:sz="0" w:space="0" w:color="auto"/>
      </w:divBdr>
    </w:div>
    <w:div w:id="626469152">
      <w:bodyDiv w:val="1"/>
      <w:marLeft w:val="0"/>
      <w:marRight w:val="0"/>
      <w:marTop w:val="0"/>
      <w:marBottom w:val="0"/>
      <w:divBdr>
        <w:top w:val="none" w:sz="0" w:space="0" w:color="auto"/>
        <w:left w:val="none" w:sz="0" w:space="0" w:color="auto"/>
        <w:bottom w:val="none" w:sz="0" w:space="0" w:color="auto"/>
        <w:right w:val="none" w:sz="0" w:space="0" w:color="auto"/>
      </w:divBdr>
    </w:div>
    <w:div w:id="626814241">
      <w:bodyDiv w:val="1"/>
      <w:marLeft w:val="0"/>
      <w:marRight w:val="0"/>
      <w:marTop w:val="0"/>
      <w:marBottom w:val="0"/>
      <w:divBdr>
        <w:top w:val="none" w:sz="0" w:space="0" w:color="auto"/>
        <w:left w:val="none" w:sz="0" w:space="0" w:color="auto"/>
        <w:bottom w:val="none" w:sz="0" w:space="0" w:color="auto"/>
        <w:right w:val="none" w:sz="0" w:space="0" w:color="auto"/>
      </w:divBdr>
    </w:div>
    <w:div w:id="626936138">
      <w:bodyDiv w:val="1"/>
      <w:marLeft w:val="0"/>
      <w:marRight w:val="0"/>
      <w:marTop w:val="0"/>
      <w:marBottom w:val="0"/>
      <w:divBdr>
        <w:top w:val="none" w:sz="0" w:space="0" w:color="auto"/>
        <w:left w:val="none" w:sz="0" w:space="0" w:color="auto"/>
        <w:bottom w:val="none" w:sz="0" w:space="0" w:color="auto"/>
        <w:right w:val="none" w:sz="0" w:space="0" w:color="auto"/>
      </w:divBdr>
    </w:div>
    <w:div w:id="627315990">
      <w:bodyDiv w:val="1"/>
      <w:marLeft w:val="0"/>
      <w:marRight w:val="0"/>
      <w:marTop w:val="0"/>
      <w:marBottom w:val="0"/>
      <w:divBdr>
        <w:top w:val="none" w:sz="0" w:space="0" w:color="auto"/>
        <w:left w:val="none" w:sz="0" w:space="0" w:color="auto"/>
        <w:bottom w:val="none" w:sz="0" w:space="0" w:color="auto"/>
        <w:right w:val="none" w:sz="0" w:space="0" w:color="auto"/>
      </w:divBdr>
    </w:div>
    <w:div w:id="627785010">
      <w:bodyDiv w:val="1"/>
      <w:marLeft w:val="0"/>
      <w:marRight w:val="0"/>
      <w:marTop w:val="0"/>
      <w:marBottom w:val="0"/>
      <w:divBdr>
        <w:top w:val="none" w:sz="0" w:space="0" w:color="auto"/>
        <w:left w:val="none" w:sz="0" w:space="0" w:color="auto"/>
        <w:bottom w:val="none" w:sz="0" w:space="0" w:color="auto"/>
        <w:right w:val="none" w:sz="0" w:space="0" w:color="auto"/>
      </w:divBdr>
    </w:div>
    <w:div w:id="627855155">
      <w:bodyDiv w:val="1"/>
      <w:marLeft w:val="0"/>
      <w:marRight w:val="0"/>
      <w:marTop w:val="0"/>
      <w:marBottom w:val="0"/>
      <w:divBdr>
        <w:top w:val="none" w:sz="0" w:space="0" w:color="auto"/>
        <w:left w:val="none" w:sz="0" w:space="0" w:color="auto"/>
        <w:bottom w:val="none" w:sz="0" w:space="0" w:color="auto"/>
        <w:right w:val="none" w:sz="0" w:space="0" w:color="auto"/>
      </w:divBdr>
    </w:div>
    <w:div w:id="627857620">
      <w:bodyDiv w:val="1"/>
      <w:marLeft w:val="0"/>
      <w:marRight w:val="0"/>
      <w:marTop w:val="0"/>
      <w:marBottom w:val="0"/>
      <w:divBdr>
        <w:top w:val="none" w:sz="0" w:space="0" w:color="auto"/>
        <w:left w:val="none" w:sz="0" w:space="0" w:color="auto"/>
        <w:bottom w:val="none" w:sz="0" w:space="0" w:color="auto"/>
        <w:right w:val="none" w:sz="0" w:space="0" w:color="auto"/>
      </w:divBdr>
    </w:div>
    <w:div w:id="628559832">
      <w:bodyDiv w:val="1"/>
      <w:marLeft w:val="0"/>
      <w:marRight w:val="0"/>
      <w:marTop w:val="0"/>
      <w:marBottom w:val="0"/>
      <w:divBdr>
        <w:top w:val="none" w:sz="0" w:space="0" w:color="auto"/>
        <w:left w:val="none" w:sz="0" w:space="0" w:color="auto"/>
        <w:bottom w:val="none" w:sz="0" w:space="0" w:color="auto"/>
        <w:right w:val="none" w:sz="0" w:space="0" w:color="auto"/>
      </w:divBdr>
    </w:div>
    <w:div w:id="628777037">
      <w:bodyDiv w:val="1"/>
      <w:marLeft w:val="0"/>
      <w:marRight w:val="0"/>
      <w:marTop w:val="0"/>
      <w:marBottom w:val="0"/>
      <w:divBdr>
        <w:top w:val="none" w:sz="0" w:space="0" w:color="auto"/>
        <w:left w:val="none" w:sz="0" w:space="0" w:color="auto"/>
        <w:bottom w:val="none" w:sz="0" w:space="0" w:color="auto"/>
        <w:right w:val="none" w:sz="0" w:space="0" w:color="auto"/>
      </w:divBdr>
    </w:div>
    <w:div w:id="630669219">
      <w:bodyDiv w:val="1"/>
      <w:marLeft w:val="0"/>
      <w:marRight w:val="0"/>
      <w:marTop w:val="0"/>
      <w:marBottom w:val="0"/>
      <w:divBdr>
        <w:top w:val="none" w:sz="0" w:space="0" w:color="auto"/>
        <w:left w:val="none" w:sz="0" w:space="0" w:color="auto"/>
        <w:bottom w:val="none" w:sz="0" w:space="0" w:color="auto"/>
        <w:right w:val="none" w:sz="0" w:space="0" w:color="auto"/>
      </w:divBdr>
    </w:div>
    <w:div w:id="630748715">
      <w:bodyDiv w:val="1"/>
      <w:marLeft w:val="0"/>
      <w:marRight w:val="0"/>
      <w:marTop w:val="0"/>
      <w:marBottom w:val="0"/>
      <w:divBdr>
        <w:top w:val="none" w:sz="0" w:space="0" w:color="auto"/>
        <w:left w:val="none" w:sz="0" w:space="0" w:color="auto"/>
        <w:bottom w:val="none" w:sz="0" w:space="0" w:color="auto"/>
        <w:right w:val="none" w:sz="0" w:space="0" w:color="auto"/>
      </w:divBdr>
    </w:div>
    <w:div w:id="631062397">
      <w:bodyDiv w:val="1"/>
      <w:marLeft w:val="0"/>
      <w:marRight w:val="0"/>
      <w:marTop w:val="0"/>
      <w:marBottom w:val="0"/>
      <w:divBdr>
        <w:top w:val="none" w:sz="0" w:space="0" w:color="auto"/>
        <w:left w:val="none" w:sz="0" w:space="0" w:color="auto"/>
        <w:bottom w:val="none" w:sz="0" w:space="0" w:color="auto"/>
        <w:right w:val="none" w:sz="0" w:space="0" w:color="auto"/>
      </w:divBdr>
    </w:div>
    <w:div w:id="631598952">
      <w:bodyDiv w:val="1"/>
      <w:marLeft w:val="0"/>
      <w:marRight w:val="0"/>
      <w:marTop w:val="0"/>
      <w:marBottom w:val="0"/>
      <w:divBdr>
        <w:top w:val="none" w:sz="0" w:space="0" w:color="auto"/>
        <w:left w:val="none" w:sz="0" w:space="0" w:color="auto"/>
        <w:bottom w:val="none" w:sz="0" w:space="0" w:color="auto"/>
        <w:right w:val="none" w:sz="0" w:space="0" w:color="auto"/>
      </w:divBdr>
    </w:div>
    <w:div w:id="631860889">
      <w:bodyDiv w:val="1"/>
      <w:marLeft w:val="0"/>
      <w:marRight w:val="0"/>
      <w:marTop w:val="0"/>
      <w:marBottom w:val="0"/>
      <w:divBdr>
        <w:top w:val="none" w:sz="0" w:space="0" w:color="auto"/>
        <w:left w:val="none" w:sz="0" w:space="0" w:color="auto"/>
        <w:bottom w:val="none" w:sz="0" w:space="0" w:color="auto"/>
        <w:right w:val="none" w:sz="0" w:space="0" w:color="auto"/>
      </w:divBdr>
    </w:div>
    <w:div w:id="632709507">
      <w:bodyDiv w:val="1"/>
      <w:marLeft w:val="0"/>
      <w:marRight w:val="0"/>
      <w:marTop w:val="0"/>
      <w:marBottom w:val="0"/>
      <w:divBdr>
        <w:top w:val="none" w:sz="0" w:space="0" w:color="auto"/>
        <w:left w:val="none" w:sz="0" w:space="0" w:color="auto"/>
        <w:bottom w:val="none" w:sz="0" w:space="0" w:color="auto"/>
        <w:right w:val="none" w:sz="0" w:space="0" w:color="auto"/>
      </w:divBdr>
    </w:div>
    <w:div w:id="632979149">
      <w:bodyDiv w:val="1"/>
      <w:marLeft w:val="0"/>
      <w:marRight w:val="0"/>
      <w:marTop w:val="0"/>
      <w:marBottom w:val="0"/>
      <w:divBdr>
        <w:top w:val="none" w:sz="0" w:space="0" w:color="auto"/>
        <w:left w:val="none" w:sz="0" w:space="0" w:color="auto"/>
        <w:bottom w:val="none" w:sz="0" w:space="0" w:color="auto"/>
        <w:right w:val="none" w:sz="0" w:space="0" w:color="auto"/>
      </w:divBdr>
    </w:div>
    <w:div w:id="633216074">
      <w:bodyDiv w:val="1"/>
      <w:marLeft w:val="0"/>
      <w:marRight w:val="0"/>
      <w:marTop w:val="0"/>
      <w:marBottom w:val="0"/>
      <w:divBdr>
        <w:top w:val="none" w:sz="0" w:space="0" w:color="auto"/>
        <w:left w:val="none" w:sz="0" w:space="0" w:color="auto"/>
        <w:bottom w:val="none" w:sz="0" w:space="0" w:color="auto"/>
        <w:right w:val="none" w:sz="0" w:space="0" w:color="auto"/>
      </w:divBdr>
    </w:div>
    <w:div w:id="634682836">
      <w:bodyDiv w:val="1"/>
      <w:marLeft w:val="0"/>
      <w:marRight w:val="0"/>
      <w:marTop w:val="0"/>
      <w:marBottom w:val="0"/>
      <w:divBdr>
        <w:top w:val="none" w:sz="0" w:space="0" w:color="auto"/>
        <w:left w:val="none" w:sz="0" w:space="0" w:color="auto"/>
        <w:bottom w:val="none" w:sz="0" w:space="0" w:color="auto"/>
        <w:right w:val="none" w:sz="0" w:space="0" w:color="auto"/>
      </w:divBdr>
    </w:div>
    <w:div w:id="635069044">
      <w:bodyDiv w:val="1"/>
      <w:marLeft w:val="0"/>
      <w:marRight w:val="0"/>
      <w:marTop w:val="0"/>
      <w:marBottom w:val="0"/>
      <w:divBdr>
        <w:top w:val="none" w:sz="0" w:space="0" w:color="auto"/>
        <w:left w:val="none" w:sz="0" w:space="0" w:color="auto"/>
        <w:bottom w:val="none" w:sz="0" w:space="0" w:color="auto"/>
        <w:right w:val="none" w:sz="0" w:space="0" w:color="auto"/>
      </w:divBdr>
    </w:div>
    <w:div w:id="635842379">
      <w:bodyDiv w:val="1"/>
      <w:marLeft w:val="0"/>
      <w:marRight w:val="0"/>
      <w:marTop w:val="0"/>
      <w:marBottom w:val="0"/>
      <w:divBdr>
        <w:top w:val="none" w:sz="0" w:space="0" w:color="auto"/>
        <w:left w:val="none" w:sz="0" w:space="0" w:color="auto"/>
        <w:bottom w:val="none" w:sz="0" w:space="0" w:color="auto"/>
        <w:right w:val="none" w:sz="0" w:space="0" w:color="auto"/>
      </w:divBdr>
    </w:div>
    <w:div w:id="637295910">
      <w:bodyDiv w:val="1"/>
      <w:marLeft w:val="0"/>
      <w:marRight w:val="0"/>
      <w:marTop w:val="0"/>
      <w:marBottom w:val="0"/>
      <w:divBdr>
        <w:top w:val="none" w:sz="0" w:space="0" w:color="auto"/>
        <w:left w:val="none" w:sz="0" w:space="0" w:color="auto"/>
        <w:bottom w:val="none" w:sz="0" w:space="0" w:color="auto"/>
        <w:right w:val="none" w:sz="0" w:space="0" w:color="auto"/>
      </w:divBdr>
    </w:div>
    <w:div w:id="637565191">
      <w:bodyDiv w:val="1"/>
      <w:marLeft w:val="0"/>
      <w:marRight w:val="0"/>
      <w:marTop w:val="0"/>
      <w:marBottom w:val="0"/>
      <w:divBdr>
        <w:top w:val="none" w:sz="0" w:space="0" w:color="auto"/>
        <w:left w:val="none" w:sz="0" w:space="0" w:color="auto"/>
        <w:bottom w:val="none" w:sz="0" w:space="0" w:color="auto"/>
        <w:right w:val="none" w:sz="0" w:space="0" w:color="auto"/>
      </w:divBdr>
    </w:div>
    <w:div w:id="637878258">
      <w:bodyDiv w:val="1"/>
      <w:marLeft w:val="0"/>
      <w:marRight w:val="0"/>
      <w:marTop w:val="0"/>
      <w:marBottom w:val="0"/>
      <w:divBdr>
        <w:top w:val="none" w:sz="0" w:space="0" w:color="auto"/>
        <w:left w:val="none" w:sz="0" w:space="0" w:color="auto"/>
        <w:bottom w:val="none" w:sz="0" w:space="0" w:color="auto"/>
        <w:right w:val="none" w:sz="0" w:space="0" w:color="auto"/>
      </w:divBdr>
    </w:div>
    <w:div w:id="638069525">
      <w:bodyDiv w:val="1"/>
      <w:marLeft w:val="0"/>
      <w:marRight w:val="0"/>
      <w:marTop w:val="0"/>
      <w:marBottom w:val="0"/>
      <w:divBdr>
        <w:top w:val="none" w:sz="0" w:space="0" w:color="auto"/>
        <w:left w:val="none" w:sz="0" w:space="0" w:color="auto"/>
        <w:bottom w:val="none" w:sz="0" w:space="0" w:color="auto"/>
        <w:right w:val="none" w:sz="0" w:space="0" w:color="auto"/>
      </w:divBdr>
    </w:div>
    <w:div w:id="638153400">
      <w:bodyDiv w:val="1"/>
      <w:marLeft w:val="0"/>
      <w:marRight w:val="0"/>
      <w:marTop w:val="0"/>
      <w:marBottom w:val="0"/>
      <w:divBdr>
        <w:top w:val="none" w:sz="0" w:space="0" w:color="auto"/>
        <w:left w:val="none" w:sz="0" w:space="0" w:color="auto"/>
        <w:bottom w:val="none" w:sz="0" w:space="0" w:color="auto"/>
        <w:right w:val="none" w:sz="0" w:space="0" w:color="auto"/>
      </w:divBdr>
    </w:div>
    <w:div w:id="638462693">
      <w:bodyDiv w:val="1"/>
      <w:marLeft w:val="0"/>
      <w:marRight w:val="0"/>
      <w:marTop w:val="0"/>
      <w:marBottom w:val="0"/>
      <w:divBdr>
        <w:top w:val="none" w:sz="0" w:space="0" w:color="auto"/>
        <w:left w:val="none" w:sz="0" w:space="0" w:color="auto"/>
        <w:bottom w:val="none" w:sz="0" w:space="0" w:color="auto"/>
        <w:right w:val="none" w:sz="0" w:space="0" w:color="auto"/>
      </w:divBdr>
    </w:div>
    <w:div w:id="638651605">
      <w:bodyDiv w:val="1"/>
      <w:marLeft w:val="0"/>
      <w:marRight w:val="0"/>
      <w:marTop w:val="0"/>
      <w:marBottom w:val="0"/>
      <w:divBdr>
        <w:top w:val="none" w:sz="0" w:space="0" w:color="auto"/>
        <w:left w:val="none" w:sz="0" w:space="0" w:color="auto"/>
        <w:bottom w:val="none" w:sz="0" w:space="0" w:color="auto"/>
        <w:right w:val="none" w:sz="0" w:space="0" w:color="auto"/>
      </w:divBdr>
    </w:div>
    <w:div w:id="639771975">
      <w:bodyDiv w:val="1"/>
      <w:marLeft w:val="0"/>
      <w:marRight w:val="0"/>
      <w:marTop w:val="0"/>
      <w:marBottom w:val="0"/>
      <w:divBdr>
        <w:top w:val="none" w:sz="0" w:space="0" w:color="auto"/>
        <w:left w:val="none" w:sz="0" w:space="0" w:color="auto"/>
        <w:bottom w:val="none" w:sz="0" w:space="0" w:color="auto"/>
        <w:right w:val="none" w:sz="0" w:space="0" w:color="auto"/>
      </w:divBdr>
    </w:div>
    <w:div w:id="640499122">
      <w:bodyDiv w:val="1"/>
      <w:marLeft w:val="0"/>
      <w:marRight w:val="0"/>
      <w:marTop w:val="0"/>
      <w:marBottom w:val="0"/>
      <w:divBdr>
        <w:top w:val="none" w:sz="0" w:space="0" w:color="auto"/>
        <w:left w:val="none" w:sz="0" w:space="0" w:color="auto"/>
        <w:bottom w:val="none" w:sz="0" w:space="0" w:color="auto"/>
        <w:right w:val="none" w:sz="0" w:space="0" w:color="auto"/>
      </w:divBdr>
    </w:div>
    <w:div w:id="641160669">
      <w:bodyDiv w:val="1"/>
      <w:marLeft w:val="0"/>
      <w:marRight w:val="0"/>
      <w:marTop w:val="0"/>
      <w:marBottom w:val="0"/>
      <w:divBdr>
        <w:top w:val="none" w:sz="0" w:space="0" w:color="auto"/>
        <w:left w:val="none" w:sz="0" w:space="0" w:color="auto"/>
        <w:bottom w:val="none" w:sz="0" w:space="0" w:color="auto"/>
        <w:right w:val="none" w:sz="0" w:space="0" w:color="auto"/>
      </w:divBdr>
    </w:div>
    <w:div w:id="641545016">
      <w:bodyDiv w:val="1"/>
      <w:marLeft w:val="0"/>
      <w:marRight w:val="0"/>
      <w:marTop w:val="0"/>
      <w:marBottom w:val="0"/>
      <w:divBdr>
        <w:top w:val="none" w:sz="0" w:space="0" w:color="auto"/>
        <w:left w:val="none" w:sz="0" w:space="0" w:color="auto"/>
        <w:bottom w:val="none" w:sz="0" w:space="0" w:color="auto"/>
        <w:right w:val="none" w:sz="0" w:space="0" w:color="auto"/>
      </w:divBdr>
    </w:div>
    <w:div w:id="641887280">
      <w:bodyDiv w:val="1"/>
      <w:marLeft w:val="0"/>
      <w:marRight w:val="0"/>
      <w:marTop w:val="0"/>
      <w:marBottom w:val="0"/>
      <w:divBdr>
        <w:top w:val="none" w:sz="0" w:space="0" w:color="auto"/>
        <w:left w:val="none" w:sz="0" w:space="0" w:color="auto"/>
        <w:bottom w:val="none" w:sz="0" w:space="0" w:color="auto"/>
        <w:right w:val="none" w:sz="0" w:space="0" w:color="auto"/>
      </w:divBdr>
    </w:div>
    <w:div w:id="642079462">
      <w:bodyDiv w:val="1"/>
      <w:marLeft w:val="0"/>
      <w:marRight w:val="0"/>
      <w:marTop w:val="0"/>
      <w:marBottom w:val="0"/>
      <w:divBdr>
        <w:top w:val="none" w:sz="0" w:space="0" w:color="auto"/>
        <w:left w:val="none" w:sz="0" w:space="0" w:color="auto"/>
        <w:bottom w:val="none" w:sz="0" w:space="0" w:color="auto"/>
        <w:right w:val="none" w:sz="0" w:space="0" w:color="auto"/>
      </w:divBdr>
    </w:div>
    <w:div w:id="642462534">
      <w:bodyDiv w:val="1"/>
      <w:marLeft w:val="0"/>
      <w:marRight w:val="0"/>
      <w:marTop w:val="0"/>
      <w:marBottom w:val="0"/>
      <w:divBdr>
        <w:top w:val="none" w:sz="0" w:space="0" w:color="auto"/>
        <w:left w:val="none" w:sz="0" w:space="0" w:color="auto"/>
        <w:bottom w:val="none" w:sz="0" w:space="0" w:color="auto"/>
        <w:right w:val="none" w:sz="0" w:space="0" w:color="auto"/>
      </w:divBdr>
    </w:div>
    <w:div w:id="642541404">
      <w:bodyDiv w:val="1"/>
      <w:marLeft w:val="0"/>
      <w:marRight w:val="0"/>
      <w:marTop w:val="0"/>
      <w:marBottom w:val="0"/>
      <w:divBdr>
        <w:top w:val="none" w:sz="0" w:space="0" w:color="auto"/>
        <w:left w:val="none" w:sz="0" w:space="0" w:color="auto"/>
        <w:bottom w:val="none" w:sz="0" w:space="0" w:color="auto"/>
        <w:right w:val="none" w:sz="0" w:space="0" w:color="auto"/>
      </w:divBdr>
    </w:div>
    <w:div w:id="643852845">
      <w:bodyDiv w:val="1"/>
      <w:marLeft w:val="0"/>
      <w:marRight w:val="0"/>
      <w:marTop w:val="0"/>
      <w:marBottom w:val="0"/>
      <w:divBdr>
        <w:top w:val="none" w:sz="0" w:space="0" w:color="auto"/>
        <w:left w:val="none" w:sz="0" w:space="0" w:color="auto"/>
        <w:bottom w:val="none" w:sz="0" w:space="0" w:color="auto"/>
        <w:right w:val="none" w:sz="0" w:space="0" w:color="auto"/>
      </w:divBdr>
    </w:div>
    <w:div w:id="644165025">
      <w:bodyDiv w:val="1"/>
      <w:marLeft w:val="0"/>
      <w:marRight w:val="0"/>
      <w:marTop w:val="0"/>
      <w:marBottom w:val="0"/>
      <w:divBdr>
        <w:top w:val="none" w:sz="0" w:space="0" w:color="auto"/>
        <w:left w:val="none" w:sz="0" w:space="0" w:color="auto"/>
        <w:bottom w:val="none" w:sz="0" w:space="0" w:color="auto"/>
        <w:right w:val="none" w:sz="0" w:space="0" w:color="auto"/>
      </w:divBdr>
    </w:div>
    <w:div w:id="644972236">
      <w:bodyDiv w:val="1"/>
      <w:marLeft w:val="0"/>
      <w:marRight w:val="0"/>
      <w:marTop w:val="0"/>
      <w:marBottom w:val="0"/>
      <w:divBdr>
        <w:top w:val="none" w:sz="0" w:space="0" w:color="auto"/>
        <w:left w:val="none" w:sz="0" w:space="0" w:color="auto"/>
        <w:bottom w:val="none" w:sz="0" w:space="0" w:color="auto"/>
        <w:right w:val="none" w:sz="0" w:space="0" w:color="auto"/>
      </w:divBdr>
    </w:div>
    <w:div w:id="645202683">
      <w:bodyDiv w:val="1"/>
      <w:marLeft w:val="0"/>
      <w:marRight w:val="0"/>
      <w:marTop w:val="0"/>
      <w:marBottom w:val="0"/>
      <w:divBdr>
        <w:top w:val="none" w:sz="0" w:space="0" w:color="auto"/>
        <w:left w:val="none" w:sz="0" w:space="0" w:color="auto"/>
        <w:bottom w:val="none" w:sz="0" w:space="0" w:color="auto"/>
        <w:right w:val="none" w:sz="0" w:space="0" w:color="auto"/>
      </w:divBdr>
    </w:div>
    <w:div w:id="645549692">
      <w:bodyDiv w:val="1"/>
      <w:marLeft w:val="0"/>
      <w:marRight w:val="0"/>
      <w:marTop w:val="0"/>
      <w:marBottom w:val="0"/>
      <w:divBdr>
        <w:top w:val="none" w:sz="0" w:space="0" w:color="auto"/>
        <w:left w:val="none" w:sz="0" w:space="0" w:color="auto"/>
        <w:bottom w:val="none" w:sz="0" w:space="0" w:color="auto"/>
        <w:right w:val="none" w:sz="0" w:space="0" w:color="auto"/>
      </w:divBdr>
    </w:div>
    <w:div w:id="645938271">
      <w:bodyDiv w:val="1"/>
      <w:marLeft w:val="0"/>
      <w:marRight w:val="0"/>
      <w:marTop w:val="0"/>
      <w:marBottom w:val="0"/>
      <w:divBdr>
        <w:top w:val="none" w:sz="0" w:space="0" w:color="auto"/>
        <w:left w:val="none" w:sz="0" w:space="0" w:color="auto"/>
        <w:bottom w:val="none" w:sz="0" w:space="0" w:color="auto"/>
        <w:right w:val="none" w:sz="0" w:space="0" w:color="auto"/>
      </w:divBdr>
    </w:div>
    <w:div w:id="646858426">
      <w:bodyDiv w:val="1"/>
      <w:marLeft w:val="0"/>
      <w:marRight w:val="0"/>
      <w:marTop w:val="0"/>
      <w:marBottom w:val="0"/>
      <w:divBdr>
        <w:top w:val="none" w:sz="0" w:space="0" w:color="auto"/>
        <w:left w:val="none" w:sz="0" w:space="0" w:color="auto"/>
        <w:bottom w:val="none" w:sz="0" w:space="0" w:color="auto"/>
        <w:right w:val="none" w:sz="0" w:space="0" w:color="auto"/>
      </w:divBdr>
    </w:div>
    <w:div w:id="647395489">
      <w:bodyDiv w:val="1"/>
      <w:marLeft w:val="0"/>
      <w:marRight w:val="0"/>
      <w:marTop w:val="0"/>
      <w:marBottom w:val="0"/>
      <w:divBdr>
        <w:top w:val="none" w:sz="0" w:space="0" w:color="auto"/>
        <w:left w:val="none" w:sz="0" w:space="0" w:color="auto"/>
        <w:bottom w:val="none" w:sz="0" w:space="0" w:color="auto"/>
        <w:right w:val="none" w:sz="0" w:space="0" w:color="auto"/>
      </w:divBdr>
    </w:div>
    <w:div w:id="647591819">
      <w:bodyDiv w:val="1"/>
      <w:marLeft w:val="0"/>
      <w:marRight w:val="0"/>
      <w:marTop w:val="0"/>
      <w:marBottom w:val="0"/>
      <w:divBdr>
        <w:top w:val="none" w:sz="0" w:space="0" w:color="auto"/>
        <w:left w:val="none" w:sz="0" w:space="0" w:color="auto"/>
        <w:bottom w:val="none" w:sz="0" w:space="0" w:color="auto"/>
        <w:right w:val="none" w:sz="0" w:space="0" w:color="auto"/>
      </w:divBdr>
    </w:div>
    <w:div w:id="649406227">
      <w:bodyDiv w:val="1"/>
      <w:marLeft w:val="0"/>
      <w:marRight w:val="0"/>
      <w:marTop w:val="0"/>
      <w:marBottom w:val="0"/>
      <w:divBdr>
        <w:top w:val="none" w:sz="0" w:space="0" w:color="auto"/>
        <w:left w:val="none" w:sz="0" w:space="0" w:color="auto"/>
        <w:bottom w:val="none" w:sz="0" w:space="0" w:color="auto"/>
        <w:right w:val="none" w:sz="0" w:space="0" w:color="auto"/>
      </w:divBdr>
    </w:div>
    <w:div w:id="649409117">
      <w:bodyDiv w:val="1"/>
      <w:marLeft w:val="0"/>
      <w:marRight w:val="0"/>
      <w:marTop w:val="0"/>
      <w:marBottom w:val="0"/>
      <w:divBdr>
        <w:top w:val="none" w:sz="0" w:space="0" w:color="auto"/>
        <w:left w:val="none" w:sz="0" w:space="0" w:color="auto"/>
        <w:bottom w:val="none" w:sz="0" w:space="0" w:color="auto"/>
        <w:right w:val="none" w:sz="0" w:space="0" w:color="auto"/>
      </w:divBdr>
    </w:div>
    <w:div w:id="649477155">
      <w:bodyDiv w:val="1"/>
      <w:marLeft w:val="0"/>
      <w:marRight w:val="0"/>
      <w:marTop w:val="0"/>
      <w:marBottom w:val="0"/>
      <w:divBdr>
        <w:top w:val="none" w:sz="0" w:space="0" w:color="auto"/>
        <w:left w:val="none" w:sz="0" w:space="0" w:color="auto"/>
        <w:bottom w:val="none" w:sz="0" w:space="0" w:color="auto"/>
        <w:right w:val="none" w:sz="0" w:space="0" w:color="auto"/>
      </w:divBdr>
    </w:div>
    <w:div w:id="649482046">
      <w:bodyDiv w:val="1"/>
      <w:marLeft w:val="0"/>
      <w:marRight w:val="0"/>
      <w:marTop w:val="0"/>
      <w:marBottom w:val="0"/>
      <w:divBdr>
        <w:top w:val="none" w:sz="0" w:space="0" w:color="auto"/>
        <w:left w:val="none" w:sz="0" w:space="0" w:color="auto"/>
        <w:bottom w:val="none" w:sz="0" w:space="0" w:color="auto"/>
        <w:right w:val="none" w:sz="0" w:space="0" w:color="auto"/>
      </w:divBdr>
    </w:div>
    <w:div w:id="649940400">
      <w:bodyDiv w:val="1"/>
      <w:marLeft w:val="0"/>
      <w:marRight w:val="0"/>
      <w:marTop w:val="0"/>
      <w:marBottom w:val="0"/>
      <w:divBdr>
        <w:top w:val="none" w:sz="0" w:space="0" w:color="auto"/>
        <w:left w:val="none" w:sz="0" w:space="0" w:color="auto"/>
        <w:bottom w:val="none" w:sz="0" w:space="0" w:color="auto"/>
        <w:right w:val="none" w:sz="0" w:space="0" w:color="auto"/>
      </w:divBdr>
    </w:div>
    <w:div w:id="650714243">
      <w:bodyDiv w:val="1"/>
      <w:marLeft w:val="0"/>
      <w:marRight w:val="0"/>
      <w:marTop w:val="0"/>
      <w:marBottom w:val="0"/>
      <w:divBdr>
        <w:top w:val="none" w:sz="0" w:space="0" w:color="auto"/>
        <w:left w:val="none" w:sz="0" w:space="0" w:color="auto"/>
        <w:bottom w:val="none" w:sz="0" w:space="0" w:color="auto"/>
        <w:right w:val="none" w:sz="0" w:space="0" w:color="auto"/>
      </w:divBdr>
    </w:div>
    <w:div w:id="650718219">
      <w:bodyDiv w:val="1"/>
      <w:marLeft w:val="0"/>
      <w:marRight w:val="0"/>
      <w:marTop w:val="0"/>
      <w:marBottom w:val="0"/>
      <w:divBdr>
        <w:top w:val="none" w:sz="0" w:space="0" w:color="auto"/>
        <w:left w:val="none" w:sz="0" w:space="0" w:color="auto"/>
        <w:bottom w:val="none" w:sz="0" w:space="0" w:color="auto"/>
        <w:right w:val="none" w:sz="0" w:space="0" w:color="auto"/>
      </w:divBdr>
    </w:div>
    <w:div w:id="651494618">
      <w:bodyDiv w:val="1"/>
      <w:marLeft w:val="0"/>
      <w:marRight w:val="0"/>
      <w:marTop w:val="0"/>
      <w:marBottom w:val="0"/>
      <w:divBdr>
        <w:top w:val="none" w:sz="0" w:space="0" w:color="auto"/>
        <w:left w:val="none" w:sz="0" w:space="0" w:color="auto"/>
        <w:bottom w:val="none" w:sz="0" w:space="0" w:color="auto"/>
        <w:right w:val="none" w:sz="0" w:space="0" w:color="auto"/>
      </w:divBdr>
    </w:div>
    <w:div w:id="651914009">
      <w:bodyDiv w:val="1"/>
      <w:marLeft w:val="0"/>
      <w:marRight w:val="0"/>
      <w:marTop w:val="0"/>
      <w:marBottom w:val="0"/>
      <w:divBdr>
        <w:top w:val="none" w:sz="0" w:space="0" w:color="auto"/>
        <w:left w:val="none" w:sz="0" w:space="0" w:color="auto"/>
        <w:bottom w:val="none" w:sz="0" w:space="0" w:color="auto"/>
        <w:right w:val="none" w:sz="0" w:space="0" w:color="auto"/>
      </w:divBdr>
    </w:div>
    <w:div w:id="652173497">
      <w:bodyDiv w:val="1"/>
      <w:marLeft w:val="0"/>
      <w:marRight w:val="0"/>
      <w:marTop w:val="0"/>
      <w:marBottom w:val="0"/>
      <w:divBdr>
        <w:top w:val="none" w:sz="0" w:space="0" w:color="auto"/>
        <w:left w:val="none" w:sz="0" w:space="0" w:color="auto"/>
        <w:bottom w:val="none" w:sz="0" w:space="0" w:color="auto"/>
        <w:right w:val="none" w:sz="0" w:space="0" w:color="auto"/>
      </w:divBdr>
    </w:div>
    <w:div w:id="652955136">
      <w:bodyDiv w:val="1"/>
      <w:marLeft w:val="0"/>
      <w:marRight w:val="0"/>
      <w:marTop w:val="0"/>
      <w:marBottom w:val="0"/>
      <w:divBdr>
        <w:top w:val="none" w:sz="0" w:space="0" w:color="auto"/>
        <w:left w:val="none" w:sz="0" w:space="0" w:color="auto"/>
        <w:bottom w:val="none" w:sz="0" w:space="0" w:color="auto"/>
        <w:right w:val="none" w:sz="0" w:space="0" w:color="auto"/>
      </w:divBdr>
    </w:div>
    <w:div w:id="654921888">
      <w:bodyDiv w:val="1"/>
      <w:marLeft w:val="0"/>
      <w:marRight w:val="0"/>
      <w:marTop w:val="0"/>
      <w:marBottom w:val="0"/>
      <w:divBdr>
        <w:top w:val="none" w:sz="0" w:space="0" w:color="auto"/>
        <w:left w:val="none" w:sz="0" w:space="0" w:color="auto"/>
        <w:bottom w:val="none" w:sz="0" w:space="0" w:color="auto"/>
        <w:right w:val="none" w:sz="0" w:space="0" w:color="auto"/>
      </w:divBdr>
    </w:div>
    <w:div w:id="655495112">
      <w:bodyDiv w:val="1"/>
      <w:marLeft w:val="0"/>
      <w:marRight w:val="0"/>
      <w:marTop w:val="0"/>
      <w:marBottom w:val="0"/>
      <w:divBdr>
        <w:top w:val="none" w:sz="0" w:space="0" w:color="auto"/>
        <w:left w:val="none" w:sz="0" w:space="0" w:color="auto"/>
        <w:bottom w:val="none" w:sz="0" w:space="0" w:color="auto"/>
        <w:right w:val="none" w:sz="0" w:space="0" w:color="auto"/>
      </w:divBdr>
    </w:div>
    <w:div w:id="655956212">
      <w:bodyDiv w:val="1"/>
      <w:marLeft w:val="0"/>
      <w:marRight w:val="0"/>
      <w:marTop w:val="0"/>
      <w:marBottom w:val="0"/>
      <w:divBdr>
        <w:top w:val="none" w:sz="0" w:space="0" w:color="auto"/>
        <w:left w:val="none" w:sz="0" w:space="0" w:color="auto"/>
        <w:bottom w:val="none" w:sz="0" w:space="0" w:color="auto"/>
        <w:right w:val="none" w:sz="0" w:space="0" w:color="auto"/>
      </w:divBdr>
    </w:div>
    <w:div w:id="656299872">
      <w:bodyDiv w:val="1"/>
      <w:marLeft w:val="0"/>
      <w:marRight w:val="0"/>
      <w:marTop w:val="0"/>
      <w:marBottom w:val="0"/>
      <w:divBdr>
        <w:top w:val="none" w:sz="0" w:space="0" w:color="auto"/>
        <w:left w:val="none" w:sz="0" w:space="0" w:color="auto"/>
        <w:bottom w:val="none" w:sz="0" w:space="0" w:color="auto"/>
        <w:right w:val="none" w:sz="0" w:space="0" w:color="auto"/>
      </w:divBdr>
    </w:div>
    <w:div w:id="657271818">
      <w:bodyDiv w:val="1"/>
      <w:marLeft w:val="0"/>
      <w:marRight w:val="0"/>
      <w:marTop w:val="0"/>
      <w:marBottom w:val="0"/>
      <w:divBdr>
        <w:top w:val="none" w:sz="0" w:space="0" w:color="auto"/>
        <w:left w:val="none" w:sz="0" w:space="0" w:color="auto"/>
        <w:bottom w:val="none" w:sz="0" w:space="0" w:color="auto"/>
        <w:right w:val="none" w:sz="0" w:space="0" w:color="auto"/>
      </w:divBdr>
    </w:div>
    <w:div w:id="657343727">
      <w:bodyDiv w:val="1"/>
      <w:marLeft w:val="0"/>
      <w:marRight w:val="0"/>
      <w:marTop w:val="0"/>
      <w:marBottom w:val="0"/>
      <w:divBdr>
        <w:top w:val="none" w:sz="0" w:space="0" w:color="auto"/>
        <w:left w:val="none" w:sz="0" w:space="0" w:color="auto"/>
        <w:bottom w:val="none" w:sz="0" w:space="0" w:color="auto"/>
        <w:right w:val="none" w:sz="0" w:space="0" w:color="auto"/>
      </w:divBdr>
    </w:div>
    <w:div w:id="657349488">
      <w:bodyDiv w:val="1"/>
      <w:marLeft w:val="0"/>
      <w:marRight w:val="0"/>
      <w:marTop w:val="0"/>
      <w:marBottom w:val="0"/>
      <w:divBdr>
        <w:top w:val="none" w:sz="0" w:space="0" w:color="auto"/>
        <w:left w:val="none" w:sz="0" w:space="0" w:color="auto"/>
        <w:bottom w:val="none" w:sz="0" w:space="0" w:color="auto"/>
        <w:right w:val="none" w:sz="0" w:space="0" w:color="auto"/>
      </w:divBdr>
    </w:div>
    <w:div w:id="657466105">
      <w:bodyDiv w:val="1"/>
      <w:marLeft w:val="0"/>
      <w:marRight w:val="0"/>
      <w:marTop w:val="0"/>
      <w:marBottom w:val="0"/>
      <w:divBdr>
        <w:top w:val="none" w:sz="0" w:space="0" w:color="auto"/>
        <w:left w:val="none" w:sz="0" w:space="0" w:color="auto"/>
        <w:bottom w:val="none" w:sz="0" w:space="0" w:color="auto"/>
        <w:right w:val="none" w:sz="0" w:space="0" w:color="auto"/>
      </w:divBdr>
    </w:div>
    <w:div w:id="657731382">
      <w:bodyDiv w:val="1"/>
      <w:marLeft w:val="0"/>
      <w:marRight w:val="0"/>
      <w:marTop w:val="0"/>
      <w:marBottom w:val="0"/>
      <w:divBdr>
        <w:top w:val="none" w:sz="0" w:space="0" w:color="auto"/>
        <w:left w:val="none" w:sz="0" w:space="0" w:color="auto"/>
        <w:bottom w:val="none" w:sz="0" w:space="0" w:color="auto"/>
        <w:right w:val="none" w:sz="0" w:space="0" w:color="auto"/>
      </w:divBdr>
    </w:div>
    <w:div w:id="657920208">
      <w:bodyDiv w:val="1"/>
      <w:marLeft w:val="0"/>
      <w:marRight w:val="0"/>
      <w:marTop w:val="0"/>
      <w:marBottom w:val="0"/>
      <w:divBdr>
        <w:top w:val="none" w:sz="0" w:space="0" w:color="auto"/>
        <w:left w:val="none" w:sz="0" w:space="0" w:color="auto"/>
        <w:bottom w:val="none" w:sz="0" w:space="0" w:color="auto"/>
        <w:right w:val="none" w:sz="0" w:space="0" w:color="auto"/>
      </w:divBdr>
    </w:div>
    <w:div w:id="658196483">
      <w:bodyDiv w:val="1"/>
      <w:marLeft w:val="0"/>
      <w:marRight w:val="0"/>
      <w:marTop w:val="0"/>
      <w:marBottom w:val="0"/>
      <w:divBdr>
        <w:top w:val="none" w:sz="0" w:space="0" w:color="auto"/>
        <w:left w:val="none" w:sz="0" w:space="0" w:color="auto"/>
        <w:bottom w:val="none" w:sz="0" w:space="0" w:color="auto"/>
        <w:right w:val="none" w:sz="0" w:space="0" w:color="auto"/>
      </w:divBdr>
    </w:div>
    <w:div w:id="658386915">
      <w:bodyDiv w:val="1"/>
      <w:marLeft w:val="0"/>
      <w:marRight w:val="0"/>
      <w:marTop w:val="0"/>
      <w:marBottom w:val="0"/>
      <w:divBdr>
        <w:top w:val="none" w:sz="0" w:space="0" w:color="auto"/>
        <w:left w:val="none" w:sz="0" w:space="0" w:color="auto"/>
        <w:bottom w:val="none" w:sz="0" w:space="0" w:color="auto"/>
        <w:right w:val="none" w:sz="0" w:space="0" w:color="auto"/>
      </w:divBdr>
    </w:div>
    <w:div w:id="660499495">
      <w:bodyDiv w:val="1"/>
      <w:marLeft w:val="0"/>
      <w:marRight w:val="0"/>
      <w:marTop w:val="0"/>
      <w:marBottom w:val="0"/>
      <w:divBdr>
        <w:top w:val="none" w:sz="0" w:space="0" w:color="auto"/>
        <w:left w:val="none" w:sz="0" w:space="0" w:color="auto"/>
        <w:bottom w:val="none" w:sz="0" w:space="0" w:color="auto"/>
        <w:right w:val="none" w:sz="0" w:space="0" w:color="auto"/>
      </w:divBdr>
    </w:div>
    <w:div w:id="660742219">
      <w:bodyDiv w:val="1"/>
      <w:marLeft w:val="0"/>
      <w:marRight w:val="0"/>
      <w:marTop w:val="0"/>
      <w:marBottom w:val="0"/>
      <w:divBdr>
        <w:top w:val="none" w:sz="0" w:space="0" w:color="auto"/>
        <w:left w:val="none" w:sz="0" w:space="0" w:color="auto"/>
        <w:bottom w:val="none" w:sz="0" w:space="0" w:color="auto"/>
        <w:right w:val="none" w:sz="0" w:space="0" w:color="auto"/>
      </w:divBdr>
    </w:div>
    <w:div w:id="661078526">
      <w:bodyDiv w:val="1"/>
      <w:marLeft w:val="0"/>
      <w:marRight w:val="0"/>
      <w:marTop w:val="0"/>
      <w:marBottom w:val="0"/>
      <w:divBdr>
        <w:top w:val="none" w:sz="0" w:space="0" w:color="auto"/>
        <w:left w:val="none" w:sz="0" w:space="0" w:color="auto"/>
        <w:bottom w:val="none" w:sz="0" w:space="0" w:color="auto"/>
        <w:right w:val="none" w:sz="0" w:space="0" w:color="auto"/>
      </w:divBdr>
    </w:div>
    <w:div w:id="661128674">
      <w:bodyDiv w:val="1"/>
      <w:marLeft w:val="0"/>
      <w:marRight w:val="0"/>
      <w:marTop w:val="0"/>
      <w:marBottom w:val="0"/>
      <w:divBdr>
        <w:top w:val="none" w:sz="0" w:space="0" w:color="auto"/>
        <w:left w:val="none" w:sz="0" w:space="0" w:color="auto"/>
        <w:bottom w:val="none" w:sz="0" w:space="0" w:color="auto"/>
        <w:right w:val="none" w:sz="0" w:space="0" w:color="auto"/>
      </w:divBdr>
    </w:div>
    <w:div w:id="661130613">
      <w:bodyDiv w:val="1"/>
      <w:marLeft w:val="0"/>
      <w:marRight w:val="0"/>
      <w:marTop w:val="0"/>
      <w:marBottom w:val="0"/>
      <w:divBdr>
        <w:top w:val="none" w:sz="0" w:space="0" w:color="auto"/>
        <w:left w:val="none" w:sz="0" w:space="0" w:color="auto"/>
        <w:bottom w:val="none" w:sz="0" w:space="0" w:color="auto"/>
        <w:right w:val="none" w:sz="0" w:space="0" w:color="auto"/>
      </w:divBdr>
    </w:div>
    <w:div w:id="661658521">
      <w:bodyDiv w:val="1"/>
      <w:marLeft w:val="0"/>
      <w:marRight w:val="0"/>
      <w:marTop w:val="0"/>
      <w:marBottom w:val="0"/>
      <w:divBdr>
        <w:top w:val="none" w:sz="0" w:space="0" w:color="auto"/>
        <w:left w:val="none" w:sz="0" w:space="0" w:color="auto"/>
        <w:bottom w:val="none" w:sz="0" w:space="0" w:color="auto"/>
        <w:right w:val="none" w:sz="0" w:space="0" w:color="auto"/>
      </w:divBdr>
    </w:div>
    <w:div w:id="661859200">
      <w:bodyDiv w:val="1"/>
      <w:marLeft w:val="0"/>
      <w:marRight w:val="0"/>
      <w:marTop w:val="0"/>
      <w:marBottom w:val="0"/>
      <w:divBdr>
        <w:top w:val="none" w:sz="0" w:space="0" w:color="auto"/>
        <w:left w:val="none" w:sz="0" w:space="0" w:color="auto"/>
        <w:bottom w:val="none" w:sz="0" w:space="0" w:color="auto"/>
        <w:right w:val="none" w:sz="0" w:space="0" w:color="auto"/>
      </w:divBdr>
    </w:div>
    <w:div w:id="661929816">
      <w:bodyDiv w:val="1"/>
      <w:marLeft w:val="0"/>
      <w:marRight w:val="0"/>
      <w:marTop w:val="0"/>
      <w:marBottom w:val="0"/>
      <w:divBdr>
        <w:top w:val="none" w:sz="0" w:space="0" w:color="auto"/>
        <w:left w:val="none" w:sz="0" w:space="0" w:color="auto"/>
        <w:bottom w:val="none" w:sz="0" w:space="0" w:color="auto"/>
        <w:right w:val="none" w:sz="0" w:space="0" w:color="auto"/>
      </w:divBdr>
    </w:div>
    <w:div w:id="662203837">
      <w:bodyDiv w:val="1"/>
      <w:marLeft w:val="0"/>
      <w:marRight w:val="0"/>
      <w:marTop w:val="0"/>
      <w:marBottom w:val="0"/>
      <w:divBdr>
        <w:top w:val="none" w:sz="0" w:space="0" w:color="auto"/>
        <w:left w:val="none" w:sz="0" w:space="0" w:color="auto"/>
        <w:bottom w:val="none" w:sz="0" w:space="0" w:color="auto"/>
        <w:right w:val="none" w:sz="0" w:space="0" w:color="auto"/>
      </w:divBdr>
    </w:div>
    <w:div w:id="664017902">
      <w:bodyDiv w:val="1"/>
      <w:marLeft w:val="0"/>
      <w:marRight w:val="0"/>
      <w:marTop w:val="0"/>
      <w:marBottom w:val="0"/>
      <w:divBdr>
        <w:top w:val="none" w:sz="0" w:space="0" w:color="auto"/>
        <w:left w:val="none" w:sz="0" w:space="0" w:color="auto"/>
        <w:bottom w:val="none" w:sz="0" w:space="0" w:color="auto"/>
        <w:right w:val="none" w:sz="0" w:space="0" w:color="auto"/>
      </w:divBdr>
    </w:div>
    <w:div w:id="664089270">
      <w:bodyDiv w:val="1"/>
      <w:marLeft w:val="0"/>
      <w:marRight w:val="0"/>
      <w:marTop w:val="0"/>
      <w:marBottom w:val="0"/>
      <w:divBdr>
        <w:top w:val="none" w:sz="0" w:space="0" w:color="auto"/>
        <w:left w:val="none" w:sz="0" w:space="0" w:color="auto"/>
        <w:bottom w:val="none" w:sz="0" w:space="0" w:color="auto"/>
        <w:right w:val="none" w:sz="0" w:space="0" w:color="auto"/>
      </w:divBdr>
    </w:div>
    <w:div w:id="664432724">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665209816">
      <w:bodyDiv w:val="1"/>
      <w:marLeft w:val="0"/>
      <w:marRight w:val="0"/>
      <w:marTop w:val="0"/>
      <w:marBottom w:val="0"/>
      <w:divBdr>
        <w:top w:val="none" w:sz="0" w:space="0" w:color="auto"/>
        <w:left w:val="none" w:sz="0" w:space="0" w:color="auto"/>
        <w:bottom w:val="none" w:sz="0" w:space="0" w:color="auto"/>
        <w:right w:val="none" w:sz="0" w:space="0" w:color="auto"/>
      </w:divBdr>
    </w:div>
    <w:div w:id="665860468">
      <w:bodyDiv w:val="1"/>
      <w:marLeft w:val="0"/>
      <w:marRight w:val="0"/>
      <w:marTop w:val="0"/>
      <w:marBottom w:val="0"/>
      <w:divBdr>
        <w:top w:val="none" w:sz="0" w:space="0" w:color="auto"/>
        <w:left w:val="none" w:sz="0" w:space="0" w:color="auto"/>
        <w:bottom w:val="none" w:sz="0" w:space="0" w:color="auto"/>
        <w:right w:val="none" w:sz="0" w:space="0" w:color="auto"/>
      </w:divBdr>
    </w:div>
    <w:div w:id="665980009">
      <w:bodyDiv w:val="1"/>
      <w:marLeft w:val="0"/>
      <w:marRight w:val="0"/>
      <w:marTop w:val="0"/>
      <w:marBottom w:val="0"/>
      <w:divBdr>
        <w:top w:val="none" w:sz="0" w:space="0" w:color="auto"/>
        <w:left w:val="none" w:sz="0" w:space="0" w:color="auto"/>
        <w:bottom w:val="none" w:sz="0" w:space="0" w:color="auto"/>
        <w:right w:val="none" w:sz="0" w:space="0" w:color="auto"/>
      </w:divBdr>
    </w:div>
    <w:div w:id="668286585">
      <w:bodyDiv w:val="1"/>
      <w:marLeft w:val="0"/>
      <w:marRight w:val="0"/>
      <w:marTop w:val="0"/>
      <w:marBottom w:val="0"/>
      <w:divBdr>
        <w:top w:val="none" w:sz="0" w:space="0" w:color="auto"/>
        <w:left w:val="none" w:sz="0" w:space="0" w:color="auto"/>
        <w:bottom w:val="none" w:sz="0" w:space="0" w:color="auto"/>
        <w:right w:val="none" w:sz="0" w:space="0" w:color="auto"/>
      </w:divBdr>
    </w:div>
    <w:div w:id="668564421">
      <w:bodyDiv w:val="1"/>
      <w:marLeft w:val="0"/>
      <w:marRight w:val="0"/>
      <w:marTop w:val="0"/>
      <w:marBottom w:val="0"/>
      <w:divBdr>
        <w:top w:val="none" w:sz="0" w:space="0" w:color="auto"/>
        <w:left w:val="none" w:sz="0" w:space="0" w:color="auto"/>
        <w:bottom w:val="none" w:sz="0" w:space="0" w:color="auto"/>
        <w:right w:val="none" w:sz="0" w:space="0" w:color="auto"/>
      </w:divBdr>
    </w:div>
    <w:div w:id="669059542">
      <w:bodyDiv w:val="1"/>
      <w:marLeft w:val="0"/>
      <w:marRight w:val="0"/>
      <w:marTop w:val="0"/>
      <w:marBottom w:val="0"/>
      <w:divBdr>
        <w:top w:val="none" w:sz="0" w:space="0" w:color="auto"/>
        <w:left w:val="none" w:sz="0" w:space="0" w:color="auto"/>
        <w:bottom w:val="none" w:sz="0" w:space="0" w:color="auto"/>
        <w:right w:val="none" w:sz="0" w:space="0" w:color="auto"/>
      </w:divBdr>
    </w:div>
    <w:div w:id="669451411">
      <w:bodyDiv w:val="1"/>
      <w:marLeft w:val="0"/>
      <w:marRight w:val="0"/>
      <w:marTop w:val="0"/>
      <w:marBottom w:val="0"/>
      <w:divBdr>
        <w:top w:val="none" w:sz="0" w:space="0" w:color="auto"/>
        <w:left w:val="none" w:sz="0" w:space="0" w:color="auto"/>
        <w:bottom w:val="none" w:sz="0" w:space="0" w:color="auto"/>
        <w:right w:val="none" w:sz="0" w:space="0" w:color="auto"/>
      </w:divBdr>
    </w:div>
    <w:div w:id="669792708">
      <w:bodyDiv w:val="1"/>
      <w:marLeft w:val="0"/>
      <w:marRight w:val="0"/>
      <w:marTop w:val="0"/>
      <w:marBottom w:val="0"/>
      <w:divBdr>
        <w:top w:val="none" w:sz="0" w:space="0" w:color="auto"/>
        <w:left w:val="none" w:sz="0" w:space="0" w:color="auto"/>
        <w:bottom w:val="none" w:sz="0" w:space="0" w:color="auto"/>
        <w:right w:val="none" w:sz="0" w:space="0" w:color="auto"/>
      </w:divBdr>
    </w:div>
    <w:div w:id="670182939">
      <w:bodyDiv w:val="1"/>
      <w:marLeft w:val="0"/>
      <w:marRight w:val="0"/>
      <w:marTop w:val="0"/>
      <w:marBottom w:val="0"/>
      <w:divBdr>
        <w:top w:val="none" w:sz="0" w:space="0" w:color="auto"/>
        <w:left w:val="none" w:sz="0" w:space="0" w:color="auto"/>
        <w:bottom w:val="none" w:sz="0" w:space="0" w:color="auto"/>
        <w:right w:val="none" w:sz="0" w:space="0" w:color="auto"/>
      </w:divBdr>
    </w:div>
    <w:div w:id="670833943">
      <w:bodyDiv w:val="1"/>
      <w:marLeft w:val="0"/>
      <w:marRight w:val="0"/>
      <w:marTop w:val="0"/>
      <w:marBottom w:val="0"/>
      <w:divBdr>
        <w:top w:val="none" w:sz="0" w:space="0" w:color="auto"/>
        <w:left w:val="none" w:sz="0" w:space="0" w:color="auto"/>
        <w:bottom w:val="none" w:sz="0" w:space="0" w:color="auto"/>
        <w:right w:val="none" w:sz="0" w:space="0" w:color="auto"/>
      </w:divBdr>
    </w:div>
    <w:div w:id="671762754">
      <w:bodyDiv w:val="1"/>
      <w:marLeft w:val="0"/>
      <w:marRight w:val="0"/>
      <w:marTop w:val="0"/>
      <w:marBottom w:val="0"/>
      <w:divBdr>
        <w:top w:val="none" w:sz="0" w:space="0" w:color="auto"/>
        <w:left w:val="none" w:sz="0" w:space="0" w:color="auto"/>
        <w:bottom w:val="none" w:sz="0" w:space="0" w:color="auto"/>
        <w:right w:val="none" w:sz="0" w:space="0" w:color="auto"/>
      </w:divBdr>
    </w:div>
    <w:div w:id="672344289">
      <w:bodyDiv w:val="1"/>
      <w:marLeft w:val="0"/>
      <w:marRight w:val="0"/>
      <w:marTop w:val="0"/>
      <w:marBottom w:val="0"/>
      <w:divBdr>
        <w:top w:val="none" w:sz="0" w:space="0" w:color="auto"/>
        <w:left w:val="none" w:sz="0" w:space="0" w:color="auto"/>
        <w:bottom w:val="none" w:sz="0" w:space="0" w:color="auto"/>
        <w:right w:val="none" w:sz="0" w:space="0" w:color="auto"/>
      </w:divBdr>
    </w:div>
    <w:div w:id="672759519">
      <w:bodyDiv w:val="1"/>
      <w:marLeft w:val="0"/>
      <w:marRight w:val="0"/>
      <w:marTop w:val="0"/>
      <w:marBottom w:val="0"/>
      <w:divBdr>
        <w:top w:val="none" w:sz="0" w:space="0" w:color="auto"/>
        <w:left w:val="none" w:sz="0" w:space="0" w:color="auto"/>
        <w:bottom w:val="none" w:sz="0" w:space="0" w:color="auto"/>
        <w:right w:val="none" w:sz="0" w:space="0" w:color="auto"/>
      </w:divBdr>
    </w:div>
    <w:div w:id="672759730">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673411079">
      <w:bodyDiv w:val="1"/>
      <w:marLeft w:val="0"/>
      <w:marRight w:val="0"/>
      <w:marTop w:val="0"/>
      <w:marBottom w:val="0"/>
      <w:divBdr>
        <w:top w:val="none" w:sz="0" w:space="0" w:color="auto"/>
        <w:left w:val="none" w:sz="0" w:space="0" w:color="auto"/>
        <w:bottom w:val="none" w:sz="0" w:space="0" w:color="auto"/>
        <w:right w:val="none" w:sz="0" w:space="0" w:color="auto"/>
      </w:divBdr>
    </w:div>
    <w:div w:id="674040523">
      <w:bodyDiv w:val="1"/>
      <w:marLeft w:val="0"/>
      <w:marRight w:val="0"/>
      <w:marTop w:val="0"/>
      <w:marBottom w:val="0"/>
      <w:divBdr>
        <w:top w:val="none" w:sz="0" w:space="0" w:color="auto"/>
        <w:left w:val="none" w:sz="0" w:space="0" w:color="auto"/>
        <w:bottom w:val="none" w:sz="0" w:space="0" w:color="auto"/>
        <w:right w:val="none" w:sz="0" w:space="0" w:color="auto"/>
      </w:divBdr>
    </w:div>
    <w:div w:id="674384201">
      <w:bodyDiv w:val="1"/>
      <w:marLeft w:val="0"/>
      <w:marRight w:val="0"/>
      <w:marTop w:val="0"/>
      <w:marBottom w:val="0"/>
      <w:divBdr>
        <w:top w:val="none" w:sz="0" w:space="0" w:color="auto"/>
        <w:left w:val="none" w:sz="0" w:space="0" w:color="auto"/>
        <w:bottom w:val="none" w:sz="0" w:space="0" w:color="auto"/>
        <w:right w:val="none" w:sz="0" w:space="0" w:color="auto"/>
      </w:divBdr>
    </w:div>
    <w:div w:id="675107783">
      <w:bodyDiv w:val="1"/>
      <w:marLeft w:val="0"/>
      <w:marRight w:val="0"/>
      <w:marTop w:val="0"/>
      <w:marBottom w:val="0"/>
      <w:divBdr>
        <w:top w:val="none" w:sz="0" w:space="0" w:color="auto"/>
        <w:left w:val="none" w:sz="0" w:space="0" w:color="auto"/>
        <w:bottom w:val="none" w:sz="0" w:space="0" w:color="auto"/>
        <w:right w:val="none" w:sz="0" w:space="0" w:color="auto"/>
      </w:divBdr>
    </w:div>
    <w:div w:id="675889238">
      <w:bodyDiv w:val="1"/>
      <w:marLeft w:val="0"/>
      <w:marRight w:val="0"/>
      <w:marTop w:val="0"/>
      <w:marBottom w:val="0"/>
      <w:divBdr>
        <w:top w:val="none" w:sz="0" w:space="0" w:color="auto"/>
        <w:left w:val="none" w:sz="0" w:space="0" w:color="auto"/>
        <w:bottom w:val="none" w:sz="0" w:space="0" w:color="auto"/>
        <w:right w:val="none" w:sz="0" w:space="0" w:color="auto"/>
      </w:divBdr>
    </w:div>
    <w:div w:id="676079684">
      <w:bodyDiv w:val="1"/>
      <w:marLeft w:val="0"/>
      <w:marRight w:val="0"/>
      <w:marTop w:val="0"/>
      <w:marBottom w:val="0"/>
      <w:divBdr>
        <w:top w:val="none" w:sz="0" w:space="0" w:color="auto"/>
        <w:left w:val="none" w:sz="0" w:space="0" w:color="auto"/>
        <w:bottom w:val="none" w:sz="0" w:space="0" w:color="auto"/>
        <w:right w:val="none" w:sz="0" w:space="0" w:color="auto"/>
      </w:divBdr>
    </w:div>
    <w:div w:id="676155788">
      <w:bodyDiv w:val="1"/>
      <w:marLeft w:val="0"/>
      <w:marRight w:val="0"/>
      <w:marTop w:val="0"/>
      <w:marBottom w:val="0"/>
      <w:divBdr>
        <w:top w:val="none" w:sz="0" w:space="0" w:color="auto"/>
        <w:left w:val="none" w:sz="0" w:space="0" w:color="auto"/>
        <w:bottom w:val="none" w:sz="0" w:space="0" w:color="auto"/>
        <w:right w:val="none" w:sz="0" w:space="0" w:color="auto"/>
      </w:divBdr>
    </w:div>
    <w:div w:id="676468164">
      <w:bodyDiv w:val="1"/>
      <w:marLeft w:val="0"/>
      <w:marRight w:val="0"/>
      <w:marTop w:val="0"/>
      <w:marBottom w:val="0"/>
      <w:divBdr>
        <w:top w:val="none" w:sz="0" w:space="0" w:color="auto"/>
        <w:left w:val="none" w:sz="0" w:space="0" w:color="auto"/>
        <w:bottom w:val="none" w:sz="0" w:space="0" w:color="auto"/>
        <w:right w:val="none" w:sz="0" w:space="0" w:color="auto"/>
      </w:divBdr>
    </w:div>
    <w:div w:id="676538367">
      <w:bodyDiv w:val="1"/>
      <w:marLeft w:val="0"/>
      <w:marRight w:val="0"/>
      <w:marTop w:val="0"/>
      <w:marBottom w:val="0"/>
      <w:divBdr>
        <w:top w:val="none" w:sz="0" w:space="0" w:color="auto"/>
        <w:left w:val="none" w:sz="0" w:space="0" w:color="auto"/>
        <w:bottom w:val="none" w:sz="0" w:space="0" w:color="auto"/>
        <w:right w:val="none" w:sz="0" w:space="0" w:color="auto"/>
      </w:divBdr>
    </w:div>
    <w:div w:id="676882263">
      <w:bodyDiv w:val="1"/>
      <w:marLeft w:val="0"/>
      <w:marRight w:val="0"/>
      <w:marTop w:val="0"/>
      <w:marBottom w:val="0"/>
      <w:divBdr>
        <w:top w:val="none" w:sz="0" w:space="0" w:color="auto"/>
        <w:left w:val="none" w:sz="0" w:space="0" w:color="auto"/>
        <w:bottom w:val="none" w:sz="0" w:space="0" w:color="auto"/>
        <w:right w:val="none" w:sz="0" w:space="0" w:color="auto"/>
      </w:divBdr>
    </w:div>
    <w:div w:id="677661102">
      <w:bodyDiv w:val="1"/>
      <w:marLeft w:val="0"/>
      <w:marRight w:val="0"/>
      <w:marTop w:val="0"/>
      <w:marBottom w:val="0"/>
      <w:divBdr>
        <w:top w:val="none" w:sz="0" w:space="0" w:color="auto"/>
        <w:left w:val="none" w:sz="0" w:space="0" w:color="auto"/>
        <w:bottom w:val="none" w:sz="0" w:space="0" w:color="auto"/>
        <w:right w:val="none" w:sz="0" w:space="0" w:color="auto"/>
      </w:divBdr>
    </w:div>
    <w:div w:id="678118638">
      <w:bodyDiv w:val="1"/>
      <w:marLeft w:val="0"/>
      <w:marRight w:val="0"/>
      <w:marTop w:val="0"/>
      <w:marBottom w:val="0"/>
      <w:divBdr>
        <w:top w:val="none" w:sz="0" w:space="0" w:color="auto"/>
        <w:left w:val="none" w:sz="0" w:space="0" w:color="auto"/>
        <w:bottom w:val="none" w:sz="0" w:space="0" w:color="auto"/>
        <w:right w:val="none" w:sz="0" w:space="0" w:color="auto"/>
      </w:divBdr>
    </w:div>
    <w:div w:id="678317202">
      <w:bodyDiv w:val="1"/>
      <w:marLeft w:val="0"/>
      <w:marRight w:val="0"/>
      <w:marTop w:val="0"/>
      <w:marBottom w:val="0"/>
      <w:divBdr>
        <w:top w:val="none" w:sz="0" w:space="0" w:color="auto"/>
        <w:left w:val="none" w:sz="0" w:space="0" w:color="auto"/>
        <w:bottom w:val="none" w:sz="0" w:space="0" w:color="auto"/>
        <w:right w:val="none" w:sz="0" w:space="0" w:color="auto"/>
      </w:divBdr>
    </w:div>
    <w:div w:id="679552796">
      <w:bodyDiv w:val="1"/>
      <w:marLeft w:val="0"/>
      <w:marRight w:val="0"/>
      <w:marTop w:val="0"/>
      <w:marBottom w:val="0"/>
      <w:divBdr>
        <w:top w:val="none" w:sz="0" w:space="0" w:color="auto"/>
        <w:left w:val="none" w:sz="0" w:space="0" w:color="auto"/>
        <w:bottom w:val="none" w:sz="0" w:space="0" w:color="auto"/>
        <w:right w:val="none" w:sz="0" w:space="0" w:color="auto"/>
      </w:divBdr>
    </w:div>
    <w:div w:id="680594767">
      <w:bodyDiv w:val="1"/>
      <w:marLeft w:val="0"/>
      <w:marRight w:val="0"/>
      <w:marTop w:val="0"/>
      <w:marBottom w:val="0"/>
      <w:divBdr>
        <w:top w:val="none" w:sz="0" w:space="0" w:color="auto"/>
        <w:left w:val="none" w:sz="0" w:space="0" w:color="auto"/>
        <w:bottom w:val="none" w:sz="0" w:space="0" w:color="auto"/>
        <w:right w:val="none" w:sz="0" w:space="0" w:color="auto"/>
      </w:divBdr>
    </w:div>
    <w:div w:id="681591551">
      <w:bodyDiv w:val="1"/>
      <w:marLeft w:val="0"/>
      <w:marRight w:val="0"/>
      <w:marTop w:val="0"/>
      <w:marBottom w:val="0"/>
      <w:divBdr>
        <w:top w:val="none" w:sz="0" w:space="0" w:color="auto"/>
        <w:left w:val="none" w:sz="0" w:space="0" w:color="auto"/>
        <w:bottom w:val="none" w:sz="0" w:space="0" w:color="auto"/>
        <w:right w:val="none" w:sz="0" w:space="0" w:color="auto"/>
      </w:divBdr>
    </w:div>
    <w:div w:id="683019734">
      <w:bodyDiv w:val="1"/>
      <w:marLeft w:val="0"/>
      <w:marRight w:val="0"/>
      <w:marTop w:val="0"/>
      <w:marBottom w:val="0"/>
      <w:divBdr>
        <w:top w:val="none" w:sz="0" w:space="0" w:color="auto"/>
        <w:left w:val="none" w:sz="0" w:space="0" w:color="auto"/>
        <w:bottom w:val="none" w:sz="0" w:space="0" w:color="auto"/>
        <w:right w:val="none" w:sz="0" w:space="0" w:color="auto"/>
      </w:divBdr>
    </w:div>
    <w:div w:id="683363002">
      <w:bodyDiv w:val="1"/>
      <w:marLeft w:val="0"/>
      <w:marRight w:val="0"/>
      <w:marTop w:val="0"/>
      <w:marBottom w:val="0"/>
      <w:divBdr>
        <w:top w:val="none" w:sz="0" w:space="0" w:color="auto"/>
        <w:left w:val="none" w:sz="0" w:space="0" w:color="auto"/>
        <w:bottom w:val="none" w:sz="0" w:space="0" w:color="auto"/>
        <w:right w:val="none" w:sz="0" w:space="0" w:color="auto"/>
      </w:divBdr>
    </w:div>
    <w:div w:id="683635613">
      <w:bodyDiv w:val="1"/>
      <w:marLeft w:val="0"/>
      <w:marRight w:val="0"/>
      <w:marTop w:val="0"/>
      <w:marBottom w:val="0"/>
      <w:divBdr>
        <w:top w:val="none" w:sz="0" w:space="0" w:color="auto"/>
        <w:left w:val="none" w:sz="0" w:space="0" w:color="auto"/>
        <w:bottom w:val="none" w:sz="0" w:space="0" w:color="auto"/>
        <w:right w:val="none" w:sz="0" w:space="0" w:color="auto"/>
      </w:divBdr>
    </w:div>
    <w:div w:id="683674875">
      <w:bodyDiv w:val="1"/>
      <w:marLeft w:val="0"/>
      <w:marRight w:val="0"/>
      <w:marTop w:val="0"/>
      <w:marBottom w:val="0"/>
      <w:divBdr>
        <w:top w:val="none" w:sz="0" w:space="0" w:color="auto"/>
        <w:left w:val="none" w:sz="0" w:space="0" w:color="auto"/>
        <w:bottom w:val="none" w:sz="0" w:space="0" w:color="auto"/>
        <w:right w:val="none" w:sz="0" w:space="0" w:color="auto"/>
      </w:divBdr>
    </w:div>
    <w:div w:id="684016702">
      <w:bodyDiv w:val="1"/>
      <w:marLeft w:val="0"/>
      <w:marRight w:val="0"/>
      <w:marTop w:val="0"/>
      <w:marBottom w:val="0"/>
      <w:divBdr>
        <w:top w:val="none" w:sz="0" w:space="0" w:color="auto"/>
        <w:left w:val="none" w:sz="0" w:space="0" w:color="auto"/>
        <w:bottom w:val="none" w:sz="0" w:space="0" w:color="auto"/>
        <w:right w:val="none" w:sz="0" w:space="0" w:color="auto"/>
      </w:divBdr>
    </w:div>
    <w:div w:id="684211154">
      <w:bodyDiv w:val="1"/>
      <w:marLeft w:val="0"/>
      <w:marRight w:val="0"/>
      <w:marTop w:val="0"/>
      <w:marBottom w:val="0"/>
      <w:divBdr>
        <w:top w:val="none" w:sz="0" w:space="0" w:color="auto"/>
        <w:left w:val="none" w:sz="0" w:space="0" w:color="auto"/>
        <w:bottom w:val="none" w:sz="0" w:space="0" w:color="auto"/>
        <w:right w:val="none" w:sz="0" w:space="0" w:color="auto"/>
      </w:divBdr>
    </w:div>
    <w:div w:id="684407430">
      <w:bodyDiv w:val="1"/>
      <w:marLeft w:val="0"/>
      <w:marRight w:val="0"/>
      <w:marTop w:val="0"/>
      <w:marBottom w:val="0"/>
      <w:divBdr>
        <w:top w:val="none" w:sz="0" w:space="0" w:color="auto"/>
        <w:left w:val="none" w:sz="0" w:space="0" w:color="auto"/>
        <w:bottom w:val="none" w:sz="0" w:space="0" w:color="auto"/>
        <w:right w:val="none" w:sz="0" w:space="0" w:color="auto"/>
      </w:divBdr>
    </w:div>
    <w:div w:id="684789876">
      <w:bodyDiv w:val="1"/>
      <w:marLeft w:val="0"/>
      <w:marRight w:val="0"/>
      <w:marTop w:val="0"/>
      <w:marBottom w:val="0"/>
      <w:divBdr>
        <w:top w:val="none" w:sz="0" w:space="0" w:color="auto"/>
        <w:left w:val="none" w:sz="0" w:space="0" w:color="auto"/>
        <w:bottom w:val="none" w:sz="0" w:space="0" w:color="auto"/>
        <w:right w:val="none" w:sz="0" w:space="0" w:color="auto"/>
      </w:divBdr>
    </w:div>
    <w:div w:id="685327546">
      <w:bodyDiv w:val="1"/>
      <w:marLeft w:val="0"/>
      <w:marRight w:val="0"/>
      <w:marTop w:val="0"/>
      <w:marBottom w:val="0"/>
      <w:divBdr>
        <w:top w:val="none" w:sz="0" w:space="0" w:color="auto"/>
        <w:left w:val="none" w:sz="0" w:space="0" w:color="auto"/>
        <w:bottom w:val="none" w:sz="0" w:space="0" w:color="auto"/>
        <w:right w:val="none" w:sz="0" w:space="0" w:color="auto"/>
      </w:divBdr>
    </w:div>
    <w:div w:id="685402559">
      <w:bodyDiv w:val="1"/>
      <w:marLeft w:val="0"/>
      <w:marRight w:val="0"/>
      <w:marTop w:val="0"/>
      <w:marBottom w:val="0"/>
      <w:divBdr>
        <w:top w:val="none" w:sz="0" w:space="0" w:color="auto"/>
        <w:left w:val="none" w:sz="0" w:space="0" w:color="auto"/>
        <w:bottom w:val="none" w:sz="0" w:space="0" w:color="auto"/>
        <w:right w:val="none" w:sz="0" w:space="0" w:color="auto"/>
      </w:divBdr>
    </w:div>
    <w:div w:id="685906563">
      <w:bodyDiv w:val="1"/>
      <w:marLeft w:val="0"/>
      <w:marRight w:val="0"/>
      <w:marTop w:val="0"/>
      <w:marBottom w:val="0"/>
      <w:divBdr>
        <w:top w:val="none" w:sz="0" w:space="0" w:color="auto"/>
        <w:left w:val="none" w:sz="0" w:space="0" w:color="auto"/>
        <w:bottom w:val="none" w:sz="0" w:space="0" w:color="auto"/>
        <w:right w:val="none" w:sz="0" w:space="0" w:color="auto"/>
      </w:divBdr>
    </w:div>
    <w:div w:id="685980629">
      <w:bodyDiv w:val="1"/>
      <w:marLeft w:val="0"/>
      <w:marRight w:val="0"/>
      <w:marTop w:val="0"/>
      <w:marBottom w:val="0"/>
      <w:divBdr>
        <w:top w:val="none" w:sz="0" w:space="0" w:color="auto"/>
        <w:left w:val="none" w:sz="0" w:space="0" w:color="auto"/>
        <w:bottom w:val="none" w:sz="0" w:space="0" w:color="auto"/>
        <w:right w:val="none" w:sz="0" w:space="0" w:color="auto"/>
      </w:divBdr>
    </w:div>
    <w:div w:id="686490712">
      <w:bodyDiv w:val="1"/>
      <w:marLeft w:val="0"/>
      <w:marRight w:val="0"/>
      <w:marTop w:val="0"/>
      <w:marBottom w:val="0"/>
      <w:divBdr>
        <w:top w:val="none" w:sz="0" w:space="0" w:color="auto"/>
        <w:left w:val="none" w:sz="0" w:space="0" w:color="auto"/>
        <w:bottom w:val="none" w:sz="0" w:space="0" w:color="auto"/>
        <w:right w:val="none" w:sz="0" w:space="0" w:color="auto"/>
      </w:divBdr>
    </w:div>
    <w:div w:id="687021069">
      <w:bodyDiv w:val="1"/>
      <w:marLeft w:val="0"/>
      <w:marRight w:val="0"/>
      <w:marTop w:val="0"/>
      <w:marBottom w:val="0"/>
      <w:divBdr>
        <w:top w:val="none" w:sz="0" w:space="0" w:color="auto"/>
        <w:left w:val="none" w:sz="0" w:space="0" w:color="auto"/>
        <w:bottom w:val="none" w:sz="0" w:space="0" w:color="auto"/>
        <w:right w:val="none" w:sz="0" w:space="0" w:color="auto"/>
      </w:divBdr>
    </w:div>
    <w:div w:id="687365780">
      <w:bodyDiv w:val="1"/>
      <w:marLeft w:val="0"/>
      <w:marRight w:val="0"/>
      <w:marTop w:val="0"/>
      <w:marBottom w:val="0"/>
      <w:divBdr>
        <w:top w:val="none" w:sz="0" w:space="0" w:color="auto"/>
        <w:left w:val="none" w:sz="0" w:space="0" w:color="auto"/>
        <w:bottom w:val="none" w:sz="0" w:space="0" w:color="auto"/>
        <w:right w:val="none" w:sz="0" w:space="0" w:color="auto"/>
      </w:divBdr>
    </w:div>
    <w:div w:id="687604735">
      <w:bodyDiv w:val="1"/>
      <w:marLeft w:val="0"/>
      <w:marRight w:val="0"/>
      <w:marTop w:val="0"/>
      <w:marBottom w:val="0"/>
      <w:divBdr>
        <w:top w:val="none" w:sz="0" w:space="0" w:color="auto"/>
        <w:left w:val="none" w:sz="0" w:space="0" w:color="auto"/>
        <w:bottom w:val="none" w:sz="0" w:space="0" w:color="auto"/>
        <w:right w:val="none" w:sz="0" w:space="0" w:color="auto"/>
      </w:divBdr>
    </w:div>
    <w:div w:id="688601218">
      <w:bodyDiv w:val="1"/>
      <w:marLeft w:val="0"/>
      <w:marRight w:val="0"/>
      <w:marTop w:val="0"/>
      <w:marBottom w:val="0"/>
      <w:divBdr>
        <w:top w:val="none" w:sz="0" w:space="0" w:color="auto"/>
        <w:left w:val="none" w:sz="0" w:space="0" w:color="auto"/>
        <w:bottom w:val="none" w:sz="0" w:space="0" w:color="auto"/>
        <w:right w:val="none" w:sz="0" w:space="0" w:color="auto"/>
      </w:divBdr>
    </w:div>
    <w:div w:id="688918281">
      <w:bodyDiv w:val="1"/>
      <w:marLeft w:val="0"/>
      <w:marRight w:val="0"/>
      <w:marTop w:val="0"/>
      <w:marBottom w:val="0"/>
      <w:divBdr>
        <w:top w:val="none" w:sz="0" w:space="0" w:color="auto"/>
        <w:left w:val="none" w:sz="0" w:space="0" w:color="auto"/>
        <w:bottom w:val="none" w:sz="0" w:space="0" w:color="auto"/>
        <w:right w:val="none" w:sz="0" w:space="0" w:color="auto"/>
      </w:divBdr>
    </w:div>
    <w:div w:id="689722942">
      <w:bodyDiv w:val="1"/>
      <w:marLeft w:val="0"/>
      <w:marRight w:val="0"/>
      <w:marTop w:val="0"/>
      <w:marBottom w:val="0"/>
      <w:divBdr>
        <w:top w:val="none" w:sz="0" w:space="0" w:color="auto"/>
        <w:left w:val="none" w:sz="0" w:space="0" w:color="auto"/>
        <w:bottom w:val="none" w:sz="0" w:space="0" w:color="auto"/>
        <w:right w:val="none" w:sz="0" w:space="0" w:color="auto"/>
      </w:divBdr>
    </w:div>
    <w:div w:id="690300909">
      <w:bodyDiv w:val="1"/>
      <w:marLeft w:val="0"/>
      <w:marRight w:val="0"/>
      <w:marTop w:val="0"/>
      <w:marBottom w:val="0"/>
      <w:divBdr>
        <w:top w:val="none" w:sz="0" w:space="0" w:color="auto"/>
        <w:left w:val="none" w:sz="0" w:space="0" w:color="auto"/>
        <w:bottom w:val="none" w:sz="0" w:space="0" w:color="auto"/>
        <w:right w:val="none" w:sz="0" w:space="0" w:color="auto"/>
      </w:divBdr>
    </w:div>
    <w:div w:id="690376593">
      <w:bodyDiv w:val="1"/>
      <w:marLeft w:val="0"/>
      <w:marRight w:val="0"/>
      <w:marTop w:val="0"/>
      <w:marBottom w:val="0"/>
      <w:divBdr>
        <w:top w:val="none" w:sz="0" w:space="0" w:color="auto"/>
        <w:left w:val="none" w:sz="0" w:space="0" w:color="auto"/>
        <w:bottom w:val="none" w:sz="0" w:space="0" w:color="auto"/>
        <w:right w:val="none" w:sz="0" w:space="0" w:color="auto"/>
      </w:divBdr>
    </w:div>
    <w:div w:id="690640946">
      <w:bodyDiv w:val="1"/>
      <w:marLeft w:val="0"/>
      <w:marRight w:val="0"/>
      <w:marTop w:val="0"/>
      <w:marBottom w:val="0"/>
      <w:divBdr>
        <w:top w:val="none" w:sz="0" w:space="0" w:color="auto"/>
        <w:left w:val="none" w:sz="0" w:space="0" w:color="auto"/>
        <w:bottom w:val="none" w:sz="0" w:space="0" w:color="auto"/>
        <w:right w:val="none" w:sz="0" w:space="0" w:color="auto"/>
      </w:divBdr>
    </w:div>
    <w:div w:id="691147893">
      <w:bodyDiv w:val="1"/>
      <w:marLeft w:val="0"/>
      <w:marRight w:val="0"/>
      <w:marTop w:val="0"/>
      <w:marBottom w:val="0"/>
      <w:divBdr>
        <w:top w:val="none" w:sz="0" w:space="0" w:color="auto"/>
        <w:left w:val="none" w:sz="0" w:space="0" w:color="auto"/>
        <w:bottom w:val="none" w:sz="0" w:space="0" w:color="auto"/>
        <w:right w:val="none" w:sz="0" w:space="0" w:color="auto"/>
      </w:divBdr>
    </w:div>
    <w:div w:id="691418258">
      <w:bodyDiv w:val="1"/>
      <w:marLeft w:val="0"/>
      <w:marRight w:val="0"/>
      <w:marTop w:val="0"/>
      <w:marBottom w:val="0"/>
      <w:divBdr>
        <w:top w:val="none" w:sz="0" w:space="0" w:color="auto"/>
        <w:left w:val="none" w:sz="0" w:space="0" w:color="auto"/>
        <w:bottom w:val="none" w:sz="0" w:space="0" w:color="auto"/>
        <w:right w:val="none" w:sz="0" w:space="0" w:color="auto"/>
      </w:divBdr>
    </w:div>
    <w:div w:id="691760492">
      <w:bodyDiv w:val="1"/>
      <w:marLeft w:val="0"/>
      <w:marRight w:val="0"/>
      <w:marTop w:val="0"/>
      <w:marBottom w:val="0"/>
      <w:divBdr>
        <w:top w:val="none" w:sz="0" w:space="0" w:color="auto"/>
        <w:left w:val="none" w:sz="0" w:space="0" w:color="auto"/>
        <w:bottom w:val="none" w:sz="0" w:space="0" w:color="auto"/>
        <w:right w:val="none" w:sz="0" w:space="0" w:color="auto"/>
      </w:divBdr>
    </w:div>
    <w:div w:id="691997066">
      <w:bodyDiv w:val="1"/>
      <w:marLeft w:val="0"/>
      <w:marRight w:val="0"/>
      <w:marTop w:val="0"/>
      <w:marBottom w:val="0"/>
      <w:divBdr>
        <w:top w:val="none" w:sz="0" w:space="0" w:color="auto"/>
        <w:left w:val="none" w:sz="0" w:space="0" w:color="auto"/>
        <w:bottom w:val="none" w:sz="0" w:space="0" w:color="auto"/>
        <w:right w:val="none" w:sz="0" w:space="0" w:color="auto"/>
      </w:divBdr>
    </w:div>
    <w:div w:id="692192730">
      <w:bodyDiv w:val="1"/>
      <w:marLeft w:val="0"/>
      <w:marRight w:val="0"/>
      <w:marTop w:val="0"/>
      <w:marBottom w:val="0"/>
      <w:divBdr>
        <w:top w:val="none" w:sz="0" w:space="0" w:color="auto"/>
        <w:left w:val="none" w:sz="0" w:space="0" w:color="auto"/>
        <w:bottom w:val="none" w:sz="0" w:space="0" w:color="auto"/>
        <w:right w:val="none" w:sz="0" w:space="0" w:color="auto"/>
      </w:divBdr>
    </w:div>
    <w:div w:id="692607631">
      <w:bodyDiv w:val="1"/>
      <w:marLeft w:val="0"/>
      <w:marRight w:val="0"/>
      <w:marTop w:val="0"/>
      <w:marBottom w:val="0"/>
      <w:divBdr>
        <w:top w:val="none" w:sz="0" w:space="0" w:color="auto"/>
        <w:left w:val="none" w:sz="0" w:space="0" w:color="auto"/>
        <w:bottom w:val="none" w:sz="0" w:space="0" w:color="auto"/>
        <w:right w:val="none" w:sz="0" w:space="0" w:color="auto"/>
      </w:divBdr>
    </w:div>
    <w:div w:id="692613811">
      <w:bodyDiv w:val="1"/>
      <w:marLeft w:val="0"/>
      <w:marRight w:val="0"/>
      <w:marTop w:val="0"/>
      <w:marBottom w:val="0"/>
      <w:divBdr>
        <w:top w:val="none" w:sz="0" w:space="0" w:color="auto"/>
        <w:left w:val="none" w:sz="0" w:space="0" w:color="auto"/>
        <w:bottom w:val="none" w:sz="0" w:space="0" w:color="auto"/>
        <w:right w:val="none" w:sz="0" w:space="0" w:color="auto"/>
      </w:divBdr>
    </w:div>
    <w:div w:id="693502258">
      <w:bodyDiv w:val="1"/>
      <w:marLeft w:val="0"/>
      <w:marRight w:val="0"/>
      <w:marTop w:val="0"/>
      <w:marBottom w:val="0"/>
      <w:divBdr>
        <w:top w:val="none" w:sz="0" w:space="0" w:color="auto"/>
        <w:left w:val="none" w:sz="0" w:space="0" w:color="auto"/>
        <w:bottom w:val="none" w:sz="0" w:space="0" w:color="auto"/>
        <w:right w:val="none" w:sz="0" w:space="0" w:color="auto"/>
      </w:divBdr>
    </w:div>
    <w:div w:id="693923686">
      <w:bodyDiv w:val="1"/>
      <w:marLeft w:val="0"/>
      <w:marRight w:val="0"/>
      <w:marTop w:val="0"/>
      <w:marBottom w:val="0"/>
      <w:divBdr>
        <w:top w:val="none" w:sz="0" w:space="0" w:color="auto"/>
        <w:left w:val="none" w:sz="0" w:space="0" w:color="auto"/>
        <w:bottom w:val="none" w:sz="0" w:space="0" w:color="auto"/>
        <w:right w:val="none" w:sz="0" w:space="0" w:color="auto"/>
      </w:divBdr>
    </w:div>
    <w:div w:id="694235409">
      <w:bodyDiv w:val="1"/>
      <w:marLeft w:val="0"/>
      <w:marRight w:val="0"/>
      <w:marTop w:val="0"/>
      <w:marBottom w:val="0"/>
      <w:divBdr>
        <w:top w:val="none" w:sz="0" w:space="0" w:color="auto"/>
        <w:left w:val="none" w:sz="0" w:space="0" w:color="auto"/>
        <w:bottom w:val="none" w:sz="0" w:space="0" w:color="auto"/>
        <w:right w:val="none" w:sz="0" w:space="0" w:color="auto"/>
      </w:divBdr>
    </w:div>
    <w:div w:id="694379657">
      <w:bodyDiv w:val="1"/>
      <w:marLeft w:val="0"/>
      <w:marRight w:val="0"/>
      <w:marTop w:val="0"/>
      <w:marBottom w:val="0"/>
      <w:divBdr>
        <w:top w:val="none" w:sz="0" w:space="0" w:color="auto"/>
        <w:left w:val="none" w:sz="0" w:space="0" w:color="auto"/>
        <w:bottom w:val="none" w:sz="0" w:space="0" w:color="auto"/>
        <w:right w:val="none" w:sz="0" w:space="0" w:color="auto"/>
      </w:divBdr>
    </w:div>
    <w:div w:id="694501368">
      <w:bodyDiv w:val="1"/>
      <w:marLeft w:val="0"/>
      <w:marRight w:val="0"/>
      <w:marTop w:val="0"/>
      <w:marBottom w:val="0"/>
      <w:divBdr>
        <w:top w:val="none" w:sz="0" w:space="0" w:color="auto"/>
        <w:left w:val="none" w:sz="0" w:space="0" w:color="auto"/>
        <w:bottom w:val="none" w:sz="0" w:space="0" w:color="auto"/>
        <w:right w:val="none" w:sz="0" w:space="0" w:color="auto"/>
      </w:divBdr>
    </w:div>
    <w:div w:id="694618403">
      <w:bodyDiv w:val="1"/>
      <w:marLeft w:val="0"/>
      <w:marRight w:val="0"/>
      <w:marTop w:val="0"/>
      <w:marBottom w:val="0"/>
      <w:divBdr>
        <w:top w:val="none" w:sz="0" w:space="0" w:color="auto"/>
        <w:left w:val="none" w:sz="0" w:space="0" w:color="auto"/>
        <w:bottom w:val="none" w:sz="0" w:space="0" w:color="auto"/>
        <w:right w:val="none" w:sz="0" w:space="0" w:color="auto"/>
      </w:divBdr>
    </w:div>
    <w:div w:id="694696311">
      <w:bodyDiv w:val="1"/>
      <w:marLeft w:val="0"/>
      <w:marRight w:val="0"/>
      <w:marTop w:val="0"/>
      <w:marBottom w:val="0"/>
      <w:divBdr>
        <w:top w:val="none" w:sz="0" w:space="0" w:color="auto"/>
        <w:left w:val="none" w:sz="0" w:space="0" w:color="auto"/>
        <w:bottom w:val="none" w:sz="0" w:space="0" w:color="auto"/>
        <w:right w:val="none" w:sz="0" w:space="0" w:color="auto"/>
      </w:divBdr>
    </w:div>
    <w:div w:id="694966582">
      <w:bodyDiv w:val="1"/>
      <w:marLeft w:val="0"/>
      <w:marRight w:val="0"/>
      <w:marTop w:val="0"/>
      <w:marBottom w:val="0"/>
      <w:divBdr>
        <w:top w:val="none" w:sz="0" w:space="0" w:color="auto"/>
        <w:left w:val="none" w:sz="0" w:space="0" w:color="auto"/>
        <w:bottom w:val="none" w:sz="0" w:space="0" w:color="auto"/>
        <w:right w:val="none" w:sz="0" w:space="0" w:color="auto"/>
      </w:divBdr>
    </w:div>
    <w:div w:id="695817188">
      <w:bodyDiv w:val="1"/>
      <w:marLeft w:val="0"/>
      <w:marRight w:val="0"/>
      <w:marTop w:val="0"/>
      <w:marBottom w:val="0"/>
      <w:divBdr>
        <w:top w:val="none" w:sz="0" w:space="0" w:color="auto"/>
        <w:left w:val="none" w:sz="0" w:space="0" w:color="auto"/>
        <w:bottom w:val="none" w:sz="0" w:space="0" w:color="auto"/>
        <w:right w:val="none" w:sz="0" w:space="0" w:color="auto"/>
      </w:divBdr>
    </w:div>
    <w:div w:id="696194587">
      <w:bodyDiv w:val="1"/>
      <w:marLeft w:val="0"/>
      <w:marRight w:val="0"/>
      <w:marTop w:val="0"/>
      <w:marBottom w:val="0"/>
      <w:divBdr>
        <w:top w:val="none" w:sz="0" w:space="0" w:color="auto"/>
        <w:left w:val="none" w:sz="0" w:space="0" w:color="auto"/>
        <w:bottom w:val="none" w:sz="0" w:space="0" w:color="auto"/>
        <w:right w:val="none" w:sz="0" w:space="0" w:color="auto"/>
      </w:divBdr>
    </w:div>
    <w:div w:id="697006129">
      <w:bodyDiv w:val="1"/>
      <w:marLeft w:val="0"/>
      <w:marRight w:val="0"/>
      <w:marTop w:val="0"/>
      <w:marBottom w:val="0"/>
      <w:divBdr>
        <w:top w:val="none" w:sz="0" w:space="0" w:color="auto"/>
        <w:left w:val="none" w:sz="0" w:space="0" w:color="auto"/>
        <w:bottom w:val="none" w:sz="0" w:space="0" w:color="auto"/>
        <w:right w:val="none" w:sz="0" w:space="0" w:color="auto"/>
      </w:divBdr>
    </w:div>
    <w:div w:id="698553918">
      <w:bodyDiv w:val="1"/>
      <w:marLeft w:val="0"/>
      <w:marRight w:val="0"/>
      <w:marTop w:val="0"/>
      <w:marBottom w:val="0"/>
      <w:divBdr>
        <w:top w:val="none" w:sz="0" w:space="0" w:color="auto"/>
        <w:left w:val="none" w:sz="0" w:space="0" w:color="auto"/>
        <w:bottom w:val="none" w:sz="0" w:space="0" w:color="auto"/>
        <w:right w:val="none" w:sz="0" w:space="0" w:color="auto"/>
      </w:divBdr>
    </w:div>
    <w:div w:id="699361399">
      <w:bodyDiv w:val="1"/>
      <w:marLeft w:val="0"/>
      <w:marRight w:val="0"/>
      <w:marTop w:val="0"/>
      <w:marBottom w:val="0"/>
      <w:divBdr>
        <w:top w:val="none" w:sz="0" w:space="0" w:color="auto"/>
        <w:left w:val="none" w:sz="0" w:space="0" w:color="auto"/>
        <w:bottom w:val="none" w:sz="0" w:space="0" w:color="auto"/>
        <w:right w:val="none" w:sz="0" w:space="0" w:color="auto"/>
      </w:divBdr>
    </w:div>
    <w:div w:id="699665627">
      <w:bodyDiv w:val="1"/>
      <w:marLeft w:val="0"/>
      <w:marRight w:val="0"/>
      <w:marTop w:val="0"/>
      <w:marBottom w:val="0"/>
      <w:divBdr>
        <w:top w:val="none" w:sz="0" w:space="0" w:color="auto"/>
        <w:left w:val="none" w:sz="0" w:space="0" w:color="auto"/>
        <w:bottom w:val="none" w:sz="0" w:space="0" w:color="auto"/>
        <w:right w:val="none" w:sz="0" w:space="0" w:color="auto"/>
      </w:divBdr>
    </w:div>
    <w:div w:id="700395834">
      <w:bodyDiv w:val="1"/>
      <w:marLeft w:val="0"/>
      <w:marRight w:val="0"/>
      <w:marTop w:val="0"/>
      <w:marBottom w:val="0"/>
      <w:divBdr>
        <w:top w:val="none" w:sz="0" w:space="0" w:color="auto"/>
        <w:left w:val="none" w:sz="0" w:space="0" w:color="auto"/>
        <w:bottom w:val="none" w:sz="0" w:space="0" w:color="auto"/>
        <w:right w:val="none" w:sz="0" w:space="0" w:color="auto"/>
      </w:divBdr>
    </w:div>
    <w:div w:id="700738596">
      <w:bodyDiv w:val="1"/>
      <w:marLeft w:val="0"/>
      <w:marRight w:val="0"/>
      <w:marTop w:val="0"/>
      <w:marBottom w:val="0"/>
      <w:divBdr>
        <w:top w:val="none" w:sz="0" w:space="0" w:color="auto"/>
        <w:left w:val="none" w:sz="0" w:space="0" w:color="auto"/>
        <w:bottom w:val="none" w:sz="0" w:space="0" w:color="auto"/>
        <w:right w:val="none" w:sz="0" w:space="0" w:color="auto"/>
      </w:divBdr>
    </w:div>
    <w:div w:id="700932719">
      <w:bodyDiv w:val="1"/>
      <w:marLeft w:val="0"/>
      <w:marRight w:val="0"/>
      <w:marTop w:val="0"/>
      <w:marBottom w:val="0"/>
      <w:divBdr>
        <w:top w:val="none" w:sz="0" w:space="0" w:color="auto"/>
        <w:left w:val="none" w:sz="0" w:space="0" w:color="auto"/>
        <w:bottom w:val="none" w:sz="0" w:space="0" w:color="auto"/>
        <w:right w:val="none" w:sz="0" w:space="0" w:color="auto"/>
      </w:divBdr>
    </w:div>
    <w:div w:id="701249897">
      <w:bodyDiv w:val="1"/>
      <w:marLeft w:val="0"/>
      <w:marRight w:val="0"/>
      <w:marTop w:val="0"/>
      <w:marBottom w:val="0"/>
      <w:divBdr>
        <w:top w:val="none" w:sz="0" w:space="0" w:color="auto"/>
        <w:left w:val="none" w:sz="0" w:space="0" w:color="auto"/>
        <w:bottom w:val="none" w:sz="0" w:space="0" w:color="auto"/>
        <w:right w:val="none" w:sz="0" w:space="0" w:color="auto"/>
      </w:divBdr>
    </w:div>
    <w:div w:id="701712377">
      <w:bodyDiv w:val="1"/>
      <w:marLeft w:val="0"/>
      <w:marRight w:val="0"/>
      <w:marTop w:val="0"/>
      <w:marBottom w:val="0"/>
      <w:divBdr>
        <w:top w:val="none" w:sz="0" w:space="0" w:color="auto"/>
        <w:left w:val="none" w:sz="0" w:space="0" w:color="auto"/>
        <w:bottom w:val="none" w:sz="0" w:space="0" w:color="auto"/>
        <w:right w:val="none" w:sz="0" w:space="0" w:color="auto"/>
      </w:divBdr>
    </w:div>
    <w:div w:id="701781180">
      <w:bodyDiv w:val="1"/>
      <w:marLeft w:val="0"/>
      <w:marRight w:val="0"/>
      <w:marTop w:val="0"/>
      <w:marBottom w:val="0"/>
      <w:divBdr>
        <w:top w:val="none" w:sz="0" w:space="0" w:color="auto"/>
        <w:left w:val="none" w:sz="0" w:space="0" w:color="auto"/>
        <w:bottom w:val="none" w:sz="0" w:space="0" w:color="auto"/>
        <w:right w:val="none" w:sz="0" w:space="0" w:color="auto"/>
      </w:divBdr>
    </w:div>
    <w:div w:id="701857393">
      <w:bodyDiv w:val="1"/>
      <w:marLeft w:val="0"/>
      <w:marRight w:val="0"/>
      <w:marTop w:val="0"/>
      <w:marBottom w:val="0"/>
      <w:divBdr>
        <w:top w:val="none" w:sz="0" w:space="0" w:color="auto"/>
        <w:left w:val="none" w:sz="0" w:space="0" w:color="auto"/>
        <w:bottom w:val="none" w:sz="0" w:space="0" w:color="auto"/>
        <w:right w:val="none" w:sz="0" w:space="0" w:color="auto"/>
      </w:divBdr>
    </w:div>
    <w:div w:id="703216382">
      <w:bodyDiv w:val="1"/>
      <w:marLeft w:val="0"/>
      <w:marRight w:val="0"/>
      <w:marTop w:val="0"/>
      <w:marBottom w:val="0"/>
      <w:divBdr>
        <w:top w:val="none" w:sz="0" w:space="0" w:color="auto"/>
        <w:left w:val="none" w:sz="0" w:space="0" w:color="auto"/>
        <w:bottom w:val="none" w:sz="0" w:space="0" w:color="auto"/>
        <w:right w:val="none" w:sz="0" w:space="0" w:color="auto"/>
      </w:divBdr>
    </w:div>
    <w:div w:id="703361776">
      <w:bodyDiv w:val="1"/>
      <w:marLeft w:val="0"/>
      <w:marRight w:val="0"/>
      <w:marTop w:val="0"/>
      <w:marBottom w:val="0"/>
      <w:divBdr>
        <w:top w:val="none" w:sz="0" w:space="0" w:color="auto"/>
        <w:left w:val="none" w:sz="0" w:space="0" w:color="auto"/>
        <w:bottom w:val="none" w:sz="0" w:space="0" w:color="auto"/>
        <w:right w:val="none" w:sz="0" w:space="0" w:color="auto"/>
      </w:divBdr>
    </w:div>
    <w:div w:id="703750527">
      <w:bodyDiv w:val="1"/>
      <w:marLeft w:val="0"/>
      <w:marRight w:val="0"/>
      <w:marTop w:val="0"/>
      <w:marBottom w:val="0"/>
      <w:divBdr>
        <w:top w:val="none" w:sz="0" w:space="0" w:color="auto"/>
        <w:left w:val="none" w:sz="0" w:space="0" w:color="auto"/>
        <w:bottom w:val="none" w:sz="0" w:space="0" w:color="auto"/>
        <w:right w:val="none" w:sz="0" w:space="0" w:color="auto"/>
      </w:divBdr>
    </w:div>
    <w:div w:id="704405819">
      <w:bodyDiv w:val="1"/>
      <w:marLeft w:val="0"/>
      <w:marRight w:val="0"/>
      <w:marTop w:val="0"/>
      <w:marBottom w:val="0"/>
      <w:divBdr>
        <w:top w:val="none" w:sz="0" w:space="0" w:color="auto"/>
        <w:left w:val="none" w:sz="0" w:space="0" w:color="auto"/>
        <w:bottom w:val="none" w:sz="0" w:space="0" w:color="auto"/>
        <w:right w:val="none" w:sz="0" w:space="0" w:color="auto"/>
      </w:divBdr>
    </w:div>
    <w:div w:id="705569600">
      <w:bodyDiv w:val="1"/>
      <w:marLeft w:val="0"/>
      <w:marRight w:val="0"/>
      <w:marTop w:val="0"/>
      <w:marBottom w:val="0"/>
      <w:divBdr>
        <w:top w:val="none" w:sz="0" w:space="0" w:color="auto"/>
        <w:left w:val="none" w:sz="0" w:space="0" w:color="auto"/>
        <w:bottom w:val="none" w:sz="0" w:space="0" w:color="auto"/>
        <w:right w:val="none" w:sz="0" w:space="0" w:color="auto"/>
      </w:divBdr>
    </w:div>
    <w:div w:id="707681346">
      <w:bodyDiv w:val="1"/>
      <w:marLeft w:val="0"/>
      <w:marRight w:val="0"/>
      <w:marTop w:val="0"/>
      <w:marBottom w:val="0"/>
      <w:divBdr>
        <w:top w:val="none" w:sz="0" w:space="0" w:color="auto"/>
        <w:left w:val="none" w:sz="0" w:space="0" w:color="auto"/>
        <w:bottom w:val="none" w:sz="0" w:space="0" w:color="auto"/>
        <w:right w:val="none" w:sz="0" w:space="0" w:color="auto"/>
      </w:divBdr>
    </w:div>
    <w:div w:id="708067161">
      <w:bodyDiv w:val="1"/>
      <w:marLeft w:val="0"/>
      <w:marRight w:val="0"/>
      <w:marTop w:val="0"/>
      <w:marBottom w:val="0"/>
      <w:divBdr>
        <w:top w:val="none" w:sz="0" w:space="0" w:color="auto"/>
        <w:left w:val="none" w:sz="0" w:space="0" w:color="auto"/>
        <w:bottom w:val="none" w:sz="0" w:space="0" w:color="auto"/>
        <w:right w:val="none" w:sz="0" w:space="0" w:color="auto"/>
      </w:divBdr>
    </w:div>
    <w:div w:id="709300260">
      <w:bodyDiv w:val="1"/>
      <w:marLeft w:val="0"/>
      <w:marRight w:val="0"/>
      <w:marTop w:val="0"/>
      <w:marBottom w:val="0"/>
      <w:divBdr>
        <w:top w:val="none" w:sz="0" w:space="0" w:color="auto"/>
        <w:left w:val="none" w:sz="0" w:space="0" w:color="auto"/>
        <w:bottom w:val="none" w:sz="0" w:space="0" w:color="auto"/>
        <w:right w:val="none" w:sz="0" w:space="0" w:color="auto"/>
      </w:divBdr>
    </w:div>
    <w:div w:id="709693157">
      <w:bodyDiv w:val="1"/>
      <w:marLeft w:val="0"/>
      <w:marRight w:val="0"/>
      <w:marTop w:val="0"/>
      <w:marBottom w:val="0"/>
      <w:divBdr>
        <w:top w:val="none" w:sz="0" w:space="0" w:color="auto"/>
        <w:left w:val="none" w:sz="0" w:space="0" w:color="auto"/>
        <w:bottom w:val="none" w:sz="0" w:space="0" w:color="auto"/>
        <w:right w:val="none" w:sz="0" w:space="0" w:color="auto"/>
      </w:divBdr>
    </w:div>
    <w:div w:id="710305716">
      <w:bodyDiv w:val="1"/>
      <w:marLeft w:val="0"/>
      <w:marRight w:val="0"/>
      <w:marTop w:val="0"/>
      <w:marBottom w:val="0"/>
      <w:divBdr>
        <w:top w:val="none" w:sz="0" w:space="0" w:color="auto"/>
        <w:left w:val="none" w:sz="0" w:space="0" w:color="auto"/>
        <w:bottom w:val="none" w:sz="0" w:space="0" w:color="auto"/>
        <w:right w:val="none" w:sz="0" w:space="0" w:color="auto"/>
      </w:divBdr>
    </w:div>
    <w:div w:id="710883204">
      <w:bodyDiv w:val="1"/>
      <w:marLeft w:val="0"/>
      <w:marRight w:val="0"/>
      <w:marTop w:val="0"/>
      <w:marBottom w:val="0"/>
      <w:divBdr>
        <w:top w:val="none" w:sz="0" w:space="0" w:color="auto"/>
        <w:left w:val="none" w:sz="0" w:space="0" w:color="auto"/>
        <w:bottom w:val="none" w:sz="0" w:space="0" w:color="auto"/>
        <w:right w:val="none" w:sz="0" w:space="0" w:color="auto"/>
      </w:divBdr>
    </w:div>
    <w:div w:id="711660501">
      <w:bodyDiv w:val="1"/>
      <w:marLeft w:val="0"/>
      <w:marRight w:val="0"/>
      <w:marTop w:val="0"/>
      <w:marBottom w:val="0"/>
      <w:divBdr>
        <w:top w:val="none" w:sz="0" w:space="0" w:color="auto"/>
        <w:left w:val="none" w:sz="0" w:space="0" w:color="auto"/>
        <w:bottom w:val="none" w:sz="0" w:space="0" w:color="auto"/>
        <w:right w:val="none" w:sz="0" w:space="0" w:color="auto"/>
      </w:divBdr>
    </w:div>
    <w:div w:id="711736594">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712198975">
      <w:bodyDiv w:val="1"/>
      <w:marLeft w:val="0"/>
      <w:marRight w:val="0"/>
      <w:marTop w:val="0"/>
      <w:marBottom w:val="0"/>
      <w:divBdr>
        <w:top w:val="none" w:sz="0" w:space="0" w:color="auto"/>
        <w:left w:val="none" w:sz="0" w:space="0" w:color="auto"/>
        <w:bottom w:val="none" w:sz="0" w:space="0" w:color="auto"/>
        <w:right w:val="none" w:sz="0" w:space="0" w:color="auto"/>
      </w:divBdr>
    </w:div>
    <w:div w:id="712576516">
      <w:bodyDiv w:val="1"/>
      <w:marLeft w:val="0"/>
      <w:marRight w:val="0"/>
      <w:marTop w:val="0"/>
      <w:marBottom w:val="0"/>
      <w:divBdr>
        <w:top w:val="none" w:sz="0" w:space="0" w:color="auto"/>
        <w:left w:val="none" w:sz="0" w:space="0" w:color="auto"/>
        <w:bottom w:val="none" w:sz="0" w:space="0" w:color="auto"/>
        <w:right w:val="none" w:sz="0" w:space="0" w:color="auto"/>
      </w:divBdr>
    </w:div>
    <w:div w:id="712852108">
      <w:bodyDiv w:val="1"/>
      <w:marLeft w:val="0"/>
      <w:marRight w:val="0"/>
      <w:marTop w:val="0"/>
      <w:marBottom w:val="0"/>
      <w:divBdr>
        <w:top w:val="none" w:sz="0" w:space="0" w:color="auto"/>
        <w:left w:val="none" w:sz="0" w:space="0" w:color="auto"/>
        <w:bottom w:val="none" w:sz="0" w:space="0" w:color="auto"/>
        <w:right w:val="none" w:sz="0" w:space="0" w:color="auto"/>
      </w:divBdr>
    </w:div>
    <w:div w:id="713775286">
      <w:bodyDiv w:val="1"/>
      <w:marLeft w:val="0"/>
      <w:marRight w:val="0"/>
      <w:marTop w:val="0"/>
      <w:marBottom w:val="0"/>
      <w:divBdr>
        <w:top w:val="none" w:sz="0" w:space="0" w:color="auto"/>
        <w:left w:val="none" w:sz="0" w:space="0" w:color="auto"/>
        <w:bottom w:val="none" w:sz="0" w:space="0" w:color="auto"/>
        <w:right w:val="none" w:sz="0" w:space="0" w:color="auto"/>
      </w:divBdr>
    </w:div>
    <w:div w:id="714431290">
      <w:bodyDiv w:val="1"/>
      <w:marLeft w:val="0"/>
      <w:marRight w:val="0"/>
      <w:marTop w:val="0"/>
      <w:marBottom w:val="0"/>
      <w:divBdr>
        <w:top w:val="none" w:sz="0" w:space="0" w:color="auto"/>
        <w:left w:val="none" w:sz="0" w:space="0" w:color="auto"/>
        <w:bottom w:val="none" w:sz="0" w:space="0" w:color="auto"/>
        <w:right w:val="none" w:sz="0" w:space="0" w:color="auto"/>
      </w:divBdr>
    </w:div>
    <w:div w:id="714811234">
      <w:bodyDiv w:val="1"/>
      <w:marLeft w:val="0"/>
      <w:marRight w:val="0"/>
      <w:marTop w:val="0"/>
      <w:marBottom w:val="0"/>
      <w:divBdr>
        <w:top w:val="none" w:sz="0" w:space="0" w:color="auto"/>
        <w:left w:val="none" w:sz="0" w:space="0" w:color="auto"/>
        <w:bottom w:val="none" w:sz="0" w:space="0" w:color="auto"/>
        <w:right w:val="none" w:sz="0" w:space="0" w:color="auto"/>
      </w:divBdr>
    </w:div>
    <w:div w:id="715204644">
      <w:bodyDiv w:val="1"/>
      <w:marLeft w:val="0"/>
      <w:marRight w:val="0"/>
      <w:marTop w:val="0"/>
      <w:marBottom w:val="0"/>
      <w:divBdr>
        <w:top w:val="none" w:sz="0" w:space="0" w:color="auto"/>
        <w:left w:val="none" w:sz="0" w:space="0" w:color="auto"/>
        <w:bottom w:val="none" w:sz="0" w:space="0" w:color="auto"/>
        <w:right w:val="none" w:sz="0" w:space="0" w:color="auto"/>
      </w:divBdr>
    </w:div>
    <w:div w:id="715277318">
      <w:bodyDiv w:val="1"/>
      <w:marLeft w:val="0"/>
      <w:marRight w:val="0"/>
      <w:marTop w:val="0"/>
      <w:marBottom w:val="0"/>
      <w:divBdr>
        <w:top w:val="none" w:sz="0" w:space="0" w:color="auto"/>
        <w:left w:val="none" w:sz="0" w:space="0" w:color="auto"/>
        <w:bottom w:val="none" w:sz="0" w:space="0" w:color="auto"/>
        <w:right w:val="none" w:sz="0" w:space="0" w:color="auto"/>
      </w:divBdr>
    </w:div>
    <w:div w:id="715543398">
      <w:bodyDiv w:val="1"/>
      <w:marLeft w:val="0"/>
      <w:marRight w:val="0"/>
      <w:marTop w:val="0"/>
      <w:marBottom w:val="0"/>
      <w:divBdr>
        <w:top w:val="none" w:sz="0" w:space="0" w:color="auto"/>
        <w:left w:val="none" w:sz="0" w:space="0" w:color="auto"/>
        <w:bottom w:val="none" w:sz="0" w:space="0" w:color="auto"/>
        <w:right w:val="none" w:sz="0" w:space="0" w:color="auto"/>
      </w:divBdr>
    </w:div>
    <w:div w:id="716243452">
      <w:bodyDiv w:val="1"/>
      <w:marLeft w:val="0"/>
      <w:marRight w:val="0"/>
      <w:marTop w:val="0"/>
      <w:marBottom w:val="0"/>
      <w:divBdr>
        <w:top w:val="none" w:sz="0" w:space="0" w:color="auto"/>
        <w:left w:val="none" w:sz="0" w:space="0" w:color="auto"/>
        <w:bottom w:val="none" w:sz="0" w:space="0" w:color="auto"/>
        <w:right w:val="none" w:sz="0" w:space="0" w:color="auto"/>
      </w:divBdr>
    </w:div>
    <w:div w:id="716585518">
      <w:bodyDiv w:val="1"/>
      <w:marLeft w:val="0"/>
      <w:marRight w:val="0"/>
      <w:marTop w:val="0"/>
      <w:marBottom w:val="0"/>
      <w:divBdr>
        <w:top w:val="none" w:sz="0" w:space="0" w:color="auto"/>
        <w:left w:val="none" w:sz="0" w:space="0" w:color="auto"/>
        <w:bottom w:val="none" w:sz="0" w:space="0" w:color="auto"/>
        <w:right w:val="none" w:sz="0" w:space="0" w:color="auto"/>
      </w:divBdr>
    </w:div>
    <w:div w:id="717585353">
      <w:bodyDiv w:val="1"/>
      <w:marLeft w:val="0"/>
      <w:marRight w:val="0"/>
      <w:marTop w:val="0"/>
      <w:marBottom w:val="0"/>
      <w:divBdr>
        <w:top w:val="none" w:sz="0" w:space="0" w:color="auto"/>
        <w:left w:val="none" w:sz="0" w:space="0" w:color="auto"/>
        <w:bottom w:val="none" w:sz="0" w:space="0" w:color="auto"/>
        <w:right w:val="none" w:sz="0" w:space="0" w:color="auto"/>
      </w:divBdr>
    </w:div>
    <w:div w:id="718670000">
      <w:bodyDiv w:val="1"/>
      <w:marLeft w:val="0"/>
      <w:marRight w:val="0"/>
      <w:marTop w:val="0"/>
      <w:marBottom w:val="0"/>
      <w:divBdr>
        <w:top w:val="none" w:sz="0" w:space="0" w:color="auto"/>
        <w:left w:val="none" w:sz="0" w:space="0" w:color="auto"/>
        <w:bottom w:val="none" w:sz="0" w:space="0" w:color="auto"/>
        <w:right w:val="none" w:sz="0" w:space="0" w:color="auto"/>
      </w:divBdr>
    </w:div>
    <w:div w:id="718936966">
      <w:bodyDiv w:val="1"/>
      <w:marLeft w:val="0"/>
      <w:marRight w:val="0"/>
      <w:marTop w:val="0"/>
      <w:marBottom w:val="0"/>
      <w:divBdr>
        <w:top w:val="none" w:sz="0" w:space="0" w:color="auto"/>
        <w:left w:val="none" w:sz="0" w:space="0" w:color="auto"/>
        <w:bottom w:val="none" w:sz="0" w:space="0" w:color="auto"/>
        <w:right w:val="none" w:sz="0" w:space="0" w:color="auto"/>
      </w:divBdr>
    </w:div>
    <w:div w:id="720445017">
      <w:bodyDiv w:val="1"/>
      <w:marLeft w:val="0"/>
      <w:marRight w:val="0"/>
      <w:marTop w:val="0"/>
      <w:marBottom w:val="0"/>
      <w:divBdr>
        <w:top w:val="none" w:sz="0" w:space="0" w:color="auto"/>
        <w:left w:val="none" w:sz="0" w:space="0" w:color="auto"/>
        <w:bottom w:val="none" w:sz="0" w:space="0" w:color="auto"/>
        <w:right w:val="none" w:sz="0" w:space="0" w:color="auto"/>
      </w:divBdr>
    </w:div>
    <w:div w:id="720831029">
      <w:bodyDiv w:val="1"/>
      <w:marLeft w:val="0"/>
      <w:marRight w:val="0"/>
      <w:marTop w:val="0"/>
      <w:marBottom w:val="0"/>
      <w:divBdr>
        <w:top w:val="none" w:sz="0" w:space="0" w:color="auto"/>
        <w:left w:val="none" w:sz="0" w:space="0" w:color="auto"/>
        <w:bottom w:val="none" w:sz="0" w:space="0" w:color="auto"/>
        <w:right w:val="none" w:sz="0" w:space="0" w:color="auto"/>
      </w:divBdr>
    </w:div>
    <w:div w:id="721058787">
      <w:bodyDiv w:val="1"/>
      <w:marLeft w:val="0"/>
      <w:marRight w:val="0"/>
      <w:marTop w:val="0"/>
      <w:marBottom w:val="0"/>
      <w:divBdr>
        <w:top w:val="none" w:sz="0" w:space="0" w:color="auto"/>
        <w:left w:val="none" w:sz="0" w:space="0" w:color="auto"/>
        <w:bottom w:val="none" w:sz="0" w:space="0" w:color="auto"/>
        <w:right w:val="none" w:sz="0" w:space="0" w:color="auto"/>
      </w:divBdr>
    </w:div>
    <w:div w:id="722144800">
      <w:bodyDiv w:val="1"/>
      <w:marLeft w:val="0"/>
      <w:marRight w:val="0"/>
      <w:marTop w:val="0"/>
      <w:marBottom w:val="0"/>
      <w:divBdr>
        <w:top w:val="none" w:sz="0" w:space="0" w:color="auto"/>
        <w:left w:val="none" w:sz="0" w:space="0" w:color="auto"/>
        <w:bottom w:val="none" w:sz="0" w:space="0" w:color="auto"/>
        <w:right w:val="none" w:sz="0" w:space="0" w:color="auto"/>
      </w:divBdr>
    </w:div>
    <w:div w:id="722217342">
      <w:bodyDiv w:val="1"/>
      <w:marLeft w:val="0"/>
      <w:marRight w:val="0"/>
      <w:marTop w:val="0"/>
      <w:marBottom w:val="0"/>
      <w:divBdr>
        <w:top w:val="none" w:sz="0" w:space="0" w:color="auto"/>
        <w:left w:val="none" w:sz="0" w:space="0" w:color="auto"/>
        <w:bottom w:val="none" w:sz="0" w:space="0" w:color="auto"/>
        <w:right w:val="none" w:sz="0" w:space="0" w:color="auto"/>
      </w:divBdr>
    </w:div>
    <w:div w:id="722293431">
      <w:bodyDiv w:val="1"/>
      <w:marLeft w:val="0"/>
      <w:marRight w:val="0"/>
      <w:marTop w:val="0"/>
      <w:marBottom w:val="0"/>
      <w:divBdr>
        <w:top w:val="none" w:sz="0" w:space="0" w:color="auto"/>
        <w:left w:val="none" w:sz="0" w:space="0" w:color="auto"/>
        <w:bottom w:val="none" w:sz="0" w:space="0" w:color="auto"/>
        <w:right w:val="none" w:sz="0" w:space="0" w:color="auto"/>
      </w:divBdr>
    </w:div>
    <w:div w:id="722295559">
      <w:bodyDiv w:val="1"/>
      <w:marLeft w:val="0"/>
      <w:marRight w:val="0"/>
      <w:marTop w:val="0"/>
      <w:marBottom w:val="0"/>
      <w:divBdr>
        <w:top w:val="none" w:sz="0" w:space="0" w:color="auto"/>
        <w:left w:val="none" w:sz="0" w:space="0" w:color="auto"/>
        <w:bottom w:val="none" w:sz="0" w:space="0" w:color="auto"/>
        <w:right w:val="none" w:sz="0" w:space="0" w:color="auto"/>
      </w:divBdr>
    </w:div>
    <w:div w:id="722867739">
      <w:bodyDiv w:val="1"/>
      <w:marLeft w:val="0"/>
      <w:marRight w:val="0"/>
      <w:marTop w:val="0"/>
      <w:marBottom w:val="0"/>
      <w:divBdr>
        <w:top w:val="none" w:sz="0" w:space="0" w:color="auto"/>
        <w:left w:val="none" w:sz="0" w:space="0" w:color="auto"/>
        <w:bottom w:val="none" w:sz="0" w:space="0" w:color="auto"/>
        <w:right w:val="none" w:sz="0" w:space="0" w:color="auto"/>
      </w:divBdr>
    </w:div>
    <w:div w:id="723866501">
      <w:bodyDiv w:val="1"/>
      <w:marLeft w:val="0"/>
      <w:marRight w:val="0"/>
      <w:marTop w:val="0"/>
      <w:marBottom w:val="0"/>
      <w:divBdr>
        <w:top w:val="none" w:sz="0" w:space="0" w:color="auto"/>
        <w:left w:val="none" w:sz="0" w:space="0" w:color="auto"/>
        <w:bottom w:val="none" w:sz="0" w:space="0" w:color="auto"/>
        <w:right w:val="none" w:sz="0" w:space="0" w:color="auto"/>
      </w:divBdr>
    </w:div>
    <w:div w:id="724330203">
      <w:bodyDiv w:val="1"/>
      <w:marLeft w:val="0"/>
      <w:marRight w:val="0"/>
      <w:marTop w:val="0"/>
      <w:marBottom w:val="0"/>
      <w:divBdr>
        <w:top w:val="none" w:sz="0" w:space="0" w:color="auto"/>
        <w:left w:val="none" w:sz="0" w:space="0" w:color="auto"/>
        <w:bottom w:val="none" w:sz="0" w:space="0" w:color="auto"/>
        <w:right w:val="none" w:sz="0" w:space="0" w:color="auto"/>
      </w:divBdr>
    </w:div>
    <w:div w:id="724648720">
      <w:bodyDiv w:val="1"/>
      <w:marLeft w:val="0"/>
      <w:marRight w:val="0"/>
      <w:marTop w:val="0"/>
      <w:marBottom w:val="0"/>
      <w:divBdr>
        <w:top w:val="none" w:sz="0" w:space="0" w:color="auto"/>
        <w:left w:val="none" w:sz="0" w:space="0" w:color="auto"/>
        <w:bottom w:val="none" w:sz="0" w:space="0" w:color="auto"/>
        <w:right w:val="none" w:sz="0" w:space="0" w:color="auto"/>
      </w:divBdr>
    </w:div>
    <w:div w:id="724916045">
      <w:bodyDiv w:val="1"/>
      <w:marLeft w:val="0"/>
      <w:marRight w:val="0"/>
      <w:marTop w:val="0"/>
      <w:marBottom w:val="0"/>
      <w:divBdr>
        <w:top w:val="none" w:sz="0" w:space="0" w:color="auto"/>
        <w:left w:val="none" w:sz="0" w:space="0" w:color="auto"/>
        <w:bottom w:val="none" w:sz="0" w:space="0" w:color="auto"/>
        <w:right w:val="none" w:sz="0" w:space="0" w:color="auto"/>
      </w:divBdr>
    </w:div>
    <w:div w:id="725615684">
      <w:bodyDiv w:val="1"/>
      <w:marLeft w:val="0"/>
      <w:marRight w:val="0"/>
      <w:marTop w:val="0"/>
      <w:marBottom w:val="0"/>
      <w:divBdr>
        <w:top w:val="none" w:sz="0" w:space="0" w:color="auto"/>
        <w:left w:val="none" w:sz="0" w:space="0" w:color="auto"/>
        <w:bottom w:val="none" w:sz="0" w:space="0" w:color="auto"/>
        <w:right w:val="none" w:sz="0" w:space="0" w:color="auto"/>
      </w:divBdr>
    </w:div>
    <w:div w:id="725832749">
      <w:bodyDiv w:val="1"/>
      <w:marLeft w:val="0"/>
      <w:marRight w:val="0"/>
      <w:marTop w:val="0"/>
      <w:marBottom w:val="0"/>
      <w:divBdr>
        <w:top w:val="none" w:sz="0" w:space="0" w:color="auto"/>
        <w:left w:val="none" w:sz="0" w:space="0" w:color="auto"/>
        <w:bottom w:val="none" w:sz="0" w:space="0" w:color="auto"/>
        <w:right w:val="none" w:sz="0" w:space="0" w:color="auto"/>
      </w:divBdr>
    </w:div>
    <w:div w:id="726223259">
      <w:bodyDiv w:val="1"/>
      <w:marLeft w:val="0"/>
      <w:marRight w:val="0"/>
      <w:marTop w:val="0"/>
      <w:marBottom w:val="0"/>
      <w:divBdr>
        <w:top w:val="none" w:sz="0" w:space="0" w:color="auto"/>
        <w:left w:val="none" w:sz="0" w:space="0" w:color="auto"/>
        <w:bottom w:val="none" w:sz="0" w:space="0" w:color="auto"/>
        <w:right w:val="none" w:sz="0" w:space="0" w:color="auto"/>
      </w:divBdr>
    </w:div>
    <w:div w:id="726535565">
      <w:bodyDiv w:val="1"/>
      <w:marLeft w:val="0"/>
      <w:marRight w:val="0"/>
      <w:marTop w:val="0"/>
      <w:marBottom w:val="0"/>
      <w:divBdr>
        <w:top w:val="none" w:sz="0" w:space="0" w:color="auto"/>
        <w:left w:val="none" w:sz="0" w:space="0" w:color="auto"/>
        <w:bottom w:val="none" w:sz="0" w:space="0" w:color="auto"/>
        <w:right w:val="none" w:sz="0" w:space="0" w:color="auto"/>
      </w:divBdr>
    </w:div>
    <w:div w:id="726799287">
      <w:bodyDiv w:val="1"/>
      <w:marLeft w:val="0"/>
      <w:marRight w:val="0"/>
      <w:marTop w:val="0"/>
      <w:marBottom w:val="0"/>
      <w:divBdr>
        <w:top w:val="none" w:sz="0" w:space="0" w:color="auto"/>
        <w:left w:val="none" w:sz="0" w:space="0" w:color="auto"/>
        <w:bottom w:val="none" w:sz="0" w:space="0" w:color="auto"/>
        <w:right w:val="none" w:sz="0" w:space="0" w:color="auto"/>
      </w:divBdr>
    </w:div>
    <w:div w:id="726957197">
      <w:bodyDiv w:val="1"/>
      <w:marLeft w:val="0"/>
      <w:marRight w:val="0"/>
      <w:marTop w:val="0"/>
      <w:marBottom w:val="0"/>
      <w:divBdr>
        <w:top w:val="none" w:sz="0" w:space="0" w:color="auto"/>
        <w:left w:val="none" w:sz="0" w:space="0" w:color="auto"/>
        <w:bottom w:val="none" w:sz="0" w:space="0" w:color="auto"/>
        <w:right w:val="none" w:sz="0" w:space="0" w:color="auto"/>
      </w:divBdr>
    </w:div>
    <w:div w:id="728112294">
      <w:bodyDiv w:val="1"/>
      <w:marLeft w:val="0"/>
      <w:marRight w:val="0"/>
      <w:marTop w:val="0"/>
      <w:marBottom w:val="0"/>
      <w:divBdr>
        <w:top w:val="none" w:sz="0" w:space="0" w:color="auto"/>
        <w:left w:val="none" w:sz="0" w:space="0" w:color="auto"/>
        <w:bottom w:val="none" w:sz="0" w:space="0" w:color="auto"/>
        <w:right w:val="none" w:sz="0" w:space="0" w:color="auto"/>
      </w:divBdr>
    </w:div>
    <w:div w:id="728377888">
      <w:bodyDiv w:val="1"/>
      <w:marLeft w:val="0"/>
      <w:marRight w:val="0"/>
      <w:marTop w:val="0"/>
      <w:marBottom w:val="0"/>
      <w:divBdr>
        <w:top w:val="none" w:sz="0" w:space="0" w:color="auto"/>
        <w:left w:val="none" w:sz="0" w:space="0" w:color="auto"/>
        <w:bottom w:val="none" w:sz="0" w:space="0" w:color="auto"/>
        <w:right w:val="none" w:sz="0" w:space="0" w:color="auto"/>
      </w:divBdr>
    </w:div>
    <w:div w:id="728498388">
      <w:bodyDiv w:val="1"/>
      <w:marLeft w:val="0"/>
      <w:marRight w:val="0"/>
      <w:marTop w:val="0"/>
      <w:marBottom w:val="0"/>
      <w:divBdr>
        <w:top w:val="none" w:sz="0" w:space="0" w:color="auto"/>
        <w:left w:val="none" w:sz="0" w:space="0" w:color="auto"/>
        <w:bottom w:val="none" w:sz="0" w:space="0" w:color="auto"/>
        <w:right w:val="none" w:sz="0" w:space="0" w:color="auto"/>
      </w:divBdr>
    </w:div>
    <w:div w:id="729234818">
      <w:bodyDiv w:val="1"/>
      <w:marLeft w:val="0"/>
      <w:marRight w:val="0"/>
      <w:marTop w:val="0"/>
      <w:marBottom w:val="0"/>
      <w:divBdr>
        <w:top w:val="none" w:sz="0" w:space="0" w:color="auto"/>
        <w:left w:val="none" w:sz="0" w:space="0" w:color="auto"/>
        <w:bottom w:val="none" w:sz="0" w:space="0" w:color="auto"/>
        <w:right w:val="none" w:sz="0" w:space="0" w:color="auto"/>
      </w:divBdr>
    </w:div>
    <w:div w:id="730270628">
      <w:bodyDiv w:val="1"/>
      <w:marLeft w:val="0"/>
      <w:marRight w:val="0"/>
      <w:marTop w:val="0"/>
      <w:marBottom w:val="0"/>
      <w:divBdr>
        <w:top w:val="none" w:sz="0" w:space="0" w:color="auto"/>
        <w:left w:val="none" w:sz="0" w:space="0" w:color="auto"/>
        <w:bottom w:val="none" w:sz="0" w:space="0" w:color="auto"/>
        <w:right w:val="none" w:sz="0" w:space="0" w:color="auto"/>
      </w:divBdr>
    </w:div>
    <w:div w:id="730469993">
      <w:bodyDiv w:val="1"/>
      <w:marLeft w:val="0"/>
      <w:marRight w:val="0"/>
      <w:marTop w:val="0"/>
      <w:marBottom w:val="0"/>
      <w:divBdr>
        <w:top w:val="none" w:sz="0" w:space="0" w:color="auto"/>
        <w:left w:val="none" w:sz="0" w:space="0" w:color="auto"/>
        <w:bottom w:val="none" w:sz="0" w:space="0" w:color="auto"/>
        <w:right w:val="none" w:sz="0" w:space="0" w:color="auto"/>
      </w:divBdr>
    </w:div>
    <w:div w:id="731076752">
      <w:bodyDiv w:val="1"/>
      <w:marLeft w:val="0"/>
      <w:marRight w:val="0"/>
      <w:marTop w:val="0"/>
      <w:marBottom w:val="0"/>
      <w:divBdr>
        <w:top w:val="none" w:sz="0" w:space="0" w:color="auto"/>
        <w:left w:val="none" w:sz="0" w:space="0" w:color="auto"/>
        <w:bottom w:val="none" w:sz="0" w:space="0" w:color="auto"/>
        <w:right w:val="none" w:sz="0" w:space="0" w:color="auto"/>
      </w:divBdr>
    </w:div>
    <w:div w:id="732431211">
      <w:bodyDiv w:val="1"/>
      <w:marLeft w:val="0"/>
      <w:marRight w:val="0"/>
      <w:marTop w:val="0"/>
      <w:marBottom w:val="0"/>
      <w:divBdr>
        <w:top w:val="none" w:sz="0" w:space="0" w:color="auto"/>
        <w:left w:val="none" w:sz="0" w:space="0" w:color="auto"/>
        <w:bottom w:val="none" w:sz="0" w:space="0" w:color="auto"/>
        <w:right w:val="none" w:sz="0" w:space="0" w:color="auto"/>
      </w:divBdr>
    </w:div>
    <w:div w:id="732511876">
      <w:bodyDiv w:val="1"/>
      <w:marLeft w:val="0"/>
      <w:marRight w:val="0"/>
      <w:marTop w:val="0"/>
      <w:marBottom w:val="0"/>
      <w:divBdr>
        <w:top w:val="none" w:sz="0" w:space="0" w:color="auto"/>
        <w:left w:val="none" w:sz="0" w:space="0" w:color="auto"/>
        <w:bottom w:val="none" w:sz="0" w:space="0" w:color="auto"/>
        <w:right w:val="none" w:sz="0" w:space="0" w:color="auto"/>
      </w:divBdr>
    </w:div>
    <w:div w:id="732778395">
      <w:bodyDiv w:val="1"/>
      <w:marLeft w:val="0"/>
      <w:marRight w:val="0"/>
      <w:marTop w:val="0"/>
      <w:marBottom w:val="0"/>
      <w:divBdr>
        <w:top w:val="none" w:sz="0" w:space="0" w:color="auto"/>
        <w:left w:val="none" w:sz="0" w:space="0" w:color="auto"/>
        <w:bottom w:val="none" w:sz="0" w:space="0" w:color="auto"/>
        <w:right w:val="none" w:sz="0" w:space="0" w:color="auto"/>
      </w:divBdr>
    </w:div>
    <w:div w:id="733159442">
      <w:bodyDiv w:val="1"/>
      <w:marLeft w:val="0"/>
      <w:marRight w:val="0"/>
      <w:marTop w:val="0"/>
      <w:marBottom w:val="0"/>
      <w:divBdr>
        <w:top w:val="none" w:sz="0" w:space="0" w:color="auto"/>
        <w:left w:val="none" w:sz="0" w:space="0" w:color="auto"/>
        <w:bottom w:val="none" w:sz="0" w:space="0" w:color="auto"/>
        <w:right w:val="none" w:sz="0" w:space="0" w:color="auto"/>
      </w:divBdr>
    </w:div>
    <w:div w:id="733821973">
      <w:bodyDiv w:val="1"/>
      <w:marLeft w:val="0"/>
      <w:marRight w:val="0"/>
      <w:marTop w:val="0"/>
      <w:marBottom w:val="0"/>
      <w:divBdr>
        <w:top w:val="none" w:sz="0" w:space="0" w:color="auto"/>
        <w:left w:val="none" w:sz="0" w:space="0" w:color="auto"/>
        <w:bottom w:val="none" w:sz="0" w:space="0" w:color="auto"/>
        <w:right w:val="none" w:sz="0" w:space="0" w:color="auto"/>
      </w:divBdr>
    </w:div>
    <w:div w:id="733892516">
      <w:bodyDiv w:val="1"/>
      <w:marLeft w:val="0"/>
      <w:marRight w:val="0"/>
      <w:marTop w:val="0"/>
      <w:marBottom w:val="0"/>
      <w:divBdr>
        <w:top w:val="none" w:sz="0" w:space="0" w:color="auto"/>
        <w:left w:val="none" w:sz="0" w:space="0" w:color="auto"/>
        <w:bottom w:val="none" w:sz="0" w:space="0" w:color="auto"/>
        <w:right w:val="none" w:sz="0" w:space="0" w:color="auto"/>
      </w:divBdr>
    </w:div>
    <w:div w:id="734282346">
      <w:bodyDiv w:val="1"/>
      <w:marLeft w:val="0"/>
      <w:marRight w:val="0"/>
      <w:marTop w:val="0"/>
      <w:marBottom w:val="0"/>
      <w:divBdr>
        <w:top w:val="none" w:sz="0" w:space="0" w:color="auto"/>
        <w:left w:val="none" w:sz="0" w:space="0" w:color="auto"/>
        <w:bottom w:val="none" w:sz="0" w:space="0" w:color="auto"/>
        <w:right w:val="none" w:sz="0" w:space="0" w:color="auto"/>
      </w:divBdr>
    </w:div>
    <w:div w:id="734670836">
      <w:bodyDiv w:val="1"/>
      <w:marLeft w:val="0"/>
      <w:marRight w:val="0"/>
      <w:marTop w:val="0"/>
      <w:marBottom w:val="0"/>
      <w:divBdr>
        <w:top w:val="none" w:sz="0" w:space="0" w:color="auto"/>
        <w:left w:val="none" w:sz="0" w:space="0" w:color="auto"/>
        <w:bottom w:val="none" w:sz="0" w:space="0" w:color="auto"/>
        <w:right w:val="none" w:sz="0" w:space="0" w:color="auto"/>
      </w:divBdr>
    </w:div>
    <w:div w:id="735010013">
      <w:bodyDiv w:val="1"/>
      <w:marLeft w:val="0"/>
      <w:marRight w:val="0"/>
      <w:marTop w:val="0"/>
      <w:marBottom w:val="0"/>
      <w:divBdr>
        <w:top w:val="none" w:sz="0" w:space="0" w:color="auto"/>
        <w:left w:val="none" w:sz="0" w:space="0" w:color="auto"/>
        <w:bottom w:val="none" w:sz="0" w:space="0" w:color="auto"/>
        <w:right w:val="none" w:sz="0" w:space="0" w:color="auto"/>
      </w:divBdr>
    </w:div>
    <w:div w:id="735014286">
      <w:bodyDiv w:val="1"/>
      <w:marLeft w:val="0"/>
      <w:marRight w:val="0"/>
      <w:marTop w:val="0"/>
      <w:marBottom w:val="0"/>
      <w:divBdr>
        <w:top w:val="none" w:sz="0" w:space="0" w:color="auto"/>
        <w:left w:val="none" w:sz="0" w:space="0" w:color="auto"/>
        <w:bottom w:val="none" w:sz="0" w:space="0" w:color="auto"/>
        <w:right w:val="none" w:sz="0" w:space="0" w:color="auto"/>
      </w:divBdr>
    </w:div>
    <w:div w:id="735081790">
      <w:bodyDiv w:val="1"/>
      <w:marLeft w:val="0"/>
      <w:marRight w:val="0"/>
      <w:marTop w:val="0"/>
      <w:marBottom w:val="0"/>
      <w:divBdr>
        <w:top w:val="none" w:sz="0" w:space="0" w:color="auto"/>
        <w:left w:val="none" w:sz="0" w:space="0" w:color="auto"/>
        <w:bottom w:val="none" w:sz="0" w:space="0" w:color="auto"/>
        <w:right w:val="none" w:sz="0" w:space="0" w:color="auto"/>
      </w:divBdr>
    </w:div>
    <w:div w:id="735281084">
      <w:bodyDiv w:val="1"/>
      <w:marLeft w:val="0"/>
      <w:marRight w:val="0"/>
      <w:marTop w:val="0"/>
      <w:marBottom w:val="0"/>
      <w:divBdr>
        <w:top w:val="none" w:sz="0" w:space="0" w:color="auto"/>
        <w:left w:val="none" w:sz="0" w:space="0" w:color="auto"/>
        <w:bottom w:val="none" w:sz="0" w:space="0" w:color="auto"/>
        <w:right w:val="none" w:sz="0" w:space="0" w:color="auto"/>
      </w:divBdr>
    </w:div>
    <w:div w:id="735395910">
      <w:bodyDiv w:val="1"/>
      <w:marLeft w:val="0"/>
      <w:marRight w:val="0"/>
      <w:marTop w:val="0"/>
      <w:marBottom w:val="0"/>
      <w:divBdr>
        <w:top w:val="none" w:sz="0" w:space="0" w:color="auto"/>
        <w:left w:val="none" w:sz="0" w:space="0" w:color="auto"/>
        <w:bottom w:val="none" w:sz="0" w:space="0" w:color="auto"/>
        <w:right w:val="none" w:sz="0" w:space="0" w:color="auto"/>
      </w:divBdr>
    </w:div>
    <w:div w:id="735587151">
      <w:bodyDiv w:val="1"/>
      <w:marLeft w:val="0"/>
      <w:marRight w:val="0"/>
      <w:marTop w:val="0"/>
      <w:marBottom w:val="0"/>
      <w:divBdr>
        <w:top w:val="none" w:sz="0" w:space="0" w:color="auto"/>
        <w:left w:val="none" w:sz="0" w:space="0" w:color="auto"/>
        <w:bottom w:val="none" w:sz="0" w:space="0" w:color="auto"/>
        <w:right w:val="none" w:sz="0" w:space="0" w:color="auto"/>
      </w:divBdr>
    </w:div>
    <w:div w:id="736710974">
      <w:bodyDiv w:val="1"/>
      <w:marLeft w:val="0"/>
      <w:marRight w:val="0"/>
      <w:marTop w:val="0"/>
      <w:marBottom w:val="0"/>
      <w:divBdr>
        <w:top w:val="none" w:sz="0" w:space="0" w:color="auto"/>
        <w:left w:val="none" w:sz="0" w:space="0" w:color="auto"/>
        <w:bottom w:val="none" w:sz="0" w:space="0" w:color="auto"/>
        <w:right w:val="none" w:sz="0" w:space="0" w:color="auto"/>
      </w:divBdr>
    </w:div>
    <w:div w:id="736853729">
      <w:bodyDiv w:val="1"/>
      <w:marLeft w:val="0"/>
      <w:marRight w:val="0"/>
      <w:marTop w:val="0"/>
      <w:marBottom w:val="0"/>
      <w:divBdr>
        <w:top w:val="none" w:sz="0" w:space="0" w:color="auto"/>
        <w:left w:val="none" w:sz="0" w:space="0" w:color="auto"/>
        <w:bottom w:val="none" w:sz="0" w:space="0" w:color="auto"/>
        <w:right w:val="none" w:sz="0" w:space="0" w:color="auto"/>
      </w:divBdr>
    </w:div>
    <w:div w:id="736906033">
      <w:bodyDiv w:val="1"/>
      <w:marLeft w:val="0"/>
      <w:marRight w:val="0"/>
      <w:marTop w:val="0"/>
      <w:marBottom w:val="0"/>
      <w:divBdr>
        <w:top w:val="none" w:sz="0" w:space="0" w:color="auto"/>
        <w:left w:val="none" w:sz="0" w:space="0" w:color="auto"/>
        <w:bottom w:val="none" w:sz="0" w:space="0" w:color="auto"/>
        <w:right w:val="none" w:sz="0" w:space="0" w:color="auto"/>
      </w:divBdr>
    </w:div>
    <w:div w:id="737283226">
      <w:bodyDiv w:val="1"/>
      <w:marLeft w:val="0"/>
      <w:marRight w:val="0"/>
      <w:marTop w:val="0"/>
      <w:marBottom w:val="0"/>
      <w:divBdr>
        <w:top w:val="none" w:sz="0" w:space="0" w:color="auto"/>
        <w:left w:val="none" w:sz="0" w:space="0" w:color="auto"/>
        <w:bottom w:val="none" w:sz="0" w:space="0" w:color="auto"/>
        <w:right w:val="none" w:sz="0" w:space="0" w:color="auto"/>
      </w:divBdr>
    </w:div>
    <w:div w:id="737820276">
      <w:bodyDiv w:val="1"/>
      <w:marLeft w:val="0"/>
      <w:marRight w:val="0"/>
      <w:marTop w:val="0"/>
      <w:marBottom w:val="0"/>
      <w:divBdr>
        <w:top w:val="none" w:sz="0" w:space="0" w:color="auto"/>
        <w:left w:val="none" w:sz="0" w:space="0" w:color="auto"/>
        <w:bottom w:val="none" w:sz="0" w:space="0" w:color="auto"/>
        <w:right w:val="none" w:sz="0" w:space="0" w:color="auto"/>
      </w:divBdr>
    </w:div>
    <w:div w:id="738132651">
      <w:bodyDiv w:val="1"/>
      <w:marLeft w:val="0"/>
      <w:marRight w:val="0"/>
      <w:marTop w:val="0"/>
      <w:marBottom w:val="0"/>
      <w:divBdr>
        <w:top w:val="none" w:sz="0" w:space="0" w:color="auto"/>
        <w:left w:val="none" w:sz="0" w:space="0" w:color="auto"/>
        <w:bottom w:val="none" w:sz="0" w:space="0" w:color="auto"/>
        <w:right w:val="none" w:sz="0" w:space="0" w:color="auto"/>
      </w:divBdr>
    </w:div>
    <w:div w:id="739058079">
      <w:bodyDiv w:val="1"/>
      <w:marLeft w:val="0"/>
      <w:marRight w:val="0"/>
      <w:marTop w:val="0"/>
      <w:marBottom w:val="0"/>
      <w:divBdr>
        <w:top w:val="none" w:sz="0" w:space="0" w:color="auto"/>
        <w:left w:val="none" w:sz="0" w:space="0" w:color="auto"/>
        <w:bottom w:val="none" w:sz="0" w:space="0" w:color="auto"/>
        <w:right w:val="none" w:sz="0" w:space="0" w:color="auto"/>
      </w:divBdr>
    </w:div>
    <w:div w:id="739063878">
      <w:bodyDiv w:val="1"/>
      <w:marLeft w:val="0"/>
      <w:marRight w:val="0"/>
      <w:marTop w:val="0"/>
      <w:marBottom w:val="0"/>
      <w:divBdr>
        <w:top w:val="none" w:sz="0" w:space="0" w:color="auto"/>
        <w:left w:val="none" w:sz="0" w:space="0" w:color="auto"/>
        <w:bottom w:val="none" w:sz="0" w:space="0" w:color="auto"/>
        <w:right w:val="none" w:sz="0" w:space="0" w:color="auto"/>
      </w:divBdr>
    </w:div>
    <w:div w:id="739135218">
      <w:bodyDiv w:val="1"/>
      <w:marLeft w:val="0"/>
      <w:marRight w:val="0"/>
      <w:marTop w:val="0"/>
      <w:marBottom w:val="0"/>
      <w:divBdr>
        <w:top w:val="none" w:sz="0" w:space="0" w:color="auto"/>
        <w:left w:val="none" w:sz="0" w:space="0" w:color="auto"/>
        <w:bottom w:val="none" w:sz="0" w:space="0" w:color="auto"/>
        <w:right w:val="none" w:sz="0" w:space="0" w:color="auto"/>
      </w:divBdr>
    </w:div>
    <w:div w:id="739137540">
      <w:bodyDiv w:val="1"/>
      <w:marLeft w:val="0"/>
      <w:marRight w:val="0"/>
      <w:marTop w:val="0"/>
      <w:marBottom w:val="0"/>
      <w:divBdr>
        <w:top w:val="none" w:sz="0" w:space="0" w:color="auto"/>
        <w:left w:val="none" w:sz="0" w:space="0" w:color="auto"/>
        <w:bottom w:val="none" w:sz="0" w:space="0" w:color="auto"/>
        <w:right w:val="none" w:sz="0" w:space="0" w:color="auto"/>
      </w:divBdr>
    </w:div>
    <w:div w:id="739404278">
      <w:bodyDiv w:val="1"/>
      <w:marLeft w:val="0"/>
      <w:marRight w:val="0"/>
      <w:marTop w:val="0"/>
      <w:marBottom w:val="0"/>
      <w:divBdr>
        <w:top w:val="none" w:sz="0" w:space="0" w:color="auto"/>
        <w:left w:val="none" w:sz="0" w:space="0" w:color="auto"/>
        <w:bottom w:val="none" w:sz="0" w:space="0" w:color="auto"/>
        <w:right w:val="none" w:sz="0" w:space="0" w:color="auto"/>
      </w:divBdr>
    </w:div>
    <w:div w:id="739907245">
      <w:bodyDiv w:val="1"/>
      <w:marLeft w:val="0"/>
      <w:marRight w:val="0"/>
      <w:marTop w:val="0"/>
      <w:marBottom w:val="0"/>
      <w:divBdr>
        <w:top w:val="none" w:sz="0" w:space="0" w:color="auto"/>
        <w:left w:val="none" w:sz="0" w:space="0" w:color="auto"/>
        <w:bottom w:val="none" w:sz="0" w:space="0" w:color="auto"/>
        <w:right w:val="none" w:sz="0" w:space="0" w:color="auto"/>
      </w:divBdr>
    </w:div>
    <w:div w:id="740909309">
      <w:bodyDiv w:val="1"/>
      <w:marLeft w:val="0"/>
      <w:marRight w:val="0"/>
      <w:marTop w:val="0"/>
      <w:marBottom w:val="0"/>
      <w:divBdr>
        <w:top w:val="none" w:sz="0" w:space="0" w:color="auto"/>
        <w:left w:val="none" w:sz="0" w:space="0" w:color="auto"/>
        <w:bottom w:val="none" w:sz="0" w:space="0" w:color="auto"/>
        <w:right w:val="none" w:sz="0" w:space="0" w:color="auto"/>
      </w:divBdr>
    </w:div>
    <w:div w:id="741218985">
      <w:bodyDiv w:val="1"/>
      <w:marLeft w:val="0"/>
      <w:marRight w:val="0"/>
      <w:marTop w:val="0"/>
      <w:marBottom w:val="0"/>
      <w:divBdr>
        <w:top w:val="none" w:sz="0" w:space="0" w:color="auto"/>
        <w:left w:val="none" w:sz="0" w:space="0" w:color="auto"/>
        <w:bottom w:val="none" w:sz="0" w:space="0" w:color="auto"/>
        <w:right w:val="none" w:sz="0" w:space="0" w:color="auto"/>
      </w:divBdr>
    </w:div>
    <w:div w:id="741483870">
      <w:bodyDiv w:val="1"/>
      <w:marLeft w:val="0"/>
      <w:marRight w:val="0"/>
      <w:marTop w:val="0"/>
      <w:marBottom w:val="0"/>
      <w:divBdr>
        <w:top w:val="none" w:sz="0" w:space="0" w:color="auto"/>
        <w:left w:val="none" w:sz="0" w:space="0" w:color="auto"/>
        <w:bottom w:val="none" w:sz="0" w:space="0" w:color="auto"/>
        <w:right w:val="none" w:sz="0" w:space="0" w:color="auto"/>
      </w:divBdr>
    </w:div>
    <w:div w:id="741945904">
      <w:bodyDiv w:val="1"/>
      <w:marLeft w:val="0"/>
      <w:marRight w:val="0"/>
      <w:marTop w:val="0"/>
      <w:marBottom w:val="0"/>
      <w:divBdr>
        <w:top w:val="none" w:sz="0" w:space="0" w:color="auto"/>
        <w:left w:val="none" w:sz="0" w:space="0" w:color="auto"/>
        <w:bottom w:val="none" w:sz="0" w:space="0" w:color="auto"/>
        <w:right w:val="none" w:sz="0" w:space="0" w:color="auto"/>
      </w:divBdr>
    </w:div>
    <w:div w:id="742027876">
      <w:bodyDiv w:val="1"/>
      <w:marLeft w:val="0"/>
      <w:marRight w:val="0"/>
      <w:marTop w:val="0"/>
      <w:marBottom w:val="0"/>
      <w:divBdr>
        <w:top w:val="none" w:sz="0" w:space="0" w:color="auto"/>
        <w:left w:val="none" w:sz="0" w:space="0" w:color="auto"/>
        <w:bottom w:val="none" w:sz="0" w:space="0" w:color="auto"/>
        <w:right w:val="none" w:sz="0" w:space="0" w:color="auto"/>
      </w:divBdr>
    </w:div>
    <w:div w:id="742142055">
      <w:bodyDiv w:val="1"/>
      <w:marLeft w:val="0"/>
      <w:marRight w:val="0"/>
      <w:marTop w:val="0"/>
      <w:marBottom w:val="0"/>
      <w:divBdr>
        <w:top w:val="none" w:sz="0" w:space="0" w:color="auto"/>
        <w:left w:val="none" w:sz="0" w:space="0" w:color="auto"/>
        <w:bottom w:val="none" w:sz="0" w:space="0" w:color="auto"/>
        <w:right w:val="none" w:sz="0" w:space="0" w:color="auto"/>
      </w:divBdr>
    </w:div>
    <w:div w:id="742603922">
      <w:bodyDiv w:val="1"/>
      <w:marLeft w:val="0"/>
      <w:marRight w:val="0"/>
      <w:marTop w:val="0"/>
      <w:marBottom w:val="0"/>
      <w:divBdr>
        <w:top w:val="none" w:sz="0" w:space="0" w:color="auto"/>
        <w:left w:val="none" w:sz="0" w:space="0" w:color="auto"/>
        <w:bottom w:val="none" w:sz="0" w:space="0" w:color="auto"/>
        <w:right w:val="none" w:sz="0" w:space="0" w:color="auto"/>
      </w:divBdr>
    </w:div>
    <w:div w:id="743796729">
      <w:bodyDiv w:val="1"/>
      <w:marLeft w:val="0"/>
      <w:marRight w:val="0"/>
      <w:marTop w:val="0"/>
      <w:marBottom w:val="0"/>
      <w:divBdr>
        <w:top w:val="none" w:sz="0" w:space="0" w:color="auto"/>
        <w:left w:val="none" w:sz="0" w:space="0" w:color="auto"/>
        <w:bottom w:val="none" w:sz="0" w:space="0" w:color="auto"/>
        <w:right w:val="none" w:sz="0" w:space="0" w:color="auto"/>
      </w:divBdr>
    </w:div>
    <w:div w:id="744498644">
      <w:bodyDiv w:val="1"/>
      <w:marLeft w:val="0"/>
      <w:marRight w:val="0"/>
      <w:marTop w:val="0"/>
      <w:marBottom w:val="0"/>
      <w:divBdr>
        <w:top w:val="none" w:sz="0" w:space="0" w:color="auto"/>
        <w:left w:val="none" w:sz="0" w:space="0" w:color="auto"/>
        <w:bottom w:val="none" w:sz="0" w:space="0" w:color="auto"/>
        <w:right w:val="none" w:sz="0" w:space="0" w:color="auto"/>
      </w:divBdr>
    </w:div>
    <w:div w:id="746224666">
      <w:bodyDiv w:val="1"/>
      <w:marLeft w:val="0"/>
      <w:marRight w:val="0"/>
      <w:marTop w:val="0"/>
      <w:marBottom w:val="0"/>
      <w:divBdr>
        <w:top w:val="none" w:sz="0" w:space="0" w:color="auto"/>
        <w:left w:val="none" w:sz="0" w:space="0" w:color="auto"/>
        <w:bottom w:val="none" w:sz="0" w:space="0" w:color="auto"/>
        <w:right w:val="none" w:sz="0" w:space="0" w:color="auto"/>
      </w:divBdr>
    </w:div>
    <w:div w:id="747270884">
      <w:bodyDiv w:val="1"/>
      <w:marLeft w:val="0"/>
      <w:marRight w:val="0"/>
      <w:marTop w:val="0"/>
      <w:marBottom w:val="0"/>
      <w:divBdr>
        <w:top w:val="none" w:sz="0" w:space="0" w:color="auto"/>
        <w:left w:val="none" w:sz="0" w:space="0" w:color="auto"/>
        <w:bottom w:val="none" w:sz="0" w:space="0" w:color="auto"/>
        <w:right w:val="none" w:sz="0" w:space="0" w:color="auto"/>
      </w:divBdr>
    </w:div>
    <w:div w:id="747307953">
      <w:bodyDiv w:val="1"/>
      <w:marLeft w:val="0"/>
      <w:marRight w:val="0"/>
      <w:marTop w:val="0"/>
      <w:marBottom w:val="0"/>
      <w:divBdr>
        <w:top w:val="none" w:sz="0" w:space="0" w:color="auto"/>
        <w:left w:val="none" w:sz="0" w:space="0" w:color="auto"/>
        <w:bottom w:val="none" w:sz="0" w:space="0" w:color="auto"/>
        <w:right w:val="none" w:sz="0" w:space="0" w:color="auto"/>
      </w:divBdr>
    </w:div>
    <w:div w:id="747725733">
      <w:bodyDiv w:val="1"/>
      <w:marLeft w:val="0"/>
      <w:marRight w:val="0"/>
      <w:marTop w:val="0"/>
      <w:marBottom w:val="0"/>
      <w:divBdr>
        <w:top w:val="none" w:sz="0" w:space="0" w:color="auto"/>
        <w:left w:val="none" w:sz="0" w:space="0" w:color="auto"/>
        <w:bottom w:val="none" w:sz="0" w:space="0" w:color="auto"/>
        <w:right w:val="none" w:sz="0" w:space="0" w:color="auto"/>
      </w:divBdr>
    </w:div>
    <w:div w:id="749739042">
      <w:bodyDiv w:val="1"/>
      <w:marLeft w:val="0"/>
      <w:marRight w:val="0"/>
      <w:marTop w:val="0"/>
      <w:marBottom w:val="0"/>
      <w:divBdr>
        <w:top w:val="none" w:sz="0" w:space="0" w:color="auto"/>
        <w:left w:val="none" w:sz="0" w:space="0" w:color="auto"/>
        <w:bottom w:val="none" w:sz="0" w:space="0" w:color="auto"/>
        <w:right w:val="none" w:sz="0" w:space="0" w:color="auto"/>
      </w:divBdr>
    </w:div>
    <w:div w:id="749816360">
      <w:bodyDiv w:val="1"/>
      <w:marLeft w:val="0"/>
      <w:marRight w:val="0"/>
      <w:marTop w:val="0"/>
      <w:marBottom w:val="0"/>
      <w:divBdr>
        <w:top w:val="none" w:sz="0" w:space="0" w:color="auto"/>
        <w:left w:val="none" w:sz="0" w:space="0" w:color="auto"/>
        <w:bottom w:val="none" w:sz="0" w:space="0" w:color="auto"/>
        <w:right w:val="none" w:sz="0" w:space="0" w:color="auto"/>
      </w:divBdr>
    </w:div>
    <w:div w:id="750546054">
      <w:bodyDiv w:val="1"/>
      <w:marLeft w:val="0"/>
      <w:marRight w:val="0"/>
      <w:marTop w:val="0"/>
      <w:marBottom w:val="0"/>
      <w:divBdr>
        <w:top w:val="none" w:sz="0" w:space="0" w:color="auto"/>
        <w:left w:val="none" w:sz="0" w:space="0" w:color="auto"/>
        <w:bottom w:val="none" w:sz="0" w:space="0" w:color="auto"/>
        <w:right w:val="none" w:sz="0" w:space="0" w:color="auto"/>
      </w:divBdr>
    </w:div>
    <w:div w:id="751201354">
      <w:bodyDiv w:val="1"/>
      <w:marLeft w:val="0"/>
      <w:marRight w:val="0"/>
      <w:marTop w:val="0"/>
      <w:marBottom w:val="0"/>
      <w:divBdr>
        <w:top w:val="none" w:sz="0" w:space="0" w:color="auto"/>
        <w:left w:val="none" w:sz="0" w:space="0" w:color="auto"/>
        <w:bottom w:val="none" w:sz="0" w:space="0" w:color="auto"/>
        <w:right w:val="none" w:sz="0" w:space="0" w:color="auto"/>
      </w:divBdr>
    </w:div>
    <w:div w:id="753477301">
      <w:bodyDiv w:val="1"/>
      <w:marLeft w:val="0"/>
      <w:marRight w:val="0"/>
      <w:marTop w:val="0"/>
      <w:marBottom w:val="0"/>
      <w:divBdr>
        <w:top w:val="none" w:sz="0" w:space="0" w:color="auto"/>
        <w:left w:val="none" w:sz="0" w:space="0" w:color="auto"/>
        <w:bottom w:val="none" w:sz="0" w:space="0" w:color="auto"/>
        <w:right w:val="none" w:sz="0" w:space="0" w:color="auto"/>
      </w:divBdr>
    </w:div>
    <w:div w:id="753550531">
      <w:bodyDiv w:val="1"/>
      <w:marLeft w:val="0"/>
      <w:marRight w:val="0"/>
      <w:marTop w:val="0"/>
      <w:marBottom w:val="0"/>
      <w:divBdr>
        <w:top w:val="none" w:sz="0" w:space="0" w:color="auto"/>
        <w:left w:val="none" w:sz="0" w:space="0" w:color="auto"/>
        <w:bottom w:val="none" w:sz="0" w:space="0" w:color="auto"/>
        <w:right w:val="none" w:sz="0" w:space="0" w:color="auto"/>
      </w:divBdr>
    </w:div>
    <w:div w:id="753741199">
      <w:bodyDiv w:val="1"/>
      <w:marLeft w:val="0"/>
      <w:marRight w:val="0"/>
      <w:marTop w:val="0"/>
      <w:marBottom w:val="0"/>
      <w:divBdr>
        <w:top w:val="none" w:sz="0" w:space="0" w:color="auto"/>
        <w:left w:val="none" w:sz="0" w:space="0" w:color="auto"/>
        <w:bottom w:val="none" w:sz="0" w:space="0" w:color="auto"/>
        <w:right w:val="none" w:sz="0" w:space="0" w:color="auto"/>
      </w:divBdr>
    </w:div>
    <w:div w:id="753823326">
      <w:bodyDiv w:val="1"/>
      <w:marLeft w:val="0"/>
      <w:marRight w:val="0"/>
      <w:marTop w:val="0"/>
      <w:marBottom w:val="0"/>
      <w:divBdr>
        <w:top w:val="none" w:sz="0" w:space="0" w:color="auto"/>
        <w:left w:val="none" w:sz="0" w:space="0" w:color="auto"/>
        <w:bottom w:val="none" w:sz="0" w:space="0" w:color="auto"/>
        <w:right w:val="none" w:sz="0" w:space="0" w:color="auto"/>
      </w:divBdr>
    </w:div>
    <w:div w:id="754084982">
      <w:bodyDiv w:val="1"/>
      <w:marLeft w:val="0"/>
      <w:marRight w:val="0"/>
      <w:marTop w:val="0"/>
      <w:marBottom w:val="0"/>
      <w:divBdr>
        <w:top w:val="none" w:sz="0" w:space="0" w:color="auto"/>
        <w:left w:val="none" w:sz="0" w:space="0" w:color="auto"/>
        <w:bottom w:val="none" w:sz="0" w:space="0" w:color="auto"/>
        <w:right w:val="none" w:sz="0" w:space="0" w:color="auto"/>
      </w:divBdr>
    </w:div>
    <w:div w:id="754329322">
      <w:bodyDiv w:val="1"/>
      <w:marLeft w:val="0"/>
      <w:marRight w:val="0"/>
      <w:marTop w:val="0"/>
      <w:marBottom w:val="0"/>
      <w:divBdr>
        <w:top w:val="none" w:sz="0" w:space="0" w:color="auto"/>
        <w:left w:val="none" w:sz="0" w:space="0" w:color="auto"/>
        <w:bottom w:val="none" w:sz="0" w:space="0" w:color="auto"/>
        <w:right w:val="none" w:sz="0" w:space="0" w:color="auto"/>
      </w:divBdr>
    </w:div>
    <w:div w:id="754664296">
      <w:bodyDiv w:val="1"/>
      <w:marLeft w:val="0"/>
      <w:marRight w:val="0"/>
      <w:marTop w:val="0"/>
      <w:marBottom w:val="0"/>
      <w:divBdr>
        <w:top w:val="none" w:sz="0" w:space="0" w:color="auto"/>
        <w:left w:val="none" w:sz="0" w:space="0" w:color="auto"/>
        <w:bottom w:val="none" w:sz="0" w:space="0" w:color="auto"/>
        <w:right w:val="none" w:sz="0" w:space="0" w:color="auto"/>
      </w:divBdr>
    </w:div>
    <w:div w:id="756681878">
      <w:bodyDiv w:val="1"/>
      <w:marLeft w:val="0"/>
      <w:marRight w:val="0"/>
      <w:marTop w:val="0"/>
      <w:marBottom w:val="0"/>
      <w:divBdr>
        <w:top w:val="none" w:sz="0" w:space="0" w:color="auto"/>
        <w:left w:val="none" w:sz="0" w:space="0" w:color="auto"/>
        <w:bottom w:val="none" w:sz="0" w:space="0" w:color="auto"/>
        <w:right w:val="none" w:sz="0" w:space="0" w:color="auto"/>
      </w:divBdr>
    </w:div>
    <w:div w:id="757674339">
      <w:bodyDiv w:val="1"/>
      <w:marLeft w:val="0"/>
      <w:marRight w:val="0"/>
      <w:marTop w:val="0"/>
      <w:marBottom w:val="0"/>
      <w:divBdr>
        <w:top w:val="none" w:sz="0" w:space="0" w:color="auto"/>
        <w:left w:val="none" w:sz="0" w:space="0" w:color="auto"/>
        <w:bottom w:val="none" w:sz="0" w:space="0" w:color="auto"/>
        <w:right w:val="none" w:sz="0" w:space="0" w:color="auto"/>
      </w:divBdr>
    </w:div>
    <w:div w:id="757865855">
      <w:bodyDiv w:val="1"/>
      <w:marLeft w:val="0"/>
      <w:marRight w:val="0"/>
      <w:marTop w:val="0"/>
      <w:marBottom w:val="0"/>
      <w:divBdr>
        <w:top w:val="none" w:sz="0" w:space="0" w:color="auto"/>
        <w:left w:val="none" w:sz="0" w:space="0" w:color="auto"/>
        <w:bottom w:val="none" w:sz="0" w:space="0" w:color="auto"/>
        <w:right w:val="none" w:sz="0" w:space="0" w:color="auto"/>
      </w:divBdr>
    </w:div>
    <w:div w:id="758019555">
      <w:bodyDiv w:val="1"/>
      <w:marLeft w:val="0"/>
      <w:marRight w:val="0"/>
      <w:marTop w:val="0"/>
      <w:marBottom w:val="0"/>
      <w:divBdr>
        <w:top w:val="none" w:sz="0" w:space="0" w:color="auto"/>
        <w:left w:val="none" w:sz="0" w:space="0" w:color="auto"/>
        <w:bottom w:val="none" w:sz="0" w:space="0" w:color="auto"/>
        <w:right w:val="none" w:sz="0" w:space="0" w:color="auto"/>
      </w:divBdr>
    </w:div>
    <w:div w:id="758020351">
      <w:bodyDiv w:val="1"/>
      <w:marLeft w:val="0"/>
      <w:marRight w:val="0"/>
      <w:marTop w:val="0"/>
      <w:marBottom w:val="0"/>
      <w:divBdr>
        <w:top w:val="none" w:sz="0" w:space="0" w:color="auto"/>
        <w:left w:val="none" w:sz="0" w:space="0" w:color="auto"/>
        <w:bottom w:val="none" w:sz="0" w:space="0" w:color="auto"/>
        <w:right w:val="none" w:sz="0" w:space="0" w:color="auto"/>
      </w:divBdr>
    </w:div>
    <w:div w:id="758986296">
      <w:bodyDiv w:val="1"/>
      <w:marLeft w:val="0"/>
      <w:marRight w:val="0"/>
      <w:marTop w:val="0"/>
      <w:marBottom w:val="0"/>
      <w:divBdr>
        <w:top w:val="none" w:sz="0" w:space="0" w:color="auto"/>
        <w:left w:val="none" w:sz="0" w:space="0" w:color="auto"/>
        <w:bottom w:val="none" w:sz="0" w:space="0" w:color="auto"/>
        <w:right w:val="none" w:sz="0" w:space="0" w:color="auto"/>
      </w:divBdr>
    </w:div>
    <w:div w:id="759176930">
      <w:bodyDiv w:val="1"/>
      <w:marLeft w:val="0"/>
      <w:marRight w:val="0"/>
      <w:marTop w:val="0"/>
      <w:marBottom w:val="0"/>
      <w:divBdr>
        <w:top w:val="none" w:sz="0" w:space="0" w:color="auto"/>
        <w:left w:val="none" w:sz="0" w:space="0" w:color="auto"/>
        <w:bottom w:val="none" w:sz="0" w:space="0" w:color="auto"/>
        <w:right w:val="none" w:sz="0" w:space="0" w:color="auto"/>
      </w:divBdr>
    </w:div>
    <w:div w:id="759567665">
      <w:bodyDiv w:val="1"/>
      <w:marLeft w:val="0"/>
      <w:marRight w:val="0"/>
      <w:marTop w:val="0"/>
      <w:marBottom w:val="0"/>
      <w:divBdr>
        <w:top w:val="none" w:sz="0" w:space="0" w:color="auto"/>
        <w:left w:val="none" w:sz="0" w:space="0" w:color="auto"/>
        <w:bottom w:val="none" w:sz="0" w:space="0" w:color="auto"/>
        <w:right w:val="none" w:sz="0" w:space="0" w:color="auto"/>
      </w:divBdr>
    </w:div>
    <w:div w:id="759571490">
      <w:bodyDiv w:val="1"/>
      <w:marLeft w:val="0"/>
      <w:marRight w:val="0"/>
      <w:marTop w:val="0"/>
      <w:marBottom w:val="0"/>
      <w:divBdr>
        <w:top w:val="none" w:sz="0" w:space="0" w:color="auto"/>
        <w:left w:val="none" w:sz="0" w:space="0" w:color="auto"/>
        <w:bottom w:val="none" w:sz="0" w:space="0" w:color="auto"/>
        <w:right w:val="none" w:sz="0" w:space="0" w:color="auto"/>
      </w:divBdr>
    </w:div>
    <w:div w:id="760220667">
      <w:bodyDiv w:val="1"/>
      <w:marLeft w:val="0"/>
      <w:marRight w:val="0"/>
      <w:marTop w:val="0"/>
      <w:marBottom w:val="0"/>
      <w:divBdr>
        <w:top w:val="none" w:sz="0" w:space="0" w:color="auto"/>
        <w:left w:val="none" w:sz="0" w:space="0" w:color="auto"/>
        <w:bottom w:val="none" w:sz="0" w:space="0" w:color="auto"/>
        <w:right w:val="none" w:sz="0" w:space="0" w:color="auto"/>
      </w:divBdr>
    </w:div>
    <w:div w:id="760368709">
      <w:bodyDiv w:val="1"/>
      <w:marLeft w:val="0"/>
      <w:marRight w:val="0"/>
      <w:marTop w:val="0"/>
      <w:marBottom w:val="0"/>
      <w:divBdr>
        <w:top w:val="none" w:sz="0" w:space="0" w:color="auto"/>
        <w:left w:val="none" w:sz="0" w:space="0" w:color="auto"/>
        <w:bottom w:val="none" w:sz="0" w:space="0" w:color="auto"/>
        <w:right w:val="none" w:sz="0" w:space="0" w:color="auto"/>
      </w:divBdr>
    </w:div>
    <w:div w:id="760443918">
      <w:bodyDiv w:val="1"/>
      <w:marLeft w:val="0"/>
      <w:marRight w:val="0"/>
      <w:marTop w:val="0"/>
      <w:marBottom w:val="0"/>
      <w:divBdr>
        <w:top w:val="none" w:sz="0" w:space="0" w:color="auto"/>
        <w:left w:val="none" w:sz="0" w:space="0" w:color="auto"/>
        <w:bottom w:val="none" w:sz="0" w:space="0" w:color="auto"/>
        <w:right w:val="none" w:sz="0" w:space="0" w:color="auto"/>
      </w:divBdr>
    </w:div>
    <w:div w:id="761146174">
      <w:bodyDiv w:val="1"/>
      <w:marLeft w:val="0"/>
      <w:marRight w:val="0"/>
      <w:marTop w:val="0"/>
      <w:marBottom w:val="0"/>
      <w:divBdr>
        <w:top w:val="none" w:sz="0" w:space="0" w:color="auto"/>
        <w:left w:val="none" w:sz="0" w:space="0" w:color="auto"/>
        <w:bottom w:val="none" w:sz="0" w:space="0" w:color="auto"/>
        <w:right w:val="none" w:sz="0" w:space="0" w:color="auto"/>
      </w:divBdr>
    </w:div>
    <w:div w:id="761220411">
      <w:bodyDiv w:val="1"/>
      <w:marLeft w:val="0"/>
      <w:marRight w:val="0"/>
      <w:marTop w:val="0"/>
      <w:marBottom w:val="0"/>
      <w:divBdr>
        <w:top w:val="none" w:sz="0" w:space="0" w:color="auto"/>
        <w:left w:val="none" w:sz="0" w:space="0" w:color="auto"/>
        <w:bottom w:val="none" w:sz="0" w:space="0" w:color="auto"/>
        <w:right w:val="none" w:sz="0" w:space="0" w:color="auto"/>
      </w:divBdr>
    </w:div>
    <w:div w:id="762263168">
      <w:bodyDiv w:val="1"/>
      <w:marLeft w:val="0"/>
      <w:marRight w:val="0"/>
      <w:marTop w:val="0"/>
      <w:marBottom w:val="0"/>
      <w:divBdr>
        <w:top w:val="none" w:sz="0" w:space="0" w:color="auto"/>
        <w:left w:val="none" w:sz="0" w:space="0" w:color="auto"/>
        <w:bottom w:val="none" w:sz="0" w:space="0" w:color="auto"/>
        <w:right w:val="none" w:sz="0" w:space="0" w:color="auto"/>
      </w:divBdr>
    </w:div>
    <w:div w:id="762725380">
      <w:bodyDiv w:val="1"/>
      <w:marLeft w:val="0"/>
      <w:marRight w:val="0"/>
      <w:marTop w:val="0"/>
      <w:marBottom w:val="0"/>
      <w:divBdr>
        <w:top w:val="none" w:sz="0" w:space="0" w:color="auto"/>
        <w:left w:val="none" w:sz="0" w:space="0" w:color="auto"/>
        <w:bottom w:val="none" w:sz="0" w:space="0" w:color="auto"/>
        <w:right w:val="none" w:sz="0" w:space="0" w:color="auto"/>
      </w:divBdr>
    </w:div>
    <w:div w:id="763108048">
      <w:bodyDiv w:val="1"/>
      <w:marLeft w:val="0"/>
      <w:marRight w:val="0"/>
      <w:marTop w:val="0"/>
      <w:marBottom w:val="0"/>
      <w:divBdr>
        <w:top w:val="none" w:sz="0" w:space="0" w:color="auto"/>
        <w:left w:val="none" w:sz="0" w:space="0" w:color="auto"/>
        <w:bottom w:val="none" w:sz="0" w:space="0" w:color="auto"/>
        <w:right w:val="none" w:sz="0" w:space="0" w:color="auto"/>
      </w:divBdr>
    </w:div>
    <w:div w:id="764614816">
      <w:bodyDiv w:val="1"/>
      <w:marLeft w:val="0"/>
      <w:marRight w:val="0"/>
      <w:marTop w:val="0"/>
      <w:marBottom w:val="0"/>
      <w:divBdr>
        <w:top w:val="none" w:sz="0" w:space="0" w:color="auto"/>
        <w:left w:val="none" w:sz="0" w:space="0" w:color="auto"/>
        <w:bottom w:val="none" w:sz="0" w:space="0" w:color="auto"/>
        <w:right w:val="none" w:sz="0" w:space="0" w:color="auto"/>
      </w:divBdr>
    </w:div>
    <w:div w:id="764889177">
      <w:bodyDiv w:val="1"/>
      <w:marLeft w:val="0"/>
      <w:marRight w:val="0"/>
      <w:marTop w:val="0"/>
      <w:marBottom w:val="0"/>
      <w:divBdr>
        <w:top w:val="none" w:sz="0" w:space="0" w:color="auto"/>
        <w:left w:val="none" w:sz="0" w:space="0" w:color="auto"/>
        <w:bottom w:val="none" w:sz="0" w:space="0" w:color="auto"/>
        <w:right w:val="none" w:sz="0" w:space="0" w:color="auto"/>
      </w:divBdr>
    </w:div>
    <w:div w:id="765272282">
      <w:bodyDiv w:val="1"/>
      <w:marLeft w:val="0"/>
      <w:marRight w:val="0"/>
      <w:marTop w:val="0"/>
      <w:marBottom w:val="0"/>
      <w:divBdr>
        <w:top w:val="none" w:sz="0" w:space="0" w:color="auto"/>
        <w:left w:val="none" w:sz="0" w:space="0" w:color="auto"/>
        <w:bottom w:val="none" w:sz="0" w:space="0" w:color="auto"/>
        <w:right w:val="none" w:sz="0" w:space="0" w:color="auto"/>
      </w:divBdr>
    </w:div>
    <w:div w:id="765466365">
      <w:bodyDiv w:val="1"/>
      <w:marLeft w:val="0"/>
      <w:marRight w:val="0"/>
      <w:marTop w:val="0"/>
      <w:marBottom w:val="0"/>
      <w:divBdr>
        <w:top w:val="none" w:sz="0" w:space="0" w:color="auto"/>
        <w:left w:val="none" w:sz="0" w:space="0" w:color="auto"/>
        <w:bottom w:val="none" w:sz="0" w:space="0" w:color="auto"/>
        <w:right w:val="none" w:sz="0" w:space="0" w:color="auto"/>
      </w:divBdr>
    </w:div>
    <w:div w:id="766120051">
      <w:bodyDiv w:val="1"/>
      <w:marLeft w:val="0"/>
      <w:marRight w:val="0"/>
      <w:marTop w:val="0"/>
      <w:marBottom w:val="0"/>
      <w:divBdr>
        <w:top w:val="none" w:sz="0" w:space="0" w:color="auto"/>
        <w:left w:val="none" w:sz="0" w:space="0" w:color="auto"/>
        <w:bottom w:val="none" w:sz="0" w:space="0" w:color="auto"/>
        <w:right w:val="none" w:sz="0" w:space="0" w:color="auto"/>
      </w:divBdr>
    </w:div>
    <w:div w:id="766466567">
      <w:bodyDiv w:val="1"/>
      <w:marLeft w:val="0"/>
      <w:marRight w:val="0"/>
      <w:marTop w:val="0"/>
      <w:marBottom w:val="0"/>
      <w:divBdr>
        <w:top w:val="none" w:sz="0" w:space="0" w:color="auto"/>
        <w:left w:val="none" w:sz="0" w:space="0" w:color="auto"/>
        <w:bottom w:val="none" w:sz="0" w:space="0" w:color="auto"/>
        <w:right w:val="none" w:sz="0" w:space="0" w:color="auto"/>
      </w:divBdr>
    </w:div>
    <w:div w:id="766539764">
      <w:bodyDiv w:val="1"/>
      <w:marLeft w:val="0"/>
      <w:marRight w:val="0"/>
      <w:marTop w:val="0"/>
      <w:marBottom w:val="0"/>
      <w:divBdr>
        <w:top w:val="none" w:sz="0" w:space="0" w:color="auto"/>
        <w:left w:val="none" w:sz="0" w:space="0" w:color="auto"/>
        <w:bottom w:val="none" w:sz="0" w:space="0" w:color="auto"/>
        <w:right w:val="none" w:sz="0" w:space="0" w:color="auto"/>
      </w:divBdr>
    </w:div>
    <w:div w:id="768503652">
      <w:bodyDiv w:val="1"/>
      <w:marLeft w:val="0"/>
      <w:marRight w:val="0"/>
      <w:marTop w:val="0"/>
      <w:marBottom w:val="0"/>
      <w:divBdr>
        <w:top w:val="none" w:sz="0" w:space="0" w:color="auto"/>
        <w:left w:val="none" w:sz="0" w:space="0" w:color="auto"/>
        <w:bottom w:val="none" w:sz="0" w:space="0" w:color="auto"/>
        <w:right w:val="none" w:sz="0" w:space="0" w:color="auto"/>
      </w:divBdr>
    </w:div>
    <w:div w:id="768699907">
      <w:bodyDiv w:val="1"/>
      <w:marLeft w:val="0"/>
      <w:marRight w:val="0"/>
      <w:marTop w:val="0"/>
      <w:marBottom w:val="0"/>
      <w:divBdr>
        <w:top w:val="none" w:sz="0" w:space="0" w:color="auto"/>
        <w:left w:val="none" w:sz="0" w:space="0" w:color="auto"/>
        <w:bottom w:val="none" w:sz="0" w:space="0" w:color="auto"/>
        <w:right w:val="none" w:sz="0" w:space="0" w:color="auto"/>
      </w:divBdr>
    </w:div>
    <w:div w:id="769008652">
      <w:bodyDiv w:val="1"/>
      <w:marLeft w:val="0"/>
      <w:marRight w:val="0"/>
      <w:marTop w:val="0"/>
      <w:marBottom w:val="0"/>
      <w:divBdr>
        <w:top w:val="none" w:sz="0" w:space="0" w:color="auto"/>
        <w:left w:val="none" w:sz="0" w:space="0" w:color="auto"/>
        <w:bottom w:val="none" w:sz="0" w:space="0" w:color="auto"/>
        <w:right w:val="none" w:sz="0" w:space="0" w:color="auto"/>
      </w:divBdr>
    </w:div>
    <w:div w:id="769350494">
      <w:bodyDiv w:val="1"/>
      <w:marLeft w:val="0"/>
      <w:marRight w:val="0"/>
      <w:marTop w:val="0"/>
      <w:marBottom w:val="0"/>
      <w:divBdr>
        <w:top w:val="none" w:sz="0" w:space="0" w:color="auto"/>
        <w:left w:val="none" w:sz="0" w:space="0" w:color="auto"/>
        <w:bottom w:val="none" w:sz="0" w:space="0" w:color="auto"/>
        <w:right w:val="none" w:sz="0" w:space="0" w:color="auto"/>
      </w:divBdr>
    </w:div>
    <w:div w:id="769660655">
      <w:bodyDiv w:val="1"/>
      <w:marLeft w:val="0"/>
      <w:marRight w:val="0"/>
      <w:marTop w:val="0"/>
      <w:marBottom w:val="0"/>
      <w:divBdr>
        <w:top w:val="none" w:sz="0" w:space="0" w:color="auto"/>
        <w:left w:val="none" w:sz="0" w:space="0" w:color="auto"/>
        <w:bottom w:val="none" w:sz="0" w:space="0" w:color="auto"/>
        <w:right w:val="none" w:sz="0" w:space="0" w:color="auto"/>
      </w:divBdr>
    </w:div>
    <w:div w:id="769930961">
      <w:bodyDiv w:val="1"/>
      <w:marLeft w:val="0"/>
      <w:marRight w:val="0"/>
      <w:marTop w:val="0"/>
      <w:marBottom w:val="0"/>
      <w:divBdr>
        <w:top w:val="none" w:sz="0" w:space="0" w:color="auto"/>
        <w:left w:val="none" w:sz="0" w:space="0" w:color="auto"/>
        <w:bottom w:val="none" w:sz="0" w:space="0" w:color="auto"/>
        <w:right w:val="none" w:sz="0" w:space="0" w:color="auto"/>
      </w:divBdr>
    </w:div>
    <w:div w:id="770513091">
      <w:bodyDiv w:val="1"/>
      <w:marLeft w:val="0"/>
      <w:marRight w:val="0"/>
      <w:marTop w:val="0"/>
      <w:marBottom w:val="0"/>
      <w:divBdr>
        <w:top w:val="none" w:sz="0" w:space="0" w:color="auto"/>
        <w:left w:val="none" w:sz="0" w:space="0" w:color="auto"/>
        <w:bottom w:val="none" w:sz="0" w:space="0" w:color="auto"/>
        <w:right w:val="none" w:sz="0" w:space="0" w:color="auto"/>
      </w:divBdr>
    </w:div>
    <w:div w:id="770786018">
      <w:bodyDiv w:val="1"/>
      <w:marLeft w:val="0"/>
      <w:marRight w:val="0"/>
      <w:marTop w:val="0"/>
      <w:marBottom w:val="0"/>
      <w:divBdr>
        <w:top w:val="none" w:sz="0" w:space="0" w:color="auto"/>
        <w:left w:val="none" w:sz="0" w:space="0" w:color="auto"/>
        <w:bottom w:val="none" w:sz="0" w:space="0" w:color="auto"/>
        <w:right w:val="none" w:sz="0" w:space="0" w:color="auto"/>
      </w:divBdr>
    </w:div>
    <w:div w:id="770861713">
      <w:bodyDiv w:val="1"/>
      <w:marLeft w:val="0"/>
      <w:marRight w:val="0"/>
      <w:marTop w:val="0"/>
      <w:marBottom w:val="0"/>
      <w:divBdr>
        <w:top w:val="none" w:sz="0" w:space="0" w:color="auto"/>
        <w:left w:val="none" w:sz="0" w:space="0" w:color="auto"/>
        <w:bottom w:val="none" w:sz="0" w:space="0" w:color="auto"/>
        <w:right w:val="none" w:sz="0" w:space="0" w:color="auto"/>
      </w:divBdr>
    </w:div>
    <w:div w:id="771628284">
      <w:bodyDiv w:val="1"/>
      <w:marLeft w:val="0"/>
      <w:marRight w:val="0"/>
      <w:marTop w:val="0"/>
      <w:marBottom w:val="0"/>
      <w:divBdr>
        <w:top w:val="none" w:sz="0" w:space="0" w:color="auto"/>
        <w:left w:val="none" w:sz="0" w:space="0" w:color="auto"/>
        <w:bottom w:val="none" w:sz="0" w:space="0" w:color="auto"/>
        <w:right w:val="none" w:sz="0" w:space="0" w:color="auto"/>
      </w:divBdr>
    </w:div>
    <w:div w:id="773286102">
      <w:bodyDiv w:val="1"/>
      <w:marLeft w:val="0"/>
      <w:marRight w:val="0"/>
      <w:marTop w:val="0"/>
      <w:marBottom w:val="0"/>
      <w:divBdr>
        <w:top w:val="none" w:sz="0" w:space="0" w:color="auto"/>
        <w:left w:val="none" w:sz="0" w:space="0" w:color="auto"/>
        <w:bottom w:val="none" w:sz="0" w:space="0" w:color="auto"/>
        <w:right w:val="none" w:sz="0" w:space="0" w:color="auto"/>
      </w:divBdr>
    </w:div>
    <w:div w:id="773476785">
      <w:bodyDiv w:val="1"/>
      <w:marLeft w:val="0"/>
      <w:marRight w:val="0"/>
      <w:marTop w:val="0"/>
      <w:marBottom w:val="0"/>
      <w:divBdr>
        <w:top w:val="none" w:sz="0" w:space="0" w:color="auto"/>
        <w:left w:val="none" w:sz="0" w:space="0" w:color="auto"/>
        <w:bottom w:val="none" w:sz="0" w:space="0" w:color="auto"/>
        <w:right w:val="none" w:sz="0" w:space="0" w:color="auto"/>
      </w:divBdr>
    </w:div>
    <w:div w:id="773591607">
      <w:bodyDiv w:val="1"/>
      <w:marLeft w:val="0"/>
      <w:marRight w:val="0"/>
      <w:marTop w:val="0"/>
      <w:marBottom w:val="0"/>
      <w:divBdr>
        <w:top w:val="none" w:sz="0" w:space="0" w:color="auto"/>
        <w:left w:val="none" w:sz="0" w:space="0" w:color="auto"/>
        <w:bottom w:val="none" w:sz="0" w:space="0" w:color="auto"/>
        <w:right w:val="none" w:sz="0" w:space="0" w:color="auto"/>
      </w:divBdr>
    </w:div>
    <w:div w:id="774717503">
      <w:bodyDiv w:val="1"/>
      <w:marLeft w:val="0"/>
      <w:marRight w:val="0"/>
      <w:marTop w:val="0"/>
      <w:marBottom w:val="0"/>
      <w:divBdr>
        <w:top w:val="none" w:sz="0" w:space="0" w:color="auto"/>
        <w:left w:val="none" w:sz="0" w:space="0" w:color="auto"/>
        <w:bottom w:val="none" w:sz="0" w:space="0" w:color="auto"/>
        <w:right w:val="none" w:sz="0" w:space="0" w:color="auto"/>
      </w:divBdr>
    </w:div>
    <w:div w:id="775756296">
      <w:bodyDiv w:val="1"/>
      <w:marLeft w:val="0"/>
      <w:marRight w:val="0"/>
      <w:marTop w:val="0"/>
      <w:marBottom w:val="0"/>
      <w:divBdr>
        <w:top w:val="none" w:sz="0" w:space="0" w:color="auto"/>
        <w:left w:val="none" w:sz="0" w:space="0" w:color="auto"/>
        <w:bottom w:val="none" w:sz="0" w:space="0" w:color="auto"/>
        <w:right w:val="none" w:sz="0" w:space="0" w:color="auto"/>
      </w:divBdr>
    </w:div>
    <w:div w:id="776175048">
      <w:bodyDiv w:val="1"/>
      <w:marLeft w:val="0"/>
      <w:marRight w:val="0"/>
      <w:marTop w:val="0"/>
      <w:marBottom w:val="0"/>
      <w:divBdr>
        <w:top w:val="none" w:sz="0" w:space="0" w:color="auto"/>
        <w:left w:val="none" w:sz="0" w:space="0" w:color="auto"/>
        <w:bottom w:val="none" w:sz="0" w:space="0" w:color="auto"/>
        <w:right w:val="none" w:sz="0" w:space="0" w:color="auto"/>
      </w:divBdr>
    </w:div>
    <w:div w:id="777020600">
      <w:bodyDiv w:val="1"/>
      <w:marLeft w:val="0"/>
      <w:marRight w:val="0"/>
      <w:marTop w:val="0"/>
      <w:marBottom w:val="0"/>
      <w:divBdr>
        <w:top w:val="none" w:sz="0" w:space="0" w:color="auto"/>
        <w:left w:val="none" w:sz="0" w:space="0" w:color="auto"/>
        <w:bottom w:val="none" w:sz="0" w:space="0" w:color="auto"/>
        <w:right w:val="none" w:sz="0" w:space="0" w:color="auto"/>
      </w:divBdr>
    </w:div>
    <w:div w:id="777454194">
      <w:bodyDiv w:val="1"/>
      <w:marLeft w:val="0"/>
      <w:marRight w:val="0"/>
      <w:marTop w:val="0"/>
      <w:marBottom w:val="0"/>
      <w:divBdr>
        <w:top w:val="none" w:sz="0" w:space="0" w:color="auto"/>
        <w:left w:val="none" w:sz="0" w:space="0" w:color="auto"/>
        <w:bottom w:val="none" w:sz="0" w:space="0" w:color="auto"/>
        <w:right w:val="none" w:sz="0" w:space="0" w:color="auto"/>
      </w:divBdr>
    </w:div>
    <w:div w:id="777716357">
      <w:bodyDiv w:val="1"/>
      <w:marLeft w:val="0"/>
      <w:marRight w:val="0"/>
      <w:marTop w:val="0"/>
      <w:marBottom w:val="0"/>
      <w:divBdr>
        <w:top w:val="none" w:sz="0" w:space="0" w:color="auto"/>
        <w:left w:val="none" w:sz="0" w:space="0" w:color="auto"/>
        <w:bottom w:val="none" w:sz="0" w:space="0" w:color="auto"/>
        <w:right w:val="none" w:sz="0" w:space="0" w:color="auto"/>
      </w:divBdr>
    </w:div>
    <w:div w:id="778911568">
      <w:bodyDiv w:val="1"/>
      <w:marLeft w:val="0"/>
      <w:marRight w:val="0"/>
      <w:marTop w:val="0"/>
      <w:marBottom w:val="0"/>
      <w:divBdr>
        <w:top w:val="none" w:sz="0" w:space="0" w:color="auto"/>
        <w:left w:val="none" w:sz="0" w:space="0" w:color="auto"/>
        <w:bottom w:val="none" w:sz="0" w:space="0" w:color="auto"/>
        <w:right w:val="none" w:sz="0" w:space="0" w:color="auto"/>
      </w:divBdr>
    </w:div>
    <w:div w:id="778917441">
      <w:bodyDiv w:val="1"/>
      <w:marLeft w:val="0"/>
      <w:marRight w:val="0"/>
      <w:marTop w:val="0"/>
      <w:marBottom w:val="0"/>
      <w:divBdr>
        <w:top w:val="none" w:sz="0" w:space="0" w:color="auto"/>
        <w:left w:val="none" w:sz="0" w:space="0" w:color="auto"/>
        <w:bottom w:val="none" w:sz="0" w:space="0" w:color="auto"/>
        <w:right w:val="none" w:sz="0" w:space="0" w:color="auto"/>
      </w:divBdr>
    </w:div>
    <w:div w:id="779836754">
      <w:bodyDiv w:val="1"/>
      <w:marLeft w:val="0"/>
      <w:marRight w:val="0"/>
      <w:marTop w:val="0"/>
      <w:marBottom w:val="0"/>
      <w:divBdr>
        <w:top w:val="none" w:sz="0" w:space="0" w:color="auto"/>
        <w:left w:val="none" w:sz="0" w:space="0" w:color="auto"/>
        <w:bottom w:val="none" w:sz="0" w:space="0" w:color="auto"/>
        <w:right w:val="none" w:sz="0" w:space="0" w:color="auto"/>
      </w:divBdr>
    </w:div>
    <w:div w:id="779836975">
      <w:bodyDiv w:val="1"/>
      <w:marLeft w:val="0"/>
      <w:marRight w:val="0"/>
      <w:marTop w:val="0"/>
      <w:marBottom w:val="0"/>
      <w:divBdr>
        <w:top w:val="none" w:sz="0" w:space="0" w:color="auto"/>
        <w:left w:val="none" w:sz="0" w:space="0" w:color="auto"/>
        <w:bottom w:val="none" w:sz="0" w:space="0" w:color="auto"/>
        <w:right w:val="none" w:sz="0" w:space="0" w:color="auto"/>
      </w:divBdr>
    </w:div>
    <w:div w:id="779957155">
      <w:bodyDiv w:val="1"/>
      <w:marLeft w:val="0"/>
      <w:marRight w:val="0"/>
      <w:marTop w:val="0"/>
      <w:marBottom w:val="0"/>
      <w:divBdr>
        <w:top w:val="none" w:sz="0" w:space="0" w:color="auto"/>
        <w:left w:val="none" w:sz="0" w:space="0" w:color="auto"/>
        <w:bottom w:val="none" w:sz="0" w:space="0" w:color="auto"/>
        <w:right w:val="none" w:sz="0" w:space="0" w:color="auto"/>
      </w:divBdr>
    </w:div>
    <w:div w:id="779960459">
      <w:bodyDiv w:val="1"/>
      <w:marLeft w:val="0"/>
      <w:marRight w:val="0"/>
      <w:marTop w:val="0"/>
      <w:marBottom w:val="0"/>
      <w:divBdr>
        <w:top w:val="none" w:sz="0" w:space="0" w:color="auto"/>
        <w:left w:val="none" w:sz="0" w:space="0" w:color="auto"/>
        <w:bottom w:val="none" w:sz="0" w:space="0" w:color="auto"/>
        <w:right w:val="none" w:sz="0" w:space="0" w:color="auto"/>
      </w:divBdr>
    </w:div>
    <w:div w:id="781463062">
      <w:bodyDiv w:val="1"/>
      <w:marLeft w:val="0"/>
      <w:marRight w:val="0"/>
      <w:marTop w:val="0"/>
      <w:marBottom w:val="0"/>
      <w:divBdr>
        <w:top w:val="none" w:sz="0" w:space="0" w:color="auto"/>
        <w:left w:val="none" w:sz="0" w:space="0" w:color="auto"/>
        <w:bottom w:val="none" w:sz="0" w:space="0" w:color="auto"/>
        <w:right w:val="none" w:sz="0" w:space="0" w:color="auto"/>
      </w:divBdr>
    </w:div>
    <w:div w:id="781530311">
      <w:bodyDiv w:val="1"/>
      <w:marLeft w:val="0"/>
      <w:marRight w:val="0"/>
      <w:marTop w:val="0"/>
      <w:marBottom w:val="0"/>
      <w:divBdr>
        <w:top w:val="none" w:sz="0" w:space="0" w:color="auto"/>
        <w:left w:val="none" w:sz="0" w:space="0" w:color="auto"/>
        <w:bottom w:val="none" w:sz="0" w:space="0" w:color="auto"/>
        <w:right w:val="none" w:sz="0" w:space="0" w:color="auto"/>
      </w:divBdr>
    </w:div>
    <w:div w:id="782772251">
      <w:bodyDiv w:val="1"/>
      <w:marLeft w:val="0"/>
      <w:marRight w:val="0"/>
      <w:marTop w:val="0"/>
      <w:marBottom w:val="0"/>
      <w:divBdr>
        <w:top w:val="none" w:sz="0" w:space="0" w:color="auto"/>
        <w:left w:val="none" w:sz="0" w:space="0" w:color="auto"/>
        <w:bottom w:val="none" w:sz="0" w:space="0" w:color="auto"/>
        <w:right w:val="none" w:sz="0" w:space="0" w:color="auto"/>
      </w:divBdr>
    </w:div>
    <w:div w:id="783040446">
      <w:bodyDiv w:val="1"/>
      <w:marLeft w:val="0"/>
      <w:marRight w:val="0"/>
      <w:marTop w:val="0"/>
      <w:marBottom w:val="0"/>
      <w:divBdr>
        <w:top w:val="none" w:sz="0" w:space="0" w:color="auto"/>
        <w:left w:val="none" w:sz="0" w:space="0" w:color="auto"/>
        <w:bottom w:val="none" w:sz="0" w:space="0" w:color="auto"/>
        <w:right w:val="none" w:sz="0" w:space="0" w:color="auto"/>
      </w:divBdr>
    </w:div>
    <w:div w:id="783157693">
      <w:bodyDiv w:val="1"/>
      <w:marLeft w:val="0"/>
      <w:marRight w:val="0"/>
      <w:marTop w:val="0"/>
      <w:marBottom w:val="0"/>
      <w:divBdr>
        <w:top w:val="none" w:sz="0" w:space="0" w:color="auto"/>
        <w:left w:val="none" w:sz="0" w:space="0" w:color="auto"/>
        <w:bottom w:val="none" w:sz="0" w:space="0" w:color="auto"/>
        <w:right w:val="none" w:sz="0" w:space="0" w:color="auto"/>
      </w:divBdr>
    </w:div>
    <w:div w:id="783841020">
      <w:bodyDiv w:val="1"/>
      <w:marLeft w:val="0"/>
      <w:marRight w:val="0"/>
      <w:marTop w:val="0"/>
      <w:marBottom w:val="0"/>
      <w:divBdr>
        <w:top w:val="none" w:sz="0" w:space="0" w:color="auto"/>
        <w:left w:val="none" w:sz="0" w:space="0" w:color="auto"/>
        <w:bottom w:val="none" w:sz="0" w:space="0" w:color="auto"/>
        <w:right w:val="none" w:sz="0" w:space="0" w:color="auto"/>
      </w:divBdr>
    </w:div>
    <w:div w:id="784733025">
      <w:bodyDiv w:val="1"/>
      <w:marLeft w:val="0"/>
      <w:marRight w:val="0"/>
      <w:marTop w:val="0"/>
      <w:marBottom w:val="0"/>
      <w:divBdr>
        <w:top w:val="none" w:sz="0" w:space="0" w:color="auto"/>
        <w:left w:val="none" w:sz="0" w:space="0" w:color="auto"/>
        <w:bottom w:val="none" w:sz="0" w:space="0" w:color="auto"/>
        <w:right w:val="none" w:sz="0" w:space="0" w:color="auto"/>
      </w:divBdr>
    </w:div>
    <w:div w:id="784740420">
      <w:bodyDiv w:val="1"/>
      <w:marLeft w:val="0"/>
      <w:marRight w:val="0"/>
      <w:marTop w:val="0"/>
      <w:marBottom w:val="0"/>
      <w:divBdr>
        <w:top w:val="none" w:sz="0" w:space="0" w:color="auto"/>
        <w:left w:val="none" w:sz="0" w:space="0" w:color="auto"/>
        <w:bottom w:val="none" w:sz="0" w:space="0" w:color="auto"/>
        <w:right w:val="none" w:sz="0" w:space="0" w:color="auto"/>
      </w:divBdr>
    </w:div>
    <w:div w:id="785543397">
      <w:bodyDiv w:val="1"/>
      <w:marLeft w:val="0"/>
      <w:marRight w:val="0"/>
      <w:marTop w:val="0"/>
      <w:marBottom w:val="0"/>
      <w:divBdr>
        <w:top w:val="none" w:sz="0" w:space="0" w:color="auto"/>
        <w:left w:val="none" w:sz="0" w:space="0" w:color="auto"/>
        <w:bottom w:val="none" w:sz="0" w:space="0" w:color="auto"/>
        <w:right w:val="none" w:sz="0" w:space="0" w:color="auto"/>
      </w:divBdr>
    </w:div>
    <w:div w:id="786041453">
      <w:bodyDiv w:val="1"/>
      <w:marLeft w:val="0"/>
      <w:marRight w:val="0"/>
      <w:marTop w:val="0"/>
      <w:marBottom w:val="0"/>
      <w:divBdr>
        <w:top w:val="none" w:sz="0" w:space="0" w:color="auto"/>
        <w:left w:val="none" w:sz="0" w:space="0" w:color="auto"/>
        <w:bottom w:val="none" w:sz="0" w:space="0" w:color="auto"/>
        <w:right w:val="none" w:sz="0" w:space="0" w:color="auto"/>
      </w:divBdr>
    </w:div>
    <w:div w:id="786581265">
      <w:bodyDiv w:val="1"/>
      <w:marLeft w:val="0"/>
      <w:marRight w:val="0"/>
      <w:marTop w:val="0"/>
      <w:marBottom w:val="0"/>
      <w:divBdr>
        <w:top w:val="none" w:sz="0" w:space="0" w:color="auto"/>
        <w:left w:val="none" w:sz="0" w:space="0" w:color="auto"/>
        <w:bottom w:val="none" w:sz="0" w:space="0" w:color="auto"/>
        <w:right w:val="none" w:sz="0" w:space="0" w:color="auto"/>
      </w:divBdr>
    </w:div>
    <w:div w:id="787091503">
      <w:bodyDiv w:val="1"/>
      <w:marLeft w:val="0"/>
      <w:marRight w:val="0"/>
      <w:marTop w:val="0"/>
      <w:marBottom w:val="0"/>
      <w:divBdr>
        <w:top w:val="none" w:sz="0" w:space="0" w:color="auto"/>
        <w:left w:val="none" w:sz="0" w:space="0" w:color="auto"/>
        <w:bottom w:val="none" w:sz="0" w:space="0" w:color="auto"/>
        <w:right w:val="none" w:sz="0" w:space="0" w:color="auto"/>
      </w:divBdr>
    </w:div>
    <w:div w:id="787620960">
      <w:bodyDiv w:val="1"/>
      <w:marLeft w:val="0"/>
      <w:marRight w:val="0"/>
      <w:marTop w:val="0"/>
      <w:marBottom w:val="0"/>
      <w:divBdr>
        <w:top w:val="none" w:sz="0" w:space="0" w:color="auto"/>
        <w:left w:val="none" w:sz="0" w:space="0" w:color="auto"/>
        <w:bottom w:val="none" w:sz="0" w:space="0" w:color="auto"/>
        <w:right w:val="none" w:sz="0" w:space="0" w:color="auto"/>
      </w:divBdr>
    </w:div>
    <w:div w:id="788014250">
      <w:bodyDiv w:val="1"/>
      <w:marLeft w:val="0"/>
      <w:marRight w:val="0"/>
      <w:marTop w:val="0"/>
      <w:marBottom w:val="0"/>
      <w:divBdr>
        <w:top w:val="none" w:sz="0" w:space="0" w:color="auto"/>
        <w:left w:val="none" w:sz="0" w:space="0" w:color="auto"/>
        <w:bottom w:val="none" w:sz="0" w:space="0" w:color="auto"/>
        <w:right w:val="none" w:sz="0" w:space="0" w:color="auto"/>
      </w:divBdr>
    </w:div>
    <w:div w:id="788352681">
      <w:bodyDiv w:val="1"/>
      <w:marLeft w:val="0"/>
      <w:marRight w:val="0"/>
      <w:marTop w:val="0"/>
      <w:marBottom w:val="0"/>
      <w:divBdr>
        <w:top w:val="none" w:sz="0" w:space="0" w:color="auto"/>
        <w:left w:val="none" w:sz="0" w:space="0" w:color="auto"/>
        <w:bottom w:val="none" w:sz="0" w:space="0" w:color="auto"/>
        <w:right w:val="none" w:sz="0" w:space="0" w:color="auto"/>
      </w:divBdr>
    </w:div>
    <w:div w:id="789207353">
      <w:bodyDiv w:val="1"/>
      <w:marLeft w:val="0"/>
      <w:marRight w:val="0"/>
      <w:marTop w:val="0"/>
      <w:marBottom w:val="0"/>
      <w:divBdr>
        <w:top w:val="none" w:sz="0" w:space="0" w:color="auto"/>
        <w:left w:val="none" w:sz="0" w:space="0" w:color="auto"/>
        <w:bottom w:val="none" w:sz="0" w:space="0" w:color="auto"/>
        <w:right w:val="none" w:sz="0" w:space="0" w:color="auto"/>
      </w:divBdr>
    </w:div>
    <w:div w:id="789280060">
      <w:bodyDiv w:val="1"/>
      <w:marLeft w:val="0"/>
      <w:marRight w:val="0"/>
      <w:marTop w:val="0"/>
      <w:marBottom w:val="0"/>
      <w:divBdr>
        <w:top w:val="none" w:sz="0" w:space="0" w:color="auto"/>
        <w:left w:val="none" w:sz="0" w:space="0" w:color="auto"/>
        <w:bottom w:val="none" w:sz="0" w:space="0" w:color="auto"/>
        <w:right w:val="none" w:sz="0" w:space="0" w:color="auto"/>
      </w:divBdr>
    </w:div>
    <w:div w:id="789516655">
      <w:bodyDiv w:val="1"/>
      <w:marLeft w:val="0"/>
      <w:marRight w:val="0"/>
      <w:marTop w:val="0"/>
      <w:marBottom w:val="0"/>
      <w:divBdr>
        <w:top w:val="none" w:sz="0" w:space="0" w:color="auto"/>
        <w:left w:val="none" w:sz="0" w:space="0" w:color="auto"/>
        <w:bottom w:val="none" w:sz="0" w:space="0" w:color="auto"/>
        <w:right w:val="none" w:sz="0" w:space="0" w:color="auto"/>
      </w:divBdr>
    </w:div>
    <w:div w:id="789783655">
      <w:bodyDiv w:val="1"/>
      <w:marLeft w:val="0"/>
      <w:marRight w:val="0"/>
      <w:marTop w:val="0"/>
      <w:marBottom w:val="0"/>
      <w:divBdr>
        <w:top w:val="none" w:sz="0" w:space="0" w:color="auto"/>
        <w:left w:val="none" w:sz="0" w:space="0" w:color="auto"/>
        <w:bottom w:val="none" w:sz="0" w:space="0" w:color="auto"/>
        <w:right w:val="none" w:sz="0" w:space="0" w:color="auto"/>
      </w:divBdr>
    </w:div>
    <w:div w:id="790171930">
      <w:bodyDiv w:val="1"/>
      <w:marLeft w:val="0"/>
      <w:marRight w:val="0"/>
      <w:marTop w:val="0"/>
      <w:marBottom w:val="0"/>
      <w:divBdr>
        <w:top w:val="none" w:sz="0" w:space="0" w:color="auto"/>
        <w:left w:val="none" w:sz="0" w:space="0" w:color="auto"/>
        <w:bottom w:val="none" w:sz="0" w:space="0" w:color="auto"/>
        <w:right w:val="none" w:sz="0" w:space="0" w:color="auto"/>
      </w:divBdr>
    </w:div>
    <w:div w:id="790631757">
      <w:bodyDiv w:val="1"/>
      <w:marLeft w:val="0"/>
      <w:marRight w:val="0"/>
      <w:marTop w:val="0"/>
      <w:marBottom w:val="0"/>
      <w:divBdr>
        <w:top w:val="none" w:sz="0" w:space="0" w:color="auto"/>
        <w:left w:val="none" w:sz="0" w:space="0" w:color="auto"/>
        <w:bottom w:val="none" w:sz="0" w:space="0" w:color="auto"/>
        <w:right w:val="none" w:sz="0" w:space="0" w:color="auto"/>
      </w:divBdr>
    </w:div>
    <w:div w:id="790713001">
      <w:bodyDiv w:val="1"/>
      <w:marLeft w:val="0"/>
      <w:marRight w:val="0"/>
      <w:marTop w:val="0"/>
      <w:marBottom w:val="0"/>
      <w:divBdr>
        <w:top w:val="none" w:sz="0" w:space="0" w:color="auto"/>
        <w:left w:val="none" w:sz="0" w:space="0" w:color="auto"/>
        <w:bottom w:val="none" w:sz="0" w:space="0" w:color="auto"/>
        <w:right w:val="none" w:sz="0" w:space="0" w:color="auto"/>
      </w:divBdr>
    </w:div>
    <w:div w:id="790980078">
      <w:bodyDiv w:val="1"/>
      <w:marLeft w:val="0"/>
      <w:marRight w:val="0"/>
      <w:marTop w:val="0"/>
      <w:marBottom w:val="0"/>
      <w:divBdr>
        <w:top w:val="none" w:sz="0" w:space="0" w:color="auto"/>
        <w:left w:val="none" w:sz="0" w:space="0" w:color="auto"/>
        <w:bottom w:val="none" w:sz="0" w:space="0" w:color="auto"/>
        <w:right w:val="none" w:sz="0" w:space="0" w:color="auto"/>
      </w:divBdr>
    </w:div>
    <w:div w:id="791704388">
      <w:bodyDiv w:val="1"/>
      <w:marLeft w:val="0"/>
      <w:marRight w:val="0"/>
      <w:marTop w:val="0"/>
      <w:marBottom w:val="0"/>
      <w:divBdr>
        <w:top w:val="none" w:sz="0" w:space="0" w:color="auto"/>
        <w:left w:val="none" w:sz="0" w:space="0" w:color="auto"/>
        <w:bottom w:val="none" w:sz="0" w:space="0" w:color="auto"/>
        <w:right w:val="none" w:sz="0" w:space="0" w:color="auto"/>
      </w:divBdr>
    </w:div>
    <w:div w:id="791707503">
      <w:bodyDiv w:val="1"/>
      <w:marLeft w:val="0"/>
      <w:marRight w:val="0"/>
      <w:marTop w:val="0"/>
      <w:marBottom w:val="0"/>
      <w:divBdr>
        <w:top w:val="none" w:sz="0" w:space="0" w:color="auto"/>
        <w:left w:val="none" w:sz="0" w:space="0" w:color="auto"/>
        <w:bottom w:val="none" w:sz="0" w:space="0" w:color="auto"/>
        <w:right w:val="none" w:sz="0" w:space="0" w:color="auto"/>
      </w:divBdr>
    </w:div>
    <w:div w:id="792331978">
      <w:bodyDiv w:val="1"/>
      <w:marLeft w:val="0"/>
      <w:marRight w:val="0"/>
      <w:marTop w:val="0"/>
      <w:marBottom w:val="0"/>
      <w:divBdr>
        <w:top w:val="none" w:sz="0" w:space="0" w:color="auto"/>
        <w:left w:val="none" w:sz="0" w:space="0" w:color="auto"/>
        <w:bottom w:val="none" w:sz="0" w:space="0" w:color="auto"/>
        <w:right w:val="none" w:sz="0" w:space="0" w:color="auto"/>
      </w:divBdr>
    </w:div>
    <w:div w:id="792401083">
      <w:bodyDiv w:val="1"/>
      <w:marLeft w:val="0"/>
      <w:marRight w:val="0"/>
      <w:marTop w:val="0"/>
      <w:marBottom w:val="0"/>
      <w:divBdr>
        <w:top w:val="none" w:sz="0" w:space="0" w:color="auto"/>
        <w:left w:val="none" w:sz="0" w:space="0" w:color="auto"/>
        <w:bottom w:val="none" w:sz="0" w:space="0" w:color="auto"/>
        <w:right w:val="none" w:sz="0" w:space="0" w:color="auto"/>
      </w:divBdr>
    </w:div>
    <w:div w:id="792990350">
      <w:bodyDiv w:val="1"/>
      <w:marLeft w:val="0"/>
      <w:marRight w:val="0"/>
      <w:marTop w:val="0"/>
      <w:marBottom w:val="0"/>
      <w:divBdr>
        <w:top w:val="none" w:sz="0" w:space="0" w:color="auto"/>
        <w:left w:val="none" w:sz="0" w:space="0" w:color="auto"/>
        <w:bottom w:val="none" w:sz="0" w:space="0" w:color="auto"/>
        <w:right w:val="none" w:sz="0" w:space="0" w:color="auto"/>
      </w:divBdr>
    </w:div>
    <w:div w:id="793132895">
      <w:bodyDiv w:val="1"/>
      <w:marLeft w:val="0"/>
      <w:marRight w:val="0"/>
      <w:marTop w:val="0"/>
      <w:marBottom w:val="0"/>
      <w:divBdr>
        <w:top w:val="none" w:sz="0" w:space="0" w:color="auto"/>
        <w:left w:val="none" w:sz="0" w:space="0" w:color="auto"/>
        <w:bottom w:val="none" w:sz="0" w:space="0" w:color="auto"/>
        <w:right w:val="none" w:sz="0" w:space="0" w:color="auto"/>
      </w:divBdr>
    </w:div>
    <w:div w:id="793140901">
      <w:bodyDiv w:val="1"/>
      <w:marLeft w:val="0"/>
      <w:marRight w:val="0"/>
      <w:marTop w:val="0"/>
      <w:marBottom w:val="0"/>
      <w:divBdr>
        <w:top w:val="none" w:sz="0" w:space="0" w:color="auto"/>
        <w:left w:val="none" w:sz="0" w:space="0" w:color="auto"/>
        <w:bottom w:val="none" w:sz="0" w:space="0" w:color="auto"/>
        <w:right w:val="none" w:sz="0" w:space="0" w:color="auto"/>
      </w:divBdr>
    </w:div>
    <w:div w:id="793595523">
      <w:bodyDiv w:val="1"/>
      <w:marLeft w:val="0"/>
      <w:marRight w:val="0"/>
      <w:marTop w:val="0"/>
      <w:marBottom w:val="0"/>
      <w:divBdr>
        <w:top w:val="none" w:sz="0" w:space="0" w:color="auto"/>
        <w:left w:val="none" w:sz="0" w:space="0" w:color="auto"/>
        <w:bottom w:val="none" w:sz="0" w:space="0" w:color="auto"/>
        <w:right w:val="none" w:sz="0" w:space="0" w:color="auto"/>
      </w:divBdr>
    </w:div>
    <w:div w:id="793715052">
      <w:bodyDiv w:val="1"/>
      <w:marLeft w:val="0"/>
      <w:marRight w:val="0"/>
      <w:marTop w:val="0"/>
      <w:marBottom w:val="0"/>
      <w:divBdr>
        <w:top w:val="none" w:sz="0" w:space="0" w:color="auto"/>
        <w:left w:val="none" w:sz="0" w:space="0" w:color="auto"/>
        <w:bottom w:val="none" w:sz="0" w:space="0" w:color="auto"/>
        <w:right w:val="none" w:sz="0" w:space="0" w:color="auto"/>
      </w:divBdr>
    </w:div>
    <w:div w:id="794904724">
      <w:bodyDiv w:val="1"/>
      <w:marLeft w:val="0"/>
      <w:marRight w:val="0"/>
      <w:marTop w:val="0"/>
      <w:marBottom w:val="0"/>
      <w:divBdr>
        <w:top w:val="none" w:sz="0" w:space="0" w:color="auto"/>
        <w:left w:val="none" w:sz="0" w:space="0" w:color="auto"/>
        <w:bottom w:val="none" w:sz="0" w:space="0" w:color="auto"/>
        <w:right w:val="none" w:sz="0" w:space="0" w:color="auto"/>
      </w:divBdr>
    </w:div>
    <w:div w:id="795367291">
      <w:bodyDiv w:val="1"/>
      <w:marLeft w:val="0"/>
      <w:marRight w:val="0"/>
      <w:marTop w:val="0"/>
      <w:marBottom w:val="0"/>
      <w:divBdr>
        <w:top w:val="none" w:sz="0" w:space="0" w:color="auto"/>
        <w:left w:val="none" w:sz="0" w:space="0" w:color="auto"/>
        <w:bottom w:val="none" w:sz="0" w:space="0" w:color="auto"/>
        <w:right w:val="none" w:sz="0" w:space="0" w:color="auto"/>
      </w:divBdr>
    </w:div>
    <w:div w:id="795755786">
      <w:bodyDiv w:val="1"/>
      <w:marLeft w:val="0"/>
      <w:marRight w:val="0"/>
      <w:marTop w:val="0"/>
      <w:marBottom w:val="0"/>
      <w:divBdr>
        <w:top w:val="none" w:sz="0" w:space="0" w:color="auto"/>
        <w:left w:val="none" w:sz="0" w:space="0" w:color="auto"/>
        <w:bottom w:val="none" w:sz="0" w:space="0" w:color="auto"/>
        <w:right w:val="none" w:sz="0" w:space="0" w:color="auto"/>
      </w:divBdr>
    </w:div>
    <w:div w:id="795948452">
      <w:bodyDiv w:val="1"/>
      <w:marLeft w:val="0"/>
      <w:marRight w:val="0"/>
      <w:marTop w:val="0"/>
      <w:marBottom w:val="0"/>
      <w:divBdr>
        <w:top w:val="none" w:sz="0" w:space="0" w:color="auto"/>
        <w:left w:val="none" w:sz="0" w:space="0" w:color="auto"/>
        <w:bottom w:val="none" w:sz="0" w:space="0" w:color="auto"/>
        <w:right w:val="none" w:sz="0" w:space="0" w:color="auto"/>
      </w:divBdr>
    </w:div>
    <w:div w:id="796415244">
      <w:bodyDiv w:val="1"/>
      <w:marLeft w:val="0"/>
      <w:marRight w:val="0"/>
      <w:marTop w:val="0"/>
      <w:marBottom w:val="0"/>
      <w:divBdr>
        <w:top w:val="none" w:sz="0" w:space="0" w:color="auto"/>
        <w:left w:val="none" w:sz="0" w:space="0" w:color="auto"/>
        <w:bottom w:val="none" w:sz="0" w:space="0" w:color="auto"/>
        <w:right w:val="none" w:sz="0" w:space="0" w:color="auto"/>
      </w:divBdr>
    </w:div>
    <w:div w:id="796997481">
      <w:bodyDiv w:val="1"/>
      <w:marLeft w:val="0"/>
      <w:marRight w:val="0"/>
      <w:marTop w:val="0"/>
      <w:marBottom w:val="0"/>
      <w:divBdr>
        <w:top w:val="none" w:sz="0" w:space="0" w:color="auto"/>
        <w:left w:val="none" w:sz="0" w:space="0" w:color="auto"/>
        <w:bottom w:val="none" w:sz="0" w:space="0" w:color="auto"/>
        <w:right w:val="none" w:sz="0" w:space="0" w:color="auto"/>
      </w:divBdr>
    </w:div>
    <w:div w:id="797187997">
      <w:bodyDiv w:val="1"/>
      <w:marLeft w:val="0"/>
      <w:marRight w:val="0"/>
      <w:marTop w:val="0"/>
      <w:marBottom w:val="0"/>
      <w:divBdr>
        <w:top w:val="none" w:sz="0" w:space="0" w:color="auto"/>
        <w:left w:val="none" w:sz="0" w:space="0" w:color="auto"/>
        <w:bottom w:val="none" w:sz="0" w:space="0" w:color="auto"/>
        <w:right w:val="none" w:sz="0" w:space="0" w:color="auto"/>
      </w:divBdr>
    </w:div>
    <w:div w:id="797644376">
      <w:bodyDiv w:val="1"/>
      <w:marLeft w:val="0"/>
      <w:marRight w:val="0"/>
      <w:marTop w:val="0"/>
      <w:marBottom w:val="0"/>
      <w:divBdr>
        <w:top w:val="none" w:sz="0" w:space="0" w:color="auto"/>
        <w:left w:val="none" w:sz="0" w:space="0" w:color="auto"/>
        <w:bottom w:val="none" w:sz="0" w:space="0" w:color="auto"/>
        <w:right w:val="none" w:sz="0" w:space="0" w:color="auto"/>
      </w:divBdr>
    </w:div>
    <w:div w:id="798449512">
      <w:bodyDiv w:val="1"/>
      <w:marLeft w:val="0"/>
      <w:marRight w:val="0"/>
      <w:marTop w:val="0"/>
      <w:marBottom w:val="0"/>
      <w:divBdr>
        <w:top w:val="none" w:sz="0" w:space="0" w:color="auto"/>
        <w:left w:val="none" w:sz="0" w:space="0" w:color="auto"/>
        <w:bottom w:val="none" w:sz="0" w:space="0" w:color="auto"/>
        <w:right w:val="none" w:sz="0" w:space="0" w:color="auto"/>
      </w:divBdr>
    </w:div>
    <w:div w:id="799304321">
      <w:bodyDiv w:val="1"/>
      <w:marLeft w:val="0"/>
      <w:marRight w:val="0"/>
      <w:marTop w:val="0"/>
      <w:marBottom w:val="0"/>
      <w:divBdr>
        <w:top w:val="none" w:sz="0" w:space="0" w:color="auto"/>
        <w:left w:val="none" w:sz="0" w:space="0" w:color="auto"/>
        <w:bottom w:val="none" w:sz="0" w:space="0" w:color="auto"/>
        <w:right w:val="none" w:sz="0" w:space="0" w:color="auto"/>
      </w:divBdr>
    </w:div>
    <w:div w:id="799304726">
      <w:bodyDiv w:val="1"/>
      <w:marLeft w:val="0"/>
      <w:marRight w:val="0"/>
      <w:marTop w:val="0"/>
      <w:marBottom w:val="0"/>
      <w:divBdr>
        <w:top w:val="none" w:sz="0" w:space="0" w:color="auto"/>
        <w:left w:val="none" w:sz="0" w:space="0" w:color="auto"/>
        <w:bottom w:val="none" w:sz="0" w:space="0" w:color="auto"/>
        <w:right w:val="none" w:sz="0" w:space="0" w:color="auto"/>
      </w:divBdr>
    </w:div>
    <w:div w:id="800197645">
      <w:bodyDiv w:val="1"/>
      <w:marLeft w:val="0"/>
      <w:marRight w:val="0"/>
      <w:marTop w:val="0"/>
      <w:marBottom w:val="0"/>
      <w:divBdr>
        <w:top w:val="none" w:sz="0" w:space="0" w:color="auto"/>
        <w:left w:val="none" w:sz="0" w:space="0" w:color="auto"/>
        <w:bottom w:val="none" w:sz="0" w:space="0" w:color="auto"/>
        <w:right w:val="none" w:sz="0" w:space="0" w:color="auto"/>
      </w:divBdr>
    </w:div>
    <w:div w:id="800803008">
      <w:bodyDiv w:val="1"/>
      <w:marLeft w:val="0"/>
      <w:marRight w:val="0"/>
      <w:marTop w:val="0"/>
      <w:marBottom w:val="0"/>
      <w:divBdr>
        <w:top w:val="none" w:sz="0" w:space="0" w:color="auto"/>
        <w:left w:val="none" w:sz="0" w:space="0" w:color="auto"/>
        <w:bottom w:val="none" w:sz="0" w:space="0" w:color="auto"/>
        <w:right w:val="none" w:sz="0" w:space="0" w:color="auto"/>
      </w:divBdr>
    </w:div>
    <w:div w:id="801384809">
      <w:bodyDiv w:val="1"/>
      <w:marLeft w:val="0"/>
      <w:marRight w:val="0"/>
      <w:marTop w:val="0"/>
      <w:marBottom w:val="0"/>
      <w:divBdr>
        <w:top w:val="none" w:sz="0" w:space="0" w:color="auto"/>
        <w:left w:val="none" w:sz="0" w:space="0" w:color="auto"/>
        <w:bottom w:val="none" w:sz="0" w:space="0" w:color="auto"/>
        <w:right w:val="none" w:sz="0" w:space="0" w:color="auto"/>
      </w:divBdr>
    </w:div>
    <w:div w:id="801654109">
      <w:bodyDiv w:val="1"/>
      <w:marLeft w:val="0"/>
      <w:marRight w:val="0"/>
      <w:marTop w:val="0"/>
      <w:marBottom w:val="0"/>
      <w:divBdr>
        <w:top w:val="none" w:sz="0" w:space="0" w:color="auto"/>
        <w:left w:val="none" w:sz="0" w:space="0" w:color="auto"/>
        <w:bottom w:val="none" w:sz="0" w:space="0" w:color="auto"/>
        <w:right w:val="none" w:sz="0" w:space="0" w:color="auto"/>
      </w:divBdr>
    </w:div>
    <w:div w:id="802237264">
      <w:bodyDiv w:val="1"/>
      <w:marLeft w:val="0"/>
      <w:marRight w:val="0"/>
      <w:marTop w:val="0"/>
      <w:marBottom w:val="0"/>
      <w:divBdr>
        <w:top w:val="none" w:sz="0" w:space="0" w:color="auto"/>
        <w:left w:val="none" w:sz="0" w:space="0" w:color="auto"/>
        <w:bottom w:val="none" w:sz="0" w:space="0" w:color="auto"/>
        <w:right w:val="none" w:sz="0" w:space="0" w:color="auto"/>
      </w:divBdr>
    </w:div>
    <w:div w:id="803162466">
      <w:bodyDiv w:val="1"/>
      <w:marLeft w:val="0"/>
      <w:marRight w:val="0"/>
      <w:marTop w:val="0"/>
      <w:marBottom w:val="0"/>
      <w:divBdr>
        <w:top w:val="none" w:sz="0" w:space="0" w:color="auto"/>
        <w:left w:val="none" w:sz="0" w:space="0" w:color="auto"/>
        <w:bottom w:val="none" w:sz="0" w:space="0" w:color="auto"/>
        <w:right w:val="none" w:sz="0" w:space="0" w:color="auto"/>
      </w:divBdr>
    </w:div>
    <w:div w:id="803350727">
      <w:bodyDiv w:val="1"/>
      <w:marLeft w:val="0"/>
      <w:marRight w:val="0"/>
      <w:marTop w:val="0"/>
      <w:marBottom w:val="0"/>
      <w:divBdr>
        <w:top w:val="none" w:sz="0" w:space="0" w:color="auto"/>
        <w:left w:val="none" w:sz="0" w:space="0" w:color="auto"/>
        <w:bottom w:val="none" w:sz="0" w:space="0" w:color="auto"/>
        <w:right w:val="none" w:sz="0" w:space="0" w:color="auto"/>
      </w:divBdr>
    </w:div>
    <w:div w:id="804011152">
      <w:bodyDiv w:val="1"/>
      <w:marLeft w:val="0"/>
      <w:marRight w:val="0"/>
      <w:marTop w:val="0"/>
      <w:marBottom w:val="0"/>
      <w:divBdr>
        <w:top w:val="none" w:sz="0" w:space="0" w:color="auto"/>
        <w:left w:val="none" w:sz="0" w:space="0" w:color="auto"/>
        <w:bottom w:val="none" w:sz="0" w:space="0" w:color="auto"/>
        <w:right w:val="none" w:sz="0" w:space="0" w:color="auto"/>
      </w:divBdr>
    </w:div>
    <w:div w:id="804276594">
      <w:bodyDiv w:val="1"/>
      <w:marLeft w:val="0"/>
      <w:marRight w:val="0"/>
      <w:marTop w:val="0"/>
      <w:marBottom w:val="0"/>
      <w:divBdr>
        <w:top w:val="none" w:sz="0" w:space="0" w:color="auto"/>
        <w:left w:val="none" w:sz="0" w:space="0" w:color="auto"/>
        <w:bottom w:val="none" w:sz="0" w:space="0" w:color="auto"/>
        <w:right w:val="none" w:sz="0" w:space="0" w:color="auto"/>
      </w:divBdr>
    </w:div>
    <w:div w:id="804738948">
      <w:bodyDiv w:val="1"/>
      <w:marLeft w:val="0"/>
      <w:marRight w:val="0"/>
      <w:marTop w:val="0"/>
      <w:marBottom w:val="0"/>
      <w:divBdr>
        <w:top w:val="none" w:sz="0" w:space="0" w:color="auto"/>
        <w:left w:val="none" w:sz="0" w:space="0" w:color="auto"/>
        <w:bottom w:val="none" w:sz="0" w:space="0" w:color="auto"/>
        <w:right w:val="none" w:sz="0" w:space="0" w:color="auto"/>
      </w:divBdr>
    </w:div>
    <w:div w:id="805774998">
      <w:bodyDiv w:val="1"/>
      <w:marLeft w:val="0"/>
      <w:marRight w:val="0"/>
      <w:marTop w:val="0"/>
      <w:marBottom w:val="0"/>
      <w:divBdr>
        <w:top w:val="none" w:sz="0" w:space="0" w:color="auto"/>
        <w:left w:val="none" w:sz="0" w:space="0" w:color="auto"/>
        <w:bottom w:val="none" w:sz="0" w:space="0" w:color="auto"/>
        <w:right w:val="none" w:sz="0" w:space="0" w:color="auto"/>
      </w:divBdr>
    </w:div>
    <w:div w:id="806239478">
      <w:bodyDiv w:val="1"/>
      <w:marLeft w:val="0"/>
      <w:marRight w:val="0"/>
      <w:marTop w:val="0"/>
      <w:marBottom w:val="0"/>
      <w:divBdr>
        <w:top w:val="none" w:sz="0" w:space="0" w:color="auto"/>
        <w:left w:val="none" w:sz="0" w:space="0" w:color="auto"/>
        <w:bottom w:val="none" w:sz="0" w:space="0" w:color="auto"/>
        <w:right w:val="none" w:sz="0" w:space="0" w:color="auto"/>
      </w:divBdr>
    </w:div>
    <w:div w:id="806430993">
      <w:bodyDiv w:val="1"/>
      <w:marLeft w:val="0"/>
      <w:marRight w:val="0"/>
      <w:marTop w:val="0"/>
      <w:marBottom w:val="0"/>
      <w:divBdr>
        <w:top w:val="none" w:sz="0" w:space="0" w:color="auto"/>
        <w:left w:val="none" w:sz="0" w:space="0" w:color="auto"/>
        <w:bottom w:val="none" w:sz="0" w:space="0" w:color="auto"/>
        <w:right w:val="none" w:sz="0" w:space="0" w:color="auto"/>
      </w:divBdr>
    </w:div>
    <w:div w:id="807556794">
      <w:bodyDiv w:val="1"/>
      <w:marLeft w:val="0"/>
      <w:marRight w:val="0"/>
      <w:marTop w:val="0"/>
      <w:marBottom w:val="0"/>
      <w:divBdr>
        <w:top w:val="none" w:sz="0" w:space="0" w:color="auto"/>
        <w:left w:val="none" w:sz="0" w:space="0" w:color="auto"/>
        <w:bottom w:val="none" w:sz="0" w:space="0" w:color="auto"/>
        <w:right w:val="none" w:sz="0" w:space="0" w:color="auto"/>
      </w:divBdr>
    </w:div>
    <w:div w:id="807630432">
      <w:bodyDiv w:val="1"/>
      <w:marLeft w:val="0"/>
      <w:marRight w:val="0"/>
      <w:marTop w:val="0"/>
      <w:marBottom w:val="0"/>
      <w:divBdr>
        <w:top w:val="none" w:sz="0" w:space="0" w:color="auto"/>
        <w:left w:val="none" w:sz="0" w:space="0" w:color="auto"/>
        <w:bottom w:val="none" w:sz="0" w:space="0" w:color="auto"/>
        <w:right w:val="none" w:sz="0" w:space="0" w:color="auto"/>
      </w:divBdr>
    </w:div>
    <w:div w:id="807747982">
      <w:bodyDiv w:val="1"/>
      <w:marLeft w:val="0"/>
      <w:marRight w:val="0"/>
      <w:marTop w:val="0"/>
      <w:marBottom w:val="0"/>
      <w:divBdr>
        <w:top w:val="none" w:sz="0" w:space="0" w:color="auto"/>
        <w:left w:val="none" w:sz="0" w:space="0" w:color="auto"/>
        <w:bottom w:val="none" w:sz="0" w:space="0" w:color="auto"/>
        <w:right w:val="none" w:sz="0" w:space="0" w:color="auto"/>
      </w:divBdr>
    </w:div>
    <w:div w:id="808785315">
      <w:bodyDiv w:val="1"/>
      <w:marLeft w:val="0"/>
      <w:marRight w:val="0"/>
      <w:marTop w:val="0"/>
      <w:marBottom w:val="0"/>
      <w:divBdr>
        <w:top w:val="none" w:sz="0" w:space="0" w:color="auto"/>
        <w:left w:val="none" w:sz="0" w:space="0" w:color="auto"/>
        <w:bottom w:val="none" w:sz="0" w:space="0" w:color="auto"/>
        <w:right w:val="none" w:sz="0" w:space="0" w:color="auto"/>
      </w:divBdr>
    </w:div>
    <w:div w:id="808864928">
      <w:bodyDiv w:val="1"/>
      <w:marLeft w:val="0"/>
      <w:marRight w:val="0"/>
      <w:marTop w:val="0"/>
      <w:marBottom w:val="0"/>
      <w:divBdr>
        <w:top w:val="none" w:sz="0" w:space="0" w:color="auto"/>
        <w:left w:val="none" w:sz="0" w:space="0" w:color="auto"/>
        <w:bottom w:val="none" w:sz="0" w:space="0" w:color="auto"/>
        <w:right w:val="none" w:sz="0" w:space="0" w:color="auto"/>
      </w:divBdr>
    </w:div>
    <w:div w:id="809445126">
      <w:bodyDiv w:val="1"/>
      <w:marLeft w:val="0"/>
      <w:marRight w:val="0"/>
      <w:marTop w:val="0"/>
      <w:marBottom w:val="0"/>
      <w:divBdr>
        <w:top w:val="none" w:sz="0" w:space="0" w:color="auto"/>
        <w:left w:val="none" w:sz="0" w:space="0" w:color="auto"/>
        <w:bottom w:val="none" w:sz="0" w:space="0" w:color="auto"/>
        <w:right w:val="none" w:sz="0" w:space="0" w:color="auto"/>
      </w:divBdr>
    </w:div>
    <w:div w:id="809902307">
      <w:bodyDiv w:val="1"/>
      <w:marLeft w:val="0"/>
      <w:marRight w:val="0"/>
      <w:marTop w:val="0"/>
      <w:marBottom w:val="0"/>
      <w:divBdr>
        <w:top w:val="none" w:sz="0" w:space="0" w:color="auto"/>
        <w:left w:val="none" w:sz="0" w:space="0" w:color="auto"/>
        <w:bottom w:val="none" w:sz="0" w:space="0" w:color="auto"/>
        <w:right w:val="none" w:sz="0" w:space="0" w:color="auto"/>
      </w:divBdr>
    </w:div>
    <w:div w:id="809976605">
      <w:bodyDiv w:val="1"/>
      <w:marLeft w:val="0"/>
      <w:marRight w:val="0"/>
      <w:marTop w:val="0"/>
      <w:marBottom w:val="0"/>
      <w:divBdr>
        <w:top w:val="none" w:sz="0" w:space="0" w:color="auto"/>
        <w:left w:val="none" w:sz="0" w:space="0" w:color="auto"/>
        <w:bottom w:val="none" w:sz="0" w:space="0" w:color="auto"/>
        <w:right w:val="none" w:sz="0" w:space="0" w:color="auto"/>
      </w:divBdr>
    </w:div>
    <w:div w:id="810749545">
      <w:bodyDiv w:val="1"/>
      <w:marLeft w:val="0"/>
      <w:marRight w:val="0"/>
      <w:marTop w:val="0"/>
      <w:marBottom w:val="0"/>
      <w:divBdr>
        <w:top w:val="none" w:sz="0" w:space="0" w:color="auto"/>
        <w:left w:val="none" w:sz="0" w:space="0" w:color="auto"/>
        <w:bottom w:val="none" w:sz="0" w:space="0" w:color="auto"/>
        <w:right w:val="none" w:sz="0" w:space="0" w:color="auto"/>
      </w:divBdr>
    </w:div>
    <w:div w:id="810831678">
      <w:bodyDiv w:val="1"/>
      <w:marLeft w:val="0"/>
      <w:marRight w:val="0"/>
      <w:marTop w:val="0"/>
      <w:marBottom w:val="0"/>
      <w:divBdr>
        <w:top w:val="none" w:sz="0" w:space="0" w:color="auto"/>
        <w:left w:val="none" w:sz="0" w:space="0" w:color="auto"/>
        <w:bottom w:val="none" w:sz="0" w:space="0" w:color="auto"/>
        <w:right w:val="none" w:sz="0" w:space="0" w:color="auto"/>
      </w:divBdr>
    </w:div>
    <w:div w:id="810902278">
      <w:bodyDiv w:val="1"/>
      <w:marLeft w:val="0"/>
      <w:marRight w:val="0"/>
      <w:marTop w:val="0"/>
      <w:marBottom w:val="0"/>
      <w:divBdr>
        <w:top w:val="none" w:sz="0" w:space="0" w:color="auto"/>
        <w:left w:val="none" w:sz="0" w:space="0" w:color="auto"/>
        <w:bottom w:val="none" w:sz="0" w:space="0" w:color="auto"/>
        <w:right w:val="none" w:sz="0" w:space="0" w:color="auto"/>
      </w:divBdr>
    </w:div>
    <w:div w:id="810951176">
      <w:bodyDiv w:val="1"/>
      <w:marLeft w:val="0"/>
      <w:marRight w:val="0"/>
      <w:marTop w:val="0"/>
      <w:marBottom w:val="0"/>
      <w:divBdr>
        <w:top w:val="none" w:sz="0" w:space="0" w:color="auto"/>
        <w:left w:val="none" w:sz="0" w:space="0" w:color="auto"/>
        <w:bottom w:val="none" w:sz="0" w:space="0" w:color="auto"/>
        <w:right w:val="none" w:sz="0" w:space="0" w:color="auto"/>
      </w:divBdr>
    </w:div>
    <w:div w:id="813988701">
      <w:bodyDiv w:val="1"/>
      <w:marLeft w:val="0"/>
      <w:marRight w:val="0"/>
      <w:marTop w:val="0"/>
      <w:marBottom w:val="0"/>
      <w:divBdr>
        <w:top w:val="none" w:sz="0" w:space="0" w:color="auto"/>
        <w:left w:val="none" w:sz="0" w:space="0" w:color="auto"/>
        <w:bottom w:val="none" w:sz="0" w:space="0" w:color="auto"/>
        <w:right w:val="none" w:sz="0" w:space="0" w:color="auto"/>
      </w:divBdr>
    </w:div>
    <w:div w:id="815532371">
      <w:bodyDiv w:val="1"/>
      <w:marLeft w:val="0"/>
      <w:marRight w:val="0"/>
      <w:marTop w:val="0"/>
      <w:marBottom w:val="0"/>
      <w:divBdr>
        <w:top w:val="none" w:sz="0" w:space="0" w:color="auto"/>
        <w:left w:val="none" w:sz="0" w:space="0" w:color="auto"/>
        <w:bottom w:val="none" w:sz="0" w:space="0" w:color="auto"/>
        <w:right w:val="none" w:sz="0" w:space="0" w:color="auto"/>
      </w:divBdr>
    </w:div>
    <w:div w:id="816579197">
      <w:bodyDiv w:val="1"/>
      <w:marLeft w:val="0"/>
      <w:marRight w:val="0"/>
      <w:marTop w:val="0"/>
      <w:marBottom w:val="0"/>
      <w:divBdr>
        <w:top w:val="none" w:sz="0" w:space="0" w:color="auto"/>
        <w:left w:val="none" w:sz="0" w:space="0" w:color="auto"/>
        <w:bottom w:val="none" w:sz="0" w:space="0" w:color="auto"/>
        <w:right w:val="none" w:sz="0" w:space="0" w:color="auto"/>
      </w:divBdr>
    </w:div>
    <w:div w:id="816996490">
      <w:bodyDiv w:val="1"/>
      <w:marLeft w:val="0"/>
      <w:marRight w:val="0"/>
      <w:marTop w:val="0"/>
      <w:marBottom w:val="0"/>
      <w:divBdr>
        <w:top w:val="none" w:sz="0" w:space="0" w:color="auto"/>
        <w:left w:val="none" w:sz="0" w:space="0" w:color="auto"/>
        <w:bottom w:val="none" w:sz="0" w:space="0" w:color="auto"/>
        <w:right w:val="none" w:sz="0" w:space="0" w:color="auto"/>
      </w:divBdr>
    </w:div>
    <w:div w:id="817187783">
      <w:bodyDiv w:val="1"/>
      <w:marLeft w:val="0"/>
      <w:marRight w:val="0"/>
      <w:marTop w:val="0"/>
      <w:marBottom w:val="0"/>
      <w:divBdr>
        <w:top w:val="none" w:sz="0" w:space="0" w:color="auto"/>
        <w:left w:val="none" w:sz="0" w:space="0" w:color="auto"/>
        <w:bottom w:val="none" w:sz="0" w:space="0" w:color="auto"/>
        <w:right w:val="none" w:sz="0" w:space="0" w:color="auto"/>
      </w:divBdr>
    </w:div>
    <w:div w:id="817301582">
      <w:bodyDiv w:val="1"/>
      <w:marLeft w:val="0"/>
      <w:marRight w:val="0"/>
      <w:marTop w:val="0"/>
      <w:marBottom w:val="0"/>
      <w:divBdr>
        <w:top w:val="none" w:sz="0" w:space="0" w:color="auto"/>
        <w:left w:val="none" w:sz="0" w:space="0" w:color="auto"/>
        <w:bottom w:val="none" w:sz="0" w:space="0" w:color="auto"/>
        <w:right w:val="none" w:sz="0" w:space="0" w:color="auto"/>
      </w:divBdr>
    </w:div>
    <w:div w:id="817765435">
      <w:bodyDiv w:val="1"/>
      <w:marLeft w:val="0"/>
      <w:marRight w:val="0"/>
      <w:marTop w:val="0"/>
      <w:marBottom w:val="0"/>
      <w:divBdr>
        <w:top w:val="none" w:sz="0" w:space="0" w:color="auto"/>
        <w:left w:val="none" w:sz="0" w:space="0" w:color="auto"/>
        <w:bottom w:val="none" w:sz="0" w:space="0" w:color="auto"/>
        <w:right w:val="none" w:sz="0" w:space="0" w:color="auto"/>
      </w:divBdr>
    </w:div>
    <w:div w:id="817840316">
      <w:bodyDiv w:val="1"/>
      <w:marLeft w:val="0"/>
      <w:marRight w:val="0"/>
      <w:marTop w:val="0"/>
      <w:marBottom w:val="0"/>
      <w:divBdr>
        <w:top w:val="none" w:sz="0" w:space="0" w:color="auto"/>
        <w:left w:val="none" w:sz="0" w:space="0" w:color="auto"/>
        <w:bottom w:val="none" w:sz="0" w:space="0" w:color="auto"/>
        <w:right w:val="none" w:sz="0" w:space="0" w:color="auto"/>
      </w:divBdr>
    </w:div>
    <w:div w:id="817916878">
      <w:bodyDiv w:val="1"/>
      <w:marLeft w:val="0"/>
      <w:marRight w:val="0"/>
      <w:marTop w:val="0"/>
      <w:marBottom w:val="0"/>
      <w:divBdr>
        <w:top w:val="none" w:sz="0" w:space="0" w:color="auto"/>
        <w:left w:val="none" w:sz="0" w:space="0" w:color="auto"/>
        <w:bottom w:val="none" w:sz="0" w:space="0" w:color="auto"/>
        <w:right w:val="none" w:sz="0" w:space="0" w:color="auto"/>
      </w:divBdr>
    </w:div>
    <w:div w:id="818956660">
      <w:bodyDiv w:val="1"/>
      <w:marLeft w:val="0"/>
      <w:marRight w:val="0"/>
      <w:marTop w:val="0"/>
      <w:marBottom w:val="0"/>
      <w:divBdr>
        <w:top w:val="none" w:sz="0" w:space="0" w:color="auto"/>
        <w:left w:val="none" w:sz="0" w:space="0" w:color="auto"/>
        <w:bottom w:val="none" w:sz="0" w:space="0" w:color="auto"/>
        <w:right w:val="none" w:sz="0" w:space="0" w:color="auto"/>
      </w:divBdr>
    </w:div>
    <w:div w:id="819074486">
      <w:bodyDiv w:val="1"/>
      <w:marLeft w:val="0"/>
      <w:marRight w:val="0"/>
      <w:marTop w:val="0"/>
      <w:marBottom w:val="0"/>
      <w:divBdr>
        <w:top w:val="none" w:sz="0" w:space="0" w:color="auto"/>
        <w:left w:val="none" w:sz="0" w:space="0" w:color="auto"/>
        <w:bottom w:val="none" w:sz="0" w:space="0" w:color="auto"/>
        <w:right w:val="none" w:sz="0" w:space="0" w:color="auto"/>
      </w:divBdr>
    </w:div>
    <w:div w:id="819732007">
      <w:bodyDiv w:val="1"/>
      <w:marLeft w:val="0"/>
      <w:marRight w:val="0"/>
      <w:marTop w:val="0"/>
      <w:marBottom w:val="0"/>
      <w:divBdr>
        <w:top w:val="none" w:sz="0" w:space="0" w:color="auto"/>
        <w:left w:val="none" w:sz="0" w:space="0" w:color="auto"/>
        <w:bottom w:val="none" w:sz="0" w:space="0" w:color="auto"/>
        <w:right w:val="none" w:sz="0" w:space="0" w:color="auto"/>
      </w:divBdr>
    </w:div>
    <w:div w:id="819926673">
      <w:bodyDiv w:val="1"/>
      <w:marLeft w:val="0"/>
      <w:marRight w:val="0"/>
      <w:marTop w:val="0"/>
      <w:marBottom w:val="0"/>
      <w:divBdr>
        <w:top w:val="none" w:sz="0" w:space="0" w:color="auto"/>
        <w:left w:val="none" w:sz="0" w:space="0" w:color="auto"/>
        <w:bottom w:val="none" w:sz="0" w:space="0" w:color="auto"/>
        <w:right w:val="none" w:sz="0" w:space="0" w:color="auto"/>
      </w:divBdr>
    </w:div>
    <w:div w:id="820074013">
      <w:bodyDiv w:val="1"/>
      <w:marLeft w:val="0"/>
      <w:marRight w:val="0"/>
      <w:marTop w:val="0"/>
      <w:marBottom w:val="0"/>
      <w:divBdr>
        <w:top w:val="none" w:sz="0" w:space="0" w:color="auto"/>
        <w:left w:val="none" w:sz="0" w:space="0" w:color="auto"/>
        <w:bottom w:val="none" w:sz="0" w:space="0" w:color="auto"/>
        <w:right w:val="none" w:sz="0" w:space="0" w:color="auto"/>
      </w:divBdr>
    </w:div>
    <w:div w:id="820074688">
      <w:bodyDiv w:val="1"/>
      <w:marLeft w:val="0"/>
      <w:marRight w:val="0"/>
      <w:marTop w:val="0"/>
      <w:marBottom w:val="0"/>
      <w:divBdr>
        <w:top w:val="none" w:sz="0" w:space="0" w:color="auto"/>
        <w:left w:val="none" w:sz="0" w:space="0" w:color="auto"/>
        <w:bottom w:val="none" w:sz="0" w:space="0" w:color="auto"/>
        <w:right w:val="none" w:sz="0" w:space="0" w:color="auto"/>
      </w:divBdr>
    </w:div>
    <w:div w:id="820079568">
      <w:bodyDiv w:val="1"/>
      <w:marLeft w:val="0"/>
      <w:marRight w:val="0"/>
      <w:marTop w:val="0"/>
      <w:marBottom w:val="0"/>
      <w:divBdr>
        <w:top w:val="none" w:sz="0" w:space="0" w:color="auto"/>
        <w:left w:val="none" w:sz="0" w:space="0" w:color="auto"/>
        <w:bottom w:val="none" w:sz="0" w:space="0" w:color="auto"/>
        <w:right w:val="none" w:sz="0" w:space="0" w:color="auto"/>
      </w:divBdr>
    </w:div>
    <w:div w:id="820124641">
      <w:bodyDiv w:val="1"/>
      <w:marLeft w:val="0"/>
      <w:marRight w:val="0"/>
      <w:marTop w:val="0"/>
      <w:marBottom w:val="0"/>
      <w:divBdr>
        <w:top w:val="none" w:sz="0" w:space="0" w:color="auto"/>
        <w:left w:val="none" w:sz="0" w:space="0" w:color="auto"/>
        <w:bottom w:val="none" w:sz="0" w:space="0" w:color="auto"/>
        <w:right w:val="none" w:sz="0" w:space="0" w:color="auto"/>
      </w:divBdr>
    </w:div>
    <w:div w:id="820464582">
      <w:bodyDiv w:val="1"/>
      <w:marLeft w:val="0"/>
      <w:marRight w:val="0"/>
      <w:marTop w:val="0"/>
      <w:marBottom w:val="0"/>
      <w:divBdr>
        <w:top w:val="none" w:sz="0" w:space="0" w:color="auto"/>
        <w:left w:val="none" w:sz="0" w:space="0" w:color="auto"/>
        <w:bottom w:val="none" w:sz="0" w:space="0" w:color="auto"/>
        <w:right w:val="none" w:sz="0" w:space="0" w:color="auto"/>
      </w:divBdr>
    </w:div>
    <w:div w:id="821313327">
      <w:bodyDiv w:val="1"/>
      <w:marLeft w:val="0"/>
      <w:marRight w:val="0"/>
      <w:marTop w:val="0"/>
      <w:marBottom w:val="0"/>
      <w:divBdr>
        <w:top w:val="none" w:sz="0" w:space="0" w:color="auto"/>
        <w:left w:val="none" w:sz="0" w:space="0" w:color="auto"/>
        <w:bottom w:val="none" w:sz="0" w:space="0" w:color="auto"/>
        <w:right w:val="none" w:sz="0" w:space="0" w:color="auto"/>
      </w:divBdr>
    </w:div>
    <w:div w:id="821386147">
      <w:bodyDiv w:val="1"/>
      <w:marLeft w:val="0"/>
      <w:marRight w:val="0"/>
      <w:marTop w:val="0"/>
      <w:marBottom w:val="0"/>
      <w:divBdr>
        <w:top w:val="none" w:sz="0" w:space="0" w:color="auto"/>
        <w:left w:val="none" w:sz="0" w:space="0" w:color="auto"/>
        <w:bottom w:val="none" w:sz="0" w:space="0" w:color="auto"/>
        <w:right w:val="none" w:sz="0" w:space="0" w:color="auto"/>
      </w:divBdr>
    </w:div>
    <w:div w:id="822040411">
      <w:bodyDiv w:val="1"/>
      <w:marLeft w:val="0"/>
      <w:marRight w:val="0"/>
      <w:marTop w:val="0"/>
      <w:marBottom w:val="0"/>
      <w:divBdr>
        <w:top w:val="none" w:sz="0" w:space="0" w:color="auto"/>
        <w:left w:val="none" w:sz="0" w:space="0" w:color="auto"/>
        <w:bottom w:val="none" w:sz="0" w:space="0" w:color="auto"/>
        <w:right w:val="none" w:sz="0" w:space="0" w:color="auto"/>
      </w:divBdr>
    </w:div>
    <w:div w:id="822425819">
      <w:bodyDiv w:val="1"/>
      <w:marLeft w:val="0"/>
      <w:marRight w:val="0"/>
      <w:marTop w:val="0"/>
      <w:marBottom w:val="0"/>
      <w:divBdr>
        <w:top w:val="none" w:sz="0" w:space="0" w:color="auto"/>
        <w:left w:val="none" w:sz="0" w:space="0" w:color="auto"/>
        <w:bottom w:val="none" w:sz="0" w:space="0" w:color="auto"/>
        <w:right w:val="none" w:sz="0" w:space="0" w:color="auto"/>
      </w:divBdr>
    </w:div>
    <w:div w:id="823006133">
      <w:bodyDiv w:val="1"/>
      <w:marLeft w:val="0"/>
      <w:marRight w:val="0"/>
      <w:marTop w:val="0"/>
      <w:marBottom w:val="0"/>
      <w:divBdr>
        <w:top w:val="none" w:sz="0" w:space="0" w:color="auto"/>
        <w:left w:val="none" w:sz="0" w:space="0" w:color="auto"/>
        <w:bottom w:val="none" w:sz="0" w:space="0" w:color="auto"/>
        <w:right w:val="none" w:sz="0" w:space="0" w:color="auto"/>
      </w:divBdr>
    </w:div>
    <w:div w:id="824974340">
      <w:bodyDiv w:val="1"/>
      <w:marLeft w:val="0"/>
      <w:marRight w:val="0"/>
      <w:marTop w:val="0"/>
      <w:marBottom w:val="0"/>
      <w:divBdr>
        <w:top w:val="none" w:sz="0" w:space="0" w:color="auto"/>
        <w:left w:val="none" w:sz="0" w:space="0" w:color="auto"/>
        <w:bottom w:val="none" w:sz="0" w:space="0" w:color="auto"/>
        <w:right w:val="none" w:sz="0" w:space="0" w:color="auto"/>
      </w:divBdr>
    </w:div>
    <w:div w:id="825322972">
      <w:bodyDiv w:val="1"/>
      <w:marLeft w:val="0"/>
      <w:marRight w:val="0"/>
      <w:marTop w:val="0"/>
      <w:marBottom w:val="0"/>
      <w:divBdr>
        <w:top w:val="none" w:sz="0" w:space="0" w:color="auto"/>
        <w:left w:val="none" w:sz="0" w:space="0" w:color="auto"/>
        <w:bottom w:val="none" w:sz="0" w:space="0" w:color="auto"/>
        <w:right w:val="none" w:sz="0" w:space="0" w:color="auto"/>
      </w:divBdr>
    </w:div>
    <w:div w:id="825707175">
      <w:bodyDiv w:val="1"/>
      <w:marLeft w:val="0"/>
      <w:marRight w:val="0"/>
      <w:marTop w:val="0"/>
      <w:marBottom w:val="0"/>
      <w:divBdr>
        <w:top w:val="none" w:sz="0" w:space="0" w:color="auto"/>
        <w:left w:val="none" w:sz="0" w:space="0" w:color="auto"/>
        <w:bottom w:val="none" w:sz="0" w:space="0" w:color="auto"/>
        <w:right w:val="none" w:sz="0" w:space="0" w:color="auto"/>
      </w:divBdr>
    </w:div>
    <w:div w:id="825821385">
      <w:bodyDiv w:val="1"/>
      <w:marLeft w:val="0"/>
      <w:marRight w:val="0"/>
      <w:marTop w:val="0"/>
      <w:marBottom w:val="0"/>
      <w:divBdr>
        <w:top w:val="none" w:sz="0" w:space="0" w:color="auto"/>
        <w:left w:val="none" w:sz="0" w:space="0" w:color="auto"/>
        <w:bottom w:val="none" w:sz="0" w:space="0" w:color="auto"/>
        <w:right w:val="none" w:sz="0" w:space="0" w:color="auto"/>
      </w:divBdr>
    </w:div>
    <w:div w:id="826358606">
      <w:bodyDiv w:val="1"/>
      <w:marLeft w:val="0"/>
      <w:marRight w:val="0"/>
      <w:marTop w:val="0"/>
      <w:marBottom w:val="0"/>
      <w:divBdr>
        <w:top w:val="none" w:sz="0" w:space="0" w:color="auto"/>
        <w:left w:val="none" w:sz="0" w:space="0" w:color="auto"/>
        <w:bottom w:val="none" w:sz="0" w:space="0" w:color="auto"/>
        <w:right w:val="none" w:sz="0" w:space="0" w:color="auto"/>
      </w:divBdr>
    </w:div>
    <w:div w:id="827788614">
      <w:bodyDiv w:val="1"/>
      <w:marLeft w:val="0"/>
      <w:marRight w:val="0"/>
      <w:marTop w:val="0"/>
      <w:marBottom w:val="0"/>
      <w:divBdr>
        <w:top w:val="none" w:sz="0" w:space="0" w:color="auto"/>
        <w:left w:val="none" w:sz="0" w:space="0" w:color="auto"/>
        <w:bottom w:val="none" w:sz="0" w:space="0" w:color="auto"/>
        <w:right w:val="none" w:sz="0" w:space="0" w:color="auto"/>
      </w:divBdr>
    </w:div>
    <w:div w:id="827941659">
      <w:bodyDiv w:val="1"/>
      <w:marLeft w:val="0"/>
      <w:marRight w:val="0"/>
      <w:marTop w:val="0"/>
      <w:marBottom w:val="0"/>
      <w:divBdr>
        <w:top w:val="none" w:sz="0" w:space="0" w:color="auto"/>
        <w:left w:val="none" w:sz="0" w:space="0" w:color="auto"/>
        <w:bottom w:val="none" w:sz="0" w:space="0" w:color="auto"/>
        <w:right w:val="none" w:sz="0" w:space="0" w:color="auto"/>
      </w:divBdr>
    </w:div>
    <w:div w:id="829709703">
      <w:bodyDiv w:val="1"/>
      <w:marLeft w:val="0"/>
      <w:marRight w:val="0"/>
      <w:marTop w:val="0"/>
      <w:marBottom w:val="0"/>
      <w:divBdr>
        <w:top w:val="none" w:sz="0" w:space="0" w:color="auto"/>
        <w:left w:val="none" w:sz="0" w:space="0" w:color="auto"/>
        <w:bottom w:val="none" w:sz="0" w:space="0" w:color="auto"/>
        <w:right w:val="none" w:sz="0" w:space="0" w:color="auto"/>
      </w:divBdr>
    </w:div>
    <w:div w:id="829714004">
      <w:bodyDiv w:val="1"/>
      <w:marLeft w:val="0"/>
      <w:marRight w:val="0"/>
      <w:marTop w:val="0"/>
      <w:marBottom w:val="0"/>
      <w:divBdr>
        <w:top w:val="none" w:sz="0" w:space="0" w:color="auto"/>
        <w:left w:val="none" w:sz="0" w:space="0" w:color="auto"/>
        <w:bottom w:val="none" w:sz="0" w:space="0" w:color="auto"/>
        <w:right w:val="none" w:sz="0" w:space="0" w:color="auto"/>
      </w:divBdr>
    </w:div>
    <w:div w:id="830020021">
      <w:bodyDiv w:val="1"/>
      <w:marLeft w:val="0"/>
      <w:marRight w:val="0"/>
      <w:marTop w:val="0"/>
      <w:marBottom w:val="0"/>
      <w:divBdr>
        <w:top w:val="none" w:sz="0" w:space="0" w:color="auto"/>
        <w:left w:val="none" w:sz="0" w:space="0" w:color="auto"/>
        <w:bottom w:val="none" w:sz="0" w:space="0" w:color="auto"/>
        <w:right w:val="none" w:sz="0" w:space="0" w:color="auto"/>
      </w:divBdr>
    </w:div>
    <w:div w:id="830952931">
      <w:bodyDiv w:val="1"/>
      <w:marLeft w:val="0"/>
      <w:marRight w:val="0"/>
      <w:marTop w:val="0"/>
      <w:marBottom w:val="0"/>
      <w:divBdr>
        <w:top w:val="none" w:sz="0" w:space="0" w:color="auto"/>
        <w:left w:val="none" w:sz="0" w:space="0" w:color="auto"/>
        <w:bottom w:val="none" w:sz="0" w:space="0" w:color="auto"/>
        <w:right w:val="none" w:sz="0" w:space="0" w:color="auto"/>
      </w:divBdr>
    </w:div>
    <w:div w:id="831138505">
      <w:bodyDiv w:val="1"/>
      <w:marLeft w:val="0"/>
      <w:marRight w:val="0"/>
      <w:marTop w:val="0"/>
      <w:marBottom w:val="0"/>
      <w:divBdr>
        <w:top w:val="none" w:sz="0" w:space="0" w:color="auto"/>
        <w:left w:val="none" w:sz="0" w:space="0" w:color="auto"/>
        <w:bottom w:val="none" w:sz="0" w:space="0" w:color="auto"/>
        <w:right w:val="none" w:sz="0" w:space="0" w:color="auto"/>
      </w:divBdr>
    </w:div>
    <w:div w:id="831530302">
      <w:bodyDiv w:val="1"/>
      <w:marLeft w:val="0"/>
      <w:marRight w:val="0"/>
      <w:marTop w:val="0"/>
      <w:marBottom w:val="0"/>
      <w:divBdr>
        <w:top w:val="none" w:sz="0" w:space="0" w:color="auto"/>
        <w:left w:val="none" w:sz="0" w:space="0" w:color="auto"/>
        <w:bottom w:val="none" w:sz="0" w:space="0" w:color="auto"/>
        <w:right w:val="none" w:sz="0" w:space="0" w:color="auto"/>
      </w:divBdr>
    </w:div>
    <w:div w:id="832338546">
      <w:bodyDiv w:val="1"/>
      <w:marLeft w:val="0"/>
      <w:marRight w:val="0"/>
      <w:marTop w:val="0"/>
      <w:marBottom w:val="0"/>
      <w:divBdr>
        <w:top w:val="none" w:sz="0" w:space="0" w:color="auto"/>
        <w:left w:val="none" w:sz="0" w:space="0" w:color="auto"/>
        <w:bottom w:val="none" w:sz="0" w:space="0" w:color="auto"/>
        <w:right w:val="none" w:sz="0" w:space="0" w:color="auto"/>
      </w:divBdr>
    </w:div>
    <w:div w:id="832379277">
      <w:bodyDiv w:val="1"/>
      <w:marLeft w:val="0"/>
      <w:marRight w:val="0"/>
      <w:marTop w:val="0"/>
      <w:marBottom w:val="0"/>
      <w:divBdr>
        <w:top w:val="none" w:sz="0" w:space="0" w:color="auto"/>
        <w:left w:val="none" w:sz="0" w:space="0" w:color="auto"/>
        <w:bottom w:val="none" w:sz="0" w:space="0" w:color="auto"/>
        <w:right w:val="none" w:sz="0" w:space="0" w:color="auto"/>
      </w:divBdr>
    </w:div>
    <w:div w:id="832448047">
      <w:bodyDiv w:val="1"/>
      <w:marLeft w:val="0"/>
      <w:marRight w:val="0"/>
      <w:marTop w:val="0"/>
      <w:marBottom w:val="0"/>
      <w:divBdr>
        <w:top w:val="none" w:sz="0" w:space="0" w:color="auto"/>
        <w:left w:val="none" w:sz="0" w:space="0" w:color="auto"/>
        <w:bottom w:val="none" w:sz="0" w:space="0" w:color="auto"/>
        <w:right w:val="none" w:sz="0" w:space="0" w:color="auto"/>
      </w:divBdr>
    </w:div>
    <w:div w:id="832992979">
      <w:bodyDiv w:val="1"/>
      <w:marLeft w:val="0"/>
      <w:marRight w:val="0"/>
      <w:marTop w:val="0"/>
      <w:marBottom w:val="0"/>
      <w:divBdr>
        <w:top w:val="none" w:sz="0" w:space="0" w:color="auto"/>
        <w:left w:val="none" w:sz="0" w:space="0" w:color="auto"/>
        <w:bottom w:val="none" w:sz="0" w:space="0" w:color="auto"/>
        <w:right w:val="none" w:sz="0" w:space="0" w:color="auto"/>
      </w:divBdr>
    </w:div>
    <w:div w:id="833685330">
      <w:bodyDiv w:val="1"/>
      <w:marLeft w:val="0"/>
      <w:marRight w:val="0"/>
      <w:marTop w:val="0"/>
      <w:marBottom w:val="0"/>
      <w:divBdr>
        <w:top w:val="none" w:sz="0" w:space="0" w:color="auto"/>
        <w:left w:val="none" w:sz="0" w:space="0" w:color="auto"/>
        <w:bottom w:val="none" w:sz="0" w:space="0" w:color="auto"/>
        <w:right w:val="none" w:sz="0" w:space="0" w:color="auto"/>
      </w:divBdr>
    </w:div>
    <w:div w:id="834304109">
      <w:bodyDiv w:val="1"/>
      <w:marLeft w:val="0"/>
      <w:marRight w:val="0"/>
      <w:marTop w:val="0"/>
      <w:marBottom w:val="0"/>
      <w:divBdr>
        <w:top w:val="none" w:sz="0" w:space="0" w:color="auto"/>
        <w:left w:val="none" w:sz="0" w:space="0" w:color="auto"/>
        <w:bottom w:val="none" w:sz="0" w:space="0" w:color="auto"/>
        <w:right w:val="none" w:sz="0" w:space="0" w:color="auto"/>
      </w:divBdr>
    </w:div>
    <w:div w:id="835807539">
      <w:bodyDiv w:val="1"/>
      <w:marLeft w:val="0"/>
      <w:marRight w:val="0"/>
      <w:marTop w:val="0"/>
      <w:marBottom w:val="0"/>
      <w:divBdr>
        <w:top w:val="none" w:sz="0" w:space="0" w:color="auto"/>
        <w:left w:val="none" w:sz="0" w:space="0" w:color="auto"/>
        <w:bottom w:val="none" w:sz="0" w:space="0" w:color="auto"/>
        <w:right w:val="none" w:sz="0" w:space="0" w:color="auto"/>
      </w:divBdr>
    </w:div>
    <w:div w:id="835807579">
      <w:bodyDiv w:val="1"/>
      <w:marLeft w:val="0"/>
      <w:marRight w:val="0"/>
      <w:marTop w:val="0"/>
      <w:marBottom w:val="0"/>
      <w:divBdr>
        <w:top w:val="none" w:sz="0" w:space="0" w:color="auto"/>
        <w:left w:val="none" w:sz="0" w:space="0" w:color="auto"/>
        <w:bottom w:val="none" w:sz="0" w:space="0" w:color="auto"/>
        <w:right w:val="none" w:sz="0" w:space="0" w:color="auto"/>
      </w:divBdr>
    </w:div>
    <w:div w:id="836270420">
      <w:bodyDiv w:val="1"/>
      <w:marLeft w:val="0"/>
      <w:marRight w:val="0"/>
      <w:marTop w:val="0"/>
      <w:marBottom w:val="0"/>
      <w:divBdr>
        <w:top w:val="none" w:sz="0" w:space="0" w:color="auto"/>
        <w:left w:val="none" w:sz="0" w:space="0" w:color="auto"/>
        <w:bottom w:val="none" w:sz="0" w:space="0" w:color="auto"/>
        <w:right w:val="none" w:sz="0" w:space="0" w:color="auto"/>
      </w:divBdr>
    </w:div>
    <w:div w:id="836457828">
      <w:bodyDiv w:val="1"/>
      <w:marLeft w:val="0"/>
      <w:marRight w:val="0"/>
      <w:marTop w:val="0"/>
      <w:marBottom w:val="0"/>
      <w:divBdr>
        <w:top w:val="none" w:sz="0" w:space="0" w:color="auto"/>
        <w:left w:val="none" w:sz="0" w:space="0" w:color="auto"/>
        <w:bottom w:val="none" w:sz="0" w:space="0" w:color="auto"/>
        <w:right w:val="none" w:sz="0" w:space="0" w:color="auto"/>
      </w:divBdr>
    </w:div>
    <w:div w:id="836505153">
      <w:bodyDiv w:val="1"/>
      <w:marLeft w:val="0"/>
      <w:marRight w:val="0"/>
      <w:marTop w:val="0"/>
      <w:marBottom w:val="0"/>
      <w:divBdr>
        <w:top w:val="none" w:sz="0" w:space="0" w:color="auto"/>
        <w:left w:val="none" w:sz="0" w:space="0" w:color="auto"/>
        <w:bottom w:val="none" w:sz="0" w:space="0" w:color="auto"/>
        <w:right w:val="none" w:sz="0" w:space="0" w:color="auto"/>
      </w:divBdr>
    </w:div>
    <w:div w:id="836725625">
      <w:bodyDiv w:val="1"/>
      <w:marLeft w:val="0"/>
      <w:marRight w:val="0"/>
      <w:marTop w:val="0"/>
      <w:marBottom w:val="0"/>
      <w:divBdr>
        <w:top w:val="none" w:sz="0" w:space="0" w:color="auto"/>
        <w:left w:val="none" w:sz="0" w:space="0" w:color="auto"/>
        <w:bottom w:val="none" w:sz="0" w:space="0" w:color="auto"/>
        <w:right w:val="none" w:sz="0" w:space="0" w:color="auto"/>
      </w:divBdr>
    </w:div>
    <w:div w:id="837498520">
      <w:bodyDiv w:val="1"/>
      <w:marLeft w:val="0"/>
      <w:marRight w:val="0"/>
      <w:marTop w:val="0"/>
      <w:marBottom w:val="0"/>
      <w:divBdr>
        <w:top w:val="none" w:sz="0" w:space="0" w:color="auto"/>
        <w:left w:val="none" w:sz="0" w:space="0" w:color="auto"/>
        <w:bottom w:val="none" w:sz="0" w:space="0" w:color="auto"/>
        <w:right w:val="none" w:sz="0" w:space="0" w:color="auto"/>
      </w:divBdr>
    </w:div>
    <w:div w:id="838034055">
      <w:bodyDiv w:val="1"/>
      <w:marLeft w:val="0"/>
      <w:marRight w:val="0"/>
      <w:marTop w:val="0"/>
      <w:marBottom w:val="0"/>
      <w:divBdr>
        <w:top w:val="none" w:sz="0" w:space="0" w:color="auto"/>
        <w:left w:val="none" w:sz="0" w:space="0" w:color="auto"/>
        <w:bottom w:val="none" w:sz="0" w:space="0" w:color="auto"/>
        <w:right w:val="none" w:sz="0" w:space="0" w:color="auto"/>
      </w:divBdr>
    </w:div>
    <w:div w:id="838273189">
      <w:bodyDiv w:val="1"/>
      <w:marLeft w:val="0"/>
      <w:marRight w:val="0"/>
      <w:marTop w:val="0"/>
      <w:marBottom w:val="0"/>
      <w:divBdr>
        <w:top w:val="none" w:sz="0" w:space="0" w:color="auto"/>
        <w:left w:val="none" w:sz="0" w:space="0" w:color="auto"/>
        <w:bottom w:val="none" w:sz="0" w:space="0" w:color="auto"/>
        <w:right w:val="none" w:sz="0" w:space="0" w:color="auto"/>
      </w:divBdr>
    </w:div>
    <w:div w:id="839079042">
      <w:bodyDiv w:val="1"/>
      <w:marLeft w:val="0"/>
      <w:marRight w:val="0"/>
      <w:marTop w:val="0"/>
      <w:marBottom w:val="0"/>
      <w:divBdr>
        <w:top w:val="none" w:sz="0" w:space="0" w:color="auto"/>
        <w:left w:val="none" w:sz="0" w:space="0" w:color="auto"/>
        <w:bottom w:val="none" w:sz="0" w:space="0" w:color="auto"/>
        <w:right w:val="none" w:sz="0" w:space="0" w:color="auto"/>
      </w:divBdr>
    </w:div>
    <w:div w:id="840584362">
      <w:bodyDiv w:val="1"/>
      <w:marLeft w:val="0"/>
      <w:marRight w:val="0"/>
      <w:marTop w:val="0"/>
      <w:marBottom w:val="0"/>
      <w:divBdr>
        <w:top w:val="none" w:sz="0" w:space="0" w:color="auto"/>
        <w:left w:val="none" w:sz="0" w:space="0" w:color="auto"/>
        <w:bottom w:val="none" w:sz="0" w:space="0" w:color="auto"/>
        <w:right w:val="none" w:sz="0" w:space="0" w:color="auto"/>
      </w:divBdr>
    </w:div>
    <w:div w:id="840705872">
      <w:bodyDiv w:val="1"/>
      <w:marLeft w:val="0"/>
      <w:marRight w:val="0"/>
      <w:marTop w:val="0"/>
      <w:marBottom w:val="0"/>
      <w:divBdr>
        <w:top w:val="none" w:sz="0" w:space="0" w:color="auto"/>
        <w:left w:val="none" w:sz="0" w:space="0" w:color="auto"/>
        <w:bottom w:val="none" w:sz="0" w:space="0" w:color="auto"/>
        <w:right w:val="none" w:sz="0" w:space="0" w:color="auto"/>
      </w:divBdr>
    </w:div>
    <w:div w:id="840857494">
      <w:bodyDiv w:val="1"/>
      <w:marLeft w:val="0"/>
      <w:marRight w:val="0"/>
      <w:marTop w:val="0"/>
      <w:marBottom w:val="0"/>
      <w:divBdr>
        <w:top w:val="none" w:sz="0" w:space="0" w:color="auto"/>
        <w:left w:val="none" w:sz="0" w:space="0" w:color="auto"/>
        <w:bottom w:val="none" w:sz="0" w:space="0" w:color="auto"/>
        <w:right w:val="none" w:sz="0" w:space="0" w:color="auto"/>
      </w:divBdr>
    </w:div>
    <w:div w:id="840971492">
      <w:bodyDiv w:val="1"/>
      <w:marLeft w:val="0"/>
      <w:marRight w:val="0"/>
      <w:marTop w:val="0"/>
      <w:marBottom w:val="0"/>
      <w:divBdr>
        <w:top w:val="none" w:sz="0" w:space="0" w:color="auto"/>
        <w:left w:val="none" w:sz="0" w:space="0" w:color="auto"/>
        <w:bottom w:val="none" w:sz="0" w:space="0" w:color="auto"/>
        <w:right w:val="none" w:sz="0" w:space="0" w:color="auto"/>
      </w:divBdr>
    </w:div>
    <w:div w:id="842203702">
      <w:bodyDiv w:val="1"/>
      <w:marLeft w:val="0"/>
      <w:marRight w:val="0"/>
      <w:marTop w:val="0"/>
      <w:marBottom w:val="0"/>
      <w:divBdr>
        <w:top w:val="none" w:sz="0" w:space="0" w:color="auto"/>
        <w:left w:val="none" w:sz="0" w:space="0" w:color="auto"/>
        <w:bottom w:val="none" w:sz="0" w:space="0" w:color="auto"/>
        <w:right w:val="none" w:sz="0" w:space="0" w:color="auto"/>
      </w:divBdr>
    </w:div>
    <w:div w:id="842747238">
      <w:bodyDiv w:val="1"/>
      <w:marLeft w:val="0"/>
      <w:marRight w:val="0"/>
      <w:marTop w:val="0"/>
      <w:marBottom w:val="0"/>
      <w:divBdr>
        <w:top w:val="none" w:sz="0" w:space="0" w:color="auto"/>
        <w:left w:val="none" w:sz="0" w:space="0" w:color="auto"/>
        <w:bottom w:val="none" w:sz="0" w:space="0" w:color="auto"/>
        <w:right w:val="none" w:sz="0" w:space="0" w:color="auto"/>
      </w:divBdr>
    </w:div>
    <w:div w:id="842863774">
      <w:bodyDiv w:val="1"/>
      <w:marLeft w:val="0"/>
      <w:marRight w:val="0"/>
      <w:marTop w:val="0"/>
      <w:marBottom w:val="0"/>
      <w:divBdr>
        <w:top w:val="none" w:sz="0" w:space="0" w:color="auto"/>
        <w:left w:val="none" w:sz="0" w:space="0" w:color="auto"/>
        <w:bottom w:val="none" w:sz="0" w:space="0" w:color="auto"/>
        <w:right w:val="none" w:sz="0" w:space="0" w:color="auto"/>
      </w:divBdr>
    </w:div>
    <w:div w:id="842933202">
      <w:bodyDiv w:val="1"/>
      <w:marLeft w:val="0"/>
      <w:marRight w:val="0"/>
      <w:marTop w:val="0"/>
      <w:marBottom w:val="0"/>
      <w:divBdr>
        <w:top w:val="none" w:sz="0" w:space="0" w:color="auto"/>
        <w:left w:val="none" w:sz="0" w:space="0" w:color="auto"/>
        <w:bottom w:val="none" w:sz="0" w:space="0" w:color="auto"/>
        <w:right w:val="none" w:sz="0" w:space="0" w:color="auto"/>
      </w:divBdr>
    </w:div>
    <w:div w:id="842935408">
      <w:bodyDiv w:val="1"/>
      <w:marLeft w:val="0"/>
      <w:marRight w:val="0"/>
      <w:marTop w:val="0"/>
      <w:marBottom w:val="0"/>
      <w:divBdr>
        <w:top w:val="none" w:sz="0" w:space="0" w:color="auto"/>
        <w:left w:val="none" w:sz="0" w:space="0" w:color="auto"/>
        <w:bottom w:val="none" w:sz="0" w:space="0" w:color="auto"/>
        <w:right w:val="none" w:sz="0" w:space="0" w:color="auto"/>
      </w:divBdr>
    </w:div>
    <w:div w:id="843281657">
      <w:bodyDiv w:val="1"/>
      <w:marLeft w:val="0"/>
      <w:marRight w:val="0"/>
      <w:marTop w:val="0"/>
      <w:marBottom w:val="0"/>
      <w:divBdr>
        <w:top w:val="none" w:sz="0" w:space="0" w:color="auto"/>
        <w:left w:val="none" w:sz="0" w:space="0" w:color="auto"/>
        <w:bottom w:val="none" w:sz="0" w:space="0" w:color="auto"/>
        <w:right w:val="none" w:sz="0" w:space="0" w:color="auto"/>
      </w:divBdr>
    </w:div>
    <w:div w:id="843596329">
      <w:bodyDiv w:val="1"/>
      <w:marLeft w:val="0"/>
      <w:marRight w:val="0"/>
      <w:marTop w:val="0"/>
      <w:marBottom w:val="0"/>
      <w:divBdr>
        <w:top w:val="none" w:sz="0" w:space="0" w:color="auto"/>
        <w:left w:val="none" w:sz="0" w:space="0" w:color="auto"/>
        <w:bottom w:val="none" w:sz="0" w:space="0" w:color="auto"/>
        <w:right w:val="none" w:sz="0" w:space="0" w:color="auto"/>
      </w:divBdr>
    </w:div>
    <w:div w:id="844251781">
      <w:bodyDiv w:val="1"/>
      <w:marLeft w:val="0"/>
      <w:marRight w:val="0"/>
      <w:marTop w:val="0"/>
      <w:marBottom w:val="0"/>
      <w:divBdr>
        <w:top w:val="none" w:sz="0" w:space="0" w:color="auto"/>
        <w:left w:val="none" w:sz="0" w:space="0" w:color="auto"/>
        <w:bottom w:val="none" w:sz="0" w:space="0" w:color="auto"/>
        <w:right w:val="none" w:sz="0" w:space="0" w:color="auto"/>
      </w:divBdr>
    </w:div>
    <w:div w:id="845172778">
      <w:bodyDiv w:val="1"/>
      <w:marLeft w:val="0"/>
      <w:marRight w:val="0"/>
      <w:marTop w:val="0"/>
      <w:marBottom w:val="0"/>
      <w:divBdr>
        <w:top w:val="none" w:sz="0" w:space="0" w:color="auto"/>
        <w:left w:val="none" w:sz="0" w:space="0" w:color="auto"/>
        <w:bottom w:val="none" w:sz="0" w:space="0" w:color="auto"/>
        <w:right w:val="none" w:sz="0" w:space="0" w:color="auto"/>
      </w:divBdr>
    </w:div>
    <w:div w:id="846018668">
      <w:bodyDiv w:val="1"/>
      <w:marLeft w:val="0"/>
      <w:marRight w:val="0"/>
      <w:marTop w:val="0"/>
      <w:marBottom w:val="0"/>
      <w:divBdr>
        <w:top w:val="none" w:sz="0" w:space="0" w:color="auto"/>
        <w:left w:val="none" w:sz="0" w:space="0" w:color="auto"/>
        <w:bottom w:val="none" w:sz="0" w:space="0" w:color="auto"/>
        <w:right w:val="none" w:sz="0" w:space="0" w:color="auto"/>
      </w:divBdr>
    </w:div>
    <w:div w:id="846402095">
      <w:bodyDiv w:val="1"/>
      <w:marLeft w:val="0"/>
      <w:marRight w:val="0"/>
      <w:marTop w:val="0"/>
      <w:marBottom w:val="0"/>
      <w:divBdr>
        <w:top w:val="none" w:sz="0" w:space="0" w:color="auto"/>
        <w:left w:val="none" w:sz="0" w:space="0" w:color="auto"/>
        <w:bottom w:val="none" w:sz="0" w:space="0" w:color="auto"/>
        <w:right w:val="none" w:sz="0" w:space="0" w:color="auto"/>
      </w:divBdr>
    </w:div>
    <w:div w:id="846942724">
      <w:bodyDiv w:val="1"/>
      <w:marLeft w:val="0"/>
      <w:marRight w:val="0"/>
      <w:marTop w:val="0"/>
      <w:marBottom w:val="0"/>
      <w:divBdr>
        <w:top w:val="none" w:sz="0" w:space="0" w:color="auto"/>
        <w:left w:val="none" w:sz="0" w:space="0" w:color="auto"/>
        <w:bottom w:val="none" w:sz="0" w:space="0" w:color="auto"/>
        <w:right w:val="none" w:sz="0" w:space="0" w:color="auto"/>
      </w:divBdr>
    </w:div>
    <w:div w:id="847718927">
      <w:bodyDiv w:val="1"/>
      <w:marLeft w:val="0"/>
      <w:marRight w:val="0"/>
      <w:marTop w:val="0"/>
      <w:marBottom w:val="0"/>
      <w:divBdr>
        <w:top w:val="none" w:sz="0" w:space="0" w:color="auto"/>
        <w:left w:val="none" w:sz="0" w:space="0" w:color="auto"/>
        <w:bottom w:val="none" w:sz="0" w:space="0" w:color="auto"/>
        <w:right w:val="none" w:sz="0" w:space="0" w:color="auto"/>
      </w:divBdr>
    </w:div>
    <w:div w:id="848374247">
      <w:bodyDiv w:val="1"/>
      <w:marLeft w:val="0"/>
      <w:marRight w:val="0"/>
      <w:marTop w:val="0"/>
      <w:marBottom w:val="0"/>
      <w:divBdr>
        <w:top w:val="none" w:sz="0" w:space="0" w:color="auto"/>
        <w:left w:val="none" w:sz="0" w:space="0" w:color="auto"/>
        <w:bottom w:val="none" w:sz="0" w:space="0" w:color="auto"/>
        <w:right w:val="none" w:sz="0" w:space="0" w:color="auto"/>
      </w:divBdr>
    </w:div>
    <w:div w:id="848518871">
      <w:bodyDiv w:val="1"/>
      <w:marLeft w:val="0"/>
      <w:marRight w:val="0"/>
      <w:marTop w:val="0"/>
      <w:marBottom w:val="0"/>
      <w:divBdr>
        <w:top w:val="none" w:sz="0" w:space="0" w:color="auto"/>
        <w:left w:val="none" w:sz="0" w:space="0" w:color="auto"/>
        <w:bottom w:val="none" w:sz="0" w:space="0" w:color="auto"/>
        <w:right w:val="none" w:sz="0" w:space="0" w:color="auto"/>
      </w:divBdr>
    </w:div>
    <w:div w:id="849684711">
      <w:bodyDiv w:val="1"/>
      <w:marLeft w:val="0"/>
      <w:marRight w:val="0"/>
      <w:marTop w:val="0"/>
      <w:marBottom w:val="0"/>
      <w:divBdr>
        <w:top w:val="none" w:sz="0" w:space="0" w:color="auto"/>
        <w:left w:val="none" w:sz="0" w:space="0" w:color="auto"/>
        <w:bottom w:val="none" w:sz="0" w:space="0" w:color="auto"/>
        <w:right w:val="none" w:sz="0" w:space="0" w:color="auto"/>
      </w:divBdr>
    </w:div>
    <w:div w:id="851604831">
      <w:bodyDiv w:val="1"/>
      <w:marLeft w:val="0"/>
      <w:marRight w:val="0"/>
      <w:marTop w:val="0"/>
      <w:marBottom w:val="0"/>
      <w:divBdr>
        <w:top w:val="none" w:sz="0" w:space="0" w:color="auto"/>
        <w:left w:val="none" w:sz="0" w:space="0" w:color="auto"/>
        <w:bottom w:val="none" w:sz="0" w:space="0" w:color="auto"/>
        <w:right w:val="none" w:sz="0" w:space="0" w:color="auto"/>
      </w:divBdr>
    </w:div>
    <w:div w:id="853767811">
      <w:bodyDiv w:val="1"/>
      <w:marLeft w:val="0"/>
      <w:marRight w:val="0"/>
      <w:marTop w:val="0"/>
      <w:marBottom w:val="0"/>
      <w:divBdr>
        <w:top w:val="none" w:sz="0" w:space="0" w:color="auto"/>
        <w:left w:val="none" w:sz="0" w:space="0" w:color="auto"/>
        <w:bottom w:val="none" w:sz="0" w:space="0" w:color="auto"/>
        <w:right w:val="none" w:sz="0" w:space="0" w:color="auto"/>
      </w:divBdr>
    </w:div>
    <w:div w:id="854460962">
      <w:bodyDiv w:val="1"/>
      <w:marLeft w:val="0"/>
      <w:marRight w:val="0"/>
      <w:marTop w:val="0"/>
      <w:marBottom w:val="0"/>
      <w:divBdr>
        <w:top w:val="none" w:sz="0" w:space="0" w:color="auto"/>
        <w:left w:val="none" w:sz="0" w:space="0" w:color="auto"/>
        <w:bottom w:val="none" w:sz="0" w:space="0" w:color="auto"/>
        <w:right w:val="none" w:sz="0" w:space="0" w:color="auto"/>
      </w:divBdr>
    </w:div>
    <w:div w:id="854610951">
      <w:bodyDiv w:val="1"/>
      <w:marLeft w:val="0"/>
      <w:marRight w:val="0"/>
      <w:marTop w:val="0"/>
      <w:marBottom w:val="0"/>
      <w:divBdr>
        <w:top w:val="none" w:sz="0" w:space="0" w:color="auto"/>
        <w:left w:val="none" w:sz="0" w:space="0" w:color="auto"/>
        <w:bottom w:val="none" w:sz="0" w:space="0" w:color="auto"/>
        <w:right w:val="none" w:sz="0" w:space="0" w:color="auto"/>
      </w:divBdr>
    </w:div>
    <w:div w:id="854658265">
      <w:bodyDiv w:val="1"/>
      <w:marLeft w:val="0"/>
      <w:marRight w:val="0"/>
      <w:marTop w:val="0"/>
      <w:marBottom w:val="0"/>
      <w:divBdr>
        <w:top w:val="none" w:sz="0" w:space="0" w:color="auto"/>
        <w:left w:val="none" w:sz="0" w:space="0" w:color="auto"/>
        <w:bottom w:val="none" w:sz="0" w:space="0" w:color="auto"/>
        <w:right w:val="none" w:sz="0" w:space="0" w:color="auto"/>
      </w:divBdr>
    </w:div>
    <w:div w:id="855114843">
      <w:bodyDiv w:val="1"/>
      <w:marLeft w:val="0"/>
      <w:marRight w:val="0"/>
      <w:marTop w:val="0"/>
      <w:marBottom w:val="0"/>
      <w:divBdr>
        <w:top w:val="none" w:sz="0" w:space="0" w:color="auto"/>
        <w:left w:val="none" w:sz="0" w:space="0" w:color="auto"/>
        <w:bottom w:val="none" w:sz="0" w:space="0" w:color="auto"/>
        <w:right w:val="none" w:sz="0" w:space="0" w:color="auto"/>
      </w:divBdr>
    </w:div>
    <w:div w:id="855583289">
      <w:bodyDiv w:val="1"/>
      <w:marLeft w:val="0"/>
      <w:marRight w:val="0"/>
      <w:marTop w:val="0"/>
      <w:marBottom w:val="0"/>
      <w:divBdr>
        <w:top w:val="none" w:sz="0" w:space="0" w:color="auto"/>
        <w:left w:val="none" w:sz="0" w:space="0" w:color="auto"/>
        <w:bottom w:val="none" w:sz="0" w:space="0" w:color="auto"/>
        <w:right w:val="none" w:sz="0" w:space="0" w:color="auto"/>
      </w:divBdr>
    </w:div>
    <w:div w:id="856847462">
      <w:bodyDiv w:val="1"/>
      <w:marLeft w:val="0"/>
      <w:marRight w:val="0"/>
      <w:marTop w:val="0"/>
      <w:marBottom w:val="0"/>
      <w:divBdr>
        <w:top w:val="none" w:sz="0" w:space="0" w:color="auto"/>
        <w:left w:val="none" w:sz="0" w:space="0" w:color="auto"/>
        <w:bottom w:val="none" w:sz="0" w:space="0" w:color="auto"/>
        <w:right w:val="none" w:sz="0" w:space="0" w:color="auto"/>
      </w:divBdr>
    </w:div>
    <w:div w:id="857045094">
      <w:bodyDiv w:val="1"/>
      <w:marLeft w:val="0"/>
      <w:marRight w:val="0"/>
      <w:marTop w:val="0"/>
      <w:marBottom w:val="0"/>
      <w:divBdr>
        <w:top w:val="none" w:sz="0" w:space="0" w:color="auto"/>
        <w:left w:val="none" w:sz="0" w:space="0" w:color="auto"/>
        <w:bottom w:val="none" w:sz="0" w:space="0" w:color="auto"/>
        <w:right w:val="none" w:sz="0" w:space="0" w:color="auto"/>
      </w:divBdr>
    </w:div>
    <w:div w:id="857046275">
      <w:bodyDiv w:val="1"/>
      <w:marLeft w:val="0"/>
      <w:marRight w:val="0"/>
      <w:marTop w:val="0"/>
      <w:marBottom w:val="0"/>
      <w:divBdr>
        <w:top w:val="none" w:sz="0" w:space="0" w:color="auto"/>
        <w:left w:val="none" w:sz="0" w:space="0" w:color="auto"/>
        <w:bottom w:val="none" w:sz="0" w:space="0" w:color="auto"/>
        <w:right w:val="none" w:sz="0" w:space="0" w:color="auto"/>
      </w:divBdr>
    </w:div>
    <w:div w:id="857889932">
      <w:bodyDiv w:val="1"/>
      <w:marLeft w:val="0"/>
      <w:marRight w:val="0"/>
      <w:marTop w:val="0"/>
      <w:marBottom w:val="0"/>
      <w:divBdr>
        <w:top w:val="none" w:sz="0" w:space="0" w:color="auto"/>
        <w:left w:val="none" w:sz="0" w:space="0" w:color="auto"/>
        <w:bottom w:val="none" w:sz="0" w:space="0" w:color="auto"/>
        <w:right w:val="none" w:sz="0" w:space="0" w:color="auto"/>
      </w:divBdr>
    </w:div>
    <w:div w:id="857963494">
      <w:bodyDiv w:val="1"/>
      <w:marLeft w:val="0"/>
      <w:marRight w:val="0"/>
      <w:marTop w:val="0"/>
      <w:marBottom w:val="0"/>
      <w:divBdr>
        <w:top w:val="none" w:sz="0" w:space="0" w:color="auto"/>
        <w:left w:val="none" w:sz="0" w:space="0" w:color="auto"/>
        <w:bottom w:val="none" w:sz="0" w:space="0" w:color="auto"/>
        <w:right w:val="none" w:sz="0" w:space="0" w:color="auto"/>
      </w:divBdr>
    </w:div>
    <w:div w:id="858855048">
      <w:bodyDiv w:val="1"/>
      <w:marLeft w:val="0"/>
      <w:marRight w:val="0"/>
      <w:marTop w:val="0"/>
      <w:marBottom w:val="0"/>
      <w:divBdr>
        <w:top w:val="none" w:sz="0" w:space="0" w:color="auto"/>
        <w:left w:val="none" w:sz="0" w:space="0" w:color="auto"/>
        <w:bottom w:val="none" w:sz="0" w:space="0" w:color="auto"/>
        <w:right w:val="none" w:sz="0" w:space="0" w:color="auto"/>
      </w:divBdr>
    </w:div>
    <w:div w:id="858860909">
      <w:bodyDiv w:val="1"/>
      <w:marLeft w:val="0"/>
      <w:marRight w:val="0"/>
      <w:marTop w:val="0"/>
      <w:marBottom w:val="0"/>
      <w:divBdr>
        <w:top w:val="none" w:sz="0" w:space="0" w:color="auto"/>
        <w:left w:val="none" w:sz="0" w:space="0" w:color="auto"/>
        <w:bottom w:val="none" w:sz="0" w:space="0" w:color="auto"/>
        <w:right w:val="none" w:sz="0" w:space="0" w:color="auto"/>
      </w:divBdr>
    </w:div>
    <w:div w:id="859004236">
      <w:bodyDiv w:val="1"/>
      <w:marLeft w:val="0"/>
      <w:marRight w:val="0"/>
      <w:marTop w:val="0"/>
      <w:marBottom w:val="0"/>
      <w:divBdr>
        <w:top w:val="none" w:sz="0" w:space="0" w:color="auto"/>
        <w:left w:val="none" w:sz="0" w:space="0" w:color="auto"/>
        <w:bottom w:val="none" w:sz="0" w:space="0" w:color="auto"/>
        <w:right w:val="none" w:sz="0" w:space="0" w:color="auto"/>
      </w:divBdr>
    </w:div>
    <w:div w:id="859391313">
      <w:bodyDiv w:val="1"/>
      <w:marLeft w:val="0"/>
      <w:marRight w:val="0"/>
      <w:marTop w:val="0"/>
      <w:marBottom w:val="0"/>
      <w:divBdr>
        <w:top w:val="none" w:sz="0" w:space="0" w:color="auto"/>
        <w:left w:val="none" w:sz="0" w:space="0" w:color="auto"/>
        <w:bottom w:val="none" w:sz="0" w:space="0" w:color="auto"/>
        <w:right w:val="none" w:sz="0" w:space="0" w:color="auto"/>
      </w:divBdr>
    </w:div>
    <w:div w:id="859464631">
      <w:bodyDiv w:val="1"/>
      <w:marLeft w:val="0"/>
      <w:marRight w:val="0"/>
      <w:marTop w:val="0"/>
      <w:marBottom w:val="0"/>
      <w:divBdr>
        <w:top w:val="none" w:sz="0" w:space="0" w:color="auto"/>
        <w:left w:val="none" w:sz="0" w:space="0" w:color="auto"/>
        <w:bottom w:val="none" w:sz="0" w:space="0" w:color="auto"/>
        <w:right w:val="none" w:sz="0" w:space="0" w:color="auto"/>
      </w:divBdr>
    </w:div>
    <w:div w:id="860240968">
      <w:bodyDiv w:val="1"/>
      <w:marLeft w:val="0"/>
      <w:marRight w:val="0"/>
      <w:marTop w:val="0"/>
      <w:marBottom w:val="0"/>
      <w:divBdr>
        <w:top w:val="none" w:sz="0" w:space="0" w:color="auto"/>
        <w:left w:val="none" w:sz="0" w:space="0" w:color="auto"/>
        <w:bottom w:val="none" w:sz="0" w:space="0" w:color="auto"/>
        <w:right w:val="none" w:sz="0" w:space="0" w:color="auto"/>
      </w:divBdr>
    </w:div>
    <w:div w:id="860388344">
      <w:bodyDiv w:val="1"/>
      <w:marLeft w:val="0"/>
      <w:marRight w:val="0"/>
      <w:marTop w:val="0"/>
      <w:marBottom w:val="0"/>
      <w:divBdr>
        <w:top w:val="none" w:sz="0" w:space="0" w:color="auto"/>
        <w:left w:val="none" w:sz="0" w:space="0" w:color="auto"/>
        <w:bottom w:val="none" w:sz="0" w:space="0" w:color="auto"/>
        <w:right w:val="none" w:sz="0" w:space="0" w:color="auto"/>
      </w:divBdr>
    </w:div>
    <w:div w:id="860509530">
      <w:bodyDiv w:val="1"/>
      <w:marLeft w:val="0"/>
      <w:marRight w:val="0"/>
      <w:marTop w:val="0"/>
      <w:marBottom w:val="0"/>
      <w:divBdr>
        <w:top w:val="none" w:sz="0" w:space="0" w:color="auto"/>
        <w:left w:val="none" w:sz="0" w:space="0" w:color="auto"/>
        <w:bottom w:val="none" w:sz="0" w:space="0" w:color="auto"/>
        <w:right w:val="none" w:sz="0" w:space="0" w:color="auto"/>
      </w:divBdr>
    </w:div>
    <w:div w:id="860973875">
      <w:bodyDiv w:val="1"/>
      <w:marLeft w:val="0"/>
      <w:marRight w:val="0"/>
      <w:marTop w:val="0"/>
      <w:marBottom w:val="0"/>
      <w:divBdr>
        <w:top w:val="none" w:sz="0" w:space="0" w:color="auto"/>
        <w:left w:val="none" w:sz="0" w:space="0" w:color="auto"/>
        <w:bottom w:val="none" w:sz="0" w:space="0" w:color="auto"/>
        <w:right w:val="none" w:sz="0" w:space="0" w:color="auto"/>
      </w:divBdr>
    </w:div>
    <w:div w:id="861240884">
      <w:bodyDiv w:val="1"/>
      <w:marLeft w:val="0"/>
      <w:marRight w:val="0"/>
      <w:marTop w:val="0"/>
      <w:marBottom w:val="0"/>
      <w:divBdr>
        <w:top w:val="none" w:sz="0" w:space="0" w:color="auto"/>
        <w:left w:val="none" w:sz="0" w:space="0" w:color="auto"/>
        <w:bottom w:val="none" w:sz="0" w:space="0" w:color="auto"/>
        <w:right w:val="none" w:sz="0" w:space="0" w:color="auto"/>
      </w:divBdr>
    </w:div>
    <w:div w:id="862746881">
      <w:bodyDiv w:val="1"/>
      <w:marLeft w:val="0"/>
      <w:marRight w:val="0"/>
      <w:marTop w:val="0"/>
      <w:marBottom w:val="0"/>
      <w:divBdr>
        <w:top w:val="none" w:sz="0" w:space="0" w:color="auto"/>
        <w:left w:val="none" w:sz="0" w:space="0" w:color="auto"/>
        <w:bottom w:val="none" w:sz="0" w:space="0" w:color="auto"/>
        <w:right w:val="none" w:sz="0" w:space="0" w:color="auto"/>
      </w:divBdr>
    </w:div>
    <w:div w:id="862862128">
      <w:bodyDiv w:val="1"/>
      <w:marLeft w:val="0"/>
      <w:marRight w:val="0"/>
      <w:marTop w:val="0"/>
      <w:marBottom w:val="0"/>
      <w:divBdr>
        <w:top w:val="none" w:sz="0" w:space="0" w:color="auto"/>
        <w:left w:val="none" w:sz="0" w:space="0" w:color="auto"/>
        <w:bottom w:val="none" w:sz="0" w:space="0" w:color="auto"/>
        <w:right w:val="none" w:sz="0" w:space="0" w:color="auto"/>
      </w:divBdr>
    </w:div>
    <w:div w:id="863862128">
      <w:bodyDiv w:val="1"/>
      <w:marLeft w:val="0"/>
      <w:marRight w:val="0"/>
      <w:marTop w:val="0"/>
      <w:marBottom w:val="0"/>
      <w:divBdr>
        <w:top w:val="none" w:sz="0" w:space="0" w:color="auto"/>
        <w:left w:val="none" w:sz="0" w:space="0" w:color="auto"/>
        <w:bottom w:val="none" w:sz="0" w:space="0" w:color="auto"/>
        <w:right w:val="none" w:sz="0" w:space="0" w:color="auto"/>
      </w:divBdr>
    </w:div>
    <w:div w:id="864708102">
      <w:bodyDiv w:val="1"/>
      <w:marLeft w:val="0"/>
      <w:marRight w:val="0"/>
      <w:marTop w:val="0"/>
      <w:marBottom w:val="0"/>
      <w:divBdr>
        <w:top w:val="none" w:sz="0" w:space="0" w:color="auto"/>
        <w:left w:val="none" w:sz="0" w:space="0" w:color="auto"/>
        <w:bottom w:val="none" w:sz="0" w:space="0" w:color="auto"/>
        <w:right w:val="none" w:sz="0" w:space="0" w:color="auto"/>
      </w:divBdr>
    </w:div>
    <w:div w:id="866411867">
      <w:bodyDiv w:val="1"/>
      <w:marLeft w:val="0"/>
      <w:marRight w:val="0"/>
      <w:marTop w:val="0"/>
      <w:marBottom w:val="0"/>
      <w:divBdr>
        <w:top w:val="none" w:sz="0" w:space="0" w:color="auto"/>
        <w:left w:val="none" w:sz="0" w:space="0" w:color="auto"/>
        <w:bottom w:val="none" w:sz="0" w:space="0" w:color="auto"/>
        <w:right w:val="none" w:sz="0" w:space="0" w:color="auto"/>
      </w:divBdr>
    </w:div>
    <w:div w:id="866717574">
      <w:bodyDiv w:val="1"/>
      <w:marLeft w:val="0"/>
      <w:marRight w:val="0"/>
      <w:marTop w:val="0"/>
      <w:marBottom w:val="0"/>
      <w:divBdr>
        <w:top w:val="none" w:sz="0" w:space="0" w:color="auto"/>
        <w:left w:val="none" w:sz="0" w:space="0" w:color="auto"/>
        <w:bottom w:val="none" w:sz="0" w:space="0" w:color="auto"/>
        <w:right w:val="none" w:sz="0" w:space="0" w:color="auto"/>
      </w:divBdr>
    </w:div>
    <w:div w:id="867304580">
      <w:bodyDiv w:val="1"/>
      <w:marLeft w:val="0"/>
      <w:marRight w:val="0"/>
      <w:marTop w:val="0"/>
      <w:marBottom w:val="0"/>
      <w:divBdr>
        <w:top w:val="none" w:sz="0" w:space="0" w:color="auto"/>
        <w:left w:val="none" w:sz="0" w:space="0" w:color="auto"/>
        <w:bottom w:val="none" w:sz="0" w:space="0" w:color="auto"/>
        <w:right w:val="none" w:sz="0" w:space="0" w:color="auto"/>
      </w:divBdr>
    </w:div>
    <w:div w:id="867569458">
      <w:bodyDiv w:val="1"/>
      <w:marLeft w:val="0"/>
      <w:marRight w:val="0"/>
      <w:marTop w:val="0"/>
      <w:marBottom w:val="0"/>
      <w:divBdr>
        <w:top w:val="none" w:sz="0" w:space="0" w:color="auto"/>
        <w:left w:val="none" w:sz="0" w:space="0" w:color="auto"/>
        <w:bottom w:val="none" w:sz="0" w:space="0" w:color="auto"/>
        <w:right w:val="none" w:sz="0" w:space="0" w:color="auto"/>
      </w:divBdr>
    </w:div>
    <w:div w:id="868302066">
      <w:bodyDiv w:val="1"/>
      <w:marLeft w:val="0"/>
      <w:marRight w:val="0"/>
      <w:marTop w:val="0"/>
      <w:marBottom w:val="0"/>
      <w:divBdr>
        <w:top w:val="none" w:sz="0" w:space="0" w:color="auto"/>
        <w:left w:val="none" w:sz="0" w:space="0" w:color="auto"/>
        <w:bottom w:val="none" w:sz="0" w:space="0" w:color="auto"/>
        <w:right w:val="none" w:sz="0" w:space="0" w:color="auto"/>
      </w:divBdr>
    </w:div>
    <w:div w:id="868379210">
      <w:bodyDiv w:val="1"/>
      <w:marLeft w:val="0"/>
      <w:marRight w:val="0"/>
      <w:marTop w:val="0"/>
      <w:marBottom w:val="0"/>
      <w:divBdr>
        <w:top w:val="none" w:sz="0" w:space="0" w:color="auto"/>
        <w:left w:val="none" w:sz="0" w:space="0" w:color="auto"/>
        <w:bottom w:val="none" w:sz="0" w:space="0" w:color="auto"/>
        <w:right w:val="none" w:sz="0" w:space="0" w:color="auto"/>
      </w:divBdr>
    </w:div>
    <w:div w:id="869150660">
      <w:bodyDiv w:val="1"/>
      <w:marLeft w:val="0"/>
      <w:marRight w:val="0"/>
      <w:marTop w:val="0"/>
      <w:marBottom w:val="0"/>
      <w:divBdr>
        <w:top w:val="none" w:sz="0" w:space="0" w:color="auto"/>
        <w:left w:val="none" w:sz="0" w:space="0" w:color="auto"/>
        <w:bottom w:val="none" w:sz="0" w:space="0" w:color="auto"/>
        <w:right w:val="none" w:sz="0" w:space="0" w:color="auto"/>
      </w:divBdr>
    </w:div>
    <w:div w:id="869300727">
      <w:bodyDiv w:val="1"/>
      <w:marLeft w:val="0"/>
      <w:marRight w:val="0"/>
      <w:marTop w:val="0"/>
      <w:marBottom w:val="0"/>
      <w:divBdr>
        <w:top w:val="none" w:sz="0" w:space="0" w:color="auto"/>
        <w:left w:val="none" w:sz="0" w:space="0" w:color="auto"/>
        <w:bottom w:val="none" w:sz="0" w:space="0" w:color="auto"/>
        <w:right w:val="none" w:sz="0" w:space="0" w:color="auto"/>
      </w:divBdr>
    </w:div>
    <w:div w:id="870387189">
      <w:bodyDiv w:val="1"/>
      <w:marLeft w:val="0"/>
      <w:marRight w:val="0"/>
      <w:marTop w:val="0"/>
      <w:marBottom w:val="0"/>
      <w:divBdr>
        <w:top w:val="none" w:sz="0" w:space="0" w:color="auto"/>
        <w:left w:val="none" w:sz="0" w:space="0" w:color="auto"/>
        <w:bottom w:val="none" w:sz="0" w:space="0" w:color="auto"/>
        <w:right w:val="none" w:sz="0" w:space="0" w:color="auto"/>
      </w:divBdr>
    </w:div>
    <w:div w:id="870532968">
      <w:bodyDiv w:val="1"/>
      <w:marLeft w:val="0"/>
      <w:marRight w:val="0"/>
      <w:marTop w:val="0"/>
      <w:marBottom w:val="0"/>
      <w:divBdr>
        <w:top w:val="none" w:sz="0" w:space="0" w:color="auto"/>
        <w:left w:val="none" w:sz="0" w:space="0" w:color="auto"/>
        <w:bottom w:val="none" w:sz="0" w:space="0" w:color="auto"/>
        <w:right w:val="none" w:sz="0" w:space="0" w:color="auto"/>
      </w:divBdr>
    </w:div>
    <w:div w:id="872113107">
      <w:bodyDiv w:val="1"/>
      <w:marLeft w:val="0"/>
      <w:marRight w:val="0"/>
      <w:marTop w:val="0"/>
      <w:marBottom w:val="0"/>
      <w:divBdr>
        <w:top w:val="none" w:sz="0" w:space="0" w:color="auto"/>
        <w:left w:val="none" w:sz="0" w:space="0" w:color="auto"/>
        <w:bottom w:val="none" w:sz="0" w:space="0" w:color="auto"/>
        <w:right w:val="none" w:sz="0" w:space="0" w:color="auto"/>
      </w:divBdr>
    </w:div>
    <w:div w:id="872350980">
      <w:bodyDiv w:val="1"/>
      <w:marLeft w:val="0"/>
      <w:marRight w:val="0"/>
      <w:marTop w:val="0"/>
      <w:marBottom w:val="0"/>
      <w:divBdr>
        <w:top w:val="none" w:sz="0" w:space="0" w:color="auto"/>
        <w:left w:val="none" w:sz="0" w:space="0" w:color="auto"/>
        <w:bottom w:val="none" w:sz="0" w:space="0" w:color="auto"/>
        <w:right w:val="none" w:sz="0" w:space="0" w:color="auto"/>
      </w:divBdr>
    </w:div>
    <w:div w:id="872693134">
      <w:bodyDiv w:val="1"/>
      <w:marLeft w:val="0"/>
      <w:marRight w:val="0"/>
      <w:marTop w:val="0"/>
      <w:marBottom w:val="0"/>
      <w:divBdr>
        <w:top w:val="none" w:sz="0" w:space="0" w:color="auto"/>
        <w:left w:val="none" w:sz="0" w:space="0" w:color="auto"/>
        <w:bottom w:val="none" w:sz="0" w:space="0" w:color="auto"/>
        <w:right w:val="none" w:sz="0" w:space="0" w:color="auto"/>
      </w:divBdr>
    </w:div>
    <w:div w:id="873494373">
      <w:bodyDiv w:val="1"/>
      <w:marLeft w:val="0"/>
      <w:marRight w:val="0"/>
      <w:marTop w:val="0"/>
      <w:marBottom w:val="0"/>
      <w:divBdr>
        <w:top w:val="none" w:sz="0" w:space="0" w:color="auto"/>
        <w:left w:val="none" w:sz="0" w:space="0" w:color="auto"/>
        <w:bottom w:val="none" w:sz="0" w:space="0" w:color="auto"/>
        <w:right w:val="none" w:sz="0" w:space="0" w:color="auto"/>
      </w:divBdr>
    </w:div>
    <w:div w:id="874539929">
      <w:bodyDiv w:val="1"/>
      <w:marLeft w:val="0"/>
      <w:marRight w:val="0"/>
      <w:marTop w:val="0"/>
      <w:marBottom w:val="0"/>
      <w:divBdr>
        <w:top w:val="none" w:sz="0" w:space="0" w:color="auto"/>
        <w:left w:val="none" w:sz="0" w:space="0" w:color="auto"/>
        <w:bottom w:val="none" w:sz="0" w:space="0" w:color="auto"/>
        <w:right w:val="none" w:sz="0" w:space="0" w:color="auto"/>
      </w:divBdr>
    </w:div>
    <w:div w:id="874778559">
      <w:bodyDiv w:val="1"/>
      <w:marLeft w:val="0"/>
      <w:marRight w:val="0"/>
      <w:marTop w:val="0"/>
      <w:marBottom w:val="0"/>
      <w:divBdr>
        <w:top w:val="none" w:sz="0" w:space="0" w:color="auto"/>
        <w:left w:val="none" w:sz="0" w:space="0" w:color="auto"/>
        <w:bottom w:val="none" w:sz="0" w:space="0" w:color="auto"/>
        <w:right w:val="none" w:sz="0" w:space="0" w:color="auto"/>
      </w:divBdr>
    </w:div>
    <w:div w:id="876043249">
      <w:bodyDiv w:val="1"/>
      <w:marLeft w:val="0"/>
      <w:marRight w:val="0"/>
      <w:marTop w:val="0"/>
      <w:marBottom w:val="0"/>
      <w:divBdr>
        <w:top w:val="none" w:sz="0" w:space="0" w:color="auto"/>
        <w:left w:val="none" w:sz="0" w:space="0" w:color="auto"/>
        <w:bottom w:val="none" w:sz="0" w:space="0" w:color="auto"/>
        <w:right w:val="none" w:sz="0" w:space="0" w:color="auto"/>
      </w:divBdr>
    </w:div>
    <w:div w:id="876089755">
      <w:bodyDiv w:val="1"/>
      <w:marLeft w:val="0"/>
      <w:marRight w:val="0"/>
      <w:marTop w:val="0"/>
      <w:marBottom w:val="0"/>
      <w:divBdr>
        <w:top w:val="none" w:sz="0" w:space="0" w:color="auto"/>
        <w:left w:val="none" w:sz="0" w:space="0" w:color="auto"/>
        <w:bottom w:val="none" w:sz="0" w:space="0" w:color="auto"/>
        <w:right w:val="none" w:sz="0" w:space="0" w:color="auto"/>
      </w:divBdr>
    </w:div>
    <w:div w:id="876283199">
      <w:bodyDiv w:val="1"/>
      <w:marLeft w:val="0"/>
      <w:marRight w:val="0"/>
      <w:marTop w:val="0"/>
      <w:marBottom w:val="0"/>
      <w:divBdr>
        <w:top w:val="none" w:sz="0" w:space="0" w:color="auto"/>
        <w:left w:val="none" w:sz="0" w:space="0" w:color="auto"/>
        <w:bottom w:val="none" w:sz="0" w:space="0" w:color="auto"/>
        <w:right w:val="none" w:sz="0" w:space="0" w:color="auto"/>
      </w:divBdr>
    </w:div>
    <w:div w:id="877089841">
      <w:bodyDiv w:val="1"/>
      <w:marLeft w:val="0"/>
      <w:marRight w:val="0"/>
      <w:marTop w:val="0"/>
      <w:marBottom w:val="0"/>
      <w:divBdr>
        <w:top w:val="none" w:sz="0" w:space="0" w:color="auto"/>
        <w:left w:val="none" w:sz="0" w:space="0" w:color="auto"/>
        <w:bottom w:val="none" w:sz="0" w:space="0" w:color="auto"/>
        <w:right w:val="none" w:sz="0" w:space="0" w:color="auto"/>
      </w:divBdr>
    </w:div>
    <w:div w:id="877281245">
      <w:bodyDiv w:val="1"/>
      <w:marLeft w:val="0"/>
      <w:marRight w:val="0"/>
      <w:marTop w:val="0"/>
      <w:marBottom w:val="0"/>
      <w:divBdr>
        <w:top w:val="none" w:sz="0" w:space="0" w:color="auto"/>
        <w:left w:val="none" w:sz="0" w:space="0" w:color="auto"/>
        <w:bottom w:val="none" w:sz="0" w:space="0" w:color="auto"/>
        <w:right w:val="none" w:sz="0" w:space="0" w:color="auto"/>
      </w:divBdr>
    </w:div>
    <w:div w:id="877396301">
      <w:bodyDiv w:val="1"/>
      <w:marLeft w:val="0"/>
      <w:marRight w:val="0"/>
      <w:marTop w:val="0"/>
      <w:marBottom w:val="0"/>
      <w:divBdr>
        <w:top w:val="none" w:sz="0" w:space="0" w:color="auto"/>
        <w:left w:val="none" w:sz="0" w:space="0" w:color="auto"/>
        <w:bottom w:val="none" w:sz="0" w:space="0" w:color="auto"/>
        <w:right w:val="none" w:sz="0" w:space="0" w:color="auto"/>
      </w:divBdr>
    </w:div>
    <w:div w:id="877546550">
      <w:bodyDiv w:val="1"/>
      <w:marLeft w:val="0"/>
      <w:marRight w:val="0"/>
      <w:marTop w:val="0"/>
      <w:marBottom w:val="0"/>
      <w:divBdr>
        <w:top w:val="none" w:sz="0" w:space="0" w:color="auto"/>
        <w:left w:val="none" w:sz="0" w:space="0" w:color="auto"/>
        <w:bottom w:val="none" w:sz="0" w:space="0" w:color="auto"/>
        <w:right w:val="none" w:sz="0" w:space="0" w:color="auto"/>
      </w:divBdr>
    </w:div>
    <w:div w:id="878280252">
      <w:bodyDiv w:val="1"/>
      <w:marLeft w:val="0"/>
      <w:marRight w:val="0"/>
      <w:marTop w:val="0"/>
      <w:marBottom w:val="0"/>
      <w:divBdr>
        <w:top w:val="none" w:sz="0" w:space="0" w:color="auto"/>
        <w:left w:val="none" w:sz="0" w:space="0" w:color="auto"/>
        <w:bottom w:val="none" w:sz="0" w:space="0" w:color="auto"/>
        <w:right w:val="none" w:sz="0" w:space="0" w:color="auto"/>
      </w:divBdr>
    </w:div>
    <w:div w:id="878319524">
      <w:bodyDiv w:val="1"/>
      <w:marLeft w:val="0"/>
      <w:marRight w:val="0"/>
      <w:marTop w:val="0"/>
      <w:marBottom w:val="0"/>
      <w:divBdr>
        <w:top w:val="none" w:sz="0" w:space="0" w:color="auto"/>
        <w:left w:val="none" w:sz="0" w:space="0" w:color="auto"/>
        <w:bottom w:val="none" w:sz="0" w:space="0" w:color="auto"/>
        <w:right w:val="none" w:sz="0" w:space="0" w:color="auto"/>
      </w:divBdr>
    </w:div>
    <w:div w:id="879900206">
      <w:bodyDiv w:val="1"/>
      <w:marLeft w:val="0"/>
      <w:marRight w:val="0"/>
      <w:marTop w:val="0"/>
      <w:marBottom w:val="0"/>
      <w:divBdr>
        <w:top w:val="none" w:sz="0" w:space="0" w:color="auto"/>
        <w:left w:val="none" w:sz="0" w:space="0" w:color="auto"/>
        <w:bottom w:val="none" w:sz="0" w:space="0" w:color="auto"/>
        <w:right w:val="none" w:sz="0" w:space="0" w:color="auto"/>
      </w:divBdr>
    </w:div>
    <w:div w:id="880482296">
      <w:bodyDiv w:val="1"/>
      <w:marLeft w:val="0"/>
      <w:marRight w:val="0"/>
      <w:marTop w:val="0"/>
      <w:marBottom w:val="0"/>
      <w:divBdr>
        <w:top w:val="none" w:sz="0" w:space="0" w:color="auto"/>
        <w:left w:val="none" w:sz="0" w:space="0" w:color="auto"/>
        <w:bottom w:val="none" w:sz="0" w:space="0" w:color="auto"/>
        <w:right w:val="none" w:sz="0" w:space="0" w:color="auto"/>
      </w:divBdr>
    </w:div>
    <w:div w:id="881750038">
      <w:bodyDiv w:val="1"/>
      <w:marLeft w:val="0"/>
      <w:marRight w:val="0"/>
      <w:marTop w:val="0"/>
      <w:marBottom w:val="0"/>
      <w:divBdr>
        <w:top w:val="none" w:sz="0" w:space="0" w:color="auto"/>
        <w:left w:val="none" w:sz="0" w:space="0" w:color="auto"/>
        <w:bottom w:val="none" w:sz="0" w:space="0" w:color="auto"/>
        <w:right w:val="none" w:sz="0" w:space="0" w:color="auto"/>
      </w:divBdr>
    </w:div>
    <w:div w:id="882592448">
      <w:bodyDiv w:val="1"/>
      <w:marLeft w:val="0"/>
      <w:marRight w:val="0"/>
      <w:marTop w:val="0"/>
      <w:marBottom w:val="0"/>
      <w:divBdr>
        <w:top w:val="none" w:sz="0" w:space="0" w:color="auto"/>
        <w:left w:val="none" w:sz="0" w:space="0" w:color="auto"/>
        <w:bottom w:val="none" w:sz="0" w:space="0" w:color="auto"/>
        <w:right w:val="none" w:sz="0" w:space="0" w:color="auto"/>
      </w:divBdr>
    </w:div>
    <w:div w:id="883757369">
      <w:bodyDiv w:val="1"/>
      <w:marLeft w:val="0"/>
      <w:marRight w:val="0"/>
      <w:marTop w:val="0"/>
      <w:marBottom w:val="0"/>
      <w:divBdr>
        <w:top w:val="none" w:sz="0" w:space="0" w:color="auto"/>
        <w:left w:val="none" w:sz="0" w:space="0" w:color="auto"/>
        <w:bottom w:val="none" w:sz="0" w:space="0" w:color="auto"/>
        <w:right w:val="none" w:sz="0" w:space="0" w:color="auto"/>
      </w:divBdr>
    </w:div>
    <w:div w:id="883833031">
      <w:bodyDiv w:val="1"/>
      <w:marLeft w:val="0"/>
      <w:marRight w:val="0"/>
      <w:marTop w:val="0"/>
      <w:marBottom w:val="0"/>
      <w:divBdr>
        <w:top w:val="none" w:sz="0" w:space="0" w:color="auto"/>
        <w:left w:val="none" w:sz="0" w:space="0" w:color="auto"/>
        <w:bottom w:val="none" w:sz="0" w:space="0" w:color="auto"/>
        <w:right w:val="none" w:sz="0" w:space="0" w:color="auto"/>
      </w:divBdr>
    </w:div>
    <w:div w:id="883954159">
      <w:bodyDiv w:val="1"/>
      <w:marLeft w:val="0"/>
      <w:marRight w:val="0"/>
      <w:marTop w:val="0"/>
      <w:marBottom w:val="0"/>
      <w:divBdr>
        <w:top w:val="none" w:sz="0" w:space="0" w:color="auto"/>
        <w:left w:val="none" w:sz="0" w:space="0" w:color="auto"/>
        <w:bottom w:val="none" w:sz="0" w:space="0" w:color="auto"/>
        <w:right w:val="none" w:sz="0" w:space="0" w:color="auto"/>
      </w:divBdr>
    </w:div>
    <w:div w:id="885413540">
      <w:bodyDiv w:val="1"/>
      <w:marLeft w:val="0"/>
      <w:marRight w:val="0"/>
      <w:marTop w:val="0"/>
      <w:marBottom w:val="0"/>
      <w:divBdr>
        <w:top w:val="none" w:sz="0" w:space="0" w:color="auto"/>
        <w:left w:val="none" w:sz="0" w:space="0" w:color="auto"/>
        <w:bottom w:val="none" w:sz="0" w:space="0" w:color="auto"/>
        <w:right w:val="none" w:sz="0" w:space="0" w:color="auto"/>
      </w:divBdr>
    </w:div>
    <w:div w:id="885415367">
      <w:bodyDiv w:val="1"/>
      <w:marLeft w:val="0"/>
      <w:marRight w:val="0"/>
      <w:marTop w:val="0"/>
      <w:marBottom w:val="0"/>
      <w:divBdr>
        <w:top w:val="none" w:sz="0" w:space="0" w:color="auto"/>
        <w:left w:val="none" w:sz="0" w:space="0" w:color="auto"/>
        <w:bottom w:val="none" w:sz="0" w:space="0" w:color="auto"/>
        <w:right w:val="none" w:sz="0" w:space="0" w:color="auto"/>
      </w:divBdr>
    </w:div>
    <w:div w:id="885482417">
      <w:bodyDiv w:val="1"/>
      <w:marLeft w:val="0"/>
      <w:marRight w:val="0"/>
      <w:marTop w:val="0"/>
      <w:marBottom w:val="0"/>
      <w:divBdr>
        <w:top w:val="none" w:sz="0" w:space="0" w:color="auto"/>
        <w:left w:val="none" w:sz="0" w:space="0" w:color="auto"/>
        <w:bottom w:val="none" w:sz="0" w:space="0" w:color="auto"/>
        <w:right w:val="none" w:sz="0" w:space="0" w:color="auto"/>
      </w:divBdr>
    </w:div>
    <w:div w:id="886525246">
      <w:bodyDiv w:val="1"/>
      <w:marLeft w:val="0"/>
      <w:marRight w:val="0"/>
      <w:marTop w:val="0"/>
      <w:marBottom w:val="0"/>
      <w:divBdr>
        <w:top w:val="none" w:sz="0" w:space="0" w:color="auto"/>
        <w:left w:val="none" w:sz="0" w:space="0" w:color="auto"/>
        <w:bottom w:val="none" w:sz="0" w:space="0" w:color="auto"/>
        <w:right w:val="none" w:sz="0" w:space="0" w:color="auto"/>
      </w:divBdr>
    </w:div>
    <w:div w:id="886572176">
      <w:bodyDiv w:val="1"/>
      <w:marLeft w:val="0"/>
      <w:marRight w:val="0"/>
      <w:marTop w:val="0"/>
      <w:marBottom w:val="0"/>
      <w:divBdr>
        <w:top w:val="none" w:sz="0" w:space="0" w:color="auto"/>
        <w:left w:val="none" w:sz="0" w:space="0" w:color="auto"/>
        <w:bottom w:val="none" w:sz="0" w:space="0" w:color="auto"/>
        <w:right w:val="none" w:sz="0" w:space="0" w:color="auto"/>
      </w:divBdr>
    </w:div>
    <w:div w:id="886720416">
      <w:bodyDiv w:val="1"/>
      <w:marLeft w:val="0"/>
      <w:marRight w:val="0"/>
      <w:marTop w:val="0"/>
      <w:marBottom w:val="0"/>
      <w:divBdr>
        <w:top w:val="none" w:sz="0" w:space="0" w:color="auto"/>
        <w:left w:val="none" w:sz="0" w:space="0" w:color="auto"/>
        <w:bottom w:val="none" w:sz="0" w:space="0" w:color="auto"/>
        <w:right w:val="none" w:sz="0" w:space="0" w:color="auto"/>
      </w:divBdr>
    </w:div>
    <w:div w:id="887376396">
      <w:bodyDiv w:val="1"/>
      <w:marLeft w:val="0"/>
      <w:marRight w:val="0"/>
      <w:marTop w:val="0"/>
      <w:marBottom w:val="0"/>
      <w:divBdr>
        <w:top w:val="none" w:sz="0" w:space="0" w:color="auto"/>
        <w:left w:val="none" w:sz="0" w:space="0" w:color="auto"/>
        <w:bottom w:val="none" w:sz="0" w:space="0" w:color="auto"/>
        <w:right w:val="none" w:sz="0" w:space="0" w:color="auto"/>
      </w:divBdr>
    </w:div>
    <w:div w:id="887424430">
      <w:bodyDiv w:val="1"/>
      <w:marLeft w:val="0"/>
      <w:marRight w:val="0"/>
      <w:marTop w:val="0"/>
      <w:marBottom w:val="0"/>
      <w:divBdr>
        <w:top w:val="none" w:sz="0" w:space="0" w:color="auto"/>
        <w:left w:val="none" w:sz="0" w:space="0" w:color="auto"/>
        <w:bottom w:val="none" w:sz="0" w:space="0" w:color="auto"/>
        <w:right w:val="none" w:sz="0" w:space="0" w:color="auto"/>
      </w:divBdr>
    </w:div>
    <w:div w:id="887644240">
      <w:bodyDiv w:val="1"/>
      <w:marLeft w:val="0"/>
      <w:marRight w:val="0"/>
      <w:marTop w:val="0"/>
      <w:marBottom w:val="0"/>
      <w:divBdr>
        <w:top w:val="none" w:sz="0" w:space="0" w:color="auto"/>
        <w:left w:val="none" w:sz="0" w:space="0" w:color="auto"/>
        <w:bottom w:val="none" w:sz="0" w:space="0" w:color="auto"/>
        <w:right w:val="none" w:sz="0" w:space="0" w:color="auto"/>
      </w:divBdr>
    </w:div>
    <w:div w:id="888498955">
      <w:bodyDiv w:val="1"/>
      <w:marLeft w:val="0"/>
      <w:marRight w:val="0"/>
      <w:marTop w:val="0"/>
      <w:marBottom w:val="0"/>
      <w:divBdr>
        <w:top w:val="none" w:sz="0" w:space="0" w:color="auto"/>
        <w:left w:val="none" w:sz="0" w:space="0" w:color="auto"/>
        <w:bottom w:val="none" w:sz="0" w:space="0" w:color="auto"/>
        <w:right w:val="none" w:sz="0" w:space="0" w:color="auto"/>
      </w:divBdr>
    </w:div>
    <w:div w:id="888959134">
      <w:bodyDiv w:val="1"/>
      <w:marLeft w:val="0"/>
      <w:marRight w:val="0"/>
      <w:marTop w:val="0"/>
      <w:marBottom w:val="0"/>
      <w:divBdr>
        <w:top w:val="none" w:sz="0" w:space="0" w:color="auto"/>
        <w:left w:val="none" w:sz="0" w:space="0" w:color="auto"/>
        <w:bottom w:val="none" w:sz="0" w:space="0" w:color="auto"/>
        <w:right w:val="none" w:sz="0" w:space="0" w:color="auto"/>
      </w:divBdr>
    </w:div>
    <w:div w:id="889419735">
      <w:bodyDiv w:val="1"/>
      <w:marLeft w:val="0"/>
      <w:marRight w:val="0"/>
      <w:marTop w:val="0"/>
      <w:marBottom w:val="0"/>
      <w:divBdr>
        <w:top w:val="none" w:sz="0" w:space="0" w:color="auto"/>
        <w:left w:val="none" w:sz="0" w:space="0" w:color="auto"/>
        <w:bottom w:val="none" w:sz="0" w:space="0" w:color="auto"/>
        <w:right w:val="none" w:sz="0" w:space="0" w:color="auto"/>
      </w:divBdr>
    </w:div>
    <w:div w:id="889926791">
      <w:bodyDiv w:val="1"/>
      <w:marLeft w:val="0"/>
      <w:marRight w:val="0"/>
      <w:marTop w:val="0"/>
      <w:marBottom w:val="0"/>
      <w:divBdr>
        <w:top w:val="none" w:sz="0" w:space="0" w:color="auto"/>
        <w:left w:val="none" w:sz="0" w:space="0" w:color="auto"/>
        <w:bottom w:val="none" w:sz="0" w:space="0" w:color="auto"/>
        <w:right w:val="none" w:sz="0" w:space="0" w:color="auto"/>
      </w:divBdr>
    </w:div>
    <w:div w:id="890116109">
      <w:bodyDiv w:val="1"/>
      <w:marLeft w:val="0"/>
      <w:marRight w:val="0"/>
      <w:marTop w:val="0"/>
      <w:marBottom w:val="0"/>
      <w:divBdr>
        <w:top w:val="none" w:sz="0" w:space="0" w:color="auto"/>
        <w:left w:val="none" w:sz="0" w:space="0" w:color="auto"/>
        <w:bottom w:val="none" w:sz="0" w:space="0" w:color="auto"/>
        <w:right w:val="none" w:sz="0" w:space="0" w:color="auto"/>
      </w:divBdr>
    </w:div>
    <w:div w:id="890270895">
      <w:bodyDiv w:val="1"/>
      <w:marLeft w:val="0"/>
      <w:marRight w:val="0"/>
      <w:marTop w:val="0"/>
      <w:marBottom w:val="0"/>
      <w:divBdr>
        <w:top w:val="none" w:sz="0" w:space="0" w:color="auto"/>
        <w:left w:val="none" w:sz="0" w:space="0" w:color="auto"/>
        <w:bottom w:val="none" w:sz="0" w:space="0" w:color="auto"/>
        <w:right w:val="none" w:sz="0" w:space="0" w:color="auto"/>
      </w:divBdr>
    </w:div>
    <w:div w:id="891692614">
      <w:bodyDiv w:val="1"/>
      <w:marLeft w:val="0"/>
      <w:marRight w:val="0"/>
      <w:marTop w:val="0"/>
      <w:marBottom w:val="0"/>
      <w:divBdr>
        <w:top w:val="none" w:sz="0" w:space="0" w:color="auto"/>
        <w:left w:val="none" w:sz="0" w:space="0" w:color="auto"/>
        <w:bottom w:val="none" w:sz="0" w:space="0" w:color="auto"/>
        <w:right w:val="none" w:sz="0" w:space="0" w:color="auto"/>
      </w:divBdr>
    </w:div>
    <w:div w:id="891696410">
      <w:bodyDiv w:val="1"/>
      <w:marLeft w:val="0"/>
      <w:marRight w:val="0"/>
      <w:marTop w:val="0"/>
      <w:marBottom w:val="0"/>
      <w:divBdr>
        <w:top w:val="none" w:sz="0" w:space="0" w:color="auto"/>
        <w:left w:val="none" w:sz="0" w:space="0" w:color="auto"/>
        <w:bottom w:val="none" w:sz="0" w:space="0" w:color="auto"/>
        <w:right w:val="none" w:sz="0" w:space="0" w:color="auto"/>
      </w:divBdr>
    </w:div>
    <w:div w:id="891841468">
      <w:bodyDiv w:val="1"/>
      <w:marLeft w:val="0"/>
      <w:marRight w:val="0"/>
      <w:marTop w:val="0"/>
      <w:marBottom w:val="0"/>
      <w:divBdr>
        <w:top w:val="none" w:sz="0" w:space="0" w:color="auto"/>
        <w:left w:val="none" w:sz="0" w:space="0" w:color="auto"/>
        <w:bottom w:val="none" w:sz="0" w:space="0" w:color="auto"/>
        <w:right w:val="none" w:sz="0" w:space="0" w:color="auto"/>
      </w:divBdr>
    </w:div>
    <w:div w:id="892545335">
      <w:bodyDiv w:val="1"/>
      <w:marLeft w:val="0"/>
      <w:marRight w:val="0"/>
      <w:marTop w:val="0"/>
      <w:marBottom w:val="0"/>
      <w:divBdr>
        <w:top w:val="none" w:sz="0" w:space="0" w:color="auto"/>
        <w:left w:val="none" w:sz="0" w:space="0" w:color="auto"/>
        <w:bottom w:val="none" w:sz="0" w:space="0" w:color="auto"/>
        <w:right w:val="none" w:sz="0" w:space="0" w:color="auto"/>
      </w:divBdr>
    </w:div>
    <w:div w:id="894052451">
      <w:bodyDiv w:val="1"/>
      <w:marLeft w:val="0"/>
      <w:marRight w:val="0"/>
      <w:marTop w:val="0"/>
      <w:marBottom w:val="0"/>
      <w:divBdr>
        <w:top w:val="none" w:sz="0" w:space="0" w:color="auto"/>
        <w:left w:val="none" w:sz="0" w:space="0" w:color="auto"/>
        <w:bottom w:val="none" w:sz="0" w:space="0" w:color="auto"/>
        <w:right w:val="none" w:sz="0" w:space="0" w:color="auto"/>
      </w:divBdr>
    </w:div>
    <w:div w:id="894393532">
      <w:bodyDiv w:val="1"/>
      <w:marLeft w:val="0"/>
      <w:marRight w:val="0"/>
      <w:marTop w:val="0"/>
      <w:marBottom w:val="0"/>
      <w:divBdr>
        <w:top w:val="none" w:sz="0" w:space="0" w:color="auto"/>
        <w:left w:val="none" w:sz="0" w:space="0" w:color="auto"/>
        <w:bottom w:val="none" w:sz="0" w:space="0" w:color="auto"/>
        <w:right w:val="none" w:sz="0" w:space="0" w:color="auto"/>
      </w:divBdr>
    </w:div>
    <w:div w:id="894783168">
      <w:bodyDiv w:val="1"/>
      <w:marLeft w:val="0"/>
      <w:marRight w:val="0"/>
      <w:marTop w:val="0"/>
      <w:marBottom w:val="0"/>
      <w:divBdr>
        <w:top w:val="none" w:sz="0" w:space="0" w:color="auto"/>
        <w:left w:val="none" w:sz="0" w:space="0" w:color="auto"/>
        <w:bottom w:val="none" w:sz="0" w:space="0" w:color="auto"/>
        <w:right w:val="none" w:sz="0" w:space="0" w:color="auto"/>
      </w:divBdr>
    </w:div>
    <w:div w:id="894968108">
      <w:bodyDiv w:val="1"/>
      <w:marLeft w:val="0"/>
      <w:marRight w:val="0"/>
      <w:marTop w:val="0"/>
      <w:marBottom w:val="0"/>
      <w:divBdr>
        <w:top w:val="none" w:sz="0" w:space="0" w:color="auto"/>
        <w:left w:val="none" w:sz="0" w:space="0" w:color="auto"/>
        <w:bottom w:val="none" w:sz="0" w:space="0" w:color="auto"/>
        <w:right w:val="none" w:sz="0" w:space="0" w:color="auto"/>
      </w:divBdr>
    </w:div>
    <w:div w:id="895702463">
      <w:bodyDiv w:val="1"/>
      <w:marLeft w:val="0"/>
      <w:marRight w:val="0"/>
      <w:marTop w:val="0"/>
      <w:marBottom w:val="0"/>
      <w:divBdr>
        <w:top w:val="none" w:sz="0" w:space="0" w:color="auto"/>
        <w:left w:val="none" w:sz="0" w:space="0" w:color="auto"/>
        <w:bottom w:val="none" w:sz="0" w:space="0" w:color="auto"/>
        <w:right w:val="none" w:sz="0" w:space="0" w:color="auto"/>
      </w:divBdr>
    </w:div>
    <w:div w:id="895891590">
      <w:bodyDiv w:val="1"/>
      <w:marLeft w:val="0"/>
      <w:marRight w:val="0"/>
      <w:marTop w:val="0"/>
      <w:marBottom w:val="0"/>
      <w:divBdr>
        <w:top w:val="none" w:sz="0" w:space="0" w:color="auto"/>
        <w:left w:val="none" w:sz="0" w:space="0" w:color="auto"/>
        <w:bottom w:val="none" w:sz="0" w:space="0" w:color="auto"/>
        <w:right w:val="none" w:sz="0" w:space="0" w:color="auto"/>
      </w:divBdr>
    </w:div>
    <w:div w:id="896161338">
      <w:bodyDiv w:val="1"/>
      <w:marLeft w:val="0"/>
      <w:marRight w:val="0"/>
      <w:marTop w:val="0"/>
      <w:marBottom w:val="0"/>
      <w:divBdr>
        <w:top w:val="none" w:sz="0" w:space="0" w:color="auto"/>
        <w:left w:val="none" w:sz="0" w:space="0" w:color="auto"/>
        <w:bottom w:val="none" w:sz="0" w:space="0" w:color="auto"/>
        <w:right w:val="none" w:sz="0" w:space="0" w:color="auto"/>
      </w:divBdr>
    </w:div>
    <w:div w:id="897324911">
      <w:bodyDiv w:val="1"/>
      <w:marLeft w:val="0"/>
      <w:marRight w:val="0"/>
      <w:marTop w:val="0"/>
      <w:marBottom w:val="0"/>
      <w:divBdr>
        <w:top w:val="none" w:sz="0" w:space="0" w:color="auto"/>
        <w:left w:val="none" w:sz="0" w:space="0" w:color="auto"/>
        <w:bottom w:val="none" w:sz="0" w:space="0" w:color="auto"/>
        <w:right w:val="none" w:sz="0" w:space="0" w:color="auto"/>
      </w:divBdr>
    </w:div>
    <w:div w:id="897981377">
      <w:bodyDiv w:val="1"/>
      <w:marLeft w:val="0"/>
      <w:marRight w:val="0"/>
      <w:marTop w:val="0"/>
      <w:marBottom w:val="0"/>
      <w:divBdr>
        <w:top w:val="none" w:sz="0" w:space="0" w:color="auto"/>
        <w:left w:val="none" w:sz="0" w:space="0" w:color="auto"/>
        <w:bottom w:val="none" w:sz="0" w:space="0" w:color="auto"/>
        <w:right w:val="none" w:sz="0" w:space="0" w:color="auto"/>
      </w:divBdr>
    </w:div>
    <w:div w:id="898125233">
      <w:bodyDiv w:val="1"/>
      <w:marLeft w:val="0"/>
      <w:marRight w:val="0"/>
      <w:marTop w:val="0"/>
      <w:marBottom w:val="0"/>
      <w:divBdr>
        <w:top w:val="none" w:sz="0" w:space="0" w:color="auto"/>
        <w:left w:val="none" w:sz="0" w:space="0" w:color="auto"/>
        <w:bottom w:val="none" w:sz="0" w:space="0" w:color="auto"/>
        <w:right w:val="none" w:sz="0" w:space="0" w:color="auto"/>
      </w:divBdr>
    </w:div>
    <w:div w:id="898633562">
      <w:bodyDiv w:val="1"/>
      <w:marLeft w:val="0"/>
      <w:marRight w:val="0"/>
      <w:marTop w:val="0"/>
      <w:marBottom w:val="0"/>
      <w:divBdr>
        <w:top w:val="none" w:sz="0" w:space="0" w:color="auto"/>
        <w:left w:val="none" w:sz="0" w:space="0" w:color="auto"/>
        <w:bottom w:val="none" w:sz="0" w:space="0" w:color="auto"/>
        <w:right w:val="none" w:sz="0" w:space="0" w:color="auto"/>
      </w:divBdr>
    </w:div>
    <w:div w:id="898780945">
      <w:bodyDiv w:val="1"/>
      <w:marLeft w:val="0"/>
      <w:marRight w:val="0"/>
      <w:marTop w:val="0"/>
      <w:marBottom w:val="0"/>
      <w:divBdr>
        <w:top w:val="none" w:sz="0" w:space="0" w:color="auto"/>
        <w:left w:val="none" w:sz="0" w:space="0" w:color="auto"/>
        <w:bottom w:val="none" w:sz="0" w:space="0" w:color="auto"/>
        <w:right w:val="none" w:sz="0" w:space="0" w:color="auto"/>
      </w:divBdr>
    </w:div>
    <w:div w:id="899099999">
      <w:bodyDiv w:val="1"/>
      <w:marLeft w:val="0"/>
      <w:marRight w:val="0"/>
      <w:marTop w:val="0"/>
      <w:marBottom w:val="0"/>
      <w:divBdr>
        <w:top w:val="none" w:sz="0" w:space="0" w:color="auto"/>
        <w:left w:val="none" w:sz="0" w:space="0" w:color="auto"/>
        <w:bottom w:val="none" w:sz="0" w:space="0" w:color="auto"/>
        <w:right w:val="none" w:sz="0" w:space="0" w:color="auto"/>
      </w:divBdr>
    </w:div>
    <w:div w:id="901211527">
      <w:bodyDiv w:val="1"/>
      <w:marLeft w:val="0"/>
      <w:marRight w:val="0"/>
      <w:marTop w:val="0"/>
      <w:marBottom w:val="0"/>
      <w:divBdr>
        <w:top w:val="none" w:sz="0" w:space="0" w:color="auto"/>
        <w:left w:val="none" w:sz="0" w:space="0" w:color="auto"/>
        <w:bottom w:val="none" w:sz="0" w:space="0" w:color="auto"/>
        <w:right w:val="none" w:sz="0" w:space="0" w:color="auto"/>
      </w:divBdr>
    </w:div>
    <w:div w:id="901253648">
      <w:bodyDiv w:val="1"/>
      <w:marLeft w:val="0"/>
      <w:marRight w:val="0"/>
      <w:marTop w:val="0"/>
      <w:marBottom w:val="0"/>
      <w:divBdr>
        <w:top w:val="none" w:sz="0" w:space="0" w:color="auto"/>
        <w:left w:val="none" w:sz="0" w:space="0" w:color="auto"/>
        <w:bottom w:val="none" w:sz="0" w:space="0" w:color="auto"/>
        <w:right w:val="none" w:sz="0" w:space="0" w:color="auto"/>
      </w:divBdr>
    </w:div>
    <w:div w:id="902058030">
      <w:bodyDiv w:val="1"/>
      <w:marLeft w:val="0"/>
      <w:marRight w:val="0"/>
      <w:marTop w:val="0"/>
      <w:marBottom w:val="0"/>
      <w:divBdr>
        <w:top w:val="none" w:sz="0" w:space="0" w:color="auto"/>
        <w:left w:val="none" w:sz="0" w:space="0" w:color="auto"/>
        <w:bottom w:val="none" w:sz="0" w:space="0" w:color="auto"/>
        <w:right w:val="none" w:sz="0" w:space="0" w:color="auto"/>
      </w:divBdr>
    </w:div>
    <w:div w:id="902527490">
      <w:bodyDiv w:val="1"/>
      <w:marLeft w:val="0"/>
      <w:marRight w:val="0"/>
      <w:marTop w:val="0"/>
      <w:marBottom w:val="0"/>
      <w:divBdr>
        <w:top w:val="none" w:sz="0" w:space="0" w:color="auto"/>
        <w:left w:val="none" w:sz="0" w:space="0" w:color="auto"/>
        <w:bottom w:val="none" w:sz="0" w:space="0" w:color="auto"/>
        <w:right w:val="none" w:sz="0" w:space="0" w:color="auto"/>
      </w:divBdr>
    </w:div>
    <w:div w:id="902911777">
      <w:bodyDiv w:val="1"/>
      <w:marLeft w:val="0"/>
      <w:marRight w:val="0"/>
      <w:marTop w:val="0"/>
      <w:marBottom w:val="0"/>
      <w:divBdr>
        <w:top w:val="none" w:sz="0" w:space="0" w:color="auto"/>
        <w:left w:val="none" w:sz="0" w:space="0" w:color="auto"/>
        <w:bottom w:val="none" w:sz="0" w:space="0" w:color="auto"/>
        <w:right w:val="none" w:sz="0" w:space="0" w:color="auto"/>
      </w:divBdr>
    </w:div>
    <w:div w:id="903685058">
      <w:bodyDiv w:val="1"/>
      <w:marLeft w:val="0"/>
      <w:marRight w:val="0"/>
      <w:marTop w:val="0"/>
      <w:marBottom w:val="0"/>
      <w:divBdr>
        <w:top w:val="none" w:sz="0" w:space="0" w:color="auto"/>
        <w:left w:val="none" w:sz="0" w:space="0" w:color="auto"/>
        <w:bottom w:val="none" w:sz="0" w:space="0" w:color="auto"/>
        <w:right w:val="none" w:sz="0" w:space="0" w:color="auto"/>
      </w:divBdr>
    </w:div>
    <w:div w:id="903955819">
      <w:bodyDiv w:val="1"/>
      <w:marLeft w:val="0"/>
      <w:marRight w:val="0"/>
      <w:marTop w:val="0"/>
      <w:marBottom w:val="0"/>
      <w:divBdr>
        <w:top w:val="none" w:sz="0" w:space="0" w:color="auto"/>
        <w:left w:val="none" w:sz="0" w:space="0" w:color="auto"/>
        <w:bottom w:val="none" w:sz="0" w:space="0" w:color="auto"/>
        <w:right w:val="none" w:sz="0" w:space="0" w:color="auto"/>
      </w:divBdr>
    </w:div>
    <w:div w:id="904493328">
      <w:bodyDiv w:val="1"/>
      <w:marLeft w:val="0"/>
      <w:marRight w:val="0"/>
      <w:marTop w:val="0"/>
      <w:marBottom w:val="0"/>
      <w:divBdr>
        <w:top w:val="none" w:sz="0" w:space="0" w:color="auto"/>
        <w:left w:val="none" w:sz="0" w:space="0" w:color="auto"/>
        <w:bottom w:val="none" w:sz="0" w:space="0" w:color="auto"/>
        <w:right w:val="none" w:sz="0" w:space="0" w:color="auto"/>
      </w:divBdr>
    </w:div>
    <w:div w:id="904604839">
      <w:bodyDiv w:val="1"/>
      <w:marLeft w:val="0"/>
      <w:marRight w:val="0"/>
      <w:marTop w:val="0"/>
      <w:marBottom w:val="0"/>
      <w:divBdr>
        <w:top w:val="none" w:sz="0" w:space="0" w:color="auto"/>
        <w:left w:val="none" w:sz="0" w:space="0" w:color="auto"/>
        <w:bottom w:val="none" w:sz="0" w:space="0" w:color="auto"/>
        <w:right w:val="none" w:sz="0" w:space="0" w:color="auto"/>
      </w:divBdr>
    </w:div>
    <w:div w:id="904606168">
      <w:bodyDiv w:val="1"/>
      <w:marLeft w:val="0"/>
      <w:marRight w:val="0"/>
      <w:marTop w:val="0"/>
      <w:marBottom w:val="0"/>
      <w:divBdr>
        <w:top w:val="none" w:sz="0" w:space="0" w:color="auto"/>
        <w:left w:val="none" w:sz="0" w:space="0" w:color="auto"/>
        <w:bottom w:val="none" w:sz="0" w:space="0" w:color="auto"/>
        <w:right w:val="none" w:sz="0" w:space="0" w:color="auto"/>
      </w:divBdr>
    </w:div>
    <w:div w:id="905382821">
      <w:bodyDiv w:val="1"/>
      <w:marLeft w:val="0"/>
      <w:marRight w:val="0"/>
      <w:marTop w:val="0"/>
      <w:marBottom w:val="0"/>
      <w:divBdr>
        <w:top w:val="none" w:sz="0" w:space="0" w:color="auto"/>
        <w:left w:val="none" w:sz="0" w:space="0" w:color="auto"/>
        <w:bottom w:val="none" w:sz="0" w:space="0" w:color="auto"/>
        <w:right w:val="none" w:sz="0" w:space="0" w:color="auto"/>
      </w:divBdr>
    </w:div>
    <w:div w:id="906455776">
      <w:bodyDiv w:val="1"/>
      <w:marLeft w:val="0"/>
      <w:marRight w:val="0"/>
      <w:marTop w:val="0"/>
      <w:marBottom w:val="0"/>
      <w:divBdr>
        <w:top w:val="none" w:sz="0" w:space="0" w:color="auto"/>
        <w:left w:val="none" w:sz="0" w:space="0" w:color="auto"/>
        <w:bottom w:val="none" w:sz="0" w:space="0" w:color="auto"/>
        <w:right w:val="none" w:sz="0" w:space="0" w:color="auto"/>
      </w:divBdr>
    </w:div>
    <w:div w:id="906577096">
      <w:bodyDiv w:val="1"/>
      <w:marLeft w:val="0"/>
      <w:marRight w:val="0"/>
      <w:marTop w:val="0"/>
      <w:marBottom w:val="0"/>
      <w:divBdr>
        <w:top w:val="none" w:sz="0" w:space="0" w:color="auto"/>
        <w:left w:val="none" w:sz="0" w:space="0" w:color="auto"/>
        <w:bottom w:val="none" w:sz="0" w:space="0" w:color="auto"/>
        <w:right w:val="none" w:sz="0" w:space="0" w:color="auto"/>
      </w:divBdr>
    </w:div>
    <w:div w:id="906722301">
      <w:bodyDiv w:val="1"/>
      <w:marLeft w:val="0"/>
      <w:marRight w:val="0"/>
      <w:marTop w:val="0"/>
      <w:marBottom w:val="0"/>
      <w:divBdr>
        <w:top w:val="none" w:sz="0" w:space="0" w:color="auto"/>
        <w:left w:val="none" w:sz="0" w:space="0" w:color="auto"/>
        <w:bottom w:val="none" w:sz="0" w:space="0" w:color="auto"/>
        <w:right w:val="none" w:sz="0" w:space="0" w:color="auto"/>
      </w:divBdr>
    </w:div>
    <w:div w:id="907424913">
      <w:bodyDiv w:val="1"/>
      <w:marLeft w:val="0"/>
      <w:marRight w:val="0"/>
      <w:marTop w:val="0"/>
      <w:marBottom w:val="0"/>
      <w:divBdr>
        <w:top w:val="none" w:sz="0" w:space="0" w:color="auto"/>
        <w:left w:val="none" w:sz="0" w:space="0" w:color="auto"/>
        <w:bottom w:val="none" w:sz="0" w:space="0" w:color="auto"/>
        <w:right w:val="none" w:sz="0" w:space="0" w:color="auto"/>
      </w:divBdr>
    </w:div>
    <w:div w:id="907610551">
      <w:bodyDiv w:val="1"/>
      <w:marLeft w:val="0"/>
      <w:marRight w:val="0"/>
      <w:marTop w:val="0"/>
      <w:marBottom w:val="0"/>
      <w:divBdr>
        <w:top w:val="none" w:sz="0" w:space="0" w:color="auto"/>
        <w:left w:val="none" w:sz="0" w:space="0" w:color="auto"/>
        <w:bottom w:val="none" w:sz="0" w:space="0" w:color="auto"/>
        <w:right w:val="none" w:sz="0" w:space="0" w:color="auto"/>
      </w:divBdr>
    </w:div>
    <w:div w:id="907809399">
      <w:bodyDiv w:val="1"/>
      <w:marLeft w:val="0"/>
      <w:marRight w:val="0"/>
      <w:marTop w:val="0"/>
      <w:marBottom w:val="0"/>
      <w:divBdr>
        <w:top w:val="none" w:sz="0" w:space="0" w:color="auto"/>
        <w:left w:val="none" w:sz="0" w:space="0" w:color="auto"/>
        <w:bottom w:val="none" w:sz="0" w:space="0" w:color="auto"/>
        <w:right w:val="none" w:sz="0" w:space="0" w:color="auto"/>
      </w:divBdr>
    </w:div>
    <w:div w:id="908272525">
      <w:bodyDiv w:val="1"/>
      <w:marLeft w:val="0"/>
      <w:marRight w:val="0"/>
      <w:marTop w:val="0"/>
      <w:marBottom w:val="0"/>
      <w:divBdr>
        <w:top w:val="none" w:sz="0" w:space="0" w:color="auto"/>
        <w:left w:val="none" w:sz="0" w:space="0" w:color="auto"/>
        <w:bottom w:val="none" w:sz="0" w:space="0" w:color="auto"/>
        <w:right w:val="none" w:sz="0" w:space="0" w:color="auto"/>
      </w:divBdr>
    </w:div>
    <w:div w:id="909651566">
      <w:bodyDiv w:val="1"/>
      <w:marLeft w:val="0"/>
      <w:marRight w:val="0"/>
      <w:marTop w:val="0"/>
      <w:marBottom w:val="0"/>
      <w:divBdr>
        <w:top w:val="none" w:sz="0" w:space="0" w:color="auto"/>
        <w:left w:val="none" w:sz="0" w:space="0" w:color="auto"/>
        <w:bottom w:val="none" w:sz="0" w:space="0" w:color="auto"/>
        <w:right w:val="none" w:sz="0" w:space="0" w:color="auto"/>
      </w:divBdr>
    </w:div>
    <w:div w:id="909734766">
      <w:bodyDiv w:val="1"/>
      <w:marLeft w:val="0"/>
      <w:marRight w:val="0"/>
      <w:marTop w:val="0"/>
      <w:marBottom w:val="0"/>
      <w:divBdr>
        <w:top w:val="none" w:sz="0" w:space="0" w:color="auto"/>
        <w:left w:val="none" w:sz="0" w:space="0" w:color="auto"/>
        <w:bottom w:val="none" w:sz="0" w:space="0" w:color="auto"/>
        <w:right w:val="none" w:sz="0" w:space="0" w:color="auto"/>
      </w:divBdr>
    </w:div>
    <w:div w:id="910121745">
      <w:bodyDiv w:val="1"/>
      <w:marLeft w:val="0"/>
      <w:marRight w:val="0"/>
      <w:marTop w:val="0"/>
      <w:marBottom w:val="0"/>
      <w:divBdr>
        <w:top w:val="none" w:sz="0" w:space="0" w:color="auto"/>
        <w:left w:val="none" w:sz="0" w:space="0" w:color="auto"/>
        <w:bottom w:val="none" w:sz="0" w:space="0" w:color="auto"/>
        <w:right w:val="none" w:sz="0" w:space="0" w:color="auto"/>
      </w:divBdr>
    </w:div>
    <w:div w:id="910852015">
      <w:bodyDiv w:val="1"/>
      <w:marLeft w:val="0"/>
      <w:marRight w:val="0"/>
      <w:marTop w:val="0"/>
      <w:marBottom w:val="0"/>
      <w:divBdr>
        <w:top w:val="none" w:sz="0" w:space="0" w:color="auto"/>
        <w:left w:val="none" w:sz="0" w:space="0" w:color="auto"/>
        <w:bottom w:val="none" w:sz="0" w:space="0" w:color="auto"/>
        <w:right w:val="none" w:sz="0" w:space="0" w:color="auto"/>
      </w:divBdr>
    </w:div>
    <w:div w:id="912786448">
      <w:bodyDiv w:val="1"/>
      <w:marLeft w:val="0"/>
      <w:marRight w:val="0"/>
      <w:marTop w:val="0"/>
      <w:marBottom w:val="0"/>
      <w:divBdr>
        <w:top w:val="none" w:sz="0" w:space="0" w:color="auto"/>
        <w:left w:val="none" w:sz="0" w:space="0" w:color="auto"/>
        <w:bottom w:val="none" w:sz="0" w:space="0" w:color="auto"/>
        <w:right w:val="none" w:sz="0" w:space="0" w:color="auto"/>
      </w:divBdr>
    </w:div>
    <w:div w:id="913782759">
      <w:bodyDiv w:val="1"/>
      <w:marLeft w:val="0"/>
      <w:marRight w:val="0"/>
      <w:marTop w:val="0"/>
      <w:marBottom w:val="0"/>
      <w:divBdr>
        <w:top w:val="none" w:sz="0" w:space="0" w:color="auto"/>
        <w:left w:val="none" w:sz="0" w:space="0" w:color="auto"/>
        <w:bottom w:val="none" w:sz="0" w:space="0" w:color="auto"/>
        <w:right w:val="none" w:sz="0" w:space="0" w:color="auto"/>
      </w:divBdr>
    </w:div>
    <w:div w:id="914164742">
      <w:bodyDiv w:val="1"/>
      <w:marLeft w:val="0"/>
      <w:marRight w:val="0"/>
      <w:marTop w:val="0"/>
      <w:marBottom w:val="0"/>
      <w:divBdr>
        <w:top w:val="none" w:sz="0" w:space="0" w:color="auto"/>
        <w:left w:val="none" w:sz="0" w:space="0" w:color="auto"/>
        <w:bottom w:val="none" w:sz="0" w:space="0" w:color="auto"/>
        <w:right w:val="none" w:sz="0" w:space="0" w:color="auto"/>
      </w:divBdr>
    </w:div>
    <w:div w:id="914701210">
      <w:bodyDiv w:val="1"/>
      <w:marLeft w:val="0"/>
      <w:marRight w:val="0"/>
      <w:marTop w:val="0"/>
      <w:marBottom w:val="0"/>
      <w:divBdr>
        <w:top w:val="none" w:sz="0" w:space="0" w:color="auto"/>
        <w:left w:val="none" w:sz="0" w:space="0" w:color="auto"/>
        <w:bottom w:val="none" w:sz="0" w:space="0" w:color="auto"/>
        <w:right w:val="none" w:sz="0" w:space="0" w:color="auto"/>
      </w:divBdr>
    </w:div>
    <w:div w:id="914896174">
      <w:bodyDiv w:val="1"/>
      <w:marLeft w:val="0"/>
      <w:marRight w:val="0"/>
      <w:marTop w:val="0"/>
      <w:marBottom w:val="0"/>
      <w:divBdr>
        <w:top w:val="none" w:sz="0" w:space="0" w:color="auto"/>
        <w:left w:val="none" w:sz="0" w:space="0" w:color="auto"/>
        <w:bottom w:val="none" w:sz="0" w:space="0" w:color="auto"/>
        <w:right w:val="none" w:sz="0" w:space="0" w:color="auto"/>
      </w:divBdr>
    </w:div>
    <w:div w:id="915238284">
      <w:bodyDiv w:val="1"/>
      <w:marLeft w:val="0"/>
      <w:marRight w:val="0"/>
      <w:marTop w:val="0"/>
      <w:marBottom w:val="0"/>
      <w:divBdr>
        <w:top w:val="none" w:sz="0" w:space="0" w:color="auto"/>
        <w:left w:val="none" w:sz="0" w:space="0" w:color="auto"/>
        <w:bottom w:val="none" w:sz="0" w:space="0" w:color="auto"/>
        <w:right w:val="none" w:sz="0" w:space="0" w:color="auto"/>
      </w:divBdr>
    </w:div>
    <w:div w:id="916595343">
      <w:bodyDiv w:val="1"/>
      <w:marLeft w:val="0"/>
      <w:marRight w:val="0"/>
      <w:marTop w:val="0"/>
      <w:marBottom w:val="0"/>
      <w:divBdr>
        <w:top w:val="none" w:sz="0" w:space="0" w:color="auto"/>
        <w:left w:val="none" w:sz="0" w:space="0" w:color="auto"/>
        <w:bottom w:val="none" w:sz="0" w:space="0" w:color="auto"/>
        <w:right w:val="none" w:sz="0" w:space="0" w:color="auto"/>
      </w:divBdr>
    </w:div>
    <w:div w:id="916938448">
      <w:bodyDiv w:val="1"/>
      <w:marLeft w:val="0"/>
      <w:marRight w:val="0"/>
      <w:marTop w:val="0"/>
      <w:marBottom w:val="0"/>
      <w:divBdr>
        <w:top w:val="none" w:sz="0" w:space="0" w:color="auto"/>
        <w:left w:val="none" w:sz="0" w:space="0" w:color="auto"/>
        <w:bottom w:val="none" w:sz="0" w:space="0" w:color="auto"/>
        <w:right w:val="none" w:sz="0" w:space="0" w:color="auto"/>
      </w:divBdr>
    </w:div>
    <w:div w:id="917440469">
      <w:bodyDiv w:val="1"/>
      <w:marLeft w:val="0"/>
      <w:marRight w:val="0"/>
      <w:marTop w:val="0"/>
      <w:marBottom w:val="0"/>
      <w:divBdr>
        <w:top w:val="none" w:sz="0" w:space="0" w:color="auto"/>
        <w:left w:val="none" w:sz="0" w:space="0" w:color="auto"/>
        <w:bottom w:val="none" w:sz="0" w:space="0" w:color="auto"/>
        <w:right w:val="none" w:sz="0" w:space="0" w:color="auto"/>
      </w:divBdr>
    </w:div>
    <w:div w:id="917901639">
      <w:bodyDiv w:val="1"/>
      <w:marLeft w:val="0"/>
      <w:marRight w:val="0"/>
      <w:marTop w:val="0"/>
      <w:marBottom w:val="0"/>
      <w:divBdr>
        <w:top w:val="none" w:sz="0" w:space="0" w:color="auto"/>
        <w:left w:val="none" w:sz="0" w:space="0" w:color="auto"/>
        <w:bottom w:val="none" w:sz="0" w:space="0" w:color="auto"/>
        <w:right w:val="none" w:sz="0" w:space="0" w:color="auto"/>
      </w:divBdr>
    </w:div>
    <w:div w:id="918102400">
      <w:bodyDiv w:val="1"/>
      <w:marLeft w:val="0"/>
      <w:marRight w:val="0"/>
      <w:marTop w:val="0"/>
      <w:marBottom w:val="0"/>
      <w:divBdr>
        <w:top w:val="none" w:sz="0" w:space="0" w:color="auto"/>
        <w:left w:val="none" w:sz="0" w:space="0" w:color="auto"/>
        <w:bottom w:val="none" w:sz="0" w:space="0" w:color="auto"/>
        <w:right w:val="none" w:sz="0" w:space="0" w:color="auto"/>
      </w:divBdr>
    </w:div>
    <w:div w:id="919294254">
      <w:bodyDiv w:val="1"/>
      <w:marLeft w:val="0"/>
      <w:marRight w:val="0"/>
      <w:marTop w:val="0"/>
      <w:marBottom w:val="0"/>
      <w:divBdr>
        <w:top w:val="none" w:sz="0" w:space="0" w:color="auto"/>
        <w:left w:val="none" w:sz="0" w:space="0" w:color="auto"/>
        <w:bottom w:val="none" w:sz="0" w:space="0" w:color="auto"/>
        <w:right w:val="none" w:sz="0" w:space="0" w:color="auto"/>
      </w:divBdr>
    </w:div>
    <w:div w:id="919603712">
      <w:bodyDiv w:val="1"/>
      <w:marLeft w:val="0"/>
      <w:marRight w:val="0"/>
      <w:marTop w:val="0"/>
      <w:marBottom w:val="0"/>
      <w:divBdr>
        <w:top w:val="none" w:sz="0" w:space="0" w:color="auto"/>
        <w:left w:val="none" w:sz="0" w:space="0" w:color="auto"/>
        <w:bottom w:val="none" w:sz="0" w:space="0" w:color="auto"/>
        <w:right w:val="none" w:sz="0" w:space="0" w:color="auto"/>
      </w:divBdr>
    </w:div>
    <w:div w:id="919676734">
      <w:bodyDiv w:val="1"/>
      <w:marLeft w:val="0"/>
      <w:marRight w:val="0"/>
      <w:marTop w:val="0"/>
      <w:marBottom w:val="0"/>
      <w:divBdr>
        <w:top w:val="none" w:sz="0" w:space="0" w:color="auto"/>
        <w:left w:val="none" w:sz="0" w:space="0" w:color="auto"/>
        <w:bottom w:val="none" w:sz="0" w:space="0" w:color="auto"/>
        <w:right w:val="none" w:sz="0" w:space="0" w:color="auto"/>
      </w:divBdr>
    </w:div>
    <w:div w:id="920258124">
      <w:bodyDiv w:val="1"/>
      <w:marLeft w:val="0"/>
      <w:marRight w:val="0"/>
      <w:marTop w:val="0"/>
      <w:marBottom w:val="0"/>
      <w:divBdr>
        <w:top w:val="none" w:sz="0" w:space="0" w:color="auto"/>
        <w:left w:val="none" w:sz="0" w:space="0" w:color="auto"/>
        <w:bottom w:val="none" w:sz="0" w:space="0" w:color="auto"/>
        <w:right w:val="none" w:sz="0" w:space="0" w:color="auto"/>
      </w:divBdr>
    </w:div>
    <w:div w:id="920404871">
      <w:bodyDiv w:val="1"/>
      <w:marLeft w:val="0"/>
      <w:marRight w:val="0"/>
      <w:marTop w:val="0"/>
      <w:marBottom w:val="0"/>
      <w:divBdr>
        <w:top w:val="none" w:sz="0" w:space="0" w:color="auto"/>
        <w:left w:val="none" w:sz="0" w:space="0" w:color="auto"/>
        <w:bottom w:val="none" w:sz="0" w:space="0" w:color="auto"/>
        <w:right w:val="none" w:sz="0" w:space="0" w:color="auto"/>
      </w:divBdr>
    </w:div>
    <w:div w:id="920791650">
      <w:bodyDiv w:val="1"/>
      <w:marLeft w:val="0"/>
      <w:marRight w:val="0"/>
      <w:marTop w:val="0"/>
      <w:marBottom w:val="0"/>
      <w:divBdr>
        <w:top w:val="none" w:sz="0" w:space="0" w:color="auto"/>
        <w:left w:val="none" w:sz="0" w:space="0" w:color="auto"/>
        <w:bottom w:val="none" w:sz="0" w:space="0" w:color="auto"/>
        <w:right w:val="none" w:sz="0" w:space="0" w:color="auto"/>
      </w:divBdr>
    </w:div>
    <w:div w:id="921184772">
      <w:bodyDiv w:val="1"/>
      <w:marLeft w:val="0"/>
      <w:marRight w:val="0"/>
      <w:marTop w:val="0"/>
      <w:marBottom w:val="0"/>
      <w:divBdr>
        <w:top w:val="none" w:sz="0" w:space="0" w:color="auto"/>
        <w:left w:val="none" w:sz="0" w:space="0" w:color="auto"/>
        <w:bottom w:val="none" w:sz="0" w:space="0" w:color="auto"/>
        <w:right w:val="none" w:sz="0" w:space="0" w:color="auto"/>
      </w:divBdr>
    </w:div>
    <w:div w:id="921596998">
      <w:bodyDiv w:val="1"/>
      <w:marLeft w:val="0"/>
      <w:marRight w:val="0"/>
      <w:marTop w:val="0"/>
      <w:marBottom w:val="0"/>
      <w:divBdr>
        <w:top w:val="none" w:sz="0" w:space="0" w:color="auto"/>
        <w:left w:val="none" w:sz="0" w:space="0" w:color="auto"/>
        <w:bottom w:val="none" w:sz="0" w:space="0" w:color="auto"/>
        <w:right w:val="none" w:sz="0" w:space="0" w:color="auto"/>
      </w:divBdr>
    </w:div>
    <w:div w:id="921840211">
      <w:bodyDiv w:val="1"/>
      <w:marLeft w:val="0"/>
      <w:marRight w:val="0"/>
      <w:marTop w:val="0"/>
      <w:marBottom w:val="0"/>
      <w:divBdr>
        <w:top w:val="none" w:sz="0" w:space="0" w:color="auto"/>
        <w:left w:val="none" w:sz="0" w:space="0" w:color="auto"/>
        <w:bottom w:val="none" w:sz="0" w:space="0" w:color="auto"/>
        <w:right w:val="none" w:sz="0" w:space="0" w:color="auto"/>
      </w:divBdr>
    </w:div>
    <w:div w:id="922027573">
      <w:bodyDiv w:val="1"/>
      <w:marLeft w:val="0"/>
      <w:marRight w:val="0"/>
      <w:marTop w:val="0"/>
      <w:marBottom w:val="0"/>
      <w:divBdr>
        <w:top w:val="none" w:sz="0" w:space="0" w:color="auto"/>
        <w:left w:val="none" w:sz="0" w:space="0" w:color="auto"/>
        <w:bottom w:val="none" w:sz="0" w:space="0" w:color="auto"/>
        <w:right w:val="none" w:sz="0" w:space="0" w:color="auto"/>
      </w:divBdr>
    </w:div>
    <w:div w:id="922684981">
      <w:bodyDiv w:val="1"/>
      <w:marLeft w:val="0"/>
      <w:marRight w:val="0"/>
      <w:marTop w:val="0"/>
      <w:marBottom w:val="0"/>
      <w:divBdr>
        <w:top w:val="none" w:sz="0" w:space="0" w:color="auto"/>
        <w:left w:val="none" w:sz="0" w:space="0" w:color="auto"/>
        <w:bottom w:val="none" w:sz="0" w:space="0" w:color="auto"/>
        <w:right w:val="none" w:sz="0" w:space="0" w:color="auto"/>
      </w:divBdr>
    </w:div>
    <w:div w:id="922764217">
      <w:bodyDiv w:val="1"/>
      <w:marLeft w:val="0"/>
      <w:marRight w:val="0"/>
      <w:marTop w:val="0"/>
      <w:marBottom w:val="0"/>
      <w:divBdr>
        <w:top w:val="none" w:sz="0" w:space="0" w:color="auto"/>
        <w:left w:val="none" w:sz="0" w:space="0" w:color="auto"/>
        <w:bottom w:val="none" w:sz="0" w:space="0" w:color="auto"/>
        <w:right w:val="none" w:sz="0" w:space="0" w:color="auto"/>
      </w:divBdr>
    </w:div>
    <w:div w:id="923495085">
      <w:bodyDiv w:val="1"/>
      <w:marLeft w:val="0"/>
      <w:marRight w:val="0"/>
      <w:marTop w:val="0"/>
      <w:marBottom w:val="0"/>
      <w:divBdr>
        <w:top w:val="none" w:sz="0" w:space="0" w:color="auto"/>
        <w:left w:val="none" w:sz="0" w:space="0" w:color="auto"/>
        <w:bottom w:val="none" w:sz="0" w:space="0" w:color="auto"/>
        <w:right w:val="none" w:sz="0" w:space="0" w:color="auto"/>
      </w:divBdr>
    </w:div>
    <w:div w:id="923687772">
      <w:bodyDiv w:val="1"/>
      <w:marLeft w:val="0"/>
      <w:marRight w:val="0"/>
      <w:marTop w:val="0"/>
      <w:marBottom w:val="0"/>
      <w:divBdr>
        <w:top w:val="none" w:sz="0" w:space="0" w:color="auto"/>
        <w:left w:val="none" w:sz="0" w:space="0" w:color="auto"/>
        <w:bottom w:val="none" w:sz="0" w:space="0" w:color="auto"/>
        <w:right w:val="none" w:sz="0" w:space="0" w:color="auto"/>
      </w:divBdr>
    </w:div>
    <w:div w:id="924074375">
      <w:bodyDiv w:val="1"/>
      <w:marLeft w:val="0"/>
      <w:marRight w:val="0"/>
      <w:marTop w:val="0"/>
      <w:marBottom w:val="0"/>
      <w:divBdr>
        <w:top w:val="none" w:sz="0" w:space="0" w:color="auto"/>
        <w:left w:val="none" w:sz="0" w:space="0" w:color="auto"/>
        <w:bottom w:val="none" w:sz="0" w:space="0" w:color="auto"/>
        <w:right w:val="none" w:sz="0" w:space="0" w:color="auto"/>
      </w:divBdr>
    </w:div>
    <w:div w:id="924192464">
      <w:bodyDiv w:val="1"/>
      <w:marLeft w:val="0"/>
      <w:marRight w:val="0"/>
      <w:marTop w:val="0"/>
      <w:marBottom w:val="0"/>
      <w:divBdr>
        <w:top w:val="none" w:sz="0" w:space="0" w:color="auto"/>
        <w:left w:val="none" w:sz="0" w:space="0" w:color="auto"/>
        <w:bottom w:val="none" w:sz="0" w:space="0" w:color="auto"/>
        <w:right w:val="none" w:sz="0" w:space="0" w:color="auto"/>
      </w:divBdr>
    </w:div>
    <w:div w:id="924340781">
      <w:bodyDiv w:val="1"/>
      <w:marLeft w:val="0"/>
      <w:marRight w:val="0"/>
      <w:marTop w:val="0"/>
      <w:marBottom w:val="0"/>
      <w:divBdr>
        <w:top w:val="none" w:sz="0" w:space="0" w:color="auto"/>
        <w:left w:val="none" w:sz="0" w:space="0" w:color="auto"/>
        <w:bottom w:val="none" w:sz="0" w:space="0" w:color="auto"/>
        <w:right w:val="none" w:sz="0" w:space="0" w:color="auto"/>
      </w:divBdr>
    </w:div>
    <w:div w:id="924536751">
      <w:bodyDiv w:val="1"/>
      <w:marLeft w:val="0"/>
      <w:marRight w:val="0"/>
      <w:marTop w:val="0"/>
      <w:marBottom w:val="0"/>
      <w:divBdr>
        <w:top w:val="none" w:sz="0" w:space="0" w:color="auto"/>
        <w:left w:val="none" w:sz="0" w:space="0" w:color="auto"/>
        <w:bottom w:val="none" w:sz="0" w:space="0" w:color="auto"/>
        <w:right w:val="none" w:sz="0" w:space="0" w:color="auto"/>
      </w:divBdr>
    </w:div>
    <w:div w:id="924876649">
      <w:bodyDiv w:val="1"/>
      <w:marLeft w:val="0"/>
      <w:marRight w:val="0"/>
      <w:marTop w:val="0"/>
      <w:marBottom w:val="0"/>
      <w:divBdr>
        <w:top w:val="none" w:sz="0" w:space="0" w:color="auto"/>
        <w:left w:val="none" w:sz="0" w:space="0" w:color="auto"/>
        <w:bottom w:val="none" w:sz="0" w:space="0" w:color="auto"/>
        <w:right w:val="none" w:sz="0" w:space="0" w:color="auto"/>
      </w:divBdr>
    </w:div>
    <w:div w:id="925068825">
      <w:bodyDiv w:val="1"/>
      <w:marLeft w:val="0"/>
      <w:marRight w:val="0"/>
      <w:marTop w:val="0"/>
      <w:marBottom w:val="0"/>
      <w:divBdr>
        <w:top w:val="none" w:sz="0" w:space="0" w:color="auto"/>
        <w:left w:val="none" w:sz="0" w:space="0" w:color="auto"/>
        <w:bottom w:val="none" w:sz="0" w:space="0" w:color="auto"/>
        <w:right w:val="none" w:sz="0" w:space="0" w:color="auto"/>
      </w:divBdr>
    </w:div>
    <w:div w:id="925848700">
      <w:bodyDiv w:val="1"/>
      <w:marLeft w:val="0"/>
      <w:marRight w:val="0"/>
      <w:marTop w:val="0"/>
      <w:marBottom w:val="0"/>
      <w:divBdr>
        <w:top w:val="none" w:sz="0" w:space="0" w:color="auto"/>
        <w:left w:val="none" w:sz="0" w:space="0" w:color="auto"/>
        <w:bottom w:val="none" w:sz="0" w:space="0" w:color="auto"/>
        <w:right w:val="none" w:sz="0" w:space="0" w:color="auto"/>
      </w:divBdr>
    </w:div>
    <w:div w:id="925917273">
      <w:bodyDiv w:val="1"/>
      <w:marLeft w:val="0"/>
      <w:marRight w:val="0"/>
      <w:marTop w:val="0"/>
      <w:marBottom w:val="0"/>
      <w:divBdr>
        <w:top w:val="none" w:sz="0" w:space="0" w:color="auto"/>
        <w:left w:val="none" w:sz="0" w:space="0" w:color="auto"/>
        <w:bottom w:val="none" w:sz="0" w:space="0" w:color="auto"/>
        <w:right w:val="none" w:sz="0" w:space="0" w:color="auto"/>
      </w:divBdr>
    </w:div>
    <w:div w:id="926692280">
      <w:bodyDiv w:val="1"/>
      <w:marLeft w:val="0"/>
      <w:marRight w:val="0"/>
      <w:marTop w:val="0"/>
      <w:marBottom w:val="0"/>
      <w:divBdr>
        <w:top w:val="none" w:sz="0" w:space="0" w:color="auto"/>
        <w:left w:val="none" w:sz="0" w:space="0" w:color="auto"/>
        <w:bottom w:val="none" w:sz="0" w:space="0" w:color="auto"/>
        <w:right w:val="none" w:sz="0" w:space="0" w:color="auto"/>
      </w:divBdr>
    </w:div>
    <w:div w:id="926885760">
      <w:bodyDiv w:val="1"/>
      <w:marLeft w:val="0"/>
      <w:marRight w:val="0"/>
      <w:marTop w:val="0"/>
      <w:marBottom w:val="0"/>
      <w:divBdr>
        <w:top w:val="none" w:sz="0" w:space="0" w:color="auto"/>
        <w:left w:val="none" w:sz="0" w:space="0" w:color="auto"/>
        <w:bottom w:val="none" w:sz="0" w:space="0" w:color="auto"/>
        <w:right w:val="none" w:sz="0" w:space="0" w:color="auto"/>
      </w:divBdr>
    </w:div>
    <w:div w:id="927273222">
      <w:bodyDiv w:val="1"/>
      <w:marLeft w:val="0"/>
      <w:marRight w:val="0"/>
      <w:marTop w:val="0"/>
      <w:marBottom w:val="0"/>
      <w:divBdr>
        <w:top w:val="none" w:sz="0" w:space="0" w:color="auto"/>
        <w:left w:val="none" w:sz="0" w:space="0" w:color="auto"/>
        <w:bottom w:val="none" w:sz="0" w:space="0" w:color="auto"/>
        <w:right w:val="none" w:sz="0" w:space="0" w:color="auto"/>
      </w:divBdr>
    </w:div>
    <w:div w:id="928196383">
      <w:bodyDiv w:val="1"/>
      <w:marLeft w:val="0"/>
      <w:marRight w:val="0"/>
      <w:marTop w:val="0"/>
      <w:marBottom w:val="0"/>
      <w:divBdr>
        <w:top w:val="none" w:sz="0" w:space="0" w:color="auto"/>
        <w:left w:val="none" w:sz="0" w:space="0" w:color="auto"/>
        <w:bottom w:val="none" w:sz="0" w:space="0" w:color="auto"/>
        <w:right w:val="none" w:sz="0" w:space="0" w:color="auto"/>
      </w:divBdr>
    </w:div>
    <w:div w:id="928197765">
      <w:bodyDiv w:val="1"/>
      <w:marLeft w:val="0"/>
      <w:marRight w:val="0"/>
      <w:marTop w:val="0"/>
      <w:marBottom w:val="0"/>
      <w:divBdr>
        <w:top w:val="none" w:sz="0" w:space="0" w:color="auto"/>
        <w:left w:val="none" w:sz="0" w:space="0" w:color="auto"/>
        <w:bottom w:val="none" w:sz="0" w:space="0" w:color="auto"/>
        <w:right w:val="none" w:sz="0" w:space="0" w:color="auto"/>
      </w:divBdr>
    </w:div>
    <w:div w:id="928582841">
      <w:bodyDiv w:val="1"/>
      <w:marLeft w:val="0"/>
      <w:marRight w:val="0"/>
      <w:marTop w:val="0"/>
      <w:marBottom w:val="0"/>
      <w:divBdr>
        <w:top w:val="none" w:sz="0" w:space="0" w:color="auto"/>
        <w:left w:val="none" w:sz="0" w:space="0" w:color="auto"/>
        <w:bottom w:val="none" w:sz="0" w:space="0" w:color="auto"/>
        <w:right w:val="none" w:sz="0" w:space="0" w:color="auto"/>
      </w:divBdr>
    </w:div>
    <w:div w:id="928657632">
      <w:bodyDiv w:val="1"/>
      <w:marLeft w:val="0"/>
      <w:marRight w:val="0"/>
      <w:marTop w:val="0"/>
      <w:marBottom w:val="0"/>
      <w:divBdr>
        <w:top w:val="none" w:sz="0" w:space="0" w:color="auto"/>
        <w:left w:val="none" w:sz="0" w:space="0" w:color="auto"/>
        <w:bottom w:val="none" w:sz="0" w:space="0" w:color="auto"/>
        <w:right w:val="none" w:sz="0" w:space="0" w:color="auto"/>
      </w:divBdr>
    </w:div>
    <w:div w:id="928851970">
      <w:bodyDiv w:val="1"/>
      <w:marLeft w:val="0"/>
      <w:marRight w:val="0"/>
      <w:marTop w:val="0"/>
      <w:marBottom w:val="0"/>
      <w:divBdr>
        <w:top w:val="none" w:sz="0" w:space="0" w:color="auto"/>
        <w:left w:val="none" w:sz="0" w:space="0" w:color="auto"/>
        <w:bottom w:val="none" w:sz="0" w:space="0" w:color="auto"/>
        <w:right w:val="none" w:sz="0" w:space="0" w:color="auto"/>
      </w:divBdr>
    </w:div>
    <w:div w:id="928854379">
      <w:bodyDiv w:val="1"/>
      <w:marLeft w:val="0"/>
      <w:marRight w:val="0"/>
      <w:marTop w:val="0"/>
      <w:marBottom w:val="0"/>
      <w:divBdr>
        <w:top w:val="none" w:sz="0" w:space="0" w:color="auto"/>
        <w:left w:val="none" w:sz="0" w:space="0" w:color="auto"/>
        <w:bottom w:val="none" w:sz="0" w:space="0" w:color="auto"/>
        <w:right w:val="none" w:sz="0" w:space="0" w:color="auto"/>
      </w:divBdr>
    </w:div>
    <w:div w:id="929386541">
      <w:bodyDiv w:val="1"/>
      <w:marLeft w:val="0"/>
      <w:marRight w:val="0"/>
      <w:marTop w:val="0"/>
      <w:marBottom w:val="0"/>
      <w:divBdr>
        <w:top w:val="none" w:sz="0" w:space="0" w:color="auto"/>
        <w:left w:val="none" w:sz="0" w:space="0" w:color="auto"/>
        <w:bottom w:val="none" w:sz="0" w:space="0" w:color="auto"/>
        <w:right w:val="none" w:sz="0" w:space="0" w:color="auto"/>
      </w:divBdr>
    </w:div>
    <w:div w:id="929629497">
      <w:bodyDiv w:val="1"/>
      <w:marLeft w:val="0"/>
      <w:marRight w:val="0"/>
      <w:marTop w:val="0"/>
      <w:marBottom w:val="0"/>
      <w:divBdr>
        <w:top w:val="none" w:sz="0" w:space="0" w:color="auto"/>
        <w:left w:val="none" w:sz="0" w:space="0" w:color="auto"/>
        <w:bottom w:val="none" w:sz="0" w:space="0" w:color="auto"/>
        <w:right w:val="none" w:sz="0" w:space="0" w:color="auto"/>
      </w:divBdr>
    </w:div>
    <w:div w:id="929697178">
      <w:bodyDiv w:val="1"/>
      <w:marLeft w:val="0"/>
      <w:marRight w:val="0"/>
      <w:marTop w:val="0"/>
      <w:marBottom w:val="0"/>
      <w:divBdr>
        <w:top w:val="none" w:sz="0" w:space="0" w:color="auto"/>
        <w:left w:val="none" w:sz="0" w:space="0" w:color="auto"/>
        <w:bottom w:val="none" w:sz="0" w:space="0" w:color="auto"/>
        <w:right w:val="none" w:sz="0" w:space="0" w:color="auto"/>
      </w:divBdr>
    </w:div>
    <w:div w:id="930505649">
      <w:bodyDiv w:val="1"/>
      <w:marLeft w:val="0"/>
      <w:marRight w:val="0"/>
      <w:marTop w:val="0"/>
      <w:marBottom w:val="0"/>
      <w:divBdr>
        <w:top w:val="none" w:sz="0" w:space="0" w:color="auto"/>
        <w:left w:val="none" w:sz="0" w:space="0" w:color="auto"/>
        <w:bottom w:val="none" w:sz="0" w:space="0" w:color="auto"/>
        <w:right w:val="none" w:sz="0" w:space="0" w:color="auto"/>
      </w:divBdr>
    </w:div>
    <w:div w:id="930624144">
      <w:bodyDiv w:val="1"/>
      <w:marLeft w:val="0"/>
      <w:marRight w:val="0"/>
      <w:marTop w:val="0"/>
      <w:marBottom w:val="0"/>
      <w:divBdr>
        <w:top w:val="none" w:sz="0" w:space="0" w:color="auto"/>
        <w:left w:val="none" w:sz="0" w:space="0" w:color="auto"/>
        <w:bottom w:val="none" w:sz="0" w:space="0" w:color="auto"/>
        <w:right w:val="none" w:sz="0" w:space="0" w:color="auto"/>
      </w:divBdr>
    </w:div>
    <w:div w:id="931203696">
      <w:bodyDiv w:val="1"/>
      <w:marLeft w:val="0"/>
      <w:marRight w:val="0"/>
      <w:marTop w:val="0"/>
      <w:marBottom w:val="0"/>
      <w:divBdr>
        <w:top w:val="none" w:sz="0" w:space="0" w:color="auto"/>
        <w:left w:val="none" w:sz="0" w:space="0" w:color="auto"/>
        <w:bottom w:val="none" w:sz="0" w:space="0" w:color="auto"/>
        <w:right w:val="none" w:sz="0" w:space="0" w:color="auto"/>
      </w:divBdr>
    </w:div>
    <w:div w:id="931471444">
      <w:bodyDiv w:val="1"/>
      <w:marLeft w:val="0"/>
      <w:marRight w:val="0"/>
      <w:marTop w:val="0"/>
      <w:marBottom w:val="0"/>
      <w:divBdr>
        <w:top w:val="none" w:sz="0" w:space="0" w:color="auto"/>
        <w:left w:val="none" w:sz="0" w:space="0" w:color="auto"/>
        <w:bottom w:val="none" w:sz="0" w:space="0" w:color="auto"/>
        <w:right w:val="none" w:sz="0" w:space="0" w:color="auto"/>
      </w:divBdr>
    </w:div>
    <w:div w:id="931546362">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054163">
      <w:bodyDiv w:val="1"/>
      <w:marLeft w:val="0"/>
      <w:marRight w:val="0"/>
      <w:marTop w:val="0"/>
      <w:marBottom w:val="0"/>
      <w:divBdr>
        <w:top w:val="none" w:sz="0" w:space="0" w:color="auto"/>
        <w:left w:val="none" w:sz="0" w:space="0" w:color="auto"/>
        <w:bottom w:val="none" w:sz="0" w:space="0" w:color="auto"/>
        <w:right w:val="none" w:sz="0" w:space="0" w:color="auto"/>
      </w:divBdr>
    </w:div>
    <w:div w:id="932201074">
      <w:bodyDiv w:val="1"/>
      <w:marLeft w:val="0"/>
      <w:marRight w:val="0"/>
      <w:marTop w:val="0"/>
      <w:marBottom w:val="0"/>
      <w:divBdr>
        <w:top w:val="none" w:sz="0" w:space="0" w:color="auto"/>
        <w:left w:val="none" w:sz="0" w:space="0" w:color="auto"/>
        <w:bottom w:val="none" w:sz="0" w:space="0" w:color="auto"/>
        <w:right w:val="none" w:sz="0" w:space="0" w:color="auto"/>
      </w:divBdr>
    </w:div>
    <w:div w:id="932737789">
      <w:bodyDiv w:val="1"/>
      <w:marLeft w:val="0"/>
      <w:marRight w:val="0"/>
      <w:marTop w:val="0"/>
      <w:marBottom w:val="0"/>
      <w:divBdr>
        <w:top w:val="none" w:sz="0" w:space="0" w:color="auto"/>
        <w:left w:val="none" w:sz="0" w:space="0" w:color="auto"/>
        <w:bottom w:val="none" w:sz="0" w:space="0" w:color="auto"/>
        <w:right w:val="none" w:sz="0" w:space="0" w:color="auto"/>
      </w:divBdr>
    </w:div>
    <w:div w:id="933318458">
      <w:bodyDiv w:val="1"/>
      <w:marLeft w:val="0"/>
      <w:marRight w:val="0"/>
      <w:marTop w:val="0"/>
      <w:marBottom w:val="0"/>
      <w:divBdr>
        <w:top w:val="none" w:sz="0" w:space="0" w:color="auto"/>
        <w:left w:val="none" w:sz="0" w:space="0" w:color="auto"/>
        <w:bottom w:val="none" w:sz="0" w:space="0" w:color="auto"/>
        <w:right w:val="none" w:sz="0" w:space="0" w:color="auto"/>
      </w:divBdr>
    </w:div>
    <w:div w:id="933901329">
      <w:bodyDiv w:val="1"/>
      <w:marLeft w:val="0"/>
      <w:marRight w:val="0"/>
      <w:marTop w:val="0"/>
      <w:marBottom w:val="0"/>
      <w:divBdr>
        <w:top w:val="none" w:sz="0" w:space="0" w:color="auto"/>
        <w:left w:val="none" w:sz="0" w:space="0" w:color="auto"/>
        <w:bottom w:val="none" w:sz="0" w:space="0" w:color="auto"/>
        <w:right w:val="none" w:sz="0" w:space="0" w:color="auto"/>
      </w:divBdr>
    </w:div>
    <w:div w:id="934241032">
      <w:bodyDiv w:val="1"/>
      <w:marLeft w:val="0"/>
      <w:marRight w:val="0"/>
      <w:marTop w:val="0"/>
      <w:marBottom w:val="0"/>
      <w:divBdr>
        <w:top w:val="none" w:sz="0" w:space="0" w:color="auto"/>
        <w:left w:val="none" w:sz="0" w:space="0" w:color="auto"/>
        <w:bottom w:val="none" w:sz="0" w:space="0" w:color="auto"/>
        <w:right w:val="none" w:sz="0" w:space="0" w:color="auto"/>
      </w:divBdr>
    </w:div>
    <w:div w:id="934287605">
      <w:bodyDiv w:val="1"/>
      <w:marLeft w:val="0"/>
      <w:marRight w:val="0"/>
      <w:marTop w:val="0"/>
      <w:marBottom w:val="0"/>
      <w:divBdr>
        <w:top w:val="none" w:sz="0" w:space="0" w:color="auto"/>
        <w:left w:val="none" w:sz="0" w:space="0" w:color="auto"/>
        <w:bottom w:val="none" w:sz="0" w:space="0" w:color="auto"/>
        <w:right w:val="none" w:sz="0" w:space="0" w:color="auto"/>
      </w:divBdr>
    </w:div>
    <w:div w:id="934635718">
      <w:bodyDiv w:val="1"/>
      <w:marLeft w:val="0"/>
      <w:marRight w:val="0"/>
      <w:marTop w:val="0"/>
      <w:marBottom w:val="0"/>
      <w:divBdr>
        <w:top w:val="none" w:sz="0" w:space="0" w:color="auto"/>
        <w:left w:val="none" w:sz="0" w:space="0" w:color="auto"/>
        <w:bottom w:val="none" w:sz="0" w:space="0" w:color="auto"/>
        <w:right w:val="none" w:sz="0" w:space="0" w:color="auto"/>
      </w:divBdr>
    </w:div>
    <w:div w:id="935022156">
      <w:bodyDiv w:val="1"/>
      <w:marLeft w:val="0"/>
      <w:marRight w:val="0"/>
      <w:marTop w:val="0"/>
      <w:marBottom w:val="0"/>
      <w:divBdr>
        <w:top w:val="none" w:sz="0" w:space="0" w:color="auto"/>
        <w:left w:val="none" w:sz="0" w:space="0" w:color="auto"/>
        <w:bottom w:val="none" w:sz="0" w:space="0" w:color="auto"/>
        <w:right w:val="none" w:sz="0" w:space="0" w:color="auto"/>
      </w:divBdr>
    </w:div>
    <w:div w:id="935360461">
      <w:bodyDiv w:val="1"/>
      <w:marLeft w:val="0"/>
      <w:marRight w:val="0"/>
      <w:marTop w:val="0"/>
      <w:marBottom w:val="0"/>
      <w:divBdr>
        <w:top w:val="none" w:sz="0" w:space="0" w:color="auto"/>
        <w:left w:val="none" w:sz="0" w:space="0" w:color="auto"/>
        <w:bottom w:val="none" w:sz="0" w:space="0" w:color="auto"/>
        <w:right w:val="none" w:sz="0" w:space="0" w:color="auto"/>
      </w:divBdr>
    </w:div>
    <w:div w:id="936253214">
      <w:bodyDiv w:val="1"/>
      <w:marLeft w:val="0"/>
      <w:marRight w:val="0"/>
      <w:marTop w:val="0"/>
      <w:marBottom w:val="0"/>
      <w:divBdr>
        <w:top w:val="none" w:sz="0" w:space="0" w:color="auto"/>
        <w:left w:val="none" w:sz="0" w:space="0" w:color="auto"/>
        <w:bottom w:val="none" w:sz="0" w:space="0" w:color="auto"/>
        <w:right w:val="none" w:sz="0" w:space="0" w:color="auto"/>
      </w:divBdr>
    </w:div>
    <w:div w:id="936791073">
      <w:bodyDiv w:val="1"/>
      <w:marLeft w:val="0"/>
      <w:marRight w:val="0"/>
      <w:marTop w:val="0"/>
      <w:marBottom w:val="0"/>
      <w:divBdr>
        <w:top w:val="none" w:sz="0" w:space="0" w:color="auto"/>
        <w:left w:val="none" w:sz="0" w:space="0" w:color="auto"/>
        <w:bottom w:val="none" w:sz="0" w:space="0" w:color="auto"/>
        <w:right w:val="none" w:sz="0" w:space="0" w:color="auto"/>
      </w:divBdr>
    </w:div>
    <w:div w:id="936795630">
      <w:bodyDiv w:val="1"/>
      <w:marLeft w:val="0"/>
      <w:marRight w:val="0"/>
      <w:marTop w:val="0"/>
      <w:marBottom w:val="0"/>
      <w:divBdr>
        <w:top w:val="none" w:sz="0" w:space="0" w:color="auto"/>
        <w:left w:val="none" w:sz="0" w:space="0" w:color="auto"/>
        <w:bottom w:val="none" w:sz="0" w:space="0" w:color="auto"/>
        <w:right w:val="none" w:sz="0" w:space="0" w:color="auto"/>
      </w:divBdr>
    </w:div>
    <w:div w:id="937639178">
      <w:bodyDiv w:val="1"/>
      <w:marLeft w:val="0"/>
      <w:marRight w:val="0"/>
      <w:marTop w:val="0"/>
      <w:marBottom w:val="0"/>
      <w:divBdr>
        <w:top w:val="none" w:sz="0" w:space="0" w:color="auto"/>
        <w:left w:val="none" w:sz="0" w:space="0" w:color="auto"/>
        <w:bottom w:val="none" w:sz="0" w:space="0" w:color="auto"/>
        <w:right w:val="none" w:sz="0" w:space="0" w:color="auto"/>
      </w:divBdr>
    </w:div>
    <w:div w:id="937832848">
      <w:bodyDiv w:val="1"/>
      <w:marLeft w:val="0"/>
      <w:marRight w:val="0"/>
      <w:marTop w:val="0"/>
      <w:marBottom w:val="0"/>
      <w:divBdr>
        <w:top w:val="none" w:sz="0" w:space="0" w:color="auto"/>
        <w:left w:val="none" w:sz="0" w:space="0" w:color="auto"/>
        <w:bottom w:val="none" w:sz="0" w:space="0" w:color="auto"/>
        <w:right w:val="none" w:sz="0" w:space="0" w:color="auto"/>
      </w:divBdr>
    </w:div>
    <w:div w:id="938947220">
      <w:bodyDiv w:val="1"/>
      <w:marLeft w:val="0"/>
      <w:marRight w:val="0"/>
      <w:marTop w:val="0"/>
      <w:marBottom w:val="0"/>
      <w:divBdr>
        <w:top w:val="none" w:sz="0" w:space="0" w:color="auto"/>
        <w:left w:val="none" w:sz="0" w:space="0" w:color="auto"/>
        <w:bottom w:val="none" w:sz="0" w:space="0" w:color="auto"/>
        <w:right w:val="none" w:sz="0" w:space="0" w:color="auto"/>
      </w:divBdr>
    </w:div>
    <w:div w:id="939606719">
      <w:bodyDiv w:val="1"/>
      <w:marLeft w:val="0"/>
      <w:marRight w:val="0"/>
      <w:marTop w:val="0"/>
      <w:marBottom w:val="0"/>
      <w:divBdr>
        <w:top w:val="none" w:sz="0" w:space="0" w:color="auto"/>
        <w:left w:val="none" w:sz="0" w:space="0" w:color="auto"/>
        <w:bottom w:val="none" w:sz="0" w:space="0" w:color="auto"/>
        <w:right w:val="none" w:sz="0" w:space="0" w:color="auto"/>
      </w:divBdr>
    </w:div>
    <w:div w:id="939606742">
      <w:bodyDiv w:val="1"/>
      <w:marLeft w:val="0"/>
      <w:marRight w:val="0"/>
      <w:marTop w:val="0"/>
      <w:marBottom w:val="0"/>
      <w:divBdr>
        <w:top w:val="none" w:sz="0" w:space="0" w:color="auto"/>
        <w:left w:val="none" w:sz="0" w:space="0" w:color="auto"/>
        <w:bottom w:val="none" w:sz="0" w:space="0" w:color="auto"/>
        <w:right w:val="none" w:sz="0" w:space="0" w:color="auto"/>
      </w:divBdr>
    </w:div>
    <w:div w:id="939992464">
      <w:bodyDiv w:val="1"/>
      <w:marLeft w:val="0"/>
      <w:marRight w:val="0"/>
      <w:marTop w:val="0"/>
      <w:marBottom w:val="0"/>
      <w:divBdr>
        <w:top w:val="none" w:sz="0" w:space="0" w:color="auto"/>
        <w:left w:val="none" w:sz="0" w:space="0" w:color="auto"/>
        <w:bottom w:val="none" w:sz="0" w:space="0" w:color="auto"/>
        <w:right w:val="none" w:sz="0" w:space="0" w:color="auto"/>
      </w:divBdr>
    </w:div>
    <w:div w:id="941188193">
      <w:bodyDiv w:val="1"/>
      <w:marLeft w:val="0"/>
      <w:marRight w:val="0"/>
      <w:marTop w:val="0"/>
      <w:marBottom w:val="0"/>
      <w:divBdr>
        <w:top w:val="none" w:sz="0" w:space="0" w:color="auto"/>
        <w:left w:val="none" w:sz="0" w:space="0" w:color="auto"/>
        <w:bottom w:val="none" w:sz="0" w:space="0" w:color="auto"/>
        <w:right w:val="none" w:sz="0" w:space="0" w:color="auto"/>
      </w:divBdr>
    </w:div>
    <w:div w:id="941374654">
      <w:bodyDiv w:val="1"/>
      <w:marLeft w:val="0"/>
      <w:marRight w:val="0"/>
      <w:marTop w:val="0"/>
      <w:marBottom w:val="0"/>
      <w:divBdr>
        <w:top w:val="none" w:sz="0" w:space="0" w:color="auto"/>
        <w:left w:val="none" w:sz="0" w:space="0" w:color="auto"/>
        <w:bottom w:val="none" w:sz="0" w:space="0" w:color="auto"/>
        <w:right w:val="none" w:sz="0" w:space="0" w:color="auto"/>
      </w:divBdr>
    </w:div>
    <w:div w:id="943077833">
      <w:bodyDiv w:val="1"/>
      <w:marLeft w:val="0"/>
      <w:marRight w:val="0"/>
      <w:marTop w:val="0"/>
      <w:marBottom w:val="0"/>
      <w:divBdr>
        <w:top w:val="none" w:sz="0" w:space="0" w:color="auto"/>
        <w:left w:val="none" w:sz="0" w:space="0" w:color="auto"/>
        <w:bottom w:val="none" w:sz="0" w:space="0" w:color="auto"/>
        <w:right w:val="none" w:sz="0" w:space="0" w:color="auto"/>
      </w:divBdr>
    </w:div>
    <w:div w:id="944461191">
      <w:bodyDiv w:val="1"/>
      <w:marLeft w:val="0"/>
      <w:marRight w:val="0"/>
      <w:marTop w:val="0"/>
      <w:marBottom w:val="0"/>
      <w:divBdr>
        <w:top w:val="none" w:sz="0" w:space="0" w:color="auto"/>
        <w:left w:val="none" w:sz="0" w:space="0" w:color="auto"/>
        <w:bottom w:val="none" w:sz="0" w:space="0" w:color="auto"/>
        <w:right w:val="none" w:sz="0" w:space="0" w:color="auto"/>
      </w:divBdr>
    </w:div>
    <w:div w:id="944651779">
      <w:bodyDiv w:val="1"/>
      <w:marLeft w:val="0"/>
      <w:marRight w:val="0"/>
      <w:marTop w:val="0"/>
      <w:marBottom w:val="0"/>
      <w:divBdr>
        <w:top w:val="none" w:sz="0" w:space="0" w:color="auto"/>
        <w:left w:val="none" w:sz="0" w:space="0" w:color="auto"/>
        <w:bottom w:val="none" w:sz="0" w:space="0" w:color="auto"/>
        <w:right w:val="none" w:sz="0" w:space="0" w:color="auto"/>
      </w:divBdr>
    </w:div>
    <w:div w:id="945961607">
      <w:bodyDiv w:val="1"/>
      <w:marLeft w:val="0"/>
      <w:marRight w:val="0"/>
      <w:marTop w:val="0"/>
      <w:marBottom w:val="0"/>
      <w:divBdr>
        <w:top w:val="none" w:sz="0" w:space="0" w:color="auto"/>
        <w:left w:val="none" w:sz="0" w:space="0" w:color="auto"/>
        <w:bottom w:val="none" w:sz="0" w:space="0" w:color="auto"/>
        <w:right w:val="none" w:sz="0" w:space="0" w:color="auto"/>
      </w:divBdr>
    </w:div>
    <w:div w:id="946892111">
      <w:bodyDiv w:val="1"/>
      <w:marLeft w:val="0"/>
      <w:marRight w:val="0"/>
      <w:marTop w:val="0"/>
      <w:marBottom w:val="0"/>
      <w:divBdr>
        <w:top w:val="none" w:sz="0" w:space="0" w:color="auto"/>
        <w:left w:val="none" w:sz="0" w:space="0" w:color="auto"/>
        <w:bottom w:val="none" w:sz="0" w:space="0" w:color="auto"/>
        <w:right w:val="none" w:sz="0" w:space="0" w:color="auto"/>
      </w:divBdr>
    </w:div>
    <w:div w:id="946936057">
      <w:bodyDiv w:val="1"/>
      <w:marLeft w:val="0"/>
      <w:marRight w:val="0"/>
      <w:marTop w:val="0"/>
      <w:marBottom w:val="0"/>
      <w:divBdr>
        <w:top w:val="none" w:sz="0" w:space="0" w:color="auto"/>
        <w:left w:val="none" w:sz="0" w:space="0" w:color="auto"/>
        <w:bottom w:val="none" w:sz="0" w:space="0" w:color="auto"/>
        <w:right w:val="none" w:sz="0" w:space="0" w:color="auto"/>
      </w:divBdr>
    </w:div>
    <w:div w:id="947006575">
      <w:bodyDiv w:val="1"/>
      <w:marLeft w:val="0"/>
      <w:marRight w:val="0"/>
      <w:marTop w:val="0"/>
      <w:marBottom w:val="0"/>
      <w:divBdr>
        <w:top w:val="none" w:sz="0" w:space="0" w:color="auto"/>
        <w:left w:val="none" w:sz="0" w:space="0" w:color="auto"/>
        <w:bottom w:val="none" w:sz="0" w:space="0" w:color="auto"/>
        <w:right w:val="none" w:sz="0" w:space="0" w:color="auto"/>
      </w:divBdr>
    </w:div>
    <w:div w:id="947196198">
      <w:bodyDiv w:val="1"/>
      <w:marLeft w:val="0"/>
      <w:marRight w:val="0"/>
      <w:marTop w:val="0"/>
      <w:marBottom w:val="0"/>
      <w:divBdr>
        <w:top w:val="none" w:sz="0" w:space="0" w:color="auto"/>
        <w:left w:val="none" w:sz="0" w:space="0" w:color="auto"/>
        <w:bottom w:val="none" w:sz="0" w:space="0" w:color="auto"/>
        <w:right w:val="none" w:sz="0" w:space="0" w:color="auto"/>
      </w:divBdr>
    </w:div>
    <w:div w:id="948388371">
      <w:bodyDiv w:val="1"/>
      <w:marLeft w:val="0"/>
      <w:marRight w:val="0"/>
      <w:marTop w:val="0"/>
      <w:marBottom w:val="0"/>
      <w:divBdr>
        <w:top w:val="none" w:sz="0" w:space="0" w:color="auto"/>
        <w:left w:val="none" w:sz="0" w:space="0" w:color="auto"/>
        <w:bottom w:val="none" w:sz="0" w:space="0" w:color="auto"/>
        <w:right w:val="none" w:sz="0" w:space="0" w:color="auto"/>
      </w:divBdr>
    </w:div>
    <w:div w:id="948657149">
      <w:bodyDiv w:val="1"/>
      <w:marLeft w:val="0"/>
      <w:marRight w:val="0"/>
      <w:marTop w:val="0"/>
      <w:marBottom w:val="0"/>
      <w:divBdr>
        <w:top w:val="none" w:sz="0" w:space="0" w:color="auto"/>
        <w:left w:val="none" w:sz="0" w:space="0" w:color="auto"/>
        <w:bottom w:val="none" w:sz="0" w:space="0" w:color="auto"/>
        <w:right w:val="none" w:sz="0" w:space="0" w:color="auto"/>
      </w:divBdr>
    </w:div>
    <w:div w:id="948777215">
      <w:bodyDiv w:val="1"/>
      <w:marLeft w:val="0"/>
      <w:marRight w:val="0"/>
      <w:marTop w:val="0"/>
      <w:marBottom w:val="0"/>
      <w:divBdr>
        <w:top w:val="none" w:sz="0" w:space="0" w:color="auto"/>
        <w:left w:val="none" w:sz="0" w:space="0" w:color="auto"/>
        <w:bottom w:val="none" w:sz="0" w:space="0" w:color="auto"/>
        <w:right w:val="none" w:sz="0" w:space="0" w:color="auto"/>
      </w:divBdr>
    </w:div>
    <w:div w:id="948969678">
      <w:bodyDiv w:val="1"/>
      <w:marLeft w:val="0"/>
      <w:marRight w:val="0"/>
      <w:marTop w:val="0"/>
      <w:marBottom w:val="0"/>
      <w:divBdr>
        <w:top w:val="none" w:sz="0" w:space="0" w:color="auto"/>
        <w:left w:val="none" w:sz="0" w:space="0" w:color="auto"/>
        <w:bottom w:val="none" w:sz="0" w:space="0" w:color="auto"/>
        <w:right w:val="none" w:sz="0" w:space="0" w:color="auto"/>
      </w:divBdr>
    </w:div>
    <w:div w:id="949320080">
      <w:bodyDiv w:val="1"/>
      <w:marLeft w:val="0"/>
      <w:marRight w:val="0"/>
      <w:marTop w:val="0"/>
      <w:marBottom w:val="0"/>
      <w:divBdr>
        <w:top w:val="none" w:sz="0" w:space="0" w:color="auto"/>
        <w:left w:val="none" w:sz="0" w:space="0" w:color="auto"/>
        <w:bottom w:val="none" w:sz="0" w:space="0" w:color="auto"/>
        <w:right w:val="none" w:sz="0" w:space="0" w:color="auto"/>
      </w:divBdr>
    </w:div>
    <w:div w:id="950016991">
      <w:bodyDiv w:val="1"/>
      <w:marLeft w:val="0"/>
      <w:marRight w:val="0"/>
      <w:marTop w:val="0"/>
      <w:marBottom w:val="0"/>
      <w:divBdr>
        <w:top w:val="none" w:sz="0" w:space="0" w:color="auto"/>
        <w:left w:val="none" w:sz="0" w:space="0" w:color="auto"/>
        <w:bottom w:val="none" w:sz="0" w:space="0" w:color="auto"/>
        <w:right w:val="none" w:sz="0" w:space="0" w:color="auto"/>
      </w:divBdr>
    </w:div>
    <w:div w:id="950162488">
      <w:bodyDiv w:val="1"/>
      <w:marLeft w:val="0"/>
      <w:marRight w:val="0"/>
      <w:marTop w:val="0"/>
      <w:marBottom w:val="0"/>
      <w:divBdr>
        <w:top w:val="none" w:sz="0" w:space="0" w:color="auto"/>
        <w:left w:val="none" w:sz="0" w:space="0" w:color="auto"/>
        <w:bottom w:val="none" w:sz="0" w:space="0" w:color="auto"/>
        <w:right w:val="none" w:sz="0" w:space="0" w:color="auto"/>
      </w:divBdr>
    </w:div>
    <w:div w:id="950665491">
      <w:bodyDiv w:val="1"/>
      <w:marLeft w:val="0"/>
      <w:marRight w:val="0"/>
      <w:marTop w:val="0"/>
      <w:marBottom w:val="0"/>
      <w:divBdr>
        <w:top w:val="none" w:sz="0" w:space="0" w:color="auto"/>
        <w:left w:val="none" w:sz="0" w:space="0" w:color="auto"/>
        <w:bottom w:val="none" w:sz="0" w:space="0" w:color="auto"/>
        <w:right w:val="none" w:sz="0" w:space="0" w:color="auto"/>
      </w:divBdr>
    </w:div>
    <w:div w:id="950823362">
      <w:bodyDiv w:val="1"/>
      <w:marLeft w:val="0"/>
      <w:marRight w:val="0"/>
      <w:marTop w:val="0"/>
      <w:marBottom w:val="0"/>
      <w:divBdr>
        <w:top w:val="none" w:sz="0" w:space="0" w:color="auto"/>
        <w:left w:val="none" w:sz="0" w:space="0" w:color="auto"/>
        <w:bottom w:val="none" w:sz="0" w:space="0" w:color="auto"/>
        <w:right w:val="none" w:sz="0" w:space="0" w:color="auto"/>
      </w:divBdr>
    </w:div>
    <w:div w:id="951593857">
      <w:bodyDiv w:val="1"/>
      <w:marLeft w:val="0"/>
      <w:marRight w:val="0"/>
      <w:marTop w:val="0"/>
      <w:marBottom w:val="0"/>
      <w:divBdr>
        <w:top w:val="none" w:sz="0" w:space="0" w:color="auto"/>
        <w:left w:val="none" w:sz="0" w:space="0" w:color="auto"/>
        <w:bottom w:val="none" w:sz="0" w:space="0" w:color="auto"/>
        <w:right w:val="none" w:sz="0" w:space="0" w:color="auto"/>
      </w:divBdr>
    </w:div>
    <w:div w:id="951742042">
      <w:bodyDiv w:val="1"/>
      <w:marLeft w:val="0"/>
      <w:marRight w:val="0"/>
      <w:marTop w:val="0"/>
      <w:marBottom w:val="0"/>
      <w:divBdr>
        <w:top w:val="none" w:sz="0" w:space="0" w:color="auto"/>
        <w:left w:val="none" w:sz="0" w:space="0" w:color="auto"/>
        <w:bottom w:val="none" w:sz="0" w:space="0" w:color="auto"/>
        <w:right w:val="none" w:sz="0" w:space="0" w:color="auto"/>
      </w:divBdr>
    </w:div>
    <w:div w:id="951940615">
      <w:bodyDiv w:val="1"/>
      <w:marLeft w:val="0"/>
      <w:marRight w:val="0"/>
      <w:marTop w:val="0"/>
      <w:marBottom w:val="0"/>
      <w:divBdr>
        <w:top w:val="none" w:sz="0" w:space="0" w:color="auto"/>
        <w:left w:val="none" w:sz="0" w:space="0" w:color="auto"/>
        <w:bottom w:val="none" w:sz="0" w:space="0" w:color="auto"/>
        <w:right w:val="none" w:sz="0" w:space="0" w:color="auto"/>
      </w:divBdr>
    </w:div>
    <w:div w:id="952639429">
      <w:bodyDiv w:val="1"/>
      <w:marLeft w:val="0"/>
      <w:marRight w:val="0"/>
      <w:marTop w:val="0"/>
      <w:marBottom w:val="0"/>
      <w:divBdr>
        <w:top w:val="none" w:sz="0" w:space="0" w:color="auto"/>
        <w:left w:val="none" w:sz="0" w:space="0" w:color="auto"/>
        <w:bottom w:val="none" w:sz="0" w:space="0" w:color="auto"/>
        <w:right w:val="none" w:sz="0" w:space="0" w:color="auto"/>
      </w:divBdr>
    </w:div>
    <w:div w:id="953950646">
      <w:bodyDiv w:val="1"/>
      <w:marLeft w:val="0"/>
      <w:marRight w:val="0"/>
      <w:marTop w:val="0"/>
      <w:marBottom w:val="0"/>
      <w:divBdr>
        <w:top w:val="none" w:sz="0" w:space="0" w:color="auto"/>
        <w:left w:val="none" w:sz="0" w:space="0" w:color="auto"/>
        <w:bottom w:val="none" w:sz="0" w:space="0" w:color="auto"/>
        <w:right w:val="none" w:sz="0" w:space="0" w:color="auto"/>
      </w:divBdr>
    </w:div>
    <w:div w:id="954486460">
      <w:bodyDiv w:val="1"/>
      <w:marLeft w:val="0"/>
      <w:marRight w:val="0"/>
      <w:marTop w:val="0"/>
      <w:marBottom w:val="0"/>
      <w:divBdr>
        <w:top w:val="none" w:sz="0" w:space="0" w:color="auto"/>
        <w:left w:val="none" w:sz="0" w:space="0" w:color="auto"/>
        <w:bottom w:val="none" w:sz="0" w:space="0" w:color="auto"/>
        <w:right w:val="none" w:sz="0" w:space="0" w:color="auto"/>
      </w:divBdr>
    </w:div>
    <w:div w:id="955327893">
      <w:bodyDiv w:val="1"/>
      <w:marLeft w:val="0"/>
      <w:marRight w:val="0"/>
      <w:marTop w:val="0"/>
      <w:marBottom w:val="0"/>
      <w:divBdr>
        <w:top w:val="none" w:sz="0" w:space="0" w:color="auto"/>
        <w:left w:val="none" w:sz="0" w:space="0" w:color="auto"/>
        <w:bottom w:val="none" w:sz="0" w:space="0" w:color="auto"/>
        <w:right w:val="none" w:sz="0" w:space="0" w:color="auto"/>
      </w:divBdr>
    </w:div>
    <w:div w:id="955403800">
      <w:bodyDiv w:val="1"/>
      <w:marLeft w:val="0"/>
      <w:marRight w:val="0"/>
      <w:marTop w:val="0"/>
      <w:marBottom w:val="0"/>
      <w:divBdr>
        <w:top w:val="none" w:sz="0" w:space="0" w:color="auto"/>
        <w:left w:val="none" w:sz="0" w:space="0" w:color="auto"/>
        <w:bottom w:val="none" w:sz="0" w:space="0" w:color="auto"/>
        <w:right w:val="none" w:sz="0" w:space="0" w:color="auto"/>
      </w:divBdr>
    </w:div>
    <w:div w:id="955524769">
      <w:bodyDiv w:val="1"/>
      <w:marLeft w:val="0"/>
      <w:marRight w:val="0"/>
      <w:marTop w:val="0"/>
      <w:marBottom w:val="0"/>
      <w:divBdr>
        <w:top w:val="none" w:sz="0" w:space="0" w:color="auto"/>
        <w:left w:val="none" w:sz="0" w:space="0" w:color="auto"/>
        <w:bottom w:val="none" w:sz="0" w:space="0" w:color="auto"/>
        <w:right w:val="none" w:sz="0" w:space="0" w:color="auto"/>
      </w:divBdr>
    </w:div>
    <w:div w:id="956179266">
      <w:bodyDiv w:val="1"/>
      <w:marLeft w:val="0"/>
      <w:marRight w:val="0"/>
      <w:marTop w:val="0"/>
      <w:marBottom w:val="0"/>
      <w:divBdr>
        <w:top w:val="none" w:sz="0" w:space="0" w:color="auto"/>
        <w:left w:val="none" w:sz="0" w:space="0" w:color="auto"/>
        <w:bottom w:val="none" w:sz="0" w:space="0" w:color="auto"/>
        <w:right w:val="none" w:sz="0" w:space="0" w:color="auto"/>
      </w:divBdr>
    </w:div>
    <w:div w:id="956376319">
      <w:bodyDiv w:val="1"/>
      <w:marLeft w:val="0"/>
      <w:marRight w:val="0"/>
      <w:marTop w:val="0"/>
      <w:marBottom w:val="0"/>
      <w:divBdr>
        <w:top w:val="none" w:sz="0" w:space="0" w:color="auto"/>
        <w:left w:val="none" w:sz="0" w:space="0" w:color="auto"/>
        <w:bottom w:val="none" w:sz="0" w:space="0" w:color="auto"/>
        <w:right w:val="none" w:sz="0" w:space="0" w:color="auto"/>
      </w:divBdr>
    </w:div>
    <w:div w:id="956835948">
      <w:bodyDiv w:val="1"/>
      <w:marLeft w:val="0"/>
      <w:marRight w:val="0"/>
      <w:marTop w:val="0"/>
      <w:marBottom w:val="0"/>
      <w:divBdr>
        <w:top w:val="none" w:sz="0" w:space="0" w:color="auto"/>
        <w:left w:val="none" w:sz="0" w:space="0" w:color="auto"/>
        <w:bottom w:val="none" w:sz="0" w:space="0" w:color="auto"/>
        <w:right w:val="none" w:sz="0" w:space="0" w:color="auto"/>
      </w:divBdr>
    </w:div>
    <w:div w:id="957026268">
      <w:bodyDiv w:val="1"/>
      <w:marLeft w:val="0"/>
      <w:marRight w:val="0"/>
      <w:marTop w:val="0"/>
      <w:marBottom w:val="0"/>
      <w:divBdr>
        <w:top w:val="none" w:sz="0" w:space="0" w:color="auto"/>
        <w:left w:val="none" w:sz="0" w:space="0" w:color="auto"/>
        <w:bottom w:val="none" w:sz="0" w:space="0" w:color="auto"/>
        <w:right w:val="none" w:sz="0" w:space="0" w:color="auto"/>
      </w:divBdr>
    </w:div>
    <w:div w:id="957445926">
      <w:bodyDiv w:val="1"/>
      <w:marLeft w:val="0"/>
      <w:marRight w:val="0"/>
      <w:marTop w:val="0"/>
      <w:marBottom w:val="0"/>
      <w:divBdr>
        <w:top w:val="none" w:sz="0" w:space="0" w:color="auto"/>
        <w:left w:val="none" w:sz="0" w:space="0" w:color="auto"/>
        <w:bottom w:val="none" w:sz="0" w:space="0" w:color="auto"/>
        <w:right w:val="none" w:sz="0" w:space="0" w:color="auto"/>
      </w:divBdr>
    </w:div>
    <w:div w:id="958028468">
      <w:bodyDiv w:val="1"/>
      <w:marLeft w:val="0"/>
      <w:marRight w:val="0"/>
      <w:marTop w:val="0"/>
      <w:marBottom w:val="0"/>
      <w:divBdr>
        <w:top w:val="none" w:sz="0" w:space="0" w:color="auto"/>
        <w:left w:val="none" w:sz="0" w:space="0" w:color="auto"/>
        <w:bottom w:val="none" w:sz="0" w:space="0" w:color="auto"/>
        <w:right w:val="none" w:sz="0" w:space="0" w:color="auto"/>
      </w:divBdr>
    </w:div>
    <w:div w:id="958029494">
      <w:bodyDiv w:val="1"/>
      <w:marLeft w:val="0"/>
      <w:marRight w:val="0"/>
      <w:marTop w:val="0"/>
      <w:marBottom w:val="0"/>
      <w:divBdr>
        <w:top w:val="none" w:sz="0" w:space="0" w:color="auto"/>
        <w:left w:val="none" w:sz="0" w:space="0" w:color="auto"/>
        <w:bottom w:val="none" w:sz="0" w:space="0" w:color="auto"/>
        <w:right w:val="none" w:sz="0" w:space="0" w:color="auto"/>
      </w:divBdr>
    </w:div>
    <w:div w:id="958802159">
      <w:bodyDiv w:val="1"/>
      <w:marLeft w:val="0"/>
      <w:marRight w:val="0"/>
      <w:marTop w:val="0"/>
      <w:marBottom w:val="0"/>
      <w:divBdr>
        <w:top w:val="none" w:sz="0" w:space="0" w:color="auto"/>
        <w:left w:val="none" w:sz="0" w:space="0" w:color="auto"/>
        <w:bottom w:val="none" w:sz="0" w:space="0" w:color="auto"/>
        <w:right w:val="none" w:sz="0" w:space="0" w:color="auto"/>
      </w:divBdr>
    </w:div>
    <w:div w:id="959805417">
      <w:bodyDiv w:val="1"/>
      <w:marLeft w:val="0"/>
      <w:marRight w:val="0"/>
      <w:marTop w:val="0"/>
      <w:marBottom w:val="0"/>
      <w:divBdr>
        <w:top w:val="none" w:sz="0" w:space="0" w:color="auto"/>
        <w:left w:val="none" w:sz="0" w:space="0" w:color="auto"/>
        <w:bottom w:val="none" w:sz="0" w:space="0" w:color="auto"/>
        <w:right w:val="none" w:sz="0" w:space="0" w:color="auto"/>
      </w:divBdr>
    </w:div>
    <w:div w:id="959923433">
      <w:bodyDiv w:val="1"/>
      <w:marLeft w:val="0"/>
      <w:marRight w:val="0"/>
      <w:marTop w:val="0"/>
      <w:marBottom w:val="0"/>
      <w:divBdr>
        <w:top w:val="none" w:sz="0" w:space="0" w:color="auto"/>
        <w:left w:val="none" w:sz="0" w:space="0" w:color="auto"/>
        <w:bottom w:val="none" w:sz="0" w:space="0" w:color="auto"/>
        <w:right w:val="none" w:sz="0" w:space="0" w:color="auto"/>
      </w:divBdr>
    </w:div>
    <w:div w:id="960456220">
      <w:bodyDiv w:val="1"/>
      <w:marLeft w:val="0"/>
      <w:marRight w:val="0"/>
      <w:marTop w:val="0"/>
      <w:marBottom w:val="0"/>
      <w:divBdr>
        <w:top w:val="none" w:sz="0" w:space="0" w:color="auto"/>
        <w:left w:val="none" w:sz="0" w:space="0" w:color="auto"/>
        <w:bottom w:val="none" w:sz="0" w:space="0" w:color="auto"/>
        <w:right w:val="none" w:sz="0" w:space="0" w:color="auto"/>
      </w:divBdr>
    </w:div>
    <w:div w:id="960526877">
      <w:bodyDiv w:val="1"/>
      <w:marLeft w:val="0"/>
      <w:marRight w:val="0"/>
      <w:marTop w:val="0"/>
      <w:marBottom w:val="0"/>
      <w:divBdr>
        <w:top w:val="none" w:sz="0" w:space="0" w:color="auto"/>
        <w:left w:val="none" w:sz="0" w:space="0" w:color="auto"/>
        <w:bottom w:val="none" w:sz="0" w:space="0" w:color="auto"/>
        <w:right w:val="none" w:sz="0" w:space="0" w:color="auto"/>
      </w:divBdr>
    </w:div>
    <w:div w:id="960570950">
      <w:bodyDiv w:val="1"/>
      <w:marLeft w:val="0"/>
      <w:marRight w:val="0"/>
      <w:marTop w:val="0"/>
      <w:marBottom w:val="0"/>
      <w:divBdr>
        <w:top w:val="none" w:sz="0" w:space="0" w:color="auto"/>
        <w:left w:val="none" w:sz="0" w:space="0" w:color="auto"/>
        <w:bottom w:val="none" w:sz="0" w:space="0" w:color="auto"/>
        <w:right w:val="none" w:sz="0" w:space="0" w:color="auto"/>
      </w:divBdr>
    </w:div>
    <w:div w:id="960771087">
      <w:bodyDiv w:val="1"/>
      <w:marLeft w:val="0"/>
      <w:marRight w:val="0"/>
      <w:marTop w:val="0"/>
      <w:marBottom w:val="0"/>
      <w:divBdr>
        <w:top w:val="none" w:sz="0" w:space="0" w:color="auto"/>
        <w:left w:val="none" w:sz="0" w:space="0" w:color="auto"/>
        <w:bottom w:val="none" w:sz="0" w:space="0" w:color="auto"/>
        <w:right w:val="none" w:sz="0" w:space="0" w:color="auto"/>
      </w:divBdr>
    </w:div>
    <w:div w:id="961107255">
      <w:bodyDiv w:val="1"/>
      <w:marLeft w:val="0"/>
      <w:marRight w:val="0"/>
      <w:marTop w:val="0"/>
      <w:marBottom w:val="0"/>
      <w:divBdr>
        <w:top w:val="none" w:sz="0" w:space="0" w:color="auto"/>
        <w:left w:val="none" w:sz="0" w:space="0" w:color="auto"/>
        <w:bottom w:val="none" w:sz="0" w:space="0" w:color="auto"/>
        <w:right w:val="none" w:sz="0" w:space="0" w:color="auto"/>
      </w:divBdr>
    </w:div>
    <w:div w:id="961545360">
      <w:bodyDiv w:val="1"/>
      <w:marLeft w:val="0"/>
      <w:marRight w:val="0"/>
      <w:marTop w:val="0"/>
      <w:marBottom w:val="0"/>
      <w:divBdr>
        <w:top w:val="none" w:sz="0" w:space="0" w:color="auto"/>
        <w:left w:val="none" w:sz="0" w:space="0" w:color="auto"/>
        <w:bottom w:val="none" w:sz="0" w:space="0" w:color="auto"/>
        <w:right w:val="none" w:sz="0" w:space="0" w:color="auto"/>
      </w:divBdr>
    </w:div>
    <w:div w:id="961694862">
      <w:bodyDiv w:val="1"/>
      <w:marLeft w:val="0"/>
      <w:marRight w:val="0"/>
      <w:marTop w:val="0"/>
      <w:marBottom w:val="0"/>
      <w:divBdr>
        <w:top w:val="none" w:sz="0" w:space="0" w:color="auto"/>
        <w:left w:val="none" w:sz="0" w:space="0" w:color="auto"/>
        <w:bottom w:val="none" w:sz="0" w:space="0" w:color="auto"/>
        <w:right w:val="none" w:sz="0" w:space="0" w:color="auto"/>
      </w:divBdr>
    </w:div>
    <w:div w:id="962228016">
      <w:bodyDiv w:val="1"/>
      <w:marLeft w:val="0"/>
      <w:marRight w:val="0"/>
      <w:marTop w:val="0"/>
      <w:marBottom w:val="0"/>
      <w:divBdr>
        <w:top w:val="none" w:sz="0" w:space="0" w:color="auto"/>
        <w:left w:val="none" w:sz="0" w:space="0" w:color="auto"/>
        <w:bottom w:val="none" w:sz="0" w:space="0" w:color="auto"/>
        <w:right w:val="none" w:sz="0" w:space="0" w:color="auto"/>
      </w:divBdr>
    </w:div>
    <w:div w:id="962690043">
      <w:bodyDiv w:val="1"/>
      <w:marLeft w:val="0"/>
      <w:marRight w:val="0"/>
      <w:marTop w:val="0"/>
      <w:marBottom w:val="0"/>
      <w:divBdr>
        <w:top w:val="none" w:sz="0" w:space="0" w:color="auto"/>
        <w:left w:val="none" w:sz="0" w:space="0" w:color="auto"/>
        <w:bottom w:val="none" w:sz="0" w:space="0" w:color="auto"/>
        <w:right w:val="none" w:sz="0" w:space="0" w:color="auto"/>
      </w:divBdr>
    </w:div>
    <w:div w:id="963270244">
      <w:bodyDiv w:val="1"/>
      <w:marLeft w:val="0"/>
      <w:marRight w:val="0"/>
      <w:marTop w:val="0"/>
      <w:marBottom w:val="0"/>
      <w:divBdr>
        <w:top w:val="none" w:sz="0" w:space="0" w:color="auto"/>
        <w:left w:val="none" w:sz="0" w:space="0" w:color="auto"/>
        <w:bottom w:val="none" w:sz="0" w:space="0" w:color="auto"/>
        <w:right w:val="none" w:sz="0" w:space="0" w:color="auto"/>
      </w:divBdr>
    </w:div>
    <w:div w:id="964046579">
      <w:bodyDiv w:val="1"/>
      <w:marLeft w:val="0"/>
      <w:marRight w:val="0"/>
      <w:marTop w:val="0"/>
      <w:marBottom w:val="0"/>
      <w:divBdr>
        <w:top w:val="none" w:sz="0" w:space="0" w:color="auto"/>
        <w:left w:val="none" w:sz="0" w:space="0" w:color="auto"/>
        <w:bottom w:val="none" w:sz="0" w:space="0" w:color="auto"/>
        <w:right w:val="none" w:sz="0" w:space="0" w:color="auto"/>
      </w:divBdr>
    </w:div>
    <w:div w:id="965893034">
      <w:bodyDiv w:val="1"/>
      <w:marLeft w:val="0"/>
      <w:marRight w:val="0"/>
      <w:marTop w:val="0"/>
      <w:marBottom w:val="0"/>
      <w:divBdr>
        <w:top w:val="none" w:sz="0" w:space="0" w:color="auto"/>
        <w:left w:val="none" w:sz="0" w:space="0" w:color="auto"/>
        <w:bottom w:val="none" w:sz="0" w:space="0" w:color="auto"/>
        <w:right w:val="none" w:sz="0" w:space="0" w:color="auto"/>
      </w:divBdr>
    </w:div>
    <w:div w:id="966081790">
      <w:bodyDiv w:val="1"/>
      <w:marLeft w:val="0"/>
      <w:marRight w:val="0"/>
      <w:marTop w:val="0"/>
      <w:marBottom w:val="0"/>
      <w:divBdr>
        <w:top w:val="none" w:sz="0" w:space="0" w:color="auto"/>
        <w:left w:val="none" w:sz="0" w:space="0" w:color="auto"/>
        <w:bottom w:val="none" w:sz="0" w:space="0" w:color="auto"/>
        <w:right w:val="none" w:sz="0" w:space="0" w:color="auto"/>
      </w:divBdr>
    </w:div>
    <w:div w:id="966164403">
      <w:bodyDiv w:val="1"/>
      <w:marLeft w:val="0"/>
      <w:marRight w:val="0"/>
      <w:marTop w:val="0"/>
      <w:marBottom w:val="0"/>
      <w:divBdr>
        <w:top w:val="none" w:sz="0" w:space="0" w:color="auto"/>
        <w:left w:val="none" w:sz="0" w:space="0" w:color="auto"/>
        <w:bottom w:val="none" w:sz="0" w:space="0" w:color="auto"/>
        <w:right w:val="none" w:sz="0" w:space="0" w:color="auto"/>
      </w:divBdr>
    </w:div>
    <w:div w:id="967856667">
      <w:bodyDiv w:val="1"/>
      <w:marLeft w:val="0"/>
      <w:marRight w:val="0"/>
      <w:marTop w:val="0"/>
      <w:marBottom w:val="0"/>
      <w:divBdr>
        <w:top w:val="none" w:sz="0" w:space="0" w:color="auto"/>
        <w:left w:val="none" w:sz="0" w:space="0" w:color="auto"/>
        <w:bottom w:val="none" w:sz="0" w:space="0" w:color="auto"/>
        <w:right w:val="none" w:sz="0" w:space="0" w:color="auto"/>
      </w:divBdr>
    </w:div>
    <w:div w:id="968171771">
      <w:bodyDiv w:val="1"/>
      <w:marLeft w:val="0"/>
      <w:marRight w:val="0"/>
      <w:marTop w:val="0"/>
      <w:marBottom w:val="0"/>
      <w:divBdr>
        <w:top w:val="none" w:sz="0" w:space="0" w:color="auto"/>
        <w:left w:val="none" w:sz="0" w:space="0" w:color="auto"/>
        <w:bottom w:val="none" w:sz="0" w:space="0" w:color="auto"/>
        <w:right w:val="none" w:sz="0" w:space="0" w:color="auto"/>
      </w:divBdr>
    </w:div>
    <w:div w:id="968362684">
      <w:bodyDiv w:val="1"/>
      <w:marLeft w:val="0"/>
      <w:marRight w:val="0"/>
      <w:marTop w:val="0"/>
      <w:marBottom w:val="0"/>
      <w:divBdr>
        <w:top w:val="none" w:sz="0" w:space="0" w:color="auto"/>
        <w:left w:val="none" w:sz="0" w:space="0" w:color="auto"/>
        <w:bottom w:val="none" w:sz="0" w:space="0" w:color="auto"/>
        <w:right w:val="none" w:sz="0" w:space="0" w:color="auto"/>
      </w:divBdr>
    </w:div>
    <w:div w:id="969483149">
      <w:bodyDiv w:val="1"/>
      <w:marLeft w:val="0"/>
      <w:marRight w:val="0"/>
      <w:marTop w:val="0"/>
      <w:marBottom w:val="0"/>
      <w:divBdr>
        <w:top w:val="none" w:sz="0" w:space="0" w:color="auto"/>
        <w:left w:val="none" w:sz="0" w:space="0" w:color="auto"/>
        <w:bottom w:val="none" w:sz="0" w:space="0" w:color="auto"/>
        <w:right w:val="none" w:sz="0" w:space="0" w:color="auto"/>
      </w:divBdr>
    </w:div>
    <w:div w:id="971055401">
      <w:bodyDiv w:val="1"/>
      <w:marLeft w:val="0"/>
      <w:marRight w:val="0"/>
      <w:marTop w:val="0"/>
      <w:marBottom w:val="0"/>
      <w:divBdr>
        <w:top w:val="none" w:sz="0" w:space="0" w:color="auto"/>
        <w:left w:val="none" w:sz="0" w:space="0" w:color="auto"/>
        <w:bottom w:val="none" w:sz="0" w:space="0" w:color="auto"/>
        <w:right w:val="none" w:sz="0" w:space="0" w:color="auto"/>
      </w:divBdr>
    </w:div>
    <w:div w:id="971056212">
      <w:bodyDiv w:val="1"/>
      <w:marLeft w:val="0"/>
      <w:marRight w:val="0"/>
      <w:marTop w:val="0"/>
      <w:marBottom w:val="0"/>
      <w:divBdr>
        <w:top w:val="none" w:sz="0" w:space="0" w:color="auto"/>
        <w:left w:val="none" w:sz="0" w:space="0" w:color="auto"/>
        <w:bottom w:val="none" w:sz="0" w:space="0" w:color="auto"/>
        <w:right w:val="none" w:sz="0" w:space="0" w:color="auto"/>
      </w:divBdr>
    </w:div>
    <w:div w:id="971472780">
      <w:bodyDiv w:val="1"/>
      <w:marLeft w:val="0"/>
      <w:marRight w:val="0"/>
      <w:marTop w:val="0"/>
      <w:marBottom w:val="0"/>
      <w:divBdr>
        <w:top w:val="none" w:sz="0" w:space="0" w:color="auto"/>
        <w:left w:val="none" w:sz="0" w:space="0" w:color="auto"/>
        <w:bottom w:val="none" w:sz="0" w:space="0" w:color="auto"/>
        <w:right w:val="none" w:sz="0" w:space="0" w:color="auto"/>
      </w:divBdr>
    </w:div>
    <w:div w:id="971519875">
      <w:bodyDiv w:val="1"/>
      <w:marLeft w:val="0"/>
      <w:marRight w:val="0"/>
      <w:marTop w:val="0"/>
      <w:marBottom w:val="0"/>
      <w:divBdr>
        <w:top w:val="none" w:sz="0" w:space="0" w:color="auto"/>
        <w:left w:val="none" w:sz="0" w:space="0" w:color="auto"/>
        <w:bottom w:val="none" w:sz="0" w:space="0" w:color="auto"/>
        <w:right w:val="none" w:sz="0" w:space="0" w:color="auto"/>
      </w:divBdr>
    </w:div>
    <w:div w:id="971978742">
      <w:bodyDiv w:val="1"/>
      <w:marLeft w:val="0"/>
      <w:marRight w:val="0"/>
      <w:marTop w:val="0"/>
      <w:marBottom w:val="0"/>
      <w:divBdr>
        <w:top w:val="none" w:sz="0" w:space="0" w:color="auto"/>
        <w:left w:val="none" w:sz="0" w:space="0" w:color="auto"/>
        <w:bottom w:val="none" w:sz="0" w:space="0" w:color="auto"/>
        <w:right w:val="none" w:sz="0" w:space="0" w:color="auto"/>
      </w:divBdr>
    </w:div>
    <w:div w:id="972907828">
      <w:bodyDiv w:val="1"/>
      <w:marLeft w:val="0"/>
      <w:marRight w:val="0"/>
      <w:marTop w:val="0"/>
      <w:marBottom w:val="0"/>
      <w:divBdr>
        <w:top w:val="none" w:sz="0" w:space="0" w:color="auto"/>
        <w:left w:val="none" w:sz="0" w:space="0" w:color="auto"/>
        <w:bottom w:val="none" w:sz="0" w:space="0" w:color="auto"/>
        <w:right w:val="none" w:sz="0" w:space="0" w:color="auto"/>
      </w:divBdr>
    </w:div>
    <w:div w:id="974524964">
      <w:bodyDiv w:val="1"/>
      <w:marLeft w:val="0"/>
      <w:marRight w:val="0"/>
      <w:marTop w:val="0"/>
      <w:marBottom w:val="0"/>
      <w:divBdr>
        <w:top w:val="none" w:sz="0" w:space="0" w:color="auto"/>
        <w:left w:val="none" w:sz="0" w:space="0" w:color="auto"/>
        <w:bottom w:val="none" w:sz="0" w:space="0" w:color="auto"/>
        <w:right w:val="none" w:sz="0" w:space="0" w:color="auto"/>
      </w:divBdr>
    </w:div>
    <w:div w:id="974528134">
      <w:bodyDiv w:val="1"/>
      <w:marLeft w:val="0"/>
      <w:marRight w:val="0"/>
      <w:marTop w:val="0"/>
      <w:marBottom w:val="0"/>
      <w:divBdr>
        <w:top w:val="none" w:sz="0" w:space="0" w:color="auto"/>
        <w:left w:val="none" w:sz="0" w:space="0" w:color="auto"/>
        <w:bottom w:val="none" w:sz="0" w:space="0" w:color="auto"/>
        <w:right w:val="none" w:sz="0" w:space="0" w:color="auto"/>
      </w:divBdr>
    </w:div>
    <w:div w:id="974681792">
      <w:bodyDiv w:val="1"/>
      <w:marLeft w:val="0"/>
      <w:marRight w:val="0"/>
      <w:marTop w:val="0"/>
      <w:marBottom w:val="0"/>
      <w:divBdr>
        <w:top w:val="none" w:sz="0" w:space="0" w:color="auto"/>
        <w:left w:val="none" w:sz="0" w:space="0" w:color="auto"/>
        <w:bottom w:val="none" w:sz="0" w:space="0" w:color="auto"/>
        <w:right w:val="none" w:sz="0" w:space="0" w:color="auto"/>
      </w:divBdr>
    </w:div>
    <w:div w:id="975724919">
      <w:bodyDiv w:val="1"/>
      <w:marLeft w:val="0"/>
      <w:marRight w:val="0"/>
      <w:marTop w:val="0"/>
      <w:marBottom w:val="0"/>
      <w:divBdr>
        <w:top w:val="none" w:sz="0" w:space="0" w:color="auto"/>
        <w:left w:val="none" w:sz="0" w:space="0" w:color="auto"/>
        <w:bottom w:val="none" w:sz="0" w:space="0" w:color="auto"/>
        <w:right w:val="none" w:sz="0" w:space="0" w:color="auto"/>
      </w:divBdr>
    </w:div>
    <w:div w:id="977106165">
      <w:bodyDiv w:val="1"/>
      <w:marLeft w:val="0"/>
      <w:marRight w:val="0"/>
      <w:marTop w:val="0"/>
      <w:marBottom w:val="0"/>
      <w:divBdr>
        <w:top w:val="none" w:sz="0" w:space="0" w:color="auto"/>
        <w:left w:val="none" w:sz="0" w:space="0" w:color="auto"/>
        <w:bottom w:val="none" w:sz="0" w:space="0" w:color="auto"/>
        <w:right w:val="none" w:sz="0" w:space="0" w:color="auto"/>
      </w:divBdr>
    </w:div>
    <w:div w:id="977228456">
      <w:bodyDiv w:val="1"/>
      <w:marLeft w:val="0"/>
      <w:marRight w:val="0"/>
      <w:marTop w:val="0"/>
      <w:marBottom w:val="0"/>
      <w:divBdr>
        <w:top w:val="none" w:sz="0" w:space="0" w:color="auto"/>
        <w:left w:val="none" w:sz="0" w:space="0" w:color="auto"/>
        <w:bottom w:val="none" w:sz="0" w:space="0" w:color="auto"/>
        <w:right w:val="none" w:sz="0" w:space="0" w:color="auto"/>
      </w:divBdr>
    </w:div>
    <w:div w:id="977294966">
      <w:bodyDiv w:val="1"/>
      <w:marLeft w:val="0"/>
      <w:marRight w:val="0"/>
      <w:marTop w:val="0"/>
      <w:marBottom w:val="0"/>
      <w:divBdr>
        <w:top w:val="none" w:sz="0" w:space="0" w:color="auto"/>
        <w:left w:val="none" w:sz="0" w:space="0" w:color="auto"/>
        <w:bottom w:val="none" w:sz="0" w:space="0" w:color="auto"/>
        <w:right w:val="none" w:sz="0" w:space="0" w:color="auto"/>
      </w:divBdr>
    </w:div>
    <w:div w:id="977537256">
      <w:bodyDiv w:val="1"/>
      <w:marLeft w:val="0"/>
      <w:marRight w:val="0"/>
      <w:marTop w:val="0"/>
      <w:marBottom w:val="0"/>
      <w:divBdr>
        <w:top w:val="none" w:sz="0" w:space="0" w:color="auto"/>
        <w:left w:val="none" w:sz="0" w:space="0" w:color="auto"/>
        <w:bottom w:val="none" w:sz="0" w:space="0" w:color="auto"/>
        <w:right w:val="none" w:sz="0" w:space="0" w:color="auto"/>
      </w:divBdr>
    </w:div>
    <w:div w:id="977762972">
      <w:bodyDiv w:val="1"/>
      <w:marLeft w:val="0"/>
      <w:marRight w:val="0"/>
      <w:marTop w:val="0"/>
      <w:marBottom w:val="0"/>
      <w:divBdr>
        <w:top w:val="none" w:sz="0" w:space="0" w:color="auto"/>
        <w:left w:val="none" w:sz="0" w:space="0" w:color="auto"/>
        <w:bottom w:val="none" w:sz="0" w:space="0" w:color="auto"/>
        <w:right w:val="none" w:sz="0" w:space="0" w:color="auto"/>
      </w:divBdr>
    </w:div>
    <w:div w:id="977959242">
      <w:bodyDiv w:val="1"/>
      <w:marLeft w:val="0"/>
      <w:marRight w:val="0"/>
      <w:marTop w:val="0"/>
      <w:marBottom w:val="0"/>
      <w:divBdr>
        <w:top w:val="none" w:sz="0" w:space="0" w:color="auto"/>
        <w:left w:val="none" w:sz="0" w:space="0" w:color="auto"/>
        <w:bottom w:val="none" w:sz="0" w:space="0" w:color="auto"/>
        <w:right w:val="none" w:sz="0" w:space="0" w:color="auto"/>
      </w:divBdr>
    </w:div>
    <w:div w:id="978460844">
      <w:bodyDiv w:val="1"/>
      <w:marLeft w:val="0"/>
      <w:marRight w:val="0"/>
      <w:marTop w:val="0"/>
      <w:marBottom w:val="0"/>
      <w:divBdr>
        <w:top w:val="none" w:sz="0" w:space="0" w:color="auto"/>
        <w:left w:val="none" w:sz="0" w:space="0" w:color="auto"/>
        <w:bottom w:val="none" w:sz="0" w:space="0" w:color="auto"/>
        <w:right w:val="none" w:sz="0" w:space="0" w:color="auto"/>
      </w:divBdr>
    </w:div>
    <w:div w:id="979992324">
      <w:bodyDiv w:val="1"/>
      <w:marLeft w:val="0"/>
      <w:marRight w:val="0"/>
      <w:marTop w:val="0"/>
      <w:marBottom w:val="0"/>
      <w:divBdr>
        <w:top w:val="none" w:sz="0" w:space="0" w:color="auto"/>
        <w:left w:val="none" w:sz="0" w:space="0" w:color="auto"/>
        <w:bottom w:val="none" w:sz="0" w:space="0" w:color="auto"/>
        <w:right w:val="none" w:sz="0" w:space="0" w:color="auto"/>
      </w:divBdr>
    </w:div>
    <w:div w:id="980696276">
      <w:bodyDiv w:val="1"/>
      <w:marLeft w:val="0"/>
      <w:marRight w:val="0"/>
      <w:marTop w:val="0"/>
      <w:marBottom w:val="0"/>
      <w:divBdr>
        <w:top w:val="none" w:sz="0" w:space="0" w:color="auto"/>
        <w:left w:val="none" w:sz="0" w:space="0" w:color="auto"/>
        <w:bottom w:val="none" w:sz="0" w:space="0" w:color="auto"/>
        <w:right w:val="none" w:sz="0" w:space="0" w:color="auto"/>
      </w:divBdr>
    </w:div>
    <w:div w:id="980766210">
      <w:bodyDiv w:val="1"/>
      <w:marLeft w:val="0"/>
      <w:marRight w:val="0"/>
      <w:marTop w:val="0"/>
      <w:marBottom w:val="0"/>
      <w:divBdr>
        <w:top w:val="none" w:sz="0" w:space="0" w:color="auto"/>
        <w:left w:val="none" w:sz="0" w:space="0" w:color="auto"/>
        <w:bottom w:val="none" w:sz="0" w:space="0" w:color="auto"/>
        <w:right w:val="none" w:sz="0" w:space="0" w:color="auto"/>
      </w:divBdr>
    </w:div>
    <w:div w:id="981078526">
      <w:bodyDiv w:val="1"/>
      <w:marLeft w:val="0"/>
      <w:marRight w:val="0"/>
      <w:marTop w:val="0"/>
      <w:marBottom w:val="0"/>
      <w:divBdr>
        <w:top w:val="none" w:sz="0" w:space="0" w:color="auto"/>
        <w:left w:val="none" w:sz="0" w:space="0" w:color="auto"/>
        <w:bottom w:val="none" w:sz="0" w:space="0" w:color="auto"/>
        <w:right w:val="none" w:sz="0" w:space="0" w:color="auto"/>
      </w:divBdr>
    </w:div>
    <w:div w:id="981347797">
      <w:bodyDiv w:val="1"/>
      <w:marLeft w:val="0"/>
      <w:marRight w:val="0"/>
      <w:marTop w:val="0"/>
      <w:marBottom w:val="0"/>
      <w:divBdr>
        <w:top w:val="none" w:sz="0" w:space="0" w:color="auto"/>
        <w:left w:val="none" w:sz="0" w:space="0" w:color="auto"/>
        <w:bottom w:val="none" w:sz="0" w:space="0" w:color="auto"/>
        <w:right w:val="none" w:sz="0" w:space="0" w:color="auto"/>
      </w:divBdr>
    </w:div>
    <w:div w:id="981806860">
      <w:bodyDiv w:val="1"/>
      <w:marLeft w:val="0"/>
      <w:marRight w:val="0"/>
      <w:marTop w:val="0"/>
      <w:marBottom w:val="0"/>
      <w:divBdr>
        <w:top w:val="none" w:sz="0" w:space="0" w:color="auto"/>
        <w:left w:val="none" w:sz="0" w:space="0" w:color="auto"/>
        <w:bottom w:val="none" w:sz="0" w:space="0" w:color="auto"/>
        <w:right w:val="none" w:sz="0" w:space="0" w:color="auto"/>
      </w:divBdr>
    </w:div>
    <w:div w:id="981809965">
      <w:bodyDiv w:val="1"/>
      <w:marLeft w:val="0"/>
      <w:marRight w:val="0"/>
      <w:marTop w:val="0"/>
      <w:marBottom w:val="0"/>
      <w:divBdr>
        <w:top w:val="none" w:sz="0" w:space="0" w:color="auto"/>
        <w:left w:val="none" w:sz="0" w:space="0" w:color="auto"/>
        <w:bottom w:val="none" w:sz="0" w:space="0" w:color="auto"/>
        <w:right w:val="none" w:sz="0" w:space="0" w:color="auto"/>
      </w:divBdr>
    </w:div>
    <w:div w:id="984118249">
      <w:bodyDiv w:val="1"/>
      <w:marLeft w:val="0"/>
      <w:marRight w:val="0"/>
      <w:marTop w:val="0"/>
      <w:marBottom w:val="0"/>
      <w:divBdr>
        <w:top w:val="none" w:sz="0" w:space="0" w:color="auto"/>
        <w:left w:val="none" w:sz="0" w:space="0" w:color="auto"/>
        <w:bottom w:val="none" w:sz="0" w:space="0" w:color="auto"/>
        <w:right w:val="none" w:sz="0" w:space="0" w:color="auto"/>
      </w:divBdr>
    </w:div>
    <w:div w:id="984508014">
      <w:bodyDiv w:val="1"/>
      <w:marLeft w:val="0"/>
      <w:marRight w:val="0"/>
      <w:marTop w:val="0"/>
      <w:marBottom w:val="0"/>
      <w:divBdr>
        <w:top w:val="none" w:sz="0" w:space="0" w:color="auto"/>
        <w:left w:val="none" w:sz="0" w:space="0" w:color="auto"/>
        <w:bottom w:val="none" w:sz="0" w:space="0" w:color="auto"/>
        <w:right w:val="none" w:sz="0" w:space="0" w:color="auto"/>
      </w:divBdr>
    </w:div>
    <w:div w:id="984894175">
      <w:bodyDiv w:val="1"/>
      <w:marLeft w:val="0"/>
      <w:marRight w:val="0"/>
      <w:marTop w:val="0"/>
      <w:marBottom w:val="0"/>
      <w:divBdr>
        <w:top w:val="none" w:sz="0" w:space="0" w:color="auto"/>
        <w:left w:val="none" w:sz="0" w:space="0" w:color="auto"/>
        <w:bottom w:val="none" w:sz="0" w:space="0" w:color="auto"/>
        <w:right w:val="none" w:sz="0" w:space="0" w:color="auto"/>
      </w:divBdr>
    </w:div>
    <w:div w:id="985667935">
      <w:bodyDiv w:val="1"/>
      <w:marLeft w:val="0"/>
      <w:marRight w:val="0"/>
      <w:marTop w:val="0"/>
      <w:marBottom w:val="0"/>
      <w:divBdr>
        <w:top w:val="none" w:sz="0" w:space="0" w:color="auto"/>
        <w:left w:val="none" w:sz="0" w:space="0" w:color="auto"/>
        <w:bottom w:val="none" w:sz="0" w:space="0" w:color="auto"/>
        <w:right w:val="none" w:sz="0" w:space="0" w:color="auto"/>
      </w:divBdr>
    </w:div>
    <w:div w:id="985858977">
      <w:bodyDiv w:val="1"/>
      <w:marLeft w:val="0"/>
      <w:marRight w:val="0"/>
      <w:marTop w:val="0"/>
      <w:marBottom w:val="0"/>
      <w:divBdr>
        <w:top w:val="none" w:sz="0" w:space="0" w:color="auto"/>
        <w:left w:val="none" w:sz="0" w:space="0" w:color="auto"/>
        <w:bottom w:val="none" w:sz="0" w:space="0" w:color="auto"/>
        <w:right w:val="none" w:sz="0" w:space="0" w:color="auto"/>
      </w:divBdr>
    </w:div>
    <w:div w:id="985938282">
      <w:bodyDiv w:val="1"/>
      <w:marLeft w:val="0"/>
      <w:marRight w:val="0"/>
      <w:marTop w:val="0"/>
      <w:marBottom w:val="0"/>
      <w:divBdr>
        <w:top w:val="none" w:sz="0" w:space="0" w:color="auto"/>
        <w:left w:val="none" w:sz="0" w:space="0" w:color="auto"/>
        <w:bottom w:val="none" w:sz="0" w:space="0" w:color="auto"/>
        <w:right w:val="none" w:sz="0" w:space="0" w:color="auto"/>
      </w:divBdr>
    </w:div>
    <w:div w:id="986590921">
      <w:bodyDiv w:val="1"/>
      <w:marLeft w:val="0"/>
      <w:marRight w:val="0"/>
      <w:marTop w:val="0"/>
      <w:marBottom w:val="0"/>
      <w:divBdr>
        <w:top w:val="none" w:sz="0" w:space="0" w:color="auto"/>
        <w:left w:val="none" w:sz="0" w:space="0" w:color="auto"/>
        <w:bottom w:val="none" w:sz="0" w:space="0" w:color="auto"/>
        <w:right w:val="none" w:sz="0" w:space="0" w:color="auto"/>
      </w:divBdr>
    </w:div>
    <w:div w:id="986862679">
      <w:bodyDiv w:val="1"/>
      <w:marLeft w:val="0"/>
      <w:marRight w:val="0"/>
      <w:marTop w:val="0"/>
      <w:marBottom w:val="0"/>
      <w:divBdr>
        <w:top w:val="none" w:sz="0" w:space="0" w:color="auto"/>
        <w:left w:val="none" w:sz="0" w:space="0" w:color="auto"/>
        <w:bottom w:val="none" w:sz="0" w:space="0" w:color="auto"/>
        <w:right w:val="none" w:sz="0" w:space="0" w:color="auto"/>
      </w:divBdr>
    </w:div>
    <w:div w:id="987589145">
      <w:bodyDiv w:val="1"/>
      <w:marLeft w:val="0"/>
      <w:marRight w:val="0"/>
      <w:marTop w:val="0"/>
      <w:marBottom w:val="0"/>
      <w:divBdr>
        <w:top w:val="none" w:sz="0" w:space="0" w:color="auto"/>
        <w:left w:val="none" w:sz="0" w:space="0" w:color="auto"/>
        <w:bottom w:val="none" w:sz="0" w:space="0" w:color="auto"/>
        <w:right w:val="none" w:sz="0" w:space="0" w:color="auto"/>
      </w:divBdr>
    </w:div>
    <w:div w:id="987636693">
      <w:bodyDiv w:val="1"/>
      <w:marLeft w:val="0"/>
      <w:marRight w:val="0"/>
      <w:marTop w:val="0"/>
      <w:marBottom w:val="0"/>
      <w:divBdr>
        <w:top w:val="none" w:sz="0" w:space="0" w:color="auto"/>
        <w:left w:val="none" w:sz="0" w:space="0" w:color="auto"/>
        <w:bottom w:val="none" w:sz="0" w:space="0" w:color="auto"/>
        <w:right w:val="none" w:sz="0" w:space="0" w:color="auto"/>
      </w:divBdr>
    </w:div>
    <w:div w:id="988745637">
      <w:bodyDiv w:val="1"/>
      <w:marLeft w:val="0"/>
      <w:marRight w:val="0"/>
      <w:marTop w:val="0"/>
      <w:marBottom w:val="0"/>
      <w:divBdr>
        <w:top w:val="none" w:sz="0" w:space="0" w:color="auto"/>
        <w:left w:val="none" w:sz="0" w:space="0" w:color="auto"/>
        <w:bottom w:val="none" w:sz="0" w:space="0" w:color="auto"/>
        <w:right w:val="none" w:sz="0" w:space="0" w:color="auto"/>
      </w:divBdr>
    </w:div>
    <w:div w:id="988897410">
      <w:bodyDiv w:val="1"/>
      <w:marLeft w:val="0"/>
      <w:marRight w:val="0"/>
      <w:marTop w:val="0"/>
      <w:marBottom w:val="0"/>
      <w:divBdr>
        <w:top w:val="none" w:sz="0" w:space="0" w:color="auto"/>
        <w:left w:val="none" w:sz="0" w:space="0" w:color="auto"/>
        <w:bottom w:val="none" w:sz="0" w:space="0" w:color="auto"/>
        <w:right w:val="none" w:sz="0" w:space="0" w:color="auto"/>
      </w:divBdr>
    </w:div>
    <w:div w:id="989404952">
      <w:bodyDiv w:val="1"/>
      <w:marLeft w:val="0"/>
      <w:marRight w:val="0"/>
      <w:marTop w:val="0"/>
      <w:marBottom w:val="0"/>
      <w:divBdr>
        <w:top w:val="none" w:sz="0" w:space="0" w:color="auto"/>
        <w:left w:val="none" w:sz="0" w:space="0" w:color="auto"/>
        <w:bottom w:val="none" w:sz="0" w:space="0" w:color="auto"/>
        <w:right w:val="none" w:sz="0" w:space="0" w:color="auto"/>
      </w:divBdr>
    </w:div>
    <w:div w:id="989602570">
      <w:bodyDiv w:val="1"/>
      <w:marLeft w:val="0"/>
      <w:marRight w:val="0"/>
      <w:marTop w:val="0"/>
      <w:marBottom w:val="0"/>
      <w:divBdr>
        <w:top w:val="none" w:sz="0" w:space="0" w:color="auto"/>
        <w:left w:val="none" w:sz="0" w:space="0" w:color="auto"/>
        <w:bottom w:val="none" w:sz="0" w:space="0" w:color="auto"/>
        <w:right w:val="none" w:sz="0" w:space="0" w:color="auto"/>
      </w:divBdr>
    </w:div>
    <w:div w:id="990403687">
      <w:bodyDiv w:val="1"/>
      <w:marLeft w:val="0"/>
      <w:marRight w:val="0"/>
      <w:marTop w:val="0"/>
      <w:marBottom w:val="0"/>
      <w:divBdr>
        <w:top w:val="none" w:sz="0" w:space="0" w:color="auto"/>
        <w:left w:val="none" w:sz="0" w:space="0" w:color="auto"/>
        <w:bottom w:val="none" w:sz="0" w:space="0" w:color="auto"/>
        <w:right w:val="none" w:sz="0" w:space="0" w:color="auto"/>
      </w:divBdr>
    </w:div>
    <w:div w:id="991132408">
      <w:bodyDiv w:val="1"/>
      <w:marLeft w:val="0"/>
      <w:marRight w:val="0"/>
      <w:marTop w:val="0"/>
      <w:marBottom w:val="0"/>
      <w:divBdr>
        <w:top w:val="none" w:sz="0" w:space="0" w:color="auto"/>
        <w:left w:val="none" w:sz="0" w:space="0" w:color="auto"/>
        <w:bottom w:val="none" w:sz="0" w:space="0" w:color="auto"/>
        <w:right w:val="none" w:sz="0" w:space="0" w:color="auto"/>
      </w:divBdr>
    </w:div>
    <w:div w:id="991182666">
      <w:bodyDiv w:val="1"/>
      <w:marLeft w:val="0"/>
      <w:marRight w:val="0"/>
      <w:marTop w:val="0"/>
      <w:marBottom w:val="0"/>
      <w:divBdr>
        <w:top w:val="none" w:sz="0" w:space="0" w:color="auto"/>
        <w:left w:val="none" w:sz="0" w:space="0" w:color="auto"/>
        <w:bottom w:val="none" w:sz="0" w:space="0" w:color="auto"/>
        <w:right w:val="none" w:sz="0" w:space="0" w:color="auto"/>
      </w:divBdr>
    </w:div>
    <w:div w:id="991568869">
      <w:bodyDiv w:val="1"/>
      <w:marLeft w:val="0"/>
      <w:marRight w:val="0"/>
      <w:marTop w:val="0"/>
      <w:marBottom w:val="0"/>
      <w:divBdr>
        <w:top w:val="none" w:sz="0" w:space="0" w:color="auto"/>
        <w:left w:val="none" w:sz="0" w:space="0" w:color="auto"/>
        <w:bottom w:val="none" w:sz="0" w:space="0" w:color="auto"/>
        <w:right w:val="none" w:sz="0" w:space="0" w:color="auto"/>
      </w:divBdr>
    </w:div>
    <w:div w:id="991982283">
      <w:bodyDiv w:val="1"/>
      <w:marLeft w:val="0"/>
      <w:marRight w:val="0"/>
      <w:marTop w:val="0"/>
      <w:marBottom w:val="0"/>
      <w:divBdr>
        <w:top w:val="none" w:sz="0" w:space="0" w:color="auto"/>
        <w:left w:val="none" w:sz="0" w:space="0" w:color="auto"/>
        <w:bottom w:val="none" w:sz="0" w:space="0" w:color="auto"/>
        <w:right w:val="none" w:sz="0" w:space="0" w:color="auto"/>
      </w:divBdr>
    </w:div>
    <w:div w:id="992149613">
      <w:bodyDiv w:val="1"/>
      <w:marLeft w:val="0"/>
      <w:marRight w:val="0"/>
      <w:marTop w:val="0"/>
      <w:marBottom w:val="0"/>
      <w:divBdr>
        <w:top w:val="none" w:sz="0" w:space="0" w:color="auto"/>
        <w:left w:val="none" w:sz="0" w:space="0" w:color="auto"/>
        <w:bottom w:val="none" w:sz="0" w:space="0" w:color="auto"/>
        <w:right w:val="none" w:sz="0" w:space="0" w:color="auto"/>
      </w:divBdr>
    </w:div>
    <w:div w:id="993215936">
      <w:bodyDiv w:val="1"/>
      <w:marLeft w:val="0"/>
      <w:marRight w:val="0"/>
      <w:marTop w:val="0"/>
      <w:marBottom w:val="0"/>
      <w:divBdr>
        <w:top w:val="none" w:sz="0" w:space="0" w:color="auto"/>
        <w:left w:val="none" w:sz="0" w:space="0" w:color="auto"/>
        <w:bottom w:val="none" w:sz="0" w:space="0" w:color="auto"/>
        <w:right w:val="none" w:sz="0" w:space="0" w:color="auto"/>
      </w:divBdr>
    </w:div>
    <w:div w:id="993607933">
      <w:bodyDiv w:val="1"/>
      <w:marLeft w:val="0"/>
      <w:marRight w:val="0"/>
      <w:marTop w:val="0"/>
      <w:marBottom w:val="0"/>
      <w:divBdr>
        <w:top w:val="none" w:sz="0" w:space="0" w:color="auto"/>
        <w:left w:val="none" w:sz="0" w:space="0" w:color="auto"/>
        <w:bottom w:val="none" w:sz="0" w:space="0" w:color="auto"/>
        <w:right w:val="none" w:sz="0" w:space="0" w:color="auto"/>
      </w:divBdr>
    </w:div>
    <w:div w:id="993802651">
      <w:bodyDiv w:val="1"/>
      <w:marLeft w:val="0"/>
      <w:marRight w:val="0"/>
      <w:marTop w:val="0"/>
      <w:marBottom w:val="0"/>
      <w:divBdr>
        <w:top w:val="none" w:sz="0" w:space="0" w:color="auto"/>
        <w:left w:val="none" w:sz="0" w:space="0" w:color="auto"/>
        <w:bottom w:val="none" w:sz="0" w:space="0" w:color="auto"/>
        <w:right w:val="none" w:sz="0" w:space="0" w:color="auto"/>
      </w:divBdr>
    </w:div>
    <w:div w:id="993870393">
      <w:bodyDiv w:val="1"/>
      <w:marLeft w:val="0"/>
      <w:marRight w:val="0"/>
      <w:marTop w:val="0"/>
      <w:marBottom w:val="0"/>
      <w:divBdr>
        <w:top w:val="none" w:sz="0" w:space="0" w:color="auto"/>
        <w:left w:val="none" w:sz="0" w:space="0" w:color="auto"/>
        <w:bottom w:val="none" w:sz="0" w:space="0" w:color="auto"/>
        <w:right w:val="none" w:sz="0" w:space="0" w:color="auto"/>
      </w:divBdr>
      <w:divsChild>
        <w:div w:id="948506820">
          <w:marLeft w:val="0"/>
          <w:marRight w:val="0"/>
          <w:marTop w:val="0"/>
          <w:marBottom w:val="0"/>
          <w:divBdr>
            <w:top w:val="none" w:sz="0" w:space="0" w:color="auto"/>
            <w:left w:val="none" w:sz="0" w:space="0" w:color="auto"/>
            <w:bottom w:val="none" w:sz="0" w:space="0" w:color="auto"/>
            <w:right w:val="none" w:sz="0" w:space="0" w:color="auto"/>
          </w:divBdr>
        </w:div>
      </w:divsChild>
    </w:div>
    <w:div w:id="993997135">
      <w:bodyDiv w:val="1"/>
      <w:marLeft w:val="0"/>
      <w:marRight w:val="0"/>
      <w:marTop w:val="0"/>
      <w:marBottom w:val="0"/>
      <w:divBdr>
        <w:top w:val="none" w:sz="0" w:space="0" w:color="auto"/>
        <w:left w:val="none" w:sz="0" w:space="0" w:color="auto"/>
        <w:bottom w:val="none" w:sz="0" w:space="0" w:color="auto"/>
        <w:right w:val="none" w:sz="0" w:space="0" w:color="auto"/>
      </w:divBdr>
    </w:div>
    <w:div w:id="994341425">
      <w:bodyDiv w:val="1"/>
      <w:marLeft w:val="0"/>
      <w:marRight w:val="0"/>
      <w:marTop w:val="0"/>
      <w:marBottom w:val="0"/>
      <w:divBdr>
        <w:top w:val="none" w:sz="0" w:space="0" w:color="auto"/>
        <w:left w:val="none" w:sz="0" w:space="0" w:color="auto"/>
        <w:bottom w:val="none" w:sz="0" w:space="0" w:color="auto"/>
        <w:right w:val="none" w:sz="0" w:space="0" w:color="auto"/>
      </w:divBdr>
    </w:div>
    <w:div w:id="994574368">
      <w:bodyDiv w:val="1"/>
      <w:marLeft w:val="0"/>
      <w:marRight w:val="0"/>
      <w:marTop w:val="0"/>
      <w:marBottom w:val="0"/>
      <w:divBdr>
        <w:top w:val="none" w:sz="0" w:space="0" w:color="auto"/>
        <w:left w:val="none" w:sz="0" w:space="0" w:color="auto"/>
        <w:bottom w:val="none" w:sz="0" w:space="0" w:color="auto"/>
        <w:right w:val="none" w:sz="0" w:space="0" w:color="auto"/>
      </w:divBdr>
    </w:div>
    <w:div w:id="996154341">
      <w:bodyDiv w:val="1"/>
      <w:marLeft w:val="0"/>
      <w:marRight w:val="0"/>
      <w:marTop w:val="0"/>
      <w:marBottom w:val="0"/>
      <w:divBdr>
        <w:top w:val="none" w:sz="0" w:space="0" w:color="auto"/>
        <w:left w:val="none" w:sz="0" w:space="0" w:color="auto"/>
        <w:bottom w:val="none" w:sz="0" w:space="0" w:color="auto"/>
        <w:right w:val="none" w:sz="0" w:space="0" w:color="auto"/>
      </w:divBdr>
    </w:div>
    <w:div w:id="996609175">
      <w:bodyDiv w:val="1"/>
      <w:marLeft w:val="0"/>
      <w:marRight w:val="0"/>
      <w:marTop w:val="0"/>
      <w:marBottom w:val="0"/>
      <w:divBdr>
        <w:top w:val="none" w:sz="0" w:space="0" w:color="auto"/>
        <w:left w:val="none" w:sz="0" w:space="0" w:color="auto"/>
        <w:bottom w:val="none" w:sz="0" w:space="0" w:color="auto"/>
        <w:right w:val="none" w:sz="0" w:space="0" w:color="auto"/>
      </w:divBdr>
    </w:div>
    <w:div w:id="996766143">
      <w:bodyDiv w:val="1"/>
      <w:marLeft w:val="0"/>
      <w:marRight w:val="0"/>
      <w:marTop w:val="0"/>
      <w:marBottom w:val="0"/>
      <w:divBdr>
        <w:top w:val="none" w:sz="0" w:space="0" w:color="auto"/>
        <w:left w:val="none" w:sz="0" w:space="0" w:color="auto"/>
        <w:bottom w:val="none" w:sz="0" w:space="0" w:color="auto"/>
        <w:right w:val="none" w:sz="0" w:space="0" w:color="auto"/>
      </w:divBdr>
    </w:div>
    <w:div w:id="997270420">
      <w:bodyDiv w:val="1"/>
      <w:marLeft w:val="0"/>
      <w:marRight w:val="0"/>
      <w:marTop w:val="0"/>
      <w:marBottom w:val="0"/>
      <w:divBdr>
        <w:top w:val="none" w:sz="0" w:space="0" w:color="auto"/>
        <w:left w:val="none" w:sz="0" w:space="0" w:color="auto"/>
        <w:bottom w:val="none" w:sz="0" w:space="0" w:color="auto"/>
        <w:right w:val="none" w:sz="0" w:space="0" w:color="auto"/>
      </w:divBdr>
    </w:div>
    <w:div w:id="997658844">
      <w:bodyDiv w:val="1"/>
      <w:marLeft w:val="0"/>
      <w:marRight w:val="0"/>
      <w:marTop w:val="0"/>
      <w:marBottom w:val="0"/>
      <w:divBdr>
        <w:top w:val="none" w:sz="0" w:space="0" w:color="auto"/>
        <w:left w:val="none" w:sz="0" w:space="0" w:color="auto"/>
        <w:bottom w:val="none" w:sz="0" w:space="0" w:color="auto"/>
        <w:right w:val="none" w:sz="0" w:space="0" w:color="auto"/>
      </w:divBdr>
    </w:div>
    <w:div w:id="998533090">
      <w:bodyDiv w:val="1"/>
      <w:marLeft w:val="0"/>
      <w:marRight w:val="0"/>
      <w:marTop w:val="0"/>
      <w:marBottom w:val="0"/>
      <w:divBdr>
        <w:top w:val="none" w:sz="0" w:space="0" w:color="auto"/>
        <w:left w:val="none" w:sz="0" w:space="0" w:color="auto"/>
        <w:bottom w:val="none" w:sz="0" w:space="0" w:color="auto"/>
        <w:right w:val="none" w:sz="0" w:space="0" w:color="auto"/>
      </w:divBdr>
    </w:div>
    <w:div w:id="999119899">
      <w:bodyDiv w:val="1"/>
      <w:marLeft w:val="0"/>
      <w:marRight w:val="0"/>
      <w:marTop w:val="0"/>
      <w:marBottom w:val="0"/>
      <w:divBdr>
        <w:top w:val="none" w:sz="0" w:space="0" w:color="auto"/>
        <w:left w:val="none" w:sz="0" w:space="0" w:color="auto"/>
        <w:bottom w:val="none" w:sz="0" w:space="0" w:color="auto"/>
        <w:right w:val="none" w:sz="0" w:space="0" w:color="auto"/>
      </w:divBdr>
    </w:div>
    <w:div w:id="999120607">
      <w:bodyDiv w:val="1"/>
      <w:marLeft w:val="0"/>
      <w:marRight w:val="0"/>
      <w:marTop w:val="0"/>
      <w:marBottom w:val="0"/>
      <w:divBdr>
        <w:top w:val="none" w:sz="0" w:space="0" w:color="auto"/>
        <w:left w:val="none" w:sz="0" w:space="0" w:color="auto"/>
        <w:bottom w:val="none" w:sz="0" w:space="0" w:color="auto"/>
        <w:right w:val="none" w:sz="0" w:space="0" w:color="auto"/>
      </w:divBdr>
    </w:div>
    <w:div w:id="1000355039">
      <w:bodyDiv w:val="1"/>
      <w:marLeft w:val="0"/>
      <w:marRight w:val="0"/>
      <w:marTop w:val="0"/>
      <w:marBottom w:val="0"/>
      <w:divBdr>
        <w:top w:val="none" w:sz="0" w:space="0" w:color="auto"/>
        <w:left w:val="none" w:sz="0" w:space="0" w:color="auto"/>
        <w:bottom w:val="none" w:sz="0" w:space="0" w:color="auto"/>
        <w:right w:val="none" w:sz="0" w:space="0" w:color="auto"/>
      </w:divBdr>
    </w:div>
    <w:div w:id="1000932707">
      <w:bodyDiv w:val="1"/>
      <w:marLeft w:val="0"/>
      <w:marRight w:val="0"/>
      <w:marTop w:val="0"/>
      <w:marBottom w:val="0"/>
      <w:divBdr>
        <w:top w:val="none" w:sz="0" w:space="0" w:color="auto"/>
        <w:left w:val="none" w:sz="0" w:space="0" w:color="auto"/>
        <w:bottom w:val="none" w:sz="0" w:space="0" w:color="auto"/>
        <w:right w:val="none" w:sz="0" w:space="0" w:color="auto"/>
      </w:divBdr>
    </w:div>
    <w:div w:id="1002246062">
      <w:bodyDiv w:val="1"/>
      <w:marLeft w:val="0"/>
      <w:marRight w:val="0"/>
      <w:marTop w:val="0"/>
      <w:marBottom w:val="0"/>
      <w:divBdr>
        <w:top w:val="none" w:sz="0" w:space="0" w:color="auto"/>
        <w:left w:val="none" w:sz="0" w:space="0" w:color="auto"/>
        <w:bottom w:val="none" w:sz="0" w:space="0" w:color="auto"/>
        <w:right w:val="none" w:sz="0" w:space="0" w:color="auto"/>
      </w:divBdr>
    </w:div>
    <w:div w:id="1002781677">
      <w:bodyDiv w:val="1"/>
      <w:marLeft w:val="0"/>
      <w:marRight w:val="0"/>
      <w:marTop w:val="0"/>
      <w:marBottom w:val="0"/>
      <w:divBdr>
        <w:top w:val="none" w:sz="0" w:space="0" w:color="auto"/>
        <w:left w:val="none" w:sz="0" w:space="0" w:color="auto"/>
        <w:bottom w:val="none" w:sz="0" w:space="0" w:color="auto"/>
        <w:right w:val="none" w:sz="0" w:space="0" w:color="auto"/>
      </w:divBdr>
    </w:div>
    <w:div w:id="1004161702">
      <w:bodyDiv w:val="1"/>
      <w:marLeft w:val="0"/>
      <w:marRight w:val="0"/>
      <w:marTop w:val="0"/>
      <w:marBottom w:val="0"/>
      <w:divBdr>
        <w:top w:val="none" w:sz="0" w:space="0" w:color="auto"/>
        <w:left w:val="none" w:sz="0" w:space="0" w:color="auto"/>
        <w:bottom w:val="none" w:sz="0" w:space="0" w:color="auto"/>
        <w:right w:val="none" w:sz="0" w:space="0" w:color="auto"/>
      </w:divBdr>
    </w:div>
    <w:div w:id="1004162672">
      <w:bodyDiv w:val="1"/>
      <w:marLeft w:val="0"/>
      <w:marRight w:val="0"/>
      <w:marTop w:val="0"/>
      <w:marBottom w:val="0"/>
      <w:divBdr>
        <w:top w:val="none" w:sz="0" w:space="0" w:color="auto"/>
        <w:left w:val="none" w:sz="0" w:space="0" w:color="auto"/>
        <w:bottom w:val="none" w:sz="0" w:space="0" w:color="auto"/>
        <w:right w:val="none" w:sz="0" w:space="0" w:color="auto"/>
      </w:divBdr>
    </w:div>
    <w:div w:id="1004354663">
      <w:bodyDiv w:val="1"/>
      <w:marLeft w:val="0"/>
      <w:marRight w:val="0"/>
      <w:marTop w:val="0"/>
      <w:marBottom w:val="0"/>
      <w:divBdr>
        <w:top w:val="none" w:sz="0" w:space="0" w:color="auto"/>
        <w:left w:val="none" w:sz="0" w:space="0" w:color="auto"/>
        <w:bottom w:val="none" w:sz="0" w:space="0" w:color="auto"/>
        <w:right w:val="none" w:sz="0" w:space="0" w:color="auto"/>
      </w:divBdr>
    </w:div>
    <w:div w:id="1004741708">
      <w:bodyDiv w:val="1"/>
      <w:marLeft w:val="0"/>
      <w:marRight w:val="0"/>
      <w:marTop w:val="0"/>
      <w:marBottom w:val="0"/>
      <w:divBdr>
        <w:top w:val="none" w:sz="0" w:space="0" w:color="auto"/>
        <w:left w:val="none" w:sz="0" w:space="0" w:color="auto"/>
        <w:bottom w:val="none" w:sz="0" w:space="0" w:color="auto"/>
        <w:right w:val="none" w:sz="0" w:space="0" w:color="auto"/>
      </w:divBdr>
    </w:div>
    <w:div w:id="1005285577">
      <w:bodyDiv w:val="1"/>
      <w:marLeft w:val="0"/>
      <w:marRight w:val="0"/>
      <w:marTop w:val="0"/>
      <w:marBottom w:val="0"/>
      <w:divBdr>
        <w:top w:val="none" w:sz="0" w:space="0" w:color="auto"/>
        <w:left w:val="none" w:sz="0" w:space="0" w:color="auto"/>
        <w:bottom w:val="none" w:sz="0" w:space="0" w:color="auto"/>
        <w:right w:val="none" w:sz="0" w:space="0" w:color="auto"/>
      </w:divBdr>
    </w:div>
    <w:div w:id="1005401361">
      <w:bodyDiv w:val="1"/>
      <w:marLeft w:val="0"/>
      <w:marRight w:val="0"/>
      <w:marTop w:val="0"/>
      <w:marBottom w:val="0"/>
      <w:divBdr>
        <w:top w:val="none" w:sz="0" w:space="0" w:color="auto"/>
        <w:left w:val="none" w:sz="0" w:space="0" w:color="auto"/>
        <w:bottom w:val="none" w:sz="0" w:space="0" w:color="auto"/>
        <w:right w:val="none" w:sz="0" w:space="0" w:color="auto"/>
      </w:divBdr>
    </w:div>
    <w:div w:id="1005474518">
      <w:bodyDiv w:val="1"/>
      <w:marLeft w:val="0"/>
      <w:marRight w:val="0"/>
      <w:marTop w:val="0"/>
      <w:marBottom w:val="0"/>
      <w:divBdr>
        <w:top w:val="none" w:sz="0" w:space="0" w:color="auto"/>
        <w:left w:val="none" w:sz="0" w:space="0" w:color="auto"/>
        <w:bottom w:val="none" w:sz="0" w:space="0" w:color="auto"/>
        <w:right w:val="none" w:sz="0" w:space="0" w:color="auto"/>
      </w:divBdr>
    </w:div>
    <w:div w:id="1005980136">
      <w:bodyDiv w:val="1"/>
      <w:marLeft w:val="0"/>
      <w:marRight w:val="0"/>
      <w:marTop w:val="0"/>
      <w:marBottom w:val="0"/>
      <w:divBdr>
        <w:top w:val="none" w:sz="0" w:space="0" w:color="auto"/>
        <w:left w:val="none" w:sz="0" w:space="0" w:color="auto"/>
        <w:bottom w:val="none" w:sz="0" w:space="0" w:color="auto"/>
        <w:right w:val="none" w:sz="0" w:space="0" w:color="auto"/>
      </w:divBdr>
    </w:div>
    <w:div w:id="1007707365">
      <w:bodyDiv w:val="1"/>
      <w:marLeft w:val="0"/>
      <w:marRight w:val="0"/>
      <w:marTop w:val="0"/>
      <w:marBottom w:val="0"/>
      <w:divBdr>
        <w:top w:val="none" w:sz="0" w:space="0" w:color="auto"/>
        <w:left w:val="none" w:sz="0" w:space="0" w:color="auto"/>
        <w:bottom w:val="none" w:sz="0" w:space="0" w:color="auto"/>
        <w:right w:val="none" w:sz="0" w:space="0" w:color="auto"/>
      </w:divBdr>
    </w:div>
    <w:div w:id="1008948026">
      <w:bodyDiv w:val="1"/>
      <w:marLeft w:val="0"/>
      <w:marRight w:val="0"/>
      <w:marTop w:val="0"/>
      <w:marBottom w:val="0"/>
      <w:divBdr>
        <w:top w:val="none" w:sz="0" w:space="0" w:color="auto"/>
        <w:left w:val="none" w:sz="0" w:space="0" w:color="auto"/>
        <w:bottom w:val="none" w:sz="0" w:space="0" w:color="auto"/>
        <w:right w:val="none" w:sz="0" w:space="0" w:color="auto"/>
      </w:divBdr>
    </w:div>
    <w:div w:id="1009795618">
      <w:bodyDiv w:val="1"/>
      <w:marLeft w:val="0"/>
      <w:marRight w:val="0"/>
      <w:marTop w:val="0"/>
      <w:marBottom w:val="0"/>
      <w:divBdr>
        <w:top w:val="none" w:sz="0" w:space="0" w:color="auto"/>
        <w:left w:val="none" w:sz="0" w:space="0" w:color="auto"/>
        <w:bottom w:val="none" w:sz="0" w:space="0" w:color="auto"/>
        <w:right w:val="none" w:sz="0" w:space="0" w:color="auto"/>
      </w:divBdr>
    </w:div>
    <w:div w:id="1009916302">
      <w:bodyDiv w:val="1"/>
      <w:marLeft w:val="0"/>
      <w:marRight w:val="0"/>
      <w:marTop w:val="0"/>
      <w:marBottom w:val="0"/>
      <w:divBdr>
        <w:top w:val="none" w:sz="0" w:space="0" w:color="auto"/>
        <w:left w:val="none" w:sz="0" w:space="0" w:color="auto"/>
        <w:bottom w:val="none" w:sz="0" w:space="0" w:color="auto"/>
        <w:right w:val="none" w:sz="0" w:space="0" w:color="auto"/>
      </w:divBdr>
    </w:div>
    <w:div w:id="1010062803">
      <w:bodyDiv w:val="1"/>
      <w:marLeft w:val="0"/>
      <w:marRight w:val="0"/>
      <w:marTop w:val="0"/>
      <w:marBottom w:val="0"/>
      <w:divBdr>
        <w:top w:val="none" w:sz="0" w:space="0" w:color="auto"/>
        <w:left w:val="none" w:sz="0" w:space="0" w:color="auto"/>
        <w:bottom w:val="none" w:sz="0" w:space="0" w:color="auto"/>
        <w:right w:val="none" w:sz="0" w:space="0" w:color="auto"/>
      </w:divBdr>
    </w:div>
    <w:div w:id="1010176961">
      <w:bodyDiv w:val="1"/>
      <w:marLeft w:val="0"/>
      <w:marRight w:val="0"/>
      <w:marTop w:val="0"/>
      <w:marBottom w:val="0"/>
      <w:divBdr>
        <w:top w:val="none" w:sz="0" w:space="0" w:color="auto"/>
        <w:left w:val="none" w:sz="0" w:space="0" w:color="auto"/>
        <w:bottom w:val="none" w:sz="0" w:space="0" w:color="auto"/>
        <w:right w:val="none" w:sz="0" w:space="0" w:color="auto"/>
      </w:divBdr>
    </w:div>
    <w:div w:id="1010452690">
      <w:bodyDiv w:val="1"/>
      <w:marLeft w:val="0"/>
      <w:marRight w:val="0"/>
      <w:marTop w:val="0"/>
      <w:marBottom w:val="0"/>
      <w:divBdr>
        <w:top w:val="none" w:sz="0" w:space="0" w:color="auto"/>
        <w:left w:val="none" w:sz="0" w:space="0" w:color="auto"/>
        <w:bottom w:val="none" w:sz="0" w:space="0" w:color="auto"/>
        <w:right w:val="none" w:sz="0" w:space="0" w:color="auto"/>
      </w:divBdr>
    </w:div>
    <w:div w:id="1011026946">
      <w:bodyDiv w:val="1"/>
      <w:marLeft w:val="0"/>
      <w:marRight w:val="0"/>
      <w:marTop w:val="0"/>
      <w:marBottom w:val="0"/>
      <w:divBdr>
        <w:top w:val="none" w:sz="0" w:space="0" w:color="auto"/>
        <w:left w:val="none" w:sz="0" w:space="0" w:color="auto"/>
        <w:bottom w:val="none" w:sz="0" w:space="0" w:color="auto"/>
        <w:right w:val="none" w:sz="0" w:space="0" w:color="auto"/>
      </w:divBdr>
    </w:div>
    <w:div w:id="1011184178">
      <w:bodyDiv w:val="1"/>
      <w:marLeft w:val="0"/>
      <w:marRight w:val="0"/>
      <w:marTop w:val="0"/>
      <w:marBottom w:val="0"/>
      <w:divBdr>
        <w:top w:val="none" w:sz="0" w:space="0" w:color="auto"/>
        <w:left w:val="none" w:sz="0" w:space="0" w:color="auto"/>
        <w:bottom w:val="none" w:sz="0" w:space="0" w:color="auto"/>
        <w:right w:val="none" w:sz="0" w:space="0" w:color="auto"/>
      </w:divBdr>
    </w:div>
    <w:div w:id="1011299336">
      <w:bodyDiv w:val="1"/>
      <w:marLeft w:val="0"/>
      <w:marRight w:val="0"/>
      <w:marTop w:val="0"/>
      <w:marBottom w:val="0"/>
      <w:divBdr>
        <w:top w:val="none" w:sz="0" w:space="0" w:color="auto"/>
        <w:left w:val="none" w:sz="0" w:space="0" w:color="auto"/>
        <w:bottom w:val="none" w:sz="0" w:space="0" w:color="auto"/>
        <w:right w:val="none" w:sz="0" w:space="0" w:color="auto"/>
      </w:divBdr>
    </w:div>
    <w:div w:id="1011375261">
      <w:bodyDiv w:val="1"/>
      <w:marLeft w:val="0"/>
      <w:marRight w:val="0"/>
      <w:marTop w:val="0"/>
      <w:marBottom w:val="0"/>
      <w:divBdr>
        <w:top w:val="none" w:sz="0" w:space="0" w:color="auto"/>
        <w:left w:val="none" w:sz="0" w:space="0" w:color="auto"/>
        <w:bottom w:val="none" w:sz="0" w:space="0" w:color="auto"/>
        <w:right w:val="none" w:sz="0" w:space="0" w:color="auto"/>
      </w:divBdr>
    </w:div>
    <w:div w:id="1012025587">
      <w:bodyDiv w:val="1"/>
      <w:marLeft w:val="0"/>
      <w:marRight w:val="0"/>
      <w:marTop w:val="0"/>
      <w:marBottom w:val="0"/>
      <w:divBdr>
        <w:top w:val="none" w:sz="0" w:space="0" w:color="auto"/>
        <w:left w:val="none" w:sz="0" w:space="0" w:color="auto"/>
        <w:bottom w:val="none" w:sz="0" w:space="0" w:color="auto"/>
        <w:right w:val="none" w:sz="0" w:space="0" w:color="auto"/>
      </w:divBdr>
    </w:div>
    <w:div w:id="1012534461">
      <w:bodyDiv w:val="1"/>
      <w:marLeft w:val="0"/>
      <w:marRight w:val="0"/>
      <w:marTop w:val="0"/>
      <w:marBottom w:val="0"/>
      <w:divBdr>
        <w:top w:val="none" w:sz="0" w:space="0" w:color="auto"/>
        <w:left w:val="none" w:sz="0" w:space="0" w:color="auto"/>
        <w:bottom w:val="none" w:sz="0" w:space="0" w:color="auto"/>
        <w:right w:val="none" w:sz="0" w:space="0" w:color="auto"/>
      </w:divBdr>
    </w:div>
    <w:div w:id="1012991213">
      <w:bodyDiv w:val="1"/>
      <w:marLeft w:val="0"/>
      <w:marRight w:val="0"/>
      <w:marTop w:val="0"/>
      <w:marBottom w:val="0"/>
      <w:divBdr>
        <w:top w:val="none" w:sz="0" w:space="0" w:color="auto"/>
        <w:left w:val="none" w:sz="0" w:space="0" w:color="auto"/>
        <w:bottom w:val="none" w:sz="0" w:space="0" w:color="auto"/>
        <w:right w:val="none" w:sz="0" w:space="0" w:color="auto"/>
      </w:divBdr>
    </w:div>
    <w:div w:id="1013188928">
      <w:bodyDiv w:val="1"/>
      <w:marLeft w:val="0"/>
      <w:marRight w:val="0"/>
      <w:marTop w:val="0"/>
      <w:marBottom w:val="0"/>
      <w:divBdr>
        <w:top w:val="none" w:sz="0" w:space="0" w:color="auto"/>
        <w:left w:val="none" w:sz="0" w:space="0" w:color="auto"/>
        <w:bottom w:val="none" w:sz="0" w:space="0" w:color="auto"/>
        <w:right w:val="none" w:sz="0" w:space="0" w:color="auto"/>
      </w:divBdr>
    </w:div>
    <w:div w:id="1013410289">
      <w:bodyDiv w:val="1"/>
      <w:marLeft w:val="0"/>
      <w:marRight w:val="0"/>
      <w:marTop w:val="0"/>
      <w:marBottom w:val="0"/>
      <w:divBdr>
        <w:top w:val="none" w:sz="0" w:space="0" w:color="auto"/>
        <w:left w:val="none" w:sz="0" w:space="0" w:color="auto"/>
        <w:bottom w:val="none" w:sz="0" w:space="0" w:color="auto"/>
        <w:right w:val="none" w:sz="0" w:space="0" w:color="auto"/>
      </w:divBdr>
    </w:div>
    <w:div w:id="1013456291">
      <w:bodyDiv w:val="1"/>
      <w:marLeft w:val="0"/>
      <w:marRight w:val="0"/>
      <w:marTop w:val="0"/>
      <w:marBottom w:val="0"/>
      <w:divBdr>
        <w:top w:val="none" w:sz="0" w:space="0" w:color="auto"/>
        <w:left w:val="none" w:sz="0" w:space="0" w:color="auto"/>
        <w:bottom w:val="none" w:sz="0" w:space="0" w:color="auto"/>
        <w:right w:val="none" w:sz="0" w:space="0" w:color="auto"/>
      </w:divBdr>
    </w:div>
    <w:div w:id="1013922867">
      <w:bodyDiv w:val="1"/>
      <w:marLeft w:val="0"/>
      <w:marRight w:val="0"/>
      <w:marTop w:val="0"/>
      <w:marBottom w:val="0"/>
      <w:divBdr>
        <w:top w:val="none" w:sz="0" w:space="0" w:color="auto"/>
        <w:left w:val="none" w:sz="0" w:space="0" w:color="auto"/>
        <w:bottom w:val="none" w:sz="0" w:space="0" w:color="auto"/>
        <w:right w:val="none" w:sz="0" w:space="0" w:color="auto"/>
      </w:divBdr>
    </w:div>
    <w:div w:id="1015227697">
      <w:bodyDiv w:val="1"/>
      <w:marLeft w:val="0"/>
      <w:marRight w:val="0"/>
      <w:marTop w:val="0"/>
      <w:marBottom w:val="0"/>
      <w:divBdr>
        <w:top w:val="none" w:sz="0" w:space="0" w:color="auto"/>
        <w:left w:val="none" w:sz="0" w:space="0" w:color="auto"/>
        <w:bottom w:val="none" w:sz="0" w:space="0" w:color="auto"/>
        <w:right w:val="none" w:sz="0" w:space="0" w:color="auto"/>
      </w:divBdr>
    </w:div>
    <w:div w:id="1016535858">
      <w:bodyDiv w:val="1"/>
      <w:marLeft w:val="0"/>
      <w:marRight w:val="0"/>
      <w:marTop w:val="0"/>
      <w:marBottom w:val="0"/>
      <w:divBdr>
        <w:top w:val="none" w:sz="0" w:space="0" w:color="auto"/>
        <w:left w:val="none" w:sz="0" w:space="0" w:color="auto"/>
        <w:bottom w:val="none" w:sz="0" w:space="0" w:color="auto"/>
        <w:right w:val="none" w:sz="0" w:space="0" w:color="auto"/>
      </w:divBdr>
    </w:div>
    <w:div w:id="1017468367">
      <w:bodyDiv w:val="1"/>
      <w:marLeft w:val="0"/>
      <w:marRight w:val="0"/>
      <w:marTop w:val="0"/>
      <w:marBottom w:val="0"/>
      <w:divBdr>
        <w:top w:val="none" w:sz="0" w:space="0" w:color="auto"/>
        <w:left w:val="none" w:sz="0" w:space="0" w:color="auto"/>
        <w:bottom w:val="none" w:sz="0" w:space="0" w:color="auto"/>
        <w:right w:val="none" w:sz="0" w:space="0" w:color="auto"/>
      </w:divBdr>
    </w:div>
    <w:div w:id="1018235710">
      <w:bodyDiv w:val="1"/>
      <w:marLeft w:val="0"/>
      <w:marRight w:val="0"/>
      <w:marTop w:val="0"/>
      <w:marBottom w:val="0"/>
      <w:divBdr>
        <w:top w:val="none" w:sz="0" w:space="0" w:color="auto"/>
        <w:left w:val="none" w:sz="0" w:space="0" w:color="auto"/>
        <w:bottom w:val="none" w:sz="0" w:space="0" w:color="auto"/>
        <w:right w:val="none" w:sz="0" w:space="0" w:color="auto"/>
      </w:divBdr>
    </w:div>
    <w:div w:id="1018854297">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468340">
      <w:bodyDiv w:val="1"/>
      <w:marLeft w:val="0"/>
      <w:marRight w:val="0"/>
      <w:marTop w:val="0"/>
      <w:marBottom w:val="0"/>
      <w:divBdr>
        <w:top w:val="none" w:sz="0" w:space="0" w:color="auto"/>
        <w:left w:val="none" w:sz="0" w:space="0" w:color="auto"/>
        <w:bottom w:val="none" w:sz="0" w:space="0" w:color="auto"/>
        <w:right w:val="none" w:sz="0" w:space="0" w:color="auto"/>
      </w:divBdr>
    </w:div>
    <w:div w:id="1020542586">
      <w:bodyDiv w:val="1"/>
      <w:marLeft w:val="0"/>
      <w:marRight w:val="0"/>
      <w:marTop w:val="0"/>
      <w:marBottom w:val="0"/>
      <w:divBdr>
        <w:top w:val="none" w:sz="0" w:space="0" w:color="auto"/>
        <w:left w:val="none" w:sz="0" w:space="0" w:color="auto"/>
        <w:bottom w:val="none" w:sz="0" w:space="0" w:color="auto"/>
        <w:right w:val="none" w:sz="0" w:space="0" w:color="auto"/>
      </w:divBdr>
    </w:div>
    <w:div w:id="1021512662">
      <w:bodyDiv w:val="1"/>
      <w:marLeft w:val="0"/>
      <w:marRight w:val="0"/>
      <w:marTop w:val="0"/>
      <w:marBottom w:val="0"/>
      <w:divBdr>
        <w:top w:val="none" w:sz="0" w:space="0" w:color="auto"/>
        <w:left w:val="none" w:sz="0" w:space="0" w:color="auto"/>
        <w:bottom w:val="none" w:sz="0" w:space="0" w:color="auto"/>
        <w:right w:val="none" w:sz="0" w:space="0" w:color="auto"/>
      </w:divBdr>
    </w:div>
    <w:div w:id="1022169666">
      <w:bodyDiv w:val="1"/>
      <w:marLeft w:val="0"/>
      <w:marRight w:val="0"/>
      <w:marTop w:val="0"/>
      <w:marBottom w:val="0"/>
      <w:divBdr>
        <w:top w:val="none" w:sz="0" w:space="0" w:color="auto"/>
        <w:left w:val="none" w:sz="0" w:space="0" w:color="auto"/>
        <w:bottom w:val="none" w:sz="0" w:space="0" w:color="auto"/>
        <w:right w:val="none" w:sz="0" w:space="0" w:color="auto"/>
      </w:divBdr>
    </w:div>
    <w:div w:id="1022390434">
      <w:bodyDiv w:val="1"/>
      <w:marLeft w:val="0"/>
      <w:marRight w:val="0"/>
      <w:marTop w:val="0"/>
      <w:marBottom w:val="0"/>
      <w:divBdr>
        <w:top w:val="none" w:sz="0" w:space="0" w:color="auto"/>
        <w:left w:val="none" w:sz="0" w:space="0" w:color="auto"/>
        <w:bottom w:val="none" w:sz="0" w:space="0" w:color="auto"/>
        <w:right w:val="none" w:sz="0" w:space="0" w:color="auto"/>
      </w:divBdr>
    </w:div>
    <w:div w:id="1022393392">
      <w:bodyDiv w:val="1"/>
      <w:marLeft w:val="0"/>
      <w:marRight w:val="0"/>
      <w:marTop w:val="0"/>
      <w:marBottom w:val="0"/>
      <w:divBdr>
        <w:top w:val="none" w:sz="0" w:space="0" w:color="auto"/>
        <w:left w:val="none" w:sz="0" w:space="0" w:color="auto"/>
        <w:bottom w:val="none" w:sz="0" w:space="0" w:color="auto"/>
        <w:right w:val="none" w:sz="0" w:space="0" w:color="auto"/>
      </w:divBdr>
    </w:div>
    <w:div w:id="1022436900">
      <w:bodyDiv w:val="1"/>
      <w:marLeft w:val="0"/>
      <w:marRight w:val="0"/>
      <w:marTop w:val="0"/>
      <w:marBottom w:val="0"/>
      <w:divBdr>
        <w:top w:val="none" w:sz="0" w:space="0" w:color="auto"/>
        <w:left w:val="none" w:sz="0" w:space="0" w:color="auto"/>
        <w:bottom w:val="none" w:sz="0" w:space="0" w:color="auto"/>
        <w:right w:val="none" w:sz="0" w:space="0" w:color="auto"/>
      </w:divBdr>
    </w:div>
    <w:div w:id="1023899696">
      <w:bodyDiv w:val="1"/>
      <w:marLeft w:val="0"/>
      <w:marRight w:val="0"/>
      <w:marTop w:val="0"/>
      <w:marBottom w:val="0"/>
      <w:divBdr>
        <w:top w:val="none" w:sz="0" w:space="0" w:color="auto"/>
        <w:left w:val="none" w:sz="0" w:space="0" w:color="auto"/>
        <w:bottom w:val="none" w:sz="0" w:space="0" w:color="auto"/>
        <w:right w:val="none" w:sz="0" w:space="0" w:color="auto"/>
      </w:divBdr>
    </w:div>
    <w:div w:id="1024088689">
      <w:bodyDiv w:val="1"/>
      <w:marLeft w:val="0"/>
      <w:marRight w:val="0"/>
      <w:marTop w:val="0"/>
      <w:marBottom w:val="0"/>
      <w:divBdr>
        <w:top w:val="none" w:sz="0" w:space="0" w:color="auto"/>
        <w:left w:val="none" w:sz="0" w:space="0" w:color="auto"/>
        <w:bottom w:val="none" w:sz="0" w:space="0" w:color="auto"/>
        <w:right w:val="none" w:sz="0" w:space="0" w:color="auto"/>
      </w:divBdr>
    </w:div>
    <w:div w:id="1024094448">
      <w:bodyDiv w:val="1"/>
      <w:marLeft w:val="0"/>
      <w:marRight w:val="0"/>
      <w:marTop w:val="0"/>
      <w:marBottom w:val="0"/>
      <w:divBdr>
        <w:top w:val="none" w:sz="0" w:space="0" w:color="auto"/>
        <w:left w:val="none" w:sz="0" w:space="0" w:color="auto"/>
        <w:bottom w:val="none" w:sz="0" w:space="0" w:color="auto"/>
        <w:right w:val="none" w:sz="0" w:space="0" w:color="auto"/>
      </w:divBdr>
    </w:div>
    <w:div w:id="1024476163">
      <w:bodyDiv w:val="1"/>
      <w:marLeft w:val="0"/>
      <w:marRight w:val="0"/>
      <w:marTop w:val="0"/>
      <w:marBottom w:val="0"/>
      <w:divBdr>
        <w:top w:val="none" w:sz="0" w:space="0" w:color="auto"/>
        <w:left w:val="none" w:sz="0" w:space="0" w:color="auto"/>
        <w:bottom w:val="none" w:sz="0" w:space="0" w:color="auto"/>
        <w:right w:val="none" w:sz="0" w:space="0" w:color="auto"/>
      </w:divBdr>
    </w:div>
    <w:div w:id="1025403805">
      <w:bodyDiv w:val="1"/>
      <w:marLeft w:val="0"/>
      <w:marRight w:val="0"/>
      <w:marTop w:val="0"/>
      <w:marBottom w:val="0"/>
      <w:divBdr>
        <w:top w:val="none" w:sz="0" w:space="0" w:color="auto"/>
        <w:left w:val="none" w:sz="0" w:space="0" w:color="auto"/>
        <w:bottom w:val="none" w:sz="0" w:space="0" w:color="auto"/>
        <w:right w:val="none" w:sz="0" w:space="0" w:color="auto"/>
      </w:divBdr>
    </w:div>
    <w:div w:id="1025909159">
      <w:bodyDiv w:val="1"/>
      <w:marLeft w:val="0"/>
      <w:marRight w:val="0"/>
      <w:marTop w:val="0"/>
      <w:marBottom w:val="0"/>
      <w:divBdr>
        <w:top w:val="none" w:sz="0" w:space="0" w:color="auto"/>
        <w:left w:val="none" w:sz="0" w:space="0" w:color="auto"/>
        <w:bottom w:val="none" w:sz="0" w:space="0" w:color="auto"/>
        <w:right w:val="none" w:sz="0" w:space="0" w:color="auto"/>
      </w:divBdr>
    </w:div>
    <w:div w:id="1026564042">
      <w:bodyDiv w:val="1"/>
      <w:marLeft w:val="0"/>
      <w:marRight w:val="0"/>
      <w:marTop w:val="0"/>
      <w:marBottom w:val="0"/>
      <w:divBdr>
        <w:top w:val="none" w:sz="0" w:space="0" w:color="auto"/>
        <w:left w:val="none" w:sz="0" w:space="0" w:color="auto"/>
        <w:bottom w:val="none" w:sz="0" w:space="0" w:color="auto"/>
        <w:right w:val="none" w:sz="0" w:space="0" w:color="auto"/>
      </w:divBdr>
    </w:div>
    <w:div w:id="1027102947">
      <w:bodyDiv w:val="1"/>
      <w:marLeft w:val="0"/>
      <w:marRight w:val="0"/>
      <w:marTop w:val="0"/>
      <w:marBottom w:val="0"/>
      <w:divBdr>
        <w:top w:val="none" w:sz="0" w:space="0" w:color="auto"/>
        <w:left w:val="none" w:sz="0" w:space="0" w:color="auto"/>
        <w:bottom w:val="none" w:sz="0" w:space="0" w:color="auto"/>
        <w:right w:val="none" w:sz="0" w:space="0" w:color="auto"/>
      </w:divBdr>
    </w:div>
    <w:div w:id="1027826622">
      <w:bodyDiv w:val="1"/>
      <w:marLeft w:val="0"/>
      <w:marRight w:val="0"/>
      <w:marTop w:val="0"/>
      <w:marBottom w:val="0"/>
      <w:divBdr>
        <w:top w:val="none" w:sz="0" w:space="0" w:color="auto"/>
        <w:left w:val="none" w:sz="0" w:space="0" w:color="auto"/>
        <w:bottom w:val="none" w:sz="0" w:space="0" w:color="auto"/>
        <w:right w:val="none" w:sz="0" w:space="0" w:color="auto"/>
      </w:divBdr>
    </w:div>
    <w:div w:id="1028026575">
      <w:bodyDiv w:val="1"/>
      <w:marLeft w:val="0"/>
      <w:marRight w:val="0"/>
      <w:marTop w:val="0"/>
      <w:marBottom w:val="0"/>
      <w:divBdr>
        <w:top w:val="none" w:sz="0" w:space="0" w:color="auto"/>
        <w:left w:val="none" w:sz="0" w:space="0" w:color="auto"/>
        <w:bottom w:val="none" w:sz="0" w:space="0" w:color="auto"/>
        <w:right w:val="none" w:sz="0" w:space="0" w:color="auto"/>
      </w:divBdr>
    </w:div>
    <w:div w:id="1028607064">
      <w:bodyDiv w:val="1"/>
      <w:marLeft w:val="0"/>
      <w:marRight w:val="0"/>
      <w:marTop w:val="0"/>
      <w:marBottom w:val="0"/>
      <w:divBdr>
        <w:top w:val="none" w:sz="0" w:space="0" w:color="auto"/>
        <w:left w:val="none" w:sz="0" w:space="0" w:color="auto"/>
        <w:bottom w:val="none" w:sz="0" w:space="0" w:color="auto"/>
        <w:right w:val="none" w:sz="0" w:space="0" w:color="auto"/>
      </w:divBdr>
    </w:div>
    <w:div w:id="1028799619">
      <w:bodyDiv w:val="1"/>
      <w:marLeft w:val="0"/>
      <w:marRight w:val="0"/>
      <w:marTop w:val="0"/>
      <w:marBottom w:val="0"/>
      <w:divBdr>
        <w:top w:val="none" w:sz="0" w:space="0" w:color="auto"/>
        <w:left w:val="none" w:sz="0" w:space="0" w:color="auto"/>
        <w:bottom w:val="none" w:sz="0" w:space="0" w:color="auto"/>
        <w:right w:val="none" w:sz="0" w:space="0" w:color="auto"/>
      </w:divBdr>
    </w:div>
    <w:div w:id="1029070503">
      <w:bodyDiv w:val="1"/>
      <w:marLeft w:val="0"/>
      <w:marRight w:val="0"/>
      <w:marTop w:val="0"/>
      <w:marBottom w:val="0"/>
      <w:divBdr>
        <w:top w:val="none" w:sz="0" w:space="0" w:color="auto"/>
        <w:left w:val="none" w:sz="0" w:space="0" w:color="auto"/>
        <w:bottom w:val="none" w:sz="0" w:space="0" w:color="auto"/>
        <w:right w:val="none" w:sz="0" w:space="0" w:color="auto"/>
      </w:divBdr>
    </w:div>
    <w:div w:id="1029641299">
      <w:bodyDiv w:val="1"/>
      <w:marLeft w:val="0"/>
      <w:marRight w:val="0"/>
      <w:marTop w:val="0"/>
      <w:marBottom w:val="0"/>
      <w:divBdr>
        <w:top w:val="none" w:sz="0" w:space="0" w:color="auto"/>
        <w:left w:val="none" w:sz="0" w:space="0" w:color="auto"/>
        <w:bottom w:val="none" w:sz="0" w:space="0" w:color="auto"/>
        <w:right w:val="none" w:sz="0" w:space="0" w:color="auto"/>
      </w:divBdr>
    </w:div>
    <w:div w:id="1029794816">
      <w:bodyDiv w:val="1"/>
      <w:marLeft w:val="0"/>
      <w:marRight w:val="0"/>
      <w:marTop w:val="0"/>
      <w:marBottom w:val="0"/>
      <w:divBdr>
        <w:top w:val="none" w:sz="0" w:space="0" w:color="auto"/>
        <w:left w:val="none" w:sz="0" w:space="0" w:color="auto"/>
        <w:bottom w:val="none" w:sz="0" w:space="0" w:color="auto"/>
        <w:right w:val="none" w:sz="0" w:space="0" w:color="auto"/>
      </w:divBdr>
    </w:div>
    <w:div w:id="1030106751">
      <w:bodyDiv w:val="1"/>
      <w:marLeft w:val="0"/>
      <w:marRight w:val="0"/>
      <w:marTop w:val="0"/>
      <w:marBottom w:val="0"/>
      <w:divBdr>
        <w:top w:val="none" w:sz="0" w:space="0" w:color="auto"/>
        <w:left w:val="none" w:sz="0" w:space="0" w:color="auto"/>
        <w:bottom w:val="none" w:sz="0" w:space="0" w:color="auto"/>
        <w:right w:val="none" w:sz="0" w:space="0" w:color="auto"/>
      </w:divBdr>
    </w:div>
    <w:div w:id="1030182755">
      <w:bodyDiv w:val="1"/>
      <w:marLeft w:val="0"/>
      <w:marRight w:val="0"/>
      <w:marTop w:val="0"/>
      <w:marBottom w:val="0"/>
      <w:divBdr>
        <w:top w:val="none" w:sz="0" w:space="0" w:color="auto"/>
        <w:left w:val="none" w:sz="0" w:space="0" w:color="auto"/>
        <w:bottom w:val="none" w:sz="0" w:space="0" w:color="auto"/>
        <w:right w:val="none" w:sz="0" w:space="0" w:color="auto"/>
      </w:divBdr>
    </w:div>
    <w:div w:id="1030186223">
      <w:bodyDiv w:val="1"/>
      <w:marLeft w:val="0"/>
      <w:marRight w:val="0"/>
      <w:marTop w:val="0"/>
      <w:marBottom w:val="0"/>
      <w:divBdr>
        <w:top w:val="none" w:sz="0" w:space="0" w:color="auto"/>
        <w:left w:val="none" w:sz="0" w:space="0" w:color="auto"/>
        <w:bottom w:val="none" w:sz="0" w:space="0" w:color="auto"/>
        <w:right w:val="none" w:sz="0" w:space="0" w:color="auto"/>
      </w:divBdr>
    </w:div>
    <w:div w:id="1031104720">
      <w:bodyDiv w:val="1"/>
      <w:marLeft w:val="0"/>
      <w:marRight w:val="0"/>
      <w:marTop w:val="0"/>
      <w:marBottom w:val="0"/>
      <w:divBdr>
        <w:top w:val="none" w:sz="0" w:space="0" w:color="auto"/>
        <w:left w:val="none" w:sz="0" w:space="0" w:color="auto"/>
        <w:bottom w:val="none" w:sz="0" w:space="0" w:color="auto"/>
        <w:right w:val="none" w:sz="0" w:space="0" w:color="auto"/>
      </w:divBdr>
    </w:div>
    <w:div w:id="1031150409">
      <w:bodyDiv w:val="1"/>
      <w:marLeft w:val="0"/>
      <w:marRight w:val="0"/>
      <w:marTop w:val="0"/>
      <w:marBottom w:val="0"/>
      <w:divBdr>
        <w:top w:val="none" w:sz="0" w:space="0" w:color="auto"/>
        <w:left w:val="none" w:sz="0" w:space="0" w:color="auto"/>
        <w:bottom w:val="none" w:sz="0" w:space="0" w:color="auto"/>
        <w:right w:val="none" w:sz="0" w:space="0" w:color="auto"/>
      </w:divBdr>
    </w:div>
    <w:div w:id="1031805803">
      <w:bodyDiv w:val="1"/>
      <w:marLeft w:val="0"/>
      <w:marRight w:val="0"/>
      <w:marTop w:val="0"/>
      <w:marBottom w:val="0"/>
      <w:divBdr>
        <w:top w:val="none" w:sz="0" w:space="0" w:color="auto"/>
        <w:left w:val="none" w:sz="0" w:space="0" w:color="auto"/>
        <w:bottom w:val="none" w:sz="0" w:space="0" w:color="auto"/>
        <w:right w:val="none" w:sz="0" w:space="0" w:color="auto"/>
      </w:divBdr>
    </w:div>
    <w:div w:id="1031807114">
      <w:bodyDiv w:val="1"/>
      <w:marLeft w:val="0"/>
      <w:marRight w:val="0"/>
      <w:marTop w:val="0"/>
      <w:marBottom w:val="0"/>
      <w:divBdr>
        <w:top w:val="none" w:sz="0" w:space="0" w:color="auto"/>
        <w:left w:val="none" w:sz="0" w:space="0" w:color="auto"/>
        <w:bottom w:val="none" w:sz="0" w:space="0" w:color="auto"/>
        <w:right w:val="none" w:sz="0" w:space="0" w:color="auto"/>
      </w:divBdr>
    </w:div>
    <w:div w:id="1032267492">
      <w:bodyDiv w:val="1"/>
      <w:marLeft w:val="0"/>
      <w:marRight w:val="0"/>
      <w:marTop w:val="0"/>
      <w:marBottom w:val="0"/>
      <w:divBdr>
        <w:top w:val="none" w:sz="0" w:space="0" w:color="auto"/>
        <w:left w:val="none" w:sz="0" w:space="0" w:color="auto"/>
        <w:bottom w:val="none" w:sz="0" w:space="0" w:color="auto"/>
        <w:right w:val="none" w:sz="0" w:space="0" w:color="auto"/>
      </w:divBdr>
    </w:div>
    <w:div w:id="1032727968">
      <w:bodyDiv w:val="1"/>
      <w:marLeft w:val="0"/>
      <w:marRight w:val="0"/>
      <w:marTop w:val="0"/>
      <w:marBottom w:val="0"/>
      <w:divBdr>
        <w:top w:val="none" w:sz="0" w:space="0" w:color="auto"/>
        <w:left w:val="none" w:sz="0" w:space="0" w:color="auto"/>
        <w:bottom w:val="none" w:sz="0" w:space="0" w:color="auto"/>
        <w:right w:val="none" w:sz="0" w:space="0" w:color="auto"/>
      </w:divBdr>
    </w:div>
    <w:div w:id="1033120230">
      <w:bodyDiv w:val="1"/>
      <w:marLeft w:val="0"/>
      <w:marRight w:val="0"/>
      <w:marTop w:val="0"/>
      <w:marBottom w:val="0"/>
      <w:divBdr>
        <w:top w:val="none" w:sz="0" w:space="0" w:color="auto"/>
        <w:left w:val="none" w:sz="0" w:space="0" w:color="auto"/>
        <w:bottom w:val="none" w:sz="0" w:space="0" w:color="auto"/>
        <w:right w:val="none" w:sz="0" w:space="0" w:color="auto"/>
      </w:divBdr>
    </w:div>
    <w:div w:id="1033387110">
      <w:bodyDiv w:val="1"/>
      <w:marLeft w:val="0"/>
      <w:marRight w:val="0"/>
      <w:marTop w:val="0"/>
      <w:marBottom w:val="0"/>
      <w:divBdr>
        <w:top w:val="none" w:sz="0" w:space="0" w:color="auto"/>
        <w:left w:val="none" w:sz="0" w:space="0" w:color="auto"/>
        <w:bottom w:val="none" w:sz="0" w:space="0" w:color="auto"/>
        <w:right w:val="none" w:sz="0" w:space="0" w:color="auto"/>
      </w:divBdr>
    </w:div>
    <w:div w:id="1034580684">
      <w:bodyDiv w:val="1"/>
      <w:marLeft w:val="0"/>
      <w:marRight w:val="0"/>
      <w:marTop w:val="0"/>
      <w:marBottom w:val="0"/>
      <w:divBdr>
        <w:top w:val="none" w:sz="0" w:space="0" w:color="auto"/>
        <w:left w:val="none" w:sz="0" w:space="0" w:color="auto"/>
        <w:bottom w:val="none" w:sz="0" w:space="0" w:color="auto"/>
        <w:right w:val="none" w:sz="0" w:space="0" w:color="auto"/>
      </w:divBdr>
    </w:div>
    <w:div w:id="1034619333">
      <w:bodyDiv w:val="1"/>
      <w:marLeft w:val="0"/>
      <w:marRight w:val="0"/>
      <w:marTop w:val="0"/>
      <w:marBottom w:val="0"/>
      <w:divBdr>
        <w:top w:val="none" w:sz="0" w:space="0" w:color="auto"/>
        <w:left w:val="none" w:sz="0" w:space="0" w:color="auto"/>
        <w:bottom w:val="none" w:sz="0" w:space="0" w:color="auto"/>
        <w:right w:val="none" w:sz="0" w:space="0" w:color="auto"/>
      </w:divBdr>
    </w:div>
    <w:div w:id="1035230749">
      <w:bodyDiv w:val="1"/>
      <w:marLeft w:val="0"/>
      <w:marRight w:val="0"/>
      <w:marTop w:val="0"/>
      <w:marBottom w:val="0"/>
      <w:divBdr>
        <w:top w:val="none" w:sz="0" w:space="0" w:color="auto"/>
        <w:left w:val="none" w:sz="0" w:space="0" w:color="auto"/>
        <w:bottom w:val="none" w:sz="0" w:space="0" w:color="auto"/>
        <w:right w:val="none" w:sz="0" w:space="0" w:color="auto"/>
      </w:divBdr>
    </w:div>
    <w:div w:id="1035544296">
      <w:bodyDiv w:val="1"/>
      <w:marLeft w:val="0"/>
      <w:marRight w:val="0"/>
      <w:marTop w:val="0"/>
      <w:marBottom w:val="0"/>
      <w:divBdr>
        <w:top w:val="none" w:sz="0" w:space="0" w:color="auto"/>
        <w:left w:val="none" w:sz="0" w:space="0" w:color="auto"/>
        <w:bottom w:val="none" w:sz="0" w:space="0" w:color="auto"/>
        <w:right w:val="none" w:sz="0" w:space="0" w:color="auto"/>
      </w:divBdr>
    </w:div>
    <w:div w:id="1035690445">
      <w:bodyDiv w:val="1"/>
      <w:marLeft w:val="0"/>
      <w:marRight w:val="0"/>
      <w:marTop w:val="0"/>
      <w:marBottom w:val="0"/>
      <w:divBdr>
        <w:top w:val="none" w:sz="0" w:space="0" w:color="auto"/>
        <w:left w:val="none" w:sz="0" w:space="0" w:color="auto"/>
        <w:bottom w:val="none" w:sz="0" w:space="0" w:color="auto"/>
        <w:right w:val="none" w:sz="0" w:space="0" w:color="auto"/>
      </w:divBdr>
    </w:div>
    <w:div w:id="1035733627">
      <w:bodyDiv w:val="1"/>
      <w:marLeft w:val="0"/>
      <w:marRight w:val="0"/>
      <w:marTop w:val="0"/>
      <w:marBottom w:val="0"/>
      <w:divBdr>
        <w:top w:val="none" w:sz="0" w:space="0" w:color="auto"/>
        <w:left w:val="none" w:sz="0" w:space="0" w:color="auto"/>
        <w:bottom w:val="none" w:sz="0" w:space="0" w:color="auto"/>
        <w:right w:val="none" w:sz="0" w:space="0" w:color="auto"/>
      </w:divBdr>
    </w:div>
    <w:div w:id="1035741099">
      <w:bodyDiv w:val="1"/>
      <w:marLeft w:val="0"/>
      <w:marRight w:val="0"/>
      <w:marTop w:val="0"/>
      <w:marBottom w:val="0"/>
      <w:divBdr>
        <w:top w:val="none" w:sz="0" w:space="0" w:color="auto"/>
        <w:left w:val="none" w:sz="0" w:space="0" w:color="auto"/>
        <w:bottom w:val="none" w:sz="0" w:space="0" w:color="auto"/>
        <w:right w:val="none" w:sz="0" w:space="0" w:color="auto"/>
      </w:divBdr>
    </w:div>
    <w:div w:id="1035930246">
      <w:bodyDiv w:val="1"/>
      <w:marLeft w:val="0"/>
      <w:marRight w:val="0"/>
      <w:marTop w:val="0"/>
      <w:marBottom w:val="0"/>
      <w:divBdr>
        <w:top w:val="none" w:sz="0" w:space="0" w:color="auto"/>
        <w:left w:val="none" w:sz="0" w:space="0" w:color="auto"/>
        <w:bottom w:val="none" w:sz="0" w:space="0" w:color="auto"/>
        <w:right w:val="none" w:sz="0" w:space="0" w:color="auto"/>
      </w:divBdr>
    </w:div>
    <w:div w:id="1036272642">
      <w:bodyDiv w:val="1"/>
      <w:marLeft w:val="0"/>
      <w:marRight w:val="0"/>
      <w:marTop w:val="0"/>
      <w:marBottom w:val="0"/>
      <w:divBdr>
        <w:top w:val="none" w:sz="0" w:space="0" w:color="auto"/>
        <w:left w:val="none" w:sz="0" w:space="0" w:color="auto"/>
        <w:bottom w:val="none" w:sz="0" w:space="0" w:color="auto"/>
        <w:right w:val="none" w:sz="0" w:space="0" w:color="auto"/>
      </w:divBdr>
    </w:div>
    <w:div w:id="1037242420">
      <w:bodyDiv w:val="1"/>
      <w:marLeft w:val="0"/>
      <w:marRight w:val="0"/>
      <w:marTop w:val="0"/>
      <w:marBottom w:val="0"/>
      <w:divBdr>
        <w:top w:val="none" w:sz="0" w:space="0" w:color="auto"/>
        <w:left w:val="none" w:sz="0" w:space="0" w:color="auto"/>
        <w:bottom w:val="none" w:sz="0" w:space="0" w:color="auto"/>
        <w:right w:val="none" w:sz="0" w:space="0" w:color="auto"/>
      </w:divBdr>
    </w:div>
    <w:div w:id="1037664029">
      <w:bodyDiv w:val="1"/>
      <w:marLeft w:val="0"/>
      <w:marRight w:val="0"/>
      <w:marTop w:val="0"/>
      <w:marBottom w:val="0"/>
      <w:divBdr>
        <w:top w:val="none" w:sz="0" w:space="0" w:color="auto"/>
        <w:left w:val="none" w:sz="0" w:space="0" w:color="auto"/>
        <w:bottom w:val="none" w:sz="0" w:space="0" w:color="auto"/>
        <w:right w:val="none" w:sz="0" w:space="0" w:color="auto"/>
      </w:divBdr>
    </w:div>
    <w:div w:id="1037969000">
      <w:bodyDiv w:val="1"/>
      <w:marLeft w:val="0"/>
      <w:marRight w:val="0"/>
      <w:marTop w:val="0"/>
      <w:marBottom w:val="0"/>
      <w:divBdr>
        <w:top w:val="none" w:sz="0" w:space="0" w:color="auto"/>
        <w:left w:val="none" w:sz="0" w:space="0" w:color="auto"/>
        <w:bottom w:val="none" w:sz="0" w:space="0" w:color="auto"/>
        <w:right w:val="none" w:sz="0" w:space="0" w:color="auto"/>
      </w:divBdr>
    </w:div>
    <w:div w:id="1038313064">
      <w:bodyDiv w:val="1"/>
      <w:marLeft w:val="0"/>
      <w:marRight w:val="0"/>
      <w:marTop w:val="0"/>
      <w:marBottom w:val="0"/>
      <w:divBdr>
        <w:top w:val="none" w:sz="0" w:space="0" w:color="auto"/>
        <w:left w:val="none" w:sz="0" w:space="0" w:color="auto"/>
        <w:bottom w:val="none" w:sz="0" w:space="0" w:color="auto"/>
        <w:right w:val="none" w:sz="0" w:space="0" w:color="auto"/>
      </w:divBdr>
    </w:div>
    <w:div w:id="1038773098">
      <w:bodyDiv w:val="1"/>
      <w:marLeft w:val="0"/>
      <w:marRight w:val="0"/>
      <w:marTop w:val="0"/>
      <w:marBottom w:val="0"/>
      <w:divBdr>
        <w:top w:val="none" w:sz="0" w:space="0" w:color="auto"/>
        <w:left w:val="none" w:sz="0" w:space="0" w:color="auto"/>
        <w:bottom w:val="none" w:sz="0" w:space="0" w:color="auto"/>
        <w:right w:val="none" w:sz="0" w:space="0" w:color="auto"/>
      </w:divBdr>
    </w:div>
    <w:div w:id="1038818020">
      <w:bodyDiv w:val="1"/>
      <w:marLeft w:val="0"/>
      <w:marRight w:val="0"/>
      <w:marTop w:val="0"/>
      <w:marBottom w:val="0"/>
      <w:divBdr>
        <w:top w:val="none" w:sz="0" w:space="0" w:color="auto"/>
        <w:left w:val="none" w:sz="0" w:space="0" w:color="auto"/>
        <w:bottom w:val="none" w:sz="0" w:space="0" w:color="auto"/>
        <w:right w:val="none" w:sz="0" w:space="0" w:color="auto"/>
      </w:divBdr>
    </w:div>
    <w:div w:id="1039938845">
      <w:bodyDiv w:val="1"/>
      <w:marLeft w:val="0"/>
      <w:marRight w:val="0"/>
      <w:marTop w:val="0"/>
      <w:marBottom w:val="0"/>
      <w:divBdr>
        <w:top w:val="none" w:sz="0" w:space="0" w:color="auto"/>
        <w:left w:val="none" w:sz="0" w:space="0" w:color="auto"/>
        <w:bottom w:val="none" w:sz="0" w:space="0" w:color="auto"/>
        <w:right w:val="none" w:sz="0" w:space="0" w:color="auto"/>
      </w:divBdr>
    </w:div>
    <w:div w:id="1040743875">
      <w:bodyDiv w:val="1"/>
      <w:marLeft w:val="0"/>
      <w:marRight w:val="0"/>
      <w:marTop w:val="0"/>
      <w:marBottom w:val="0"/>
      <w:divBdr>
        <w:top w:val="none" w:sz="0" w:space="0" w:color="auto"/>
        <w:left w:val="none" w:sz="0" w:space="0" w:color="auto"/>
        <w:bottom w:val="none" w:sz="0" w:space="0" w:color="auto"/>
        <w:right w:val="none" w:sz="0" w:space="0" w:color="auto"/>
      </w:divBdr>
    </w:div>
    <w:div w:id="1040863278">
      <w:bodyDiv w:val="1"/>
      <w:marLeft w:val="0"/>
      <w:marRight w:val="0"/>
      <w:marTop w:val="0"/>
      <w:marBottom w:val="0"/>
      <w:divBdr>
        <w:top w:val="none" w:sz="0" w:space="0" w:color="auto"/>
        <w:left w:val="none" w:sz="0" w:space="0" w:color="auto"/>
        <w:bottom w:val="none" w:sz="0" w:space="0" w:color="auto"/>
        <w:right w:val="none" w:sz="0" w:space="0" w:color="auto"/>
      </w:divBdr>
    </w:div>
    <w:div w:id="1040932490">
      <w:bodyDiv w:val="1"/>
      <w:marLeft w:val="0"/>
      <w:marRight w:val="0"/>
      <w:marTop w:val="0"/>
      <w:marBottom w:val="0"/>
      <w:divBdr>
        <w:top w:val="none" w:sz="0" w:space="0" w:color="auto"/>
        <w:left w:val="none" w:sz="0" w:space="0" w:color="auto"/>
        <w:bottom w:val="none" w:sz="0" w:space="0" w:color="auto"/>
        <w:right w:val="none" w:sz="0" w:space="0" w:color="auto"/>
      </w:divBdr>
    </w:div>
    <w:div w:id="1041632737">
      <w:bodyDiv w:val="1"/>
      <w:marLeft w:val="0"/>
      <w:marRight w:val="0"/>
      <w:marTop w:val="0"/>
      <w:marBottom w:val="0"/>
      <w:divBdr>
        <w:top w:val="none" w:sz="0" w:space="0" w:color="auto"/>
        <w:left w:val="none" w:sz="0" w:space="0" w:color="auto"/>
        <w:bottom w:val="none" w:sz="0" w:space="0" w:color="auto"/>
        <w:right w:val="none" w:sz="0" w:space="0" w:color="auto"/>
      </w:divBdr>
    </w:div>
    <w:div w:id="1041637748">
      <w:bodyDiv w:val="1"/>
      <w:marLeft w:val="0"/>
      <w:marRight w:val="0"/>
      <w:marTop w:val="0"/>
      <w:marBottom w:val="0"/>
      <w:divBdr>
        <w:top w:val="none" w:sz="0" w:space="0" w:color="auto"/>
        <w:left w:val="none" w:sz="0" w:space="0" w:color="auto"/>
        <w:bottom w:val="none" w:sz="0" w:space="0" w:color="auto"/>
        <w:right w:val="none" w:sz="0" w:space="0" w:color="auto"/>
      </w:divBdr>
    </w:div>
    <w:div w:id="1042053678">
      <w:bodyDiv w:val="1"/>
      <w:marLeft w:val="0"/>
      <w:marRight w:val="0"/>
      <w:marTop w:val="0"/>
      <w:marBottom w:val="0"/>
      <w:divBdr>
        <w:top w:val="none" w:sz="0" w:space="0" w:color="auto"/>
        <w:left w:val="none" w:sz="0" w:space="0" w:color="auto"/>
        <w:bottom w:val="none" w:sz="0" w:space="0" w:color="auto"/>
        <w:right w:val="none" w:sz="0" w:space="0" w:color="auto"/>
      </w:divBdr>
    </w:div>
    <w:div w:id="1042435777">
      <w:bodyDiv w:val="1"/>
      <w:marLeft w:val="0"/>
      <w:marRight w:val="0"/>
      <w:marTop w:val="0"/>
      <w:marBottom w:val="0"/>
      <w:divBdr>
        <w:top w:val="none" w:sz="0" w:space="0" w:color="auto"/>
        <w:left w:val="none" w:sz="0" w:space="0" w:color="auto"/>
        <w:bottom w:val="none" w:sz="0" w:space="0" w:color="auto"/>
        <w:right w:val="none" w:sz="0" w:space="0" w:color="auto"/>
      </w:divBdr>
    </w:div>
    <w:div w:id="1042747124">
      <w:bodyDiv w:val="1"/>
      <w:marLeft w:val="0"/>
      <w:marRight w:val="0"/>
      <w:marTop w:val="0"/>
      <w:marBottom w:val="0"/>
      <w:divBdr>
        <w:top w:val="none" w:sz="0" w:space="0" w:color="auto"/>
        <w:left w:val="none" w:sz="0" w:space="0" w:color="auto"/>
        <w:bottom w:val="none" w:sz="0" w:space="0" w:color="auto"/>
        <w:right w:val="none" w:sz="0" w:space="0" w:color="auto"/>
      </w:divBdr>
    </w:div>
    <w:div w:id="1042899591">
      <w:bodyDiv w:val="1"/>
      <w:marLeft w:val="0"/>
      <w:marRight w:val="0"/>
      <w:marTop w:val="0"/>
      <w:marBottom w:val="0"/>
      <w:divBdr>
        <w:top w:val="none" w:sz="0" w:space="0" w:color="auto"/>
        <w:left w:val="none" w:sz="0" w:space="0" w:color="auto"/>
        <w:bottom w:val="none" w:sz="0" w:space="0" w:color="auto"/>
        <w:right w:val="none" w:sz="0" w:space="0" w:color="auto"/>
      </w:divBdr>
    </w:div>
    <w:div w:id="1042900011">
      <w:bodyDiv w:val="1"/>
      <w:marLeft w:val="0"/>
      <w:marRight w:val="0"/>
      <w:marTop w:val="0"/>
      <w:marBottom w:val="0"/>
      <w:divBdr>
        <w:top w:val="none" w:sz="0" w:space="0" w:color="auto"/>
        <w:left w:val="none" w:sz="0" w:space="0" w:color="auto"/>
        <w:bottom w:val="none" w:sz="0" w:space="0" w:color="auto"/>
        <w:right w:val="none" w:sz="0" w:space="0" w:color="auto"/>
      </w:divBdr>
    </w:div>
    <w:div w:id="1042947494">
      <w:bodyDiv w:val="1"/>
      <w:marLeft w:val="0"/>
      <w:marRight w:val="0"/>
      <w:marTop w:val="0"/>
      <w:marBottom w:val="0"/>
      <w:divBdr>
        <w:top w:val="none" w:sz="0" w:space="0" w:color="auto"/>
        <w:left w:val="none" w:sz="0" w:space="0" w:color="auto"/>
        <w:bottom w:val="none" w:sz="0" w:space="0" w:color="auto"/>
        <w:right w:val="none" w:sz="0" w:space="0" w:color="auto"/>
      </w:divBdr>
    </w:div>
    <w:div w:id="1043333986">
      <w:bodyDiv w:val="1"/>
      <w:marLeft w:val="0"/>
      <w:marRight w:val="0"/>
      <w:marTop w:val="0"/>
      <w:marBottom w:val="0"/>
      <w:divBdr>
        <w:top w:val="none" w:sz="0" w:space="0" w:color="auto"/>
        <w:left w:val="none" w:sz="0" w:space="0" w:color="auto"/>
        <w:bottom w:val="none" w:sz="0" w:space="0" w:color="auto"/>
        <w:right w:val="none" w:sz="0" w:space="0" w:color="auto"/>
      </w:divBdr>
    </w:div>
    <w:div w:id="1044060772">
      <w:bodyDiv w:val="1"/>
      <w:marLeft w:val="0"/>
      <w:marRight w:val="0"/>
      <w:marTop w:val="0"/>
      <w:marBottom w:val="0"/>
      <w:divBdr>
        <w:top w:val="none" w:sz="0" w:space="0" w:color="auto"/>
        <w:left w:val="none" w:sz="0" w:space="0" w:color="auto"/>
        <w:bottom w:val="none" w:sz="0" w:space="0" w:color="auto"/>
        <w:right w:val="none" w:sz="0" w:space="0" w:color="auto"/>
      </w:divBdr>
    </w:div>
    <w:div w:id="1044403728">
      <w:bodyDiv w:val="1"/>
      <w:marLeft w:val="0"/>
      <w:marRight w:val="0"/>
      <w:marTop w:val="0"/>
      <w:marBottom w:val="0"/>
      <w:divBdr>
        <w:top w:val="none" w:sz="0" w:space="0" w:color="auto"/>
        <w:left w:val="none" w:sz="0" w:space="0" w:color="auto"/>
        <w:bottom w:val="none" w:sz="0" w:space="0" w:color="auto"/>
        <w:right w:val="none" w:sz="0" w:space="0" w:color="auto"/>
      </w:divBdr>
    </w:div>
    <w:div w:id="1044938576">
      <w:bodyDiv w:val="1"/>
      <w:marLeft w:val="0"/>
      <w:marRight w:val="0"/>
      <w:marTop w:val="0"/>
      <w:marBottom w:val="0"/>
      <w:divBdr>
        <w:top w:val="none" w:sz="0" w:space="0" w:color="auto"/>
        <w:left w:val="none" w:sz="0" w:space="0" w:color="auto"/>
        <w:bottom w:val="none" w:sz="0" w:space="0" w:color="auto"/>
        <w:right w:val="none" w:sz="0" w:space="0" w:color="auto"/>
      </w:divBdr>
    </w:div>
    <w:div w:id="1045133666">
      <w:bodyDiv w:val="1"/>
      <w:marLeft w:val="0"/>
      <w:marRight w:val="0"/>
      <w:marTop w:val="0"/>
      <w:marBottom w:val="0"/>
      <w:divBdr>
        <w:top w:val="none" w:sz="0" w:space="0" w:color="auto"/>
        <w:left w:val="none" w:sz="0" w:space="0" w:color="auto"/>
        <w:bottom w:val="none" w:sz="0" w:space="0" w:color="auto"/>
        <w:right w:val="none" w:sz="0" w:space="0" w:color="auto"/>
      </w:divBdr>
    </w:div>
    <w:div w:id="1045373429">
      <w:bodyDiv w:val="1"/>
      <w:marLeft w:val="0"/>
      <w:marRight w:val="0"/>
      <w:marTop w:val="0"/>
      <w:marBottom w:val="0"/>
      <w:divBdr>
        <w:top w:val="none" w:sz="0" w:space="0" w:color="auto"/>
        <w:left w:val="none" w:sz="0" w:space="0" w:color="auto"/>
        <w:bottom w:val="none" w:sz="0" w:space="0" w:color="auto"/>
        <w:right w:val="none" w:sz="0" w:space="0" w:color="auto"/>
      </w:divBdr>
    </w:div>
    <w:div w:id="1045643420">
      <w:bodyDiv w:val="1"/>
      <w:marLeft w:val="0"/>
      <w:marRight w:val="0"/>
      <w:marTop w:val="0"/>
      <w:marBottom w:val="0"/>
      <w:divBdr>
        <w:top w:val="none" w:sz="0" w:space="0" w:color="auto"/>
        <w:left w:val="none" w:sz="0" w:space="0" w:color="auto"/>
        <w:bottom w:val="none" w:sz="0" w:space="0" w:color="auto"/>
        <w:right w:val="none" w:sz="0" w:space="0" w:color="auto"/>
      </w:divBdr>
    </w:div>
    <w:div w:id="1046485989">
      <w:bodyDiv w:val="1"/>
      <w:marLeft w:val="0"/>
      <w:marRight w:val="0"/>
      <w:marTop w:val="0"/>
      <w:marBottom w:val="0"/>
      <w:divBdr>
        <w:top w:val="none" w:sz="0" w:space="0" w:color="auto"/>
        <w:left w:val="none" w:sz="0" w:space="0" w:color="auto"/>
        <w:bottom w:val="none" w:sz="0" w:space="0" w:color="auto"/>
        <w:right w:val="none" w:sz="0" w:space="0" w:color="auto"/>
      </w:divBdr>
    </w:div>
    <w:div w:id="1046872467">
      <w:bodyDiv w:val="1"/>
      <w:marLeft w:val="0"/>
      <w:marRight w:val="0"/>
      <w:marTop w:val="0"/>
      <w:marBottom w:val="0"/>
      <w:divBdr>
        <w:top w:val="none" w:sz="0" w:space="0" w:color="auto"/>
        <w:left w:val="none" w:sz="0" w:space="0" w:color="auto"/>
        <w:bottom w:val="none" w:sz="0" w:space="0" w:color="auto"/>
        <w:right w:val="none" w:sz="0" w:space="0" w:color="auto"/>
      </w:divBdr>
    </w:div>
    <w:div w:id="1047026236">
      <w:bodyDiv w:val="1"/>
      <w:marLeft w:val="0"/>
      <w:marRight w:val="0"/>
      <w:marTop w:val="0"/>
      <w:marBottom w:val="0"/>
      <w:divBdr>
        <w:top w:val="none" w:sz="0" w:space="0" w:color="auto"/>
        <w:left w:val="none" w:sz="0" w:space="0" w:color="auto"/>
        <w:bottom w:val="none" w:sz="0" w:space="0" w:color="auto"/>
        <w:right w:val="none" w:sz="0" w:space="0" w:color="auto"/>
      </w:divBdr>
    </w:div>
    <w:div w:id="1047293530">
      <w:bodyDiv w:val="1"/>
      <w:marLeft w:val="0"/>
      <w:marRight w:val="0"/>
      <w:marTop w:val="0"/>
      <w:marBottom w:val="0"/>
      <w:divBdr>
        <w:top w:val="none" w:sz="0" w:space="0" w:color="auto"/>
        <w:left w:val="none" w:sz="0" w:space="0" w:color="auto"/>
        <w:bottom w:val="none" w:sz="0" w:space="0" w:color="auto"/>
        <w:right w:val="none" w:sz="0" w:space="0" w:color="auto"/>
      </w:divBdr>
    </w:div>
    <w:div w:id="1047681545">
      <w:bodyDiv w:val="1"/>
      <w:marLeft w:val="0"/>
      <w:marRight w:val="0"/>
      <w:marTop w:val="0"/>
      <w:marBottom w:val="0"/>
      <w:divBdr>
        <w:top w:val="none" w:sz="0" w:space="0" w:color="auto"/>
        <w:left w:val="none" w:sz="0" w:space="0" w:color="auto"/>
        <w:bottom w:val="none" w:sz="0" w:space="0" w:color="auto"/>
        <w:right w:val="none" w:sz="0" w:space="0" w:color="auto"/>
      </w:divBdr>
    </w:div>
    <w:div w:id="1047682586">
      <w:bodyDiv w:val="1"/>
      <w:marLeft w:val="0"/>
      <w:marRight w:val="0"/>
      <w:marTop w:val="0"/>
      <w:marBottom w:val="0"/>
      <w:divBdr>
        <w:top w:val="none" w:sz="0" w:space="0" w:color="auto"/>
        <w:left w:val="none" w:sz="0" w:space="0" w:color="auto"/>
        <w:bottom w:val="none" w:sz="0" w:space="0" w:color="auto"/>
        <w:right w:val="none" w:sz="0" w:space="0" w:color="auto"/>
      </w:divBdr>
    </w:div>
    <w:div w:id="1047795284">
      <w:bodyDiv w:val="1"/>
      <w:marLeft w:val="0"/>
      <w:marRight w:val="0"/>
      <w:marTop w:val="0"/>
      <w:marBottom w:val="0"/>
      <w:divBdr>
        <w:top w:val="none" w:sz="0" w:space="0" w:color="auto"/>
        <w:left w:val="none" w:sz="0" w:space="0" w:color="auto"/>
        <w:bottom w:val="none" w:sz="0" w:space="0" w:color="auto"/>
        <w:right w:val="none" w:sz="0" w:space="0" w:color="auto"/>
      </w:divBdr>
    </w:div>
    <w:div w:id="1047948241">
      <w:bodyDiv w:val="1"/>
      <w:marLeft w:val="0"/>
      <w:marRight w:val="0"/>
      <w:marTop w:val="0"/>
      <w:marBottom w:val="0"/>
      <w:divBdr>
        <w:top w:val="none" w:sz="0" w:space="0" w:color="auto"/>
        <w:left w:val="none" w:sz="0" w:space="0" w:color="auto"/>
        <w:bottom w:val="none" w:sz="0" w:space="0" w:color="auto"/>
        <w:right w:val="none" w:sz="0" w:space="0" w:color="auto"/>
      </w:divBdr>
    </w:div>
    <w:div w:id="1047989629">
      <w:bodyDiv w:val="1"/>
      <w:marLeft w:val="0"/>
      <w:marRight w:val="0"/>
      <w:marTop w:val="0"/>
      <w:marBottom w:val="0"/>
      <w:divBdr>
        <w:top w:val="none" w:sz="0" w:space="0" w:color="auto"/>
        <w:left w:val="none" w:sz="0" w:space="0" w:color="auto"/>
        <w:bottom w:val="none" w:sz="0" w:space="0" w:color="auto"/>
        <w:right w:val="none" w:sz="0" w:space="0" w:color="auto"/>
      </w:divBdr>
    </w:div>
    <w:div w:id="1048186827">
      <w:bodyDiv w:val="1"/>
      <w:marLeft w:val="0"/>
      <w:marRight w:val="0"/>
      <w:marTop w:val="0"/>
      <w:marBottom w:val="0"/>
      <w:divBdr>
        <w:top w:val="none" w:sz="0" w:space="0" w:color="auto"/>
        <w:left w:val="none" w:sz="0" w:space="0" w:color="auto"/>
        <w:bottom w:val="none" w:sz="0" w:space="0" w:color="auto"/>
        <w:right w:val="none" w:sz="0" w:space="0" w:color="auto"/>
      </w:divBdr>
    </w:div>
    <w:div w:id="1048645258">
      <w:bodyDiv w:val="1"/>
      <w:marLeft w:val="0"/>
      <w:marRight w:val="0"/>
      <w:marTop w:val="0"/>
      <w:marBottom w:val="0"/>
      <w:divBdr>
        <w:top w:val="none" w:sz="0" w:space="0" w:color="auto"/>
        <w:left w:val="none" w:sz="0" w:space="0" w:color="auto"/>
        <w:bottom w:val="none" w:sz="0" w:space="0" w:color="auto"/>
        <w:right w:val="none" w:sz="0" w:space="0" w:color="auto"/>
      </w:divBdr>
    </w:div>
    <w:div w:id="1048843865">
      <w:bodyDiv w:val="1"/>
      <w:marLeft w:val="0"/>
      <w:marRight w:val="0"/>
      <w:marTop w:val="0"/>
      <w:marBottom w:val="0"/>
      <w:divBdr>
        <w:top w:val="none" w:sz="0" w:space="0" w:color="auto"/>
        <w:left w:val="none" w:sz="0" w:space="0" w:color="auto"/>
        <w:bottom w:val="none" w:sz="0" w:space="0" w:color="auto"/>
        <w:right w:val="none" w:sz="0" w:space="0" w:color="auto"/>
      </w:divBdr>
    </w:div>
    <w:div w:id="1049379750">
      <w:bodyDiv w:val="1"/>
      <w:marLeft w:val="0"/>
      <w:marRight w:val="0"/>
      <w:marTop w:val="0"/>
      <w:marBottom w:val="0"/>
      <w:divBdr>
        <w:top w:val="none" w:sz="0" w:space="0" w:color="auto"/>
        <w:left w:val="none" w:sz="0" w:space="0" w:color="auto"/>
        <w:bottom w:val="none" w:sz="0" w:space="0" w:color="auto"/>
        <w:right w:val="none" w:sz="0" w:space="0" w:color="auto"/>
      </w:divBdr>
    </w:div>
    <w:div w:id="1049690841">
      <w:bodyDiv w:val="1"/>
      <w:marLeft w:val="0"/>
      <w:marRight w:val="0"/>
      <w:marTop w:val="0"/>
      <w:marBottom w:val="0"/>
      <w:divBdr>
        <w:top w:val="none" w:sz="0" w:space="0" w:color="auto"/>
        <w:left w:val="none" w:sz="0" w:space="0" w:color="auto"/>
        <w:bottom w:val="none" w:sz="0" w:space="0" w:color="auto"/>
        <w:right w:val="none" w:sz="0" w:space="0" w:color="auto"/>
      </w:divBdr>
    </w:div>
    <w:div w:id="1052312583">
      <w:bodyDiv w:val="1"/>
      <w:marLeft w:val="0"/>
      <w:marRight w:val="0"/>
      <w:marTop w:val="0"/>
      <w:marBottom w:val="0"/>
      <w:divBdr>
        <w:top w:val="none" w:sz="0" w:space="0" w:color="auto"/>
        <w:left w:val="none" w:sz="0" w:space="0" w:color="auto"/>
        <w:bottom w:val="none" w:sz="0" w:space="0" w:color="auto"/>
        <w:right w:val="none" w:sz="0" w:space="0" w:color="auto"/>
      </w:divBdr>
    </w:div>
    <w:div w:id="1052313873">
      <w:bodyDiv w:val="1"/>
      <w:marLeft w:val="0"/>
      <w:marRight w:val="0"/>
      <w:marTop w:val="0"/>
      <w:marBottom w:val="0"/>
      <w:divBdr>
        <w:top w:val="none" w:sz="0" w:space="0" w:color="auto"/>
        <w:left w:val="none" w:sz="0" w:space="0" w:color="auto"/>
        <w:bottom w:val="none" w:sz="0" w:space="0" w:color="auto"/>
        <w:right w:val="none" w:sz="0" w:space="0" w:color="auto"/>
      </w:divBdr>
    </w:div>
    <w:div w:id="1052459309">
      <w:bodyDiv w:val="1"/>
      <w:marLeft w:val="0"/>
      <w:marRight w:val="0"/>
      <w:marTop w:val="0"/>
      <w:marBottom w:val="0"/>
      <w:divBdr>
        <w:top w:val="none" w:sz="0" w:space="0" w:color="auto"/>
        <w:left w:val="none" w:sz="0" w:space="0" w:color="auto"/>
        <w:bottom w:val="none" w:sz="0" w:space="0" w:color="auto"/>
        <w:right w:val="none" w:sz="0" w:space="0" w:color="auto"/>
      </w:divBdr>
    </w:div>
    <w:div w:id="1053890182">
      <w:bodyDiv w:val="1"/>
      <w:marLeft w:val="0"/>
      <w:marRight w:val="0"/>
      <w:marTop w:val="0"/>
      <w:marBottom w:val="0"/>
      <w:divBdr>
        <w:top w:val="none" w:sz="0" w:space="0" w:color="auto"/>
        <w:left w:val="none" w:sz="0" w:space="0" w:color="auto"/>
        <w:bottom w:val="none" w:sz="0" w:space="0" w:color="auto"/>
        <w:right w:val="none" w:sz="0" w:space="0" w:color="auto"/>
      </w:divBdr>
    </w:div>
    <w:div w:id="1055079739">
      <w:bodyDiv w:val="1"/>
      <w:marLeft w:val="0"/>
      <w:marRight w:val="0"/>
      <w:marTop w:val="0"/>
      <w:marBottom w:val="0"/>
      <w:divBdr>
        <w:top w:val="none" w:sz="0" w:space="0" w:color="auto"/>
        <w:left w:val="none" w:sz="0" w:space="0" w:color="auto"/>
        <w:bottom w:val="none" w:sz="0" w:space="0" w:color="auto"/>
        <w:right w:val="none" w:sz="0" w:space="0" w:color="auto"/>
      </w:divBdr>
    </w:div>
    <w:div w:id="1056047572">
      <w:bodyDiv w:val="1"/>
      <w:marLeft w:val="0"/>
      <w:marRight w:val="0"/>
      <w:marTop w:val="0"/>
      <w:marBottom w:val="0"/>
      <w:divBdr>
        <w:top w:val="none" w:sz="0" w:space="0" w:color="auto"/>
        <w:left w:val="none" w:sz="0" w:space="0" w:color="auto"/>
        <w:bottom w:val="none" w:sz="0" w:space="0" w:color="auto"/>
        <w:right w:val="none" w:sz="0" w:space="0" w:color="auto"/>
      </w:divBdr>
    </w:div>
    <w:div w:id="1056901259">
      <w:bodyDiv w:val="1"/>
      <w:marLeft w:val="0"/>
      <w:marRight w:val="0"/>
      <w:marTop w:val="0"/>
      <w:marBottom w:val="0"/>
      <w:divBdr>
        <w:top w:val="none" w:sz="0" w:space="0" w:color="auto"/>
        <w:left w:val="none" w:sz="0" w:space="0" w:color="auto"/>
        <w:bottom w:val="none" w:sz="0" w:space="0" w:color="auto"/>
        <w:right w:val="none" w:sz="0" w:space="0" w:color="auto"/>
      </w:divBdr>
    </w:div>
    <w:div w:id="1057048252">
      <w:bodyDiv w:val="1"/>
      <w:marLeft w:val="0"/>
      <w:marRight w:val="0"/>
      <w:marTop w:val="0"/>
      <w:marBottom w:val="0"/>
      <w:divBdr>
        <w:top w:val="none" w:sz="0" w:space="0" w:color="auto"/>
        <w:left w:val="none" w:sz="0" w:space="0" w:color="auto"/>
        <w:bottom w:val="none" w:sz="0" w:space="0" w:color="auto"/>
        <w:right w:val="none" w:sz="0" w:space="0" w:color="auto"/>
      </w:divBdr>
    </w:div>
    <w:div w:id="1057125053">
      <w:bodyDiv w:val="1"/>
      <w:marLeft w:val="0"/>
      <w:marRight w:val="0"/>
      <w:marTop w:val="0"/>
      <w:marBottom w:val="0"/>
      <w:divBdr>
        <w:top w:val="none" w:sz="0" w:space="0" w:color="auto"/>
        <w:left w:val="none" w:sz="0" w:space="0" w:color="auto"/>
        <w:bottom w:val="none" w:sz="0" w:space="0" w:color="auto"/>
        <w:right w:val="none" w:sz="0" w:space="0" w:color="auto"/>
      </w:divBdr>
    </w:div>
    <w:div w:id="1059209454">
      <w:bodyDiv w:val="1"/>
      <w:marLeft w:val="0"/>
      <w:marRight w:val="0"/>
      <w:marTop w:val="0"/>
      <w:marBottom w:val="0"/>
      <w:divBdr>
        <w:top w:val="none" w:sz="0" w:space="0" w:color="auto"/>
        <w:left w:val="none" w:sz="0" w:space="0" w:color="auto"/>
        <w:bottom w:val="none" w:sz="0" w:space="0" w:color="auto"/>
        <w:right w:val="none" w:sz="0" w:space="0" w:color="auto"/>
      </w:divBdr>
    </w:div>
    <w:div w:id="1059593686">
      <w:bodyDiv w:val="1"/>
      <w:marLeft w:val="0"/>
      <w:marRight w:val="0"/>
      <w:marTop w:val="0"/>
      <w:marBottom w:val="0"/>
      <w:divBdr>
        <w:top w:val="none" w:sz="0" w:space="0" w:color="auto"/>
        <w:left w:val="none" w:sz="0" w:space="0" w:color="auto"/>
        <w:bottom w:val="none" w:sz="0" w:space="0" w:color="auto"/>
        <w:right w:val="none" w:sz="0" w:space="0" w:color="auto"/>
      </w:divBdr>
    </w:div>
    <w:div w:id="1061563057">
      <w:bodyDiv w:val="1"/>
      <w:marLeft w:val="0"/>
      <w:marRight w:val="0"/>
      <w:marTop w:val="0"/>
      <w:marBottom w:val="0"/>
      <w:divBdr>
        <w:top w:val="none" w:sz="0" w:space="0" w:color="auto"/>
        <w:left w:val="none" w:sz="0" w:space="0" w:color="auto"/>
        <w:bottom w:val="none" w:sz="0" w:space="0" w:color="auto"/>
        <w:right w:val="none" w:sz="0" w:space="0" w:color="auto"/>
      </w:divBdr>
    </w:div>
    <w:div w:id="1061637417">
      <w:bodyDiv w:val="1"/>
      <w:marLeft w:val="0"/>
      <w:marRight w:val="0"/>
      <w:marTop w:val="0"/>
      <w:marBottom w:val="0"/>
      <w:divBdr>
        <w:top w:val="none" w:sz="0" w:space="0" w:color="auto"/>
        <w:left w:val="none" w:sz="0" w:space="0" w:color="auto"/>
        <w:bottom w:val="none" w:sz="0" w:space="0" w:color="auto"/>
        <w:right w:val="none" w:sz="0" w:space="0" w:color="auto"/>
      </w:divBdr>
    </w:div>
    <w:div w:id="1061712475">
      <w:bodyDiv w:val="1"/>
      <w:marLeft w:val="0"/>
      <w:marRight w:val="0"/>
      <w:marTop w:val="0"/>
      <w:marBottom w:val="0"/>
      <w:divBdr>
        <w:top w:val="none" w:sz="0" w:space="0" w:color="auto"/>
        <w:left w:val="none" w:sz="0" w:space="0" w:color="auto"/>
        <w:bottom w:val="none" w:sz="0" w:space="0" w:color="auto"/>
        <w:right w:val="none" w:sz="0" w:space="0" w:color="auto"/>
      </w:divBdr>
    </w:div>
    <w:div w:id="1062212946">
      <w:bodyDiv w:val="1"/>
      <w:marLeft w:val="0"/>
      <w:marRight w:val="0"/>
      <w:marTop w:val="0"/>
      <w:marBottom w:val="0"/>
      <w:divBdr>
        <w:top w:val="none" w:sz="0" w:space="0" w:color="auto"/>
        <w:left w:val="none" w:sz="0" w:space="0" w:color="auto"/>
        <w:bottom w:val="none" w:sz="0" w:space="0" w:color="auto"/>
        <w:right w:val="none" w:sz="0" w:space="0" w:color="auto"/>
      </w:divBdr>
    </w:div>
    <w:div w:id="1062603788">
      <w:bodyDiv w:val="1"/>
      <w:marLeft w:val="0"/>
      <w:marRight w:val="0"/>
      <w:marTop w:val="0"/>
      <w:marBottom w:val="0"/>
      <w:divBdr>
        <w:top w:val="none" w:sz="0" w:space="0" w:color="auto"/>
        <w:left w:val="none" w:sz="0" w:space="0" w:color="auto"/>
        <w:bottom w:val="none" w:sz="0" w:space="0" w:color="auto"/>
        <w:right w:val="none" w:sz="0" w:space="0" w:color="auto"/>
      </w:divBdr>
    </w:div>
    <w:div w:id="1062679576">
      <w:bodyDiv w:val="1"/>
      <w:marLeft w:val="0"/>
      <w:marRight w:val="0"/>
      <w:marTop w:val="0"/>
      <w:marBottom w:val="0"/>
      <w:divBdr>
        <w:top w:val="none" w:sz="0" w:space="0" w:color="auto"/>
        <w:left w:val="none" w:sz="0" w:space="0" w:color="auto"/>
        <w:bottom w:val="none" w:sz="0" w:space="0" w:color="auto"/>
        <w:right w:val="none" w:sz="0" w:space="0" w:color="auto"/>
      </w:divBdr>
    </w:div>
    <w:div w:id="1062947013">
      <w:bodyDiv w:val="1"/>
      <w:marLeft w:val="0"/>
      <w:marRight w:val="0"/>
      <w:marTop w:val="0"/>
      <w:marBottom w:val="0"/>
      <w:divBdr>
        <w:top w:val="none" w:sz="0" w:space="0" w:color="auto"/>
        <w:left w:val="none" w:sz="0" w:space="0" w:color="auto"/>
        <w:bottom w:val="none" w:sz="0" w:space="0" w:color="auto"/>
        <w:right w:val="none" w:sz="0" w:space="0" w:color="auto"/>
      </w:divBdr>
    </w:div>
    <w:div w:id="1063065176">
      <w:bodyDiv w:val="1"/>
      <w:marLeft w:val="0"/>
      <w:marRight w:val="0"/>
      <w:marTop w:val="0"/>
      <w:marBottom w:val="0"/>
      <w:divBdr>
        <w:top w:val="none" w:sz="0" w:space="0" w:color="auto"/>
        <w:left w:val="none" w:sz="0" w:space="0" w:color="auto"/>
        <w:bottom w:val="none" w:sz="0" w:space="0" w:color="auto"/>
        <w:right w:val="none" w:sz="0" w:space="0" w:color="auto"/>
      </w:divBdr>
    </w:div>
    <w:div w:id="1063412610">
      <w:bodyDiv w:val="1"/>
      <w:marLeft w:val="0"/>
      <w:marRight w:val="0"/>
      <w:marTop w:val="0"/>
      <w:marBottom w:val="0"/>
      <w:divBdr>
        <w:top w:val="none" w:sz="0" w:space="0" w:color="auto"/>
        <w:left w:val="none" w:sz="0" w:space="0" w:color="auto"/>
        <w:bottom w:val="none" w:sz="0" w:space="0" w:color="auto"/>
        <w:right w:val="none" w:sz="0" w:space="0" w:color="auto"/>
      </w:divBdr>
    </w:div>
    <w:div w:id="1064183335">
      <w:bodyDiv w:val="1"/>
      <w:marLeft w:val="0"/>
      <w:marRight w:val="0"/>
      <w:marTop w:val="0"/>
      <w:marBottom w:val="0"/>
      <w:divBdr>
        <w:top w:val="none" w:sz="0" w:space="0" w:color="auto"/>
        <w:left w:val="none" w:sz="0" w:space="0" w:color="auto"/>
        <w:bottom w:val="none" w:sz="0" w:space="0" w:color="auto"/>
        <w:right w:val="none" w:sz="0" w:space="0" w:color="auto"/>
      </w:divBdr>
    </w:div>
    <w:div w:id="1064377150">
      <w:bodyDiv w:val="1"/>
      <w:marLeft w:val="0"/>
      <w:marRight w:val="0"/>
      <w:marTop w:val="0"/>
      <w:marBottom w:val="0"/>
      <w:divBdr>
        <w:top w:val="none" w:sz="0" w:space="0" w:color="auto"/>
        <w:left w:val="none" w:sz="0" w:space="0" w:color="auto"/>
        <w:bottom w:val="none" w:sz="0" w:space="0" w:color="auto"/>
        <w:right w:val="none" w:sz="0" w:space="0" w:color="auto"/>
      </w:divBdr>
    </w:div>
    <w:div w:id="1064520948">
      <w:bodyDiv w:val="1"/>
      <w:marLeft w:val="0"/>
      <w:marRight w:val="0"/>
      <w:marTop w:val="0"/>
      <w:marBottom w:val="0"/>
      <w:divBdr>
        <w:top w:val="none" w:sz="0" w:space="0" w:color="auto"/>
        <w:left w:val="none" w:sz="0" w:space="0" w:color="auto"/>
        <w:bottom w:val="none" w:sz="0" w:space="0" w:color="auto"/>
        <w:right w:val="none" w:sz="0" w:space="0" w:color="auto"/>
      </w:divBdr>
    </w:div>
    <w:div w:id="1065760749">
      <w:bodyDiv w:val="1"/>
      <w:marLeft w:val="0"/>
      <w:marRight w:val="0"/>
      <w:marTop w:val="0"/>
      <w:marBottom w:val="0"/>
      <w:divBdr>
        <w:top w:val="none" w:sz="0" w:space="0" w:color="auto"/>
        <w:left w:val="none" w:sz="0" w:space="0" w:color="auto"/>
        <w:bottom w:val="none" w:sz="0" w:space="0" w:color="auto"/>
        <w:right w:val="none" w:sz="0" w:space="0" w:color="auto"/>
      </w:divBdr>
    </w:div>
    <w:div w:id="1065882775">
      <w:bodyDiv w:val="1"/>
      <w:marLeft w:val="0"/>
      <w:marRight w:val="0"/>
      <w:marTop w:val="0"/>
      <w:marBottom w:val="0"/>
      <w:divBdr>
        <w:top w:val="none" w:sz="0" w:space="0" w:color="auto"/>
        <w:left w:val="none" w:sz="0" w:space="0" w:color="auto"/>
        <w:bottom w:val="none" w:sz="0" w:space="0" w:color="auto"/>
        <w:right w:val="none" w:sz="0" w:space="0" w:color="auto"/>
      </w:divBdr>
    </w:div>
    <w:div w:id="1065951996">
      <w:bodyDiv w:val="1"/>
      <w:marLeft w:val="0"/>
      <w:marRight w:val="0"/>
      <w:marTop w:val="0"/>
      <w:marBottom w:val="0"/>
      <w:divBdr>
        <w:top w:val="none" w:sz="0" w:space="0" w:color="auto"/>
        <w:left w:val="none" w:sz="0" w:space="0" w:color="auto"/>
        <w:bottom w:val="none" w:sz="0" w:space="0" w:color="auto"/>
        <w:right w:val="none" w:sz="0" w:space="0" w:color="auto"/>
      </w:divBdr>
    </w:div>
    <w:div w:id="1066029742">
      <w:bodyDiv w:val="1"/>
      <w:marLeft w:val="0"/>
      <w:marRight w:val="0"/>
      <w:marTop w:val="0"/>
      <w:marBottom w:val="0"/>
      <w:divBdr>
        <w:top w:val="none" w:sz="0" w:space="0" w:color="auto"/>
        <w:left w:val="none" w:sz="0" w:space="0" w:color="auto"/>
        <w:bottom w:val="none" w:sz="0" w:space="0" w:color="auto"/>
        <w:right w:val="none" w:sz="0" w:space="0" w:color="auto"/>
      </w:divBdr>
    </w:div>
    <w:div w:id="1066076156">
      <w:bodyDiv w:val="1"/>
      <w:marLeft w:val="0"/>
      <w:marRight w:val="0"/>
      <w:marTop w:val="0"/>
      <w:marBottom w:val="0"/>
      <w:divBdr>
        <w:top w:val="none" w:sz="0" w:space="0" w:color="auto"/>
        <w:left w:val="none" w:sz="0" w:space="0" w:color="auto"/>
        <w:bottom w:val="none" w:sz="0" w:space="0" w:color="auto"/>
        <w:right w:val="none" w:sz="0" w:space="0" w:color="auto"/>
      </w:divBdr>
    </w:div>
    <w:div w:id="1066221087">
      <w:bodyDiv w:val="1"/>
      <w:marLeft w:val="0"/>
      <w:marRight w:val="0"/>
      <w:marTop w:val="0"/>
      <w:marBottom w:val="0"/>
      <w:divBdr>
        <w:top w:val="none" w:sz="0" w:space="0" w:color="auto"/>
        <w:left w:val="none" w:sz="0" w:space="0" w:color="auto"/>
        <w:bottom w:val="none" w:sz="0" w:space="0" w:color="auto"/>
        <w:right w:val="none" w:sz="0" w:space="0" w:color="auto"/>
      </w:divBdr>
    </w:div>
    <w:div w:id="1066414384">
      <w:bodyDiv w:val="1"/>
      <w:marLeft w:val="0"/>
      <w:marRight w:val="0"/>
      <w:marTop w:val="0"/>
      <w:marBottom w:val="0"/>
      <w:divBdr>
        <w:top w:val="none" w:sz="0" w:space="0" w:color="auto"/>
        <w:left w:val="none" w:sz="0" w:space="0" w:color="auto"/>
        <w:bottom w:val="none" w:sz="0" w:space="0" w:color="auto"/>
        <w:right w:val="none" w:sz="0" w:space="0" w:color="auto"/>
      </w:divBdr>
    </w:div>
    <w:div w:id="1066732432">
      <w:bodyDiv w:val="1"/>
      <w:marLeft w:val="0"/>
      <w:marRight w:val="0"/>
      <w:marTop w:val="0"/>
      <w:marBottom w:val="0"/>
      <w:divBdr>
        <w:top w:val="none" w:sz="0" w:space="0" w:color="auto"/>
        <w:left w:val="none" w:sz="0" w:space="0" w:color="auto"/>
        <w:bottom w:val="none" w:sz="0" w:space="0" w:color="auto"/>
        <w:right w:val="none" w:sz="0" w:space="0" w:color="auto"/>
      </w:divBdr>
    </w:div>
    <w:div w:id="1067462511">
      <w:bodyDiv w:val="1"/>
      <w:marLeft w:val="0"/>
      <w:marRight w:val="0"/>
      <w:marTop w:val="0"/>
      <w:marBottom w:val="0"/>
      <w:divBdr>
        <w:top w:val="none" w:sz="0" w:space="0" w:color="auto"/>
        <w:left w:val="none" w:sz="0" w:space="0" w:color="auto"/>
        <w:bottom w:val="none" w:sz="0" w:space="0" w:color="auto"/>
        <w:right w:val="none" w:sz="0" w:space="0" w:color="auto"/>
      </w:divBdr>
    </w:div>
    <w:div w:id="1068071004">
      <w:bodyDiv w:val="1"/>
      <w:marLeft w:val="0"/>
      <w:marRight w:val="0"/>
      <w:marTop w:val="0"/>
      <w:marBottom w:val="0"/>
      <w:divBdr>
        <w:top w:val="none" w:sz="0" w:space="0" w:color="auto"/>
        <w:left w:val="none" w:sz="0" w:space="0" w:color="auto"/>
        <w:bottom w:val="none" w:sz="0" w:space="0" w:color="auto"/>
        <w:right w:val="none" w:sz="0" w:space="0" w:color="auto"/>
      </w:divBdr>
    </w:div>
    <w:div w:id="1068267692">
      <w:bodyDiv w:val="1"/>
      <w:marLeft w:val="0"/>
      <w:marRight w:val="0"/>
      <w:marTop w:val="0"/>
      <w:marBottom w:val="0"/>
      <w:divBdr>
        <w:top w:val="none" w:sz="0" w:space="0" w:color="auto"/>
        <w:left w:val="none" w:sz="0" w:space="0" w:color="auto"/>
        <w:bottom w:val="none" w:sz="0" w:space="0" w:color="auto"/>
        <w:right w:val="none" w:sz="0" w:space="0" w:color="auto"/>
      </w:divBdr>
    </w:div>
    <w:div w:id="1068529165">
      <w:bodyDiv w:val="1"/>
      <w:marLeft w:val="0"/>
      <w:marRight w:val="0"/>
      <w:marTop w:val="0"/>
      <w:marBottom w:val="0"/>
      <w:divBdr>
        <w:top w:val="none" w:sz="0" w:space="0" w:color="auto"/>
        <w:left w:val="none" w:sz="0" w:space="0" w:color="auto"/>
        <w:bottom w:val="none" w:sz="0" w:space="0" w:color="auto"/>
        <w:right w:val="none" w:sz="0" w:space="0" w:color="auto"/>
      </w:divBdr>
    </w:div>
    <w:div w:id="1068572482">
      <w:bodyDiv w:val="1"/>
      <w:marLeft w:val="0"/>
      <w:marRight w:val="0"/>
      <w:marTop w:val="0"/>
      <w:marBottom w:val="0"/>
      <w:divBdr>
        <w:top w:val="none" w:sz="0" w:space="0" w:color="auto"/>
        <w:left w:val="none" w:sz="0" w:space="0" w:color="auto"/>
        <w:bottom w:val="none" w:sz="0" w:space="0" w:color="auto"/>
        <w:right w:val="none" w:sz="0" w:space="0" w:color="auto"/>
      </w:divBdr>
    </w:div>
    <w:div w:id="1068576246">
      <w:bodyDiv w:val="1"/>
      <w:marLeft w:val="0"/>
      <w:marRight w:val="0"/>
      <w:marTop w:val="0"/>
      <w:marBottom w:val="0"/>
      <w:divBdr>
        <w:top w:val="none" w:sz="0" w:space="0" w:color="auto"/>
        <w:left w:val="none" w:sz="0" w:space="0" w:color="auto"/>
        <w:bottom w:val="none" w:sz="0" w:space="0" w:color="auto"/>
        <w:right w:val="none" w:sz="0" w:space="0" w:color="auto"/>
      </w:divBdr>
    </w:div>
    <w:div w:id="1068846780">
      <w:bodyDiv w:val="1"/>
      <w:marLeft w:val="0"/>
      <w:marRight w:val="0"/>
      <w:marTop w:val="0"/>
      <w:marBottom w:val="0"/>
      <w:divBdr>
        <w:top w:val="none" w:sz="0" w:space="0" w:color="auto"/>
        <w:left w:val="none" w:sz="0" w:space="0" w:color="auto"/>
        <w:bottom w:val="none" w:sz="0" w:space="0" w:color="auto"/>
        <w:right w:val="none" w:sz="0" w:space="0" w:color="auto"/>
      </w:divBdr>
    </w:div>
    <w:div w:id="1069427450">
      <w:bodyDiv w:val="1"/>
      <w:marLeft w:val="0"/>
      <w:marRight w:val="0"/>
      <w:marTop w:val="0"/>
      <w:marBottom w:val="0"/>
      <w:divBdr>
        <w:top w:val="none" w:sz="0" w:space="0" w:color="auto"/>
        <w:left w:val="none" w:sz="0" w:space="0" w:color="auto"/>
        <w:bottom w:val="none" w:sz="0" w:space="0" w:color="auto"/>
        <w:right w:val="none" w:sz="0" w:space="0" w:color="auto"/>
      </w:divBdr>
    </w:div>
    <w:div w:id="1069578166">
      <w:bodyDiv w:val="1"/>
      <w:marLeft w:val="0"/>
      <w:marRight w:val="0"/>
      <w:marTop w:val="0"/>
      <w:marBottom w:val="0"/>
      <w:divBdr>
        <w:top w:val="none" w:sz="0" w:space="0" w:color="auto"/>
        <w:left w:val="none" w:sz="0" w:space="0" w:color="auto"/>
        <w:bottom w:val="none" w:sz="0" w:space="0" w:color="auto"/>
        <w:right w:val="none" w:sz="0" w:space="0" w:color="auto"/>
      </w:divBdr>
    </w:div>
    <w:div w:id="1069766034">
      <w:bodyDiv w:val="1"/>
      <w:marLeft w:val="0"/>
      <w:marRight w:val="0"/>
      <w:marTop w:val="0"/>
      <w:marBottom w:val="0"/>
      <w:divBdr>
        <w:top w:val="none" w:sz="0" w:space="0" w:color="auto"/>
        <w:left w:val="none" w:sz="0" w:space="0" w:color="auto"/>
        <w:bottom w:val="none" w:sz="0" w:space="0" w:color="auto"/>
        <w:right w:val="none" w:sz="0" w:space="0" w:color="auto"/>
      </w:divBdr>
    </w:div>
    <w:div w:id="1070344548">
      <w:bodyDiv w:val="1"/>
      <w:marLeft w:val="0"/>
      <w:marRight w:val="0"/>
      <w:marTop w:val="0"/>
      <w:marBottom w:val="0"/>
      <w:divBdr>
        <w:top w:val="none" w:sz="0" w:space="0" w:color="auto"/>
        <w:left w:val="none" w:sz="0" w:space="0" w:color="auto"/>
        <w:bottom w:val="none" w:sz="0" w:space="0" w:color="auto"/>
        <w:right w:val="none" w:sz="0" w:space="0" w:color="auto"/>
      </w:divBdr>
    </w:div>
    <w:div w:id="1070344884">
      <w:bodyDiv w:val="1"/>
      <w:marLeft w:val="0"/>
      <w:marRight w:val="0"/>
      <w:marTop w:val="0"/>
      <w:marBottom w:val="0"/>
      <w:divBdr>
        <w:top w:val="none" w:sz="0" w:space="0" w:color="auto"/>
        <w:left w:val="none" w:sz="0" w:space="0" w:color="auto"/>
        <w:bottom w:val="none" w:sz="0" w:space="0" w:color="auto"/>
        <w:right w:val="none" w:sz="0" w:space="0" w:color="auto"/>
      </w:divBdr>
    </w:div>
    <w:div w:id="1070495873">
      <w:bodyDiv w:val="1"/>
      <w:marLeft w:val="0"/>
      <w:marRight w:val="0"/>
      <w:marTop w:val="0"/>
      <w:marBottom w:val="0"/>
      <w:divBdr>
        <w:top w:val="none" w:sz="0" w:space="0" w:color="auto"/>
        <w:left w:val="none" w:sz="0" w:space="0" w:color="auto"/>
        <w:bottom w:val="none" w:sz="0" w:space="0" w:color="auto"/>
        <w:right w:val="none" w:sz="0" w:space="0" w:color="auto"/>
      </w:divBdr>
    </w:div>
    <w:div w:id="1070734775">
      <w:bodyDiv w:val="1"/>
      <w:marLeft w:val="0"/>
      <w:marRight w:val="0"/>
      <w:marTop w:val="0"/>
      <w:marBottom w:val="0"/>
      <w:divBdr>
        <w:top w:val="none" w:sz="0" w:space="0" w:color="auto"/>
        <w:left w:val="none" w:sz="0" w:space="0" w:color="auto"/>
        <w:bottom w:val="none" w:sz="0" w:space="0" w:color="auto"/>
        <w:right w:val="none" w:sz="0" w:space="0" w:color="auto"/>
      </w:divBdr>
    </w:div>
    <w:div w:id="1070812543">
      <w:bodyDiv w:val="1"/>
      <w:marLeft w:val="0"/>
      <w:marRight w:val="0"/>
      <w:marTop w:val="0"/>
      <w:marBottom w:val="0"/>
      <w:divBdr>
        <w:top w:val="none" w:sz="0" w:space="0" w:color="auto"/>
        <w:left w:val="none" w:sz="0" w:space="0" w:color="auto"/>
        <w:bottom w:val="none" w:sz="0" w:space="0" w:color="auto"/>
        <w:right w:val="none" w:sz="0" w:space="0" w:color="auto"/>
      </w:divBdr>
    </w:div>
    <w:div w:id="1071272798">
      <w:bodyDiv w:val="1"/>
      <w:marLeft w:val="0"/>
      <w:marRight w:val="0"/>
      <w:marTop w:val="0"/>
      <w:marBottom w:val="0"/>
      <w:divBdr>
        <w:top w:val="none" w:sz="0" w:space="0" w:color="auto"/>
        <w:left w:val="none" w:sz="0" w:space="0" w:color="auto"/>
        <w:bottom w:val="none" w:sz="0" w:space="0" w:color="auto"/>
        <w:right w:val="none" w:sz="0" w:space="0" w:color="auto"/>
      </w:divBdr>
    </w:div>
    <w:div w:id="1071386337">
      <w:bodyDiv w:val="1"/>
      <w:marLeft w:val="0"/>
      <w:marRight w:val="0"/>
      <w:marTop w:val="0"/>
      <w:marBottom w:val="0"/>
      <w:divBdr>
        <w:top w:val="none" w:sz="0" w:space="0" w:color="auto"/>
        <w:left w:val="none" w:sz="0" w:space="0" w:color="auto"/>
        <w:bottom w:val="none" w:sz="0" w:space="0" w:color="auto"/>
        <w:right w:val="none" w:sz="0" w:space="0" w:color="auto"/>
      </w:divBdr>
    </w:div>
    <w:div w:id="1071461478">
      <w:bodyDiv w:val="1"/>
      <w:marLeft w:val="0"/>
      <w:marRight w:val="0"/>
      <w:marTop w:val="0"/>
      <w:marBottom w:val="0"/>
      <w:divBdr>
        <w:top w:val="none" w:sz="0" w:space="0" w:color="auto"/>
        <w:left w:val="none" w:sz="0" w:space="0" w:color="auto"/>
        <w:bottom w:val="none" w:sz="0" w:space="0" w:color="auto"/>
        <w:right w:val="none" w:sz="0" w:space="0" w:color="auto"/>
      </w:divBdr>
    </w:div>
    <w:div w:id="1071584832">
      <w:bodyDiv w:val="1"/>
      <w:marLeft w:val="0"/>
      <w:marRight w:val="0"/>
      <w:marTop w:val="0"/>
      <w:marBottom w:val="0"/>
      <w:divBdr>
        <w:top w:val="none" w:sz="0" w:space="0" w:color="auto"/>
        <w:left w:val="none" w:sz="0" w:space="0" w:color="auto"/>
        <w:bottom w:val="none" w:sz="0" w:space="0" w:color="auto"/>
        <w:right w:val="none" w:sz="0" w:space="0" w:color="auto"/>
      </w:divBdr>
    </w:div>
    <w:div w:id="1071973676">
      <w:bodyDiv w:val="1"/>
      <w:marLeft w:val="0"/>
      <w:marRight w:val="0"/>
      <w:marTop w:val="0"/>
      <w:marBottom w:val="0"/>
      <w:divBdr>
        <w:top w:val="none" w:sz="0" w:space="0" w:color="auto"/>
        <w:left w:val="none" w:sz="0" w:space="0" w:color="auto"/>
        <w:bottom w:val="none" w:sz="0" w:space="0" w:color="auto"/>
        <w:right w:val="none" w:sz="0" w:space="0" w:color="auto"/>
      </w:divBdr>
    </w:div>
    <w:div w:id="1072509209">
      <w:bodyDiv w:val="1"/>
      <w:marLeft w:val="0"/>
      <w:marRight w:val="0"/>
      <w:marTop w:val="0"/>
      <w:marBottom w:val="0"/>
      <w:divBdr>
        <w:top w:val="none" w:sz="0" w:space="0" w:color="auto"/>
        <w:left w:val="none" w:sz="0" w:space="0" w:color="auto"/>
        <w:bottom w:val="none" w:sz="0" w:space="0" w:color="auto"/>
        <w:right w:val="none" w:sz="0" w:space="0" w:color="auto"/>
      </w:divBdr>
    </w:div>
    <w:div w:id="1072586502">
      <w:bodyDiv w:val="1"/>
      <w:marLeft w:val="0"/>
      <w:marRight w:val="0"/>
      <w:marTop w:val="0"/>
      <w:marBottom w:val="0"/>
      <w:divBdr>
        <w:top w:val="none" w:sz="0" w:space="0" w:color="auto"/>
        <w:left w:val="none" w:sz="0" w:space="0" w:color="auto"/>
        <w:bottom w:val="none" w:sz="0" w:space="0" w:color="auto"/>
        <w:right w:val="none" w:sz="0" w:space="0" w:color="auto"/>
      </w:divBdr>
    </w:div>
    <w:div w:id="1072891638">
      <w:bodyDiv w:val="1"/>
      <w:marLeft w:val="0"/>
      <w:marRight w:val="0"/>
      <w:marTop w:val="0"/>
      <w:marBottom w:val="0"/>
      <w:divBdr>
        <w:top w:val="none" w:sz="0" w:space="0" w:color="auto"/>
        <w:left w:val="none" w:sz="0" w:space="0" w:color="auto"/>
        <w:bottom w:val="none" w:sz="0" w:space="0" w:color="auto"/>
        <w:right w:val="none" w:sz="0" w:space="0" w:color="auto"/>
      </w:divBdr>
    </w:div>
    <w:div w:id="1073355107">
      <w:bodyDiv w:val="1"/>
      <w:marLeft w:val="0"/>
      <w:marRight w:val="0"/>
      <w:marTop w:val="0"/>
      <w:marBottom w:val="0"/>
      <w:divBdr>
        <w:top w:val="none" w:sz="0" w:space="0" w:color="auto"/>
        <w:left w:val="none" w:sz="0" w:space="0" w:color="auto"/>
        <w:bottom w:val="none" w:sz="0" w:space="0" w:color="auto"/>
        <w:right w:val="none" w:sz="0" w:space="0" w:color="auto"/>
      </w:divBdr>
    </w:div>
    <w:div w:id="1073548689">
      <w:bodyDiv w:val="1"/>
      <w:marLeft w:val="0"/>
      <w:marRight w:val="0"/>
      <w:marTop w:val="0"/>
      <w:marBottom w:val="0"/>
      <w:divBdr>
        <w:top w:val="none" w:sz="0" w:space="0" w:color="auto"/>
        <w:left w:val="none" w:sz="0" w:space="0" w:color="auto"/>
        <w:bottom w:val="none" w:sz="0" w:space="0" w:color="auto"/>
        <w:right w:val="none" w:sz="0" w:space="0" w:color="auto"/>
      </w:divBdr>
    </w:div>
    <w:div w:id="1074400700">
      <w:bodyDiv w:val="1"/>
      <w:marLeft w:val="0"/>
      <w:marRight w:val="0"/>
      <w:marTop w:val="0"/>
      <w:marBottom w:val="0"/>
      <w:divBdr>
        <w:top w:val="none" w:sz="0" w:space="0" w:color="auto"/>
        <w:left w:val="none" w:sz="0" w:space="0" w:color="auto"/>
        <w:bottom w:val="none" w:sz="0" w:space="0" w:color="auto"/>
        <w:right w:val="none" w:sz="0" w:space="0" w:color="auto"/>
      </w:divBdr>
    </w:div>
    <w:div w:id="1074742808">
      <w:bodyDiv w:val="1"/>
      <w:marLeft w:val="0"/>
      <w:marRight w:val="0"/>
      <w:marTop w:val="0"/>
      <w:marBottom w:val="0"/>
      <w:divBdr>
        <w:top w:val="none" w:sz="0" w:space="0" w:color="auto"/>
        <w:left w:val="none" w:sz="0" w:space="0" w:color="auto"/>
        <w:bottom w:val="none" w:sz="0" w:space="0" w:color="auto"/>
        <w:right w:val="none" w:sz="0" w:space="0" w:color="auto"/>
      </w:divBdr>
    </w:div>
    <w:div w:id="1077165225">
      <w:bodyDiv w:val="1"/>
      <w:marLeft w:val="0"/>
      <w:marRight w:val="0"/>
      <w:marTop w:val="0"/>
      <w:marBottom w:val="0"/>
      <w:divBdr>
        <w:top w:val="none" w:sz="0" w:space="0" w:color="auto"/>
        <w:left w:val="none" w:sz="0" w:space="0" w:color="auto"/>
        <w:bottom w:val="none" w:sz="0" w:space="0" w:color="auto"/>
        <w:right w:val="none" w:sz="0" w:space="0" w:color="auto"/>
      </w:divBdr>
    </w:div>
    <w:div w:id="1077433973">
      <w:bodyDiv w:val="1"/>
      <w:marLeft w:val="0"/>
      <w:marRight w:val="0"/>
      <w:marTop w:val="0"/>
      <w:marBottom w:val="0"/>
      <w:divBdr>
        <w:top w:val="none" w:sz="0" w:space="0" w:color="auto"/>
        <w:left w:val="none" w:sz="0" w:space="0" w:color="auto"/>
        <w:bottom w:val="none" w:sz="0" w:space="0" w:color="auto"/>
        <w:right w:val="none" w:sz="0" w:space="0" w:color="auto"/>
      </w:divBdr>
    </w:div>
    <w:div w:id="1078331851">
      <w:bodyDiv w:val="1"/>
      <w:marLeft w:val="0"/>
      <w:marRight w:val="0"/>
      <w:marTop w:val="0"/>
      <w:marBottom w:val="0"/>
      <w:divBdr>
        <w:top w:val="none" w:sz="0" w:space="0" w:color="auto"/>
        <w:left w:val="none" w:sz="0" w:space="0" w:color="auto"/>
        <w:bottom w:val="none" w:sz="0" w:space="0" w:color="auto"/>
        <w:right w:val="none" w:sz="0" w:space="0" w:color="auto"/>
      </w:divBdr>
    </w:div>
    <w:div w:id="1078675847">
      <w:bodyDiv w:val="1"/>
      <w:marLeft w:val="0"/>
      <w:marRight w:val="0"/>
      <w:marTop w:val="0"/>
      <w:marBottom w:val="0"/>
      <w:divBdr>
        <w:top w:val="none" w:sz="0" w:space="0" w:color="auto"/>
        <w:left w:val="none" w:sz="0" w:space="0" w:color="auto"/>
        <w:bottom w:val="none" w:sz="0" w:space="0" w:color="auto"/>
        <w:right w:val="none" w:sz="0" w:space="0" w:color="auto"/>
      </w:divBdr>
    </w:div>
    <w:div w:id="1078745710">
      <w:bodyDiv w:val="1"/>
      <w:marLeft w:val="0"/>
      <w:marRight w:val="0"/>
      <w:marTop w:val="0"/>
      <w:marBottom w:val="0"/>
      <w:divBdr>
        <w:top w:val="none" w:sz="0" w:space="0" w:color="auto"/>
        <w:left w:val="none" w:sz="0" w:space="0" w:color="auto"/>
        <w:bottom w:val="none" w:sz="0" w:space="0" w:color="auto"/>
        <w:right w:val="none" w:sz="0" w:space="0" w:color="auto"/>
      </w:divBdr>
    </w:div>
    <w:div w:id="1078941266">
      <w:bodyDiv w:val="1"/>
      <w:marLeft w:val="0"/>
      <w:marRight w:val="0"/>
      <w:marTop w:val="0"/>
      <w:marBottom w:val="0"/>
      <w:divBdr>
        <w:top w:val="none" w:sz="0" w:space="0" w:color="auto"/>
        <w:left w:val="none" w:sz="0" w:space="0" w:color="auto"/>
        <w:bottom w:val="none" w:sz="0" w:space="0" w:color="auto"/>
        <w:right w:val="none" w:sz="0" w:space="0" w:color="auto"/>
      </w:divBdr>
    </w:div>
    <w:div w:id="1079213263">
      <w:bodyDiv w:val="1"/>
      <w:marLeft w:val="0"/>
      <w:marRight w:val="0"/>
      <w:marTop w:val="0"/>
      <w:marBottom w:val="0"/>
      <w:divBdr>
        <w:top w:val="none" w:sz="0" w:space="0" w:color="auto"/>
        <w:left w:val="none" w:sz="0" w:space="0" w:color="auto"/>
        <w:bottom w:val="none" w:sz="0" w:space="0" w:color="auto"/>
        <w:right w:val="none" w:sz="0" w:space="0" w:color="auto"/>
      </w:divBdr>
    </w:div>
    <w:div w:id="1080130094">
      <w:bodyDiv w:val="1"/>
      <w:marLeft w:val="0"/>
      <w:marRight w:val="0"/>
      <w:marTop w:val="0"/>
      <w:marBottom w:val="0"/>
      <w:divBdr>
        <w:top w:val="none" w:sz="0" w:space="0" w:color="auto"/>
        <w:left w:val="none" w:sz="0" w:space="0" w:color="auto"/>
        <w:bottom w:val="none" w:sz="0" w:space="0" w:color="auto"/>
        <w:right w:val="none" w:sz="0" w:space="0" w:color="auto"/>
      </w:divBdr>
    </w:div>
    <w:div w:id="1080365563">
      <w:bodyDiv w:val="1"/>
      <w:marLeft w:val="0"/>
      <w:marRight w:val="0"/>
      <w:marTop w:val="0"/>
      <w:marBottom w:val="0"/>
      <w:divBdr>
        <w:top w:val="none" w:sz="0" w:space="0" w:color="auto"/>
        <w:left w:val="none" w:sz="0" w:space="0" w:color="auto"/>
        <w:bottom w:val="none" w:sz="0" w:space="0" w:color="auto"/>
        <w:right w:val="none" w:sz="0" w:space="0" w:color="auto"/>
      </w:divBdr>
    </w:div>
    <w:div w:id="1081684740">
      <w:bodyDiv w:val="1"/>
      <w:marLeft w:val="0"/>
      <w:marRight w:val="0"/>
      <w:marTop w:val="0"/>
      <w:marBottom w:val="0"/>
      <w:divBdr>
        <w:top w:val="none" w:sz="0" w:space="0" w:color="auto"/>
        <w:left w:val="none" w:sz="0" w:space="0" w:color="auto"/>
        <w:bottom w:val="none" w:sz="0" w:space="0" w:color="auto"/>
        <w:right w:val="none" w:sz="0" w:space="0" w:color="auto"/>
      </w:divBdr>
    </w:div>
    <w:div w:id="1082607217">
      <w:bodyDiv w:val="1"/>
      <w:marLeft w:val="0"/>
      <w:marRight w:val="0"/>
      <w:marTop w:val="0"/>
      <w:marBottom w:val="0"/>
      <w:divBdr>
        <w:top w:val="none" w:sz="0" w:space="0" w:color="auto"/>
        <w:left w:val="none" w:sz="0" w:space="0" w:color="auto"/>
        <w:bottom w:val="none" w:sz="0" w:space="0" w:color="auto"/>
        <w:right w:val="none" w:sz="0" w:space="0" w:color="auto"/>
      </w:divBdr>
    </w:div>
    <w:div w:id="1083189034">
      <w:bodyDiv w:val="1"/>
      <w:marLeft w:val="0"/>
      <w:marRight w:val="0"/>
      <w:marTop w:val="0"/>
      <w:marBottom w:val="0"/>
      <w:divBdr>
        <w:top w:val="none" w:sz="0" w:space="0" w:color="auto"/>
        <w:left w:val="none" w:sz="0" w:space="0" w:color="auto"/>
        <w:bottom w:val="none" w:sz="0" w:space="0" w:color="auto"/>
        <w:right w:val="none" w:sz="0" w:space="0" w:color="auto"/>
      </w:divBdr>
    </w:div>
    <w:div w:id="1083406716">
      <w:bodyDiv w:val="1"/>
      <w:marLeft w:val="0"/>
      <w:marRight w:val="0"/>
      <w:marTop w:val="0"/>
      <w:marBottom w:val="0"/>
      <w:divBdr>
        <w:top w:val="none" w:sz="0" w:space="0" w:color="auto"/>
        <w:left w:val="none" w:sz="0" w:space="0" w:color="auto"/>
        <w:bottom w:val="none" w:sz="0" w:space="0" w:color="auto"/>
        <w:right w:val="none" w:sz="0" w:space="0" w:color="auto"/>
      </w:divBdr>
    </w:div>
    <w:div w:id="1083795499">
      <w:bodyDiv w:val="1"/>
      <w:marLeft w:val="0"/>
      <w:marRight w:val="0"/>
      <w:marTop w:val="0"/>
      <w:marBottom w:val="0"/>
      <w:divBdr>
        <w:top w:val="none" w:sz="0" w:space="0" w:color="auto"/>
        <w:left w:val="none" w:sz="0" w:space="0" w:color="auto"/>
        <w:bottom w:val="none" w:sz="0" w:space="0" w:color="auto"/>
        <w:right w:val="none" w:sz="0" w:space="0" w:color="auto"/>
      </w:divBdr>
    </w:div>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1084111227">
      <w:bodyDiv w:val="1"/>
      <w:marLeft w:val="0"/>
      <w:marRight w:val="0"/>
      <w:marTop w:val="0"/>
      <w:marBottom w:val="0"/>
      <w:divBdr>
        <w:top w:val="none" w:sz="0" w:space="0" w:color="auto"/>
        <w:left w:val="none" w:sz="0" w:space="0" w:color="auto"/>
        <w:bottom w:val="none" w:sz="0" w:space="0" w:color="auto"/>
        <w:right w:val="none" w:sz="0" w:space="0" w:color="auto"/>
      </w:divBdr>
    </w:div>
    <w:div w:id="1084231176">
      <w:bodyDiv w:val="1"/>
      <w:marLeft w:val="0"/>
      <w:marRight w:val="0"/>
      <w:marTop w:val="0"/>
      <w:marBottom w:val="0"/>
      <w:divBdr>
        <w:top w:val="none" w:sz="0" w:space="0" w:color="auto"/>
        <w:left w:val="none" w:sz="0" w:space="0" w:color="auto"/>
        <w:bottom w:val="none" w:sz="0" w:space="0" w:color="auto"/>
        <w:right w:val="none" w:sz="0" w:space="0" w:color="auto"/>
      </w:divBdr>
    </w:div>
    <w:div w:id="1084572265">
      <w:bodyDiv w:val="1"/>
      <w:marLeft w:val="0"/>
      <w:marRight w:val="0"/>
      <w:marTop w:val="0"/>
      <w:marBottom w:val="0"/>
      <w:divBdr>
        <w:top w:val="none" w:sz="0" w:space="0" w:color="auto"/>
        <w:left w:val="none" w:sz="0" w:space="0" w:color="auto"/>
        <w:bottom w:val="none" w:sz="0" w:space="0" w:color="auto"/>
        <w:right w:val="none" w:sz="0" w:space="0" w:color="auto"/>
      </w:divBdr>
    </w:div>
    <w:div w:id="1085103022">
      <w:bodyDiv w:val="1"/>
      <w:marLeft w:val="0"/>
      <w:marRight w:val="0"/>
      <w:marTop w:val="0"/>
      <w:marBottom w:val="0"/>
      <w:divBdr>
        <w:top w:val="none" w:sz="0" w:space="0" w:color="auto"/>
        <w:left w:val="none" w:sz="0" w:space="0" w:color="auto"/>
        <w:bottom w:val="none" w:sz="0" w:space="0" w:color="auto"/>
        <w:right w:val="none" w:sz="0" w:space="0" w:color="auto"/>
      </w:divBdr>
    </w:div>
    <w:div w:id="1085112064">
      <w:bodyDiv w:val="1"/>
      <w:marLeft w:val="0"/>
      <w:marRight w:val="0"/>
      <w:marTop w:val="0"/>
      <w:marBottom w:val="0"/>
      <w:divBdr>
        <w:top w:val="none" w:sz="0" w:space="0" w:color="auto"/>
        <w:left w:val="none" w:sz="0" w:space="0" w:color="auto"/>
        <w:bottom w:val="none" w:sz="0" w:space="0" w:color="auto"/>
        <w:right w:val="none" w:sz="0" w:space="0" w:color="auto"/>
      </w:divBdr>
    </w:div>
    <w:div w:id="1085682895">
      <w:bodyDiv w:val="1"/>
      <w:marLeft w:val="0"/>
      <w:marRight w:val="0"/>
      <w:marTop w:val="0"/>
      <w:marBottom w:val="0"/>
      <w:divBdr>
        <w:top w:val="none" w:sz="0" w:space="0" w:color="auto"/>
        <w:left w:val="none" w:sz="0" w:space="0" w:color="auto"/>
        <w:bottom w:val="none" w:sz="0" w:space="0" w:color="auto"/>
        <w:right w:val="none" w:sz="0" w:space="0" w:color="auto"/>
      </w:divBdr>
    </w:div>
    <w:div w:id="1085876388">
      <w:bodyDiv w:val="1"/>
      <w:marLeft w:val="0"/>
      <w:marRight w:val="0"/>
      <w:marTop w:val="0"/>
      <w:marBottom w:val="0"/>
      <w:divBdr>
        <w:top w:val="none" w:sz="0" w:space="0" w:color="auto"/>
        <w:left w:val="none" w:sz="0" w:space="0" w:color="auto"/>
        <w:bottom w:val="none" w:sz="0" w:space="0" w:color="auto"/>
        <w:right w:val="none" w:sz="0" w:space="0" w:color="auto"/>
      </w:divBdr>
    </w:div>
    <w:div w:id="1086002606">
      <w:bodyDiv w:val="1"/>
      <w:marLeft w:val="0"/>
      <w:marRight w:val="0"/>
      <w:marTop w:val="0"/>
      <w:marBottom w:val="0"/>
      <w:divBdr>
        <w:top w:val="none" w:sz="0" w:space="0" w:color="auto"/>
        <w:left w:val="none" w:sz="0" w:space="0" w:color="auto"/>
        <w:bottom w:val="none" w:sz="0" w:space="0" w:color="auto"/>
        <w:right w:val="none" w:sz="0" w:space="0" w:color="auto"/>
      </w:divBdr>
    </w:div>
    <w:div w:id="1086154030">
      <w:bodyDiv w:val="1"/>
      <w:marLeft w:val="0"/>
      <w:marRight w:val="0"/>
      <w:marTop w:val="0"/>
      <w:marBottom w:val="0"/>
      <w:divBdr>
        <w:top w:val="none" w:sz="0" w:space="0" w:color="auto"/>
        <w:left w:val="none" w:sz="0" w:space="0" w:color="auto"/>
        <w:bottom w:val="none" w:sz="0" w:space="0" w:color="auto"/>
        <w:right w:val="none" w:sz="0" w:space="0" w:color="auto"/>
      </w:divBdr>
    </w:div>
    <w:div w:id="1086263636">
      <w:bodyDiv w:val="1"/>
      <w:marLeft w:val="0"/>
      <w:marRight w:val="0"/>
      <w:marTop w:val="0"/>
      <w:marBottom w:val="0"/>
      <w:divBdr>
        <w:top w:val="none" w:sz="0" w:space="0" w:color="auto"/>
        <w:left w:val="none" w:sz="0" w:space="0" w:color="auto"/>
        <w:bottom w:val="none" w:sz="0" w:space="0" w:color="auto"/>
        <w:right w:val="none" w:sz="0" w:space="0" w:color="auto"/>
      </w:divBdr>
    </w:div>
    <w:div w:id="1088310037">
      <w:bodyDiv w:val="1"/>
      <w:marLeft w:val="0"/>
      <w:marRight w:val="0"/>
      <w:marTop w:val="0"/>
      <w:marBottom w:val="0"/>
      <w:divBdr>
        <w:top w:val="none" w:sz="0" w:space="0" w:color="auto"/>
        <w:left w:val="none" w:sz="0" w:space="0" w:color="auto"/>
        <w:bottom w:val="none" w:sz="0" w:space="0" w:color="auto"/>
        <w:right w:val="none" w:sz="0" w:space="0" w:color="auto"/>
      </w:divBdr>
    </w:div>
    <w:div w:id="1088578967">
      <w:bodyDiv w:val="1"/>
      <w:marLeft w:val="0"/>
      <w:marRight w:val="0"/>
      <w:marTop w:val="0"/>
      <w:marBottom w:val="0"/>
      <w:divBdr>
        <w:top w:val="none" w:sz="0" w:space="0" w:color="auto"/>
        <w:left w:val="none" w:sz="0" w:space="0" w:color="auto"/>
        <w:bottom w:val="none" w:sz="0" w:space="0" w:color="auto"/>
        <w:right w:val="none" w:sz="0" w:space="0" w:color="auto"/>
      </w:divBdr>
    </w:div>
    <w:div w:id="1088885204">
      <w:bodyDiv w:val="1"/>
      <w:marLeft w:val="0"/>
      <w:marRight w:val="0"/>
      <w:marTop w:val="0"/>
      <w:marBottom w:val="0"/>
      <w:divBdr>
        <w:top w:val="none" w:sz="0" w:space="0" w:color="auto"/>
        <w:left w:val="none" w:sz="0" w:space="0" w:color="auto"/>
        <w:bottom w:val="none" w:sz="0" w:space="0" w:color="auto"/>
        <w:right w:val="none" w:sz="0" w:space="0" w:color="auto"/>
      </w:divBdr>
    </w:div>
    <w:div w:id="1088959819">
      <w:bodyDiv w:val="1"/>
      <w:marLeft w:val="0"/>
      <w:marRight w:val="0"/>
      <w:marTop w:val="0"/>
      <w:marBottom w:val="0"/>
      <w:divBdr>
        <w:top w:val="none" w:sz="0" w:space="0" w:color="auto"/>
        <w:left w:val="none" w:sz="0" w:space="0" w:color="auto"/>
        <w:bottom w:val="none" w:sz="0" w:space="0" w:color="auto"/>
        <w:right w:val="none" w:sz="0" w:space="0" w:color="auto"/>
      </w:divBdr>
    </w:div>
    <w:div w:id="1089044200">
      <w:bodyDiv w:val="1"/>
      <w:marLeft w:val="0"/>
      <w:marRight w:val="0"/>
      <w:marTop w:val="0"/>
      <w:marBottom w:val="0"/>
      <w:divBdr>
        <w:top w:val="none" w:sz="0" w:space="0" w:color="auto"/>
        <w:left w:val="none" w:sz="0" w:space="0" w:color="auto"/>
        <w:bottom w:val="none" w:sz="0" w:space="0" w:color="auto"/>
        <w:right w:val="none" w:sz="0" w:space="0" w:color="auto"/>
      </w:divBdr>
    </w:div>
    <w:div w:id="1089498373">
      <w:bodyDiv w:val="1"/>
      <w:marLeft w:val="0"/>
      <w:marRight w:val="0"/>
      <w:marTop w:val="0"/>
      <w:marBottom w:val="0"/>
      <w:divBdr>
        <w:top w:val="none" w:sz="0" w:space="0" w:color="auto"/>
        <w:left w:val="none" w:sz="0" w:space="0" w:color="auto"/>
        <w:bottom w:val="none" w:sz="0" w:space="0" w:color="auto"/>
        <w:right w:val="none" w:sz="0" w:space="0" w:color="auto"/>
      </w:divBdr>
    </w:div>
    <w:div w:id="1089498512">
      <w:bodyDiv w:val="1"/>
      <w:marLeft w:val="0"/>
      <w:marRight w:val="0"/>
      <w:marTop w:val="0"/>
      <w:marBottom w:val="0"/>
      <w:divBdr>
        <w:top w:val="none" w:sz="0" w:space="0" w:color="auto"/>
        <w:left w:val="none" w:sz="0" w:space="0" w:color="auto"/>
        <w:bottom w:val="none" w:sz="0" w:space="0" w:color="auto"/>
        <w:right w:val="none" w:sz="0" w:space="0" w:color="auto"/>
      </w:divBdr>
    </w:div>
    <w:div w:id="1089614504">
      <w:bodyDiv w:val="1"/>
      <w:marLeft w:val="0"/>
      <w:marRight w:val="0"/>
      <w:marTop w:val="0"/>
      <w:marBottom w:val="0"/>
      <w:divBdr>
        <w:top w:val="none" w:sz="0" w:space="0" w:color="auto"/>
        <w:left w:val="none" w:sz="0" w:space="0" w:color="auto"/>
        <w:bottom w:val="none" w:sz="0" w:space="0" w:color="auto"/>
        <w:right w:val="none" w:sz="0" w:space="0" w:color="auto"/>
      </w:divBdr>
    </w:div>
    <w:div w:id="1089693258">
      <w:bodyDiv w:val="1"/>
      <w:marLeft w:val="0"/>
      <w:marRight w:val="0"/>
      <w:marTop w:val="0"/>
      <w:marBottom w:val="0"/>
      <w:divBdr>
        <w:top w:val="none" w:sz="0" w:space="0" w:color="auto"/>
        <w:left w:val="none" w:sz="0" w:space="0" w:color="auto"/>
        <w:bottom w:val="none" w:sz="0" w:space="0" w:color="auto"/>
        <w:right w:val="none" w:sz="0" w:space="0" w:color="auto"/>
      </w:divBdr>
    </w:div>
    <w:div w:id="1090127241">
      <w:bodyDiv w:val="1"/>
      <w:marLeft w:val="0"/>
      <w:marRight w:val="0"/>
      <w:marTop w:val="0"/>
      <w:marBottom w:val="0"/>
      <w:divBdr>
        <w:top w:val="none" w:sz="0" w:space="0" w:color="auto"/>
        <w:left w:val="none" w:sz="0" w:space="0" w:color="auto"/>
        <w:bottom w:val="none" w:sz="0" w:space="0" w:color="auto"/>
        <w:right w:val="none" w:sz="0" w:space="0" w:color="auto"/>
      </w:divBdr>
    </w:div>
    <w:div w:id="1090276141">
      <w:bodyDiv w:val="1"/>
      <w:marLeft w:val="0"/>
      <w:marRight w:val="0"/>
      <w:marTop w:val="0"/>
      <w:marBottom w:val="0"/>
      <w:divBdr>
        <w:top w:val="none" w:sz="0" w:space="0" w:color="auto"/>
        <w:left w:val="none" w:sz="0" w:space="0" w:color="auto"/>
        <w:bottom w:val="none" w:sz="0" w:space="0" w:color="auto"/>
        <w:right w:val="none" w:sz="0" w:space="0" w:color="auto"/>
      </w:divBdr>
    </w:div>
    <w:div w:id="1090350190">
      <w:bodyDiv w:val="1"/>
      <w:marLeft w:val="0"/>
      <w:marRight w:val="0"/>
      <w:marTop w:val="0"/>
      <w:marBottom w:val="0"/>
      <w:divBdr>
        <w:top w:val="none" w:sz="0" w:space="0" w:color="auto"/>
        <w:left w:val="none" w:sz="0" w:space="0" w:color="auto"/>
        <w:bottom w:val="none" w:sz="0" w:space="0" w:color="auto"/>
        <w:right w:val="none" w:sz="0" w:space="0" w:color="auto"/>
      </w:divBdr>
    </w:div>
    <w:div w:id="1090467302">
      <w:bodyDiv w:val="1"/>
      <w:marLeft w:val="0"/>
      <w:marRight w:val="0"/>
      <w:marTop w:val="0"/>
      <w:marBottom w:val="0"/>
      <w:divBdr>
        <w:top w:val="none" w:sz="0" w:space="0" w:color="auto"/>
        <w:left w:val="none" w:sz="0" w:space="0" w:color="auto"/>
        <w:bottom w:val="none" w:sz="0" w:space="0" w:color="auto"/>
        <w:right w:val="none" w:sz="0" w:space="0" w:color="auto"/>
      </w:divBdr>
    </w:div>
    <w:div w:id="1090470638">
      <w:bodyDiv w:val="1"/>
      <w:marLeft w:val="0"/>
      <w:marRight w:val="0"/>
      <w:marTop w:val="0"/>
      <w:marBottom w:val="0"/>
      <w:divBdr>
        <w:top w:val="none" w:sz="0" w:space="0" w:color="auto"/>
        <w:left w:val="none" w:sz="0" w:space="0" w:color="auto"/>
        <w:bottom w:val="none" w:sz="0" w:space="0" w:color="auto"/>
        <w:right w:val="none" w:sz="0" w:space="0" w:color="auto"/>
      </w:divBdr>
    </w:div>
    <w:div w:id="1090590401">
      <w:bodyDiv w:val="1"/>
      <w:marLeft w:val="0"/>
      <w:marRight w:val="0"/>
      <w:marTop w:val="0"/>
      <w:marBottom w:val="0"/>
      <w:divBdr>
        <w:top w:val="none" w:sz="0" w:space="0" w:color="auto"/>
        <w:left w:val="none" w:sz="0" w:space="0" w:color="auto"/>
        <w:bottom w:val="none" w:sz="0" w:space="0" w:color="auto"/>
        <w:right w:val="none" w:sz="0" w:space="0" w:color="auto"/>
      </w:divBdr>
    </w:div>
    <w:div w:id="1091047373">
      <w:bodyDiv w:val="1"/>
      <w:marLeft w:val="0"/>
      <w:marRight w:val="0"/>
      <w:marTop w:val="0"/>
      <w:marBottom w:val="0"/>
      <w:divBdr>
        <w:top w:val="none" w:sz="0" w:space="0" w:color="auto"/>
        <w:left w:val="none" w:sz="0" w:space="0" w:color="auto"/>
        <w:bottom w:val="none" w:sz="0" w:space="0" w:color="auto"/>
        <w:right w:val="none" w:sz="0" w:space="0" w:color="auto"/>
      </w:divBdr>
    </w:div>
    <w:div w:id="1092237640">
      <w:bodyDiv w:val="1"/>
      <w:marLeft w:val="0"/>
      <w:marRight w:val="0"/>
      <w:marTop w:val="0"/>
      <w:marBottom w:val="0"/>
      <w:divBdr>
        <w:top w:val="none" w:sz="0" w:space="0" w:color="auto"/>
        <w:left w:val="none" w:sz="0" w:space="0" w:color="auto"/>
        <w:bottom w:val="none" w:sz="0" w:space="0" w:color="auto"/>
        <w:right w:val="none" w:sz="0" w:space="0" w:color="auto"/>
      </w:divBdr>
    </w:div>
    <w:div w:id="1092243036">
      <w:bodyDiv w:val="1"/>
      <w:marLeft w:val="0"/>
      <w:marRight w:val="0"/>
      <w:marTop w:val="0"/>
      <w:marBottom w:val="0"/>
      <w:divBdr>
        <w:top w:val="none" w:sz="0" w:space="0" w:color="auto"/>
        <w:left w:val="none" w:sz="0" w:space="0" w:color="auto"/>
        <w:bottom w:val="none" w:sz="0" w:space="0" w:color="auto"/>
        <w:right w:val="none" w:sz="0" w:space="0" w:color="auto"/>
      </w:divBdr>
    </w:div>
    <w:div w:id="1092554550">
      <w:bodyDiv w:val="1"/>
      <w:marLeft w:val="0"/>
      <w:marRight w:val="0"/>
      <w:marTop w:val="0"/>
      <w:marBottom w:val="0"/>
      <w:divBdr>
        <w:top w:val="none" w:sz="0" w:space="0" w:color="auto"/>
        <w:left w:val="none" w:sz="0" w:space="0" w:color="auto"/>
        <w:bottom w:val="none" w:sz="0" w:space="0" w:color="auto"/>
        <w:right w:val="none" w:sz="0" w:space="0" w:color="auto"/>
      </w:divBdr>
    </w:div>
    <w:div w:id="1092700395">
      <w:bodyDiv w:val="1"/>
      <w:marLeft w:val="0"/>
      <w:marRight w:val="0"/>
      <w:marTop w:val="0"/>
      <w:marBottom w:val="0"/>
      <w:divBdr>
        <w:top w:val="none" w:sz="0" w:space="0" w:color="auto"/>
        <w:left w:val="none" w:sz="0" w:space="0" w:color="auto"/>
        <w:bottom w:val="none" w:sz="0" w:space="0" w:color="auto"/>
        <w:right w:val="none" w:sz="0" w:space="0" w:color="auto"/>
      </w:divBdr>
    </w:div>
    <w:div w:id="1092702312">
      <w:bodyDiv w:val="1"/>
      <w:marLeft w:val="0"/>
      <w:marRight w:val="0"/>
      <w:marTop w:val="0"/>
      <w:marBottom w:val="0"/>
      <w:divBdr>
        <w:top w:val="none" w:sz="0" w:space="0" w:color="auto"/>
        <w:left w:val="none" w:sz="0" w:space="0" w:color="auto"/>
        <w:bottom w:val="none" w:sz="0" w:space="0" w:color="auto"/>
        <w:right w:val="none" w:sz="0" w:space="0" w:color="auto"/>
      </w:divBdr>
    </w:div>
    <w:div w:id="1093743355">
      <w:bodyDiv w:val="1"/>
      <w:marLeft w:val="0"/>
      <w:marRight w:val="0"/>
      <w:marTop w:val="0"/>
      <w:marBottom w:val="0"/>
      <w:divBdr>
        <w:top w:val="none" w:sz="0" w:space="0" w:color="auto"/>
        <w:left w:val="none" w:sz="0" w:space="0" w:color="auto"/>
        <w:bottom w:val="none" w:sz="0" w:space="0" w:color="auto"/>
        <w:right w:val="none" w:sz="0" w:space="0" w:color="auto"/>
      </w:divBdr>
    </w:div>
    <w:div w:id="1094479581">
      <w:bodyDiv w:val="1"/>
      <w:marLeft w:val="0"/>
      <w:marRight w:val="0"/>
      <w:marTop w:val="0"/>
      <w:marBottom w:val="0"/>
      <w:divBdr>
        <w:top w:val="none" w:sz="0" w:space="0" w:color="auto"/>
        <w:left w:val="none" w:sz="0" w:space="0" w:color="auto"/>
        <w:bottom w:val="none" w:sz="0" w:space="0" w:color="auto"/>
        <w:right w:val="none" w:sz="0" w:space="0" w:color="auto"/>
      </w:divBdr>
    </w:div>
    <w:div w:id="1094937280">
      <w:bodyDiv w:val="1"/>
      <w:marLeft w:val="0"/>
      <w:marRight w:val="0"/>
      <w:marTop w:val="0"/>
      <w:marBottom w:val="0"/>
      <w:divBdr>
        <w:top w:val="none" w:sz="0" w:space="0" w:color="auto"/>
        <w:left w:val="none" w:sz="0" w:space="0" w:color="auto"/>
        <w:bottom w:val="none" w:sz="0" w:space="0" w:color="auto"/>
        <w:right w:val="none" w:sz="0" w:space="0" w:color="auto"/>
      </w:divBdr>
    </w:div>
    <w:div w:id="1094980353">
      <w:bodyDiv w:val="1"/>
      <w:marLeft w:val="0"/>
      <w:marRight w:val="0"/>
      <w:marTop w:val="0"/>
      <w:marBottom w:val="0"/>
      <w:divBdr>
        <w:top w:val="none" w:sz="0" w:space="0" w:color="auto"/>
        <w:left w:val="none" w:sz="0" w:space="0" w:color="auto"/>
        <w:bottom w:val="none" w:sz="0" w:space="0" w:color="auto"/>
        <w:right w:val="none" w:sz="0" w:space="0" w:color="auto"/>
      </w:divBdr>
    </w:div>
    <w:div w:id="1096050542">
      <w:bodyDiv w:val="1"/>
      <w:marLeft w:val="0"/>
      <w:marRight w:val="0"/>
      <w:marTop w:val="0"/>
      <w:marBottom w:val="0"/>
      <w:divBdr>
        <w:top w:val="none" w:sz="0" w:space="0" w:color="auto"/>
        <w:left w:val="none" w:sz="0" w:space="0" w:color="auto"/>
        <w:bottom w:val="none" w:sz="0" w:space="0" w:color="auto"/>
        <w:right w:val="none" w:sz="0" w:space="0" w:color="auto"/>
      </w:divBdr>
    </w:div>
    <w:div w:id="1096369807">
      <w:bodyDiv w:val="1"/>
      <w:marLeft w:val="0"/>
      <w:marRight w:val="0"/>
      <w:marTop w:val="0"/>
      <w:marBottom w:val="0"/>
      <w:divBdr>
        <w:top w:val="none" w:sz="0" w:space="0" w:color="auto"/>
        <w:left w:val="none" w:sz="0" w:space="0" w:color="auto"/>
        <w:bottom w:val="none" w:sz="0" w:space="0" w:color="auto"/>
        <w:right w:val="none" w:sz="0" w:space="0" w:color="auto"/>
      </w:divBdr>
    </w:div>
    <w:div w:id="1096562563">
      <w:bodyDiv w:val="1"/>
      <w:marLeft w:val="0"/>
      <w:marRight w:val="0"/>
      <w:marTop w:val="0"/>
      <w:marBottom w:val="0"/>
      <w:divBdr>
        <w:top w:val="none" w:sz="0" w:space="0" w:color="auto"/>
        <w:left w:val="none" w:sz="0" w:space="0" w:color="auto"/>
        <w:bottom w:val="none" w:sz="0" w:space="0" w:color="auto"/>
        <w:right w:val="none" w:sz="0" w:space="0" w:color="auto"/>
      </w:divBdr>
    </w:div>
    <w:div w:id="1098328372">
      <w:bodyDiv w:val="1"/>
      <w:marLeft w:val="0"/>
      <w:marRight w:val="0"/>
      <w:marTop w:val="0"/>
      <w:marBottom w:val="0"/>
      <w:divBdr>
        <w:top w:val="none" w:sz="0" w:space="0" w:color="auto"/>
        <w:left w:val="none" w:sz="0" w:space="0" w:color="auto"/>
        <w:bottom w:val="none" w:sz="0" w:space="0" w:color="auto"/>
        <w:right w:val="none" w:sz="0" w:space="0" w:color="auto"/>
      </w:divBdr>
    </w:div>
    <w:div w:id="1098713350">
      <w:bodyDiv w:val="1"/>
      <w:marLeft w:val="0"/>
      <w:marRight w:val="0"/>
      <w:marTop w:val="0"/>
      <w:marBottom w:val="0"/>
      <w:divBdr>
        <w:top w:val="none" w:sz="0" w:space="0" w:color="auto"/>
        <w:left w:val="none" w:sz="0" w:space="0" w:color="auto"/>
        <w:bottom w:val="none" w:sz="0" w:space="0" w:color="auto"/>
        <w:right w:val="none" w:sz="0" w:space="0" w:color="auto"/>
      </w:divBdr>
    </w:div>
    <w:div w:id="1098864696">
      <w:bodyDiv w:val="1"/>
      <w:marLeft w:val="0"/>
      <w:marRight w:val="0"/>
      <w:marTop w:val="0"/>
      <w:marBottom w:val="0"/>
      <w:divBdr>
        <w:top w:val="none" w:sz="0" w:space="0" w:color="auto"/>
        <w:left w:val="none" w:sz="0" w:space="0" w:color="auto"/>
        <w:bottom w:val="none" w:sz="0" w:space="0" w:color="auto"/>
        <w:right w:val="none" w:sz="0" w:space="0" w:color="auto"/>
      </w:divBdr>
    </w:div>
    <w:div w:id="1098868136">
      <w:bodyDiv w:val="1"/>
      <w:marLeft w:val="0"/>
      <w:marRight w:val="0"/>
      <w:marTop w:val="0"/>
      <w:marBottom w:val="0"/>
      <w:divBdr>
        <w:top w:val="none" w:sz="0" w:space="0" w:color="auto"/>
        <w:left w:val="none" w:sz="0" w:space="0" w:color="auto"/>
        <w:bottom w:val="none" w:sz="0" w:space="0" w:color="auto"/>
        <w:right w:val="none" w:sz="0" w:space="0" w:color="auto"/>
      </w:divBdr>
    </w:div>
    <w:div w:id="1099789258">
      <w:bodyDiv w:val="1"/>
      <w:marLeft w:val="0"/>
      <w:marRight w:val="0"/>
      <w:marTop w:val="0"/>
      <w:marBottom w:val="0"/>
      <w:divBdr>
        <w:top w:val="none" w:sz="0" w:space="0" w:color="auto"/>
        <w:left w:val="none" w:sz="0" w:space="0" w:color="auto"/>
        <w:bottom w:val="none" w:sz="0" w:space="0" w:color="auto"/>
        <w:right w:val="none" w:sz="0" w:space="0" w:color="auto"/>
      </w:divBdr>
    </w:div>
    <w:div w:id="1099910282">
      <w:bodyDiv w:val="1"/>
      <w:marLeft w:val="0"/>
      <w:marRight w:val="0"/>
      <w:marTop w:val="0"/>
      <w:marBottom w:val="0"/>
      <w:divBdr>
        <w:top w:val="none" w:sz="0" w:space="0" w:color="auto"/>
        <w:left w:val="none" w:sz="0" w:space="0" w:color="auto"/>
        <w:bottom w:val="none" w:sz="0" w:space="0" w:color="auto"/>
        <w:right w:val="none" w:sz="0" w:space="0" w:color="auto"/>
      </w:divBdr>
    </w:div>
    <w:div w:id="1100100516">
      <w:bodyDiv w:val="1"/>
      <w:marLeft w:val="0"/>
      <w:marRight w:val="0"/>
      <w:marTop w:val="0"/>
      <w:marBottom w:val="0"/>
      <w:divBdr>
        <w:top w:val="none" w:sz="0" w:space="0" w:color="auto"/>
        <w:left w:val="none" w:sz="0" w:space="0" w:color="auto"/>
        <w:bottom w:val="none" w:sz="0" w:space="0" w:color="auto"/>
        <w:right w:val="none" w:sz="0" w:space="0" w:color="auto"/>
      </w:divBdr>
    </w:div>
    <w:div w:id="1100686329">
      <w:bodyDiv w:val="1"/>
      <w:marLeft w:val="0"/>
      <w:marRight w:val="0"/>
      <w:marTop w:val="0"/>
      <w:marBottom w:val="0"/>
      <w:divBdr>
        <w:top w:val="none" w:sz="0" w:space="0" w:color="auto"/>
        <w:left w:val="none" w:sz="0" w:space="0" w:color="auto"/>
        <w:bottom w:val="none" w:sz="0" w:space="0" w:color="auto"/>
        <w:right w:val="none" w:sz="0" w:space="0" w:color="auto"/>
      </w:divBdr>
    </w:div>
    <w:div w:id="1100754827">
      <w:bodyDiv w:val="1"/>
      <w:marLeft w:val="0"/>
      <w:marRight w:val="0"/>
      <w:marTop w:val="0"/>
      <w:marBottom w:val="0"/>
      <w:divBdr>
        <w:top w:val="none" w:sz="0" w:space="0" w:color="auto"/>
        <w:left w:val="none" w:sz="0" w:space="0" w:color="auto"/>
        <w:bottom w:val="none" w:sz="0" w:space="0" w:color="auto"/>
        <w:right w:val="none" w:sz="0" w:space="0" w:color="auto"/>
      </w:divBdr>
    </w:div>
    <w:div w:id="1101145761">
      <w:bodyDiv w:val="1"/>
      <w:marLeft w:val="0"/>
      <w:marRight w:val="0"/>
      <w:marTop w:val="0"/>
      <w:marBottom w:val="0"/>
      <w:divBdr>
        <w:top w:val="none" w:sz="0" w:space="0" w:color="auto"/>
        <w:left w:val="none" w:sz="0" w:space="0" w:color="auto"/>
        <w:bottom w:val="none" w:sz="0" w:space="0" w:color="auto"/>
        <w:right w:val="none" w:sz="0" w:space="0" w:color="auto"/>
      </w:divBdr>
    </w:div>
    <w:div w:id="1101485833">
      <w:bodyDiv w:val="1"/>
      <w:marLeft w:val="0"/>
      <w:marRight w:val="0"/>
      <w:marTop w:val="0"/>
      <w:marBottom w:val="0"/>
      <w:divBdr>
        <w:top w:val="none" w:sz="0" w:space="0" w:color="auto"/>
        <w:left w:val="none" w:sz="0" w:space="0" w:color="auto"/>
        <w:bottom w:val="none" w:sz="0" w:space="0" w:color="auto"/>
        <w:right w:val="none" w:sz="0" w:space="0" w:color="auto"/>
      </w:divBdr>
    </w:div>
    <w:div w:id="1102803068">
      <w:bodyDiv w:val="1"/>
      <w:marLeft w:val="0"/>
      <w:marRight w:val="0"/>
      <w:marTop w:val="0"/>
      <w:marBottom w:val="0"/>
      <w:divBdr>
        <w:top w:val="none" w:sz="0" w:space="0" w:color="auto"/>
        <w:left w:val="none" w:sz="0" w:space="0" w:color="auto"/>
        <w:bottom w:val="none" w:sz="0" w:space="0" w:color="auto"/>
        <w:right w:val="none" w:sz="0" w:space="0" w:color="auto"/>
      </w:divBdr>
    </w:div>
    <w:div w:id="1103526876">
      <w:bodyDiv w:val="1"/>
      <w:marLeft w:val="0"/>
      <w:marRight w:val="0"/>
      <w:marTop w:val="0"/>
      <w:marBottom w:val="0"/>
      <w:divBdr>
        <w:top w:val="none" w:sz="0" w:space="0" w:color="auto"/>
        <w:left w:val="none" w:sz="0" w:space="0" w:color="auto"/>
        <w:bottom w:val="none" w:sz="0" w:space="0" w:color="auto"/>
        <w:right w:val="none" w:sz="0" w:space="0" w:color="auto"/>
      </w:divBdr>
    </w:div>
    <w:div w:id="1103568658">
      <w:bodyDiv w:val="1"/>
      <w:marLeft w:val="0"/>
      <w:marRight w:val="0"/>
      <w:marTop w:val="0"/>
      <w:marBottom w:val="0"/>
      <w:divBdr>
        <w:top w:val="none" w:sz="0" w:space="0" w:color="auto"/>
        <w:left w:val="none" w:sz="0" w:space="0" w:color="auto"/>
        <w:bottom w:val="none" w:sz="0" w:space="0" w:color="auto"/>
        <w:right w:val="none" w:sz="0" w:space="0" w:color="auto"/>
      </w:divBdr>
    </w:div>
    <w:div w:id="1103652169">
      <w:bodyDiv w:val="1"/>
      <w:marLeft w:val="0"/>
      <w:marRight w:val="0"/>
      <w:marTop w:val="0"/>
      <w:marBottom w:val="0"/>
      <w:divBdr>
        <w:top w:val="none" w:sz="0" w:space="0" w:color="auto"/>
        <w:left w:val="none" w:sz="0" w:space="0" w:color="auto"/>
        <w:bottom w:val="none" w:sz="0" w:space="0" w:color="auto"/>
        <w:right w:val="none" w:sz="0" w:space="0" w:color="auto"/>
      </w:divBdr>
    </w:div>
    <w:div w:id="1104573345">
      <w:bodyDiv w:val="1"/>
      <w:marLeft w:val="0"/>
      <w:marRight w:val="0"/>
      <w:marTop w:val="0"/>
      <w:marBottom w:val="0"/>
      <w:divBdr>
        <w:top w:val="none" w:sz="0" w:space="0" w:color="auto"/>
        <w:left w:val="none" w:sz="0" w:space="0" w:color="auto"/>
        <w:bottom w:val="none" w:sz="0" w:space="0" w:color="auto"/>
        <w:right w:val="none" w:sz="0" w:space="0" w:color="auto"/>
      </w:divBdr>
    </w:div>
    <w:div w:id="1105004381">
      <w:bodyDiv w:val="1"/>
      <w:marLeft w:val="0"/>
      <w:marRight w:val="0"/>
      <w:marTop w:val="0"/>
      <w:marBottom w:val="0"/>
      <w:divBdr>
        <w:top w:val="none" w:sz="0" w:space="0" w:color="auto"/>
        <w:left w:val="none" w:sz="0" w:space="0" w:color="auto"/>
        <w:bottom w:val="none" w:sz="0" w:space="0" w:color="auto"/>
        <w:right w:val="none" w:sz="0" w:space="0" w:color="auto"/>
      </w:divBdr>
    </w:div>
    <w:div w:id="1105030720">
      <w:bodyDiv w:val="1"/>
      <w:marLeft w:val="0"/>
      <w:marRight w:val="0"/>
      <w:marTop w:val="0"/>
      <w:marBottom w:val="0"/>
      <w:divBdr>
        <w:top w:val="none" w:sz="0" w:space="0" w:color="auto"/>
        <w:left w:val="none" w:sz="0" w:space="0" w:color="auto"/>
        <w:bottom w:val="none" w:sz="0" w:space="0" w:color="auto"/>
        <w:right w:val="none" w:sz="0" w:space="0" w:color="auto"/>
      </w:divBdr>
    </w:div>
    <w:div w:id="1106002619">
      <w:bodyDiv w:val="1"/>
      <w:marLeft w:val="0"/>
      <w:marRight w:val="0"/>
      <w:marTop w:val="0"/>
      <w:marBottom w:val="0"/>
      <w:divBdr>
        <w:top w:val="none" w:sz="0" w:space="0" w:color="auto"/>
        <w:left w:val="none" w:sz="0" w:space="0" w:color="auto"/>
        <w:bottom w:val="none" w:sz="0" w:space="0" w:color="auto"/>
        <w:right w:val="none" w:sz="0" w:space="0" w:color="auto"/>
      </w:divBdr>
    </w:div>
    <w:div w:id="1106119278">
      <w:bodyDiv w:val="1"/>
      <w:marLeft w:val="0"/>
      <w:marRight w:val="0"/>
      <w:marTop w:val="0"/>
      <w:marBottom w:val="0"/>
      <w:divBdr>
        <w:top w:val="none" w:sz="0" w:space="0" w:color="auto"/>
        <w:left w:val="none" w:sz="0" w:space="0" w:color="auto"/>
        <w:bottom w:val="none" w:sz="0" w:space="0" w:color="auto"/>
        <w:right w:val="none" w:sz="0" w:space="0" w:color="auto"/>
      </w:divBdr>
    </w:div>
    <w:div w:id="1107962544">
      <w:bodyDiv w:val="1"/>
      <w:marLeft w:val="0"/>
      <w:marRight w:val="0"/>
      <w:marTop w:val="0"/>
      <w:marBottom w:val="0"/>
      <w:divBdr>
        <w:top w:val="none" w:sz="0" w:space="0" w:color="auto"/>
        <w:left w:val="none" w:sz="0" w:space="0" w:color="auto"/>
        <w:bottom w:val="none" w:sz="0" w:space="0" w:color="auto"/>
        <w:right w:val="none" w:sz="0" w:space="0" w:color="auto"/>
      </w:divBdr>
    </w:div>
    <w:div w:id="1108037493">
      <w:bodyDiv w:val="1"/>
      <w:marLeft w:val="0"/>
      <w:marRight w:val="0"/>
      <w:marTop w:val="0"/>
      <w:marBottom w:val="0"/>
      <w:divBdr>
        <w:top w:val="none" w:sz="0" w:space="0" w:color="auto"/>
        <w:left w:val="none" w:sz="0" w:space="0" w:color="auto"/>
        <w:bottom w:val="none" w:sz="0" w:space="0" w:color="auto"/>
        <w:right w:val="none" w:sz="0" w:space="0" w:color="auto"/>
      </w:divBdr>
    </w:div>
    <w:div w:id="1108159279">
      <w:bodyDiv w:val="1"/>
      <w:marLeft w:val="0"/>
      <w:marRight w:val="0"/>
      <w:marTop w:val="0"/>
      <w:marBottom w:val="0"/>
      <w:divBdr>
        <w:top w:val="none" w:sz="0" w:space="0" w:color="auto"/>
        <w:left w:val="none" w:sz="0" w:space="0" w:color="auto"/>
        <w:bottom w:val="none" w:sz="0" w:space="0" w:color="auto"/>
        <w:right w:val="none" w:sz="0" w:space="0" w:color="auto"/>
      </w:divBdr>
    </w:div>
    <w:div w:id="1109082103">
      <w:bodyDiv w:val="1"/>
      <w:marLeft w:val="0"/>
      <w:marRight w:val="0"/>
      <w:marTop w:val="0"/>
      <w:marBottom w:val="0"/>
      <w:divBdr>
        <w:top w:val="none" w:sz="0" w:space="0" w:color="auto"/>
        <w:left w:val="none" w:sz="0" w:space="0" w:color="auto"/>
        <w:bottom w:val="none" w:sz="0" w:space="0" w:color="auto"/>
        <w:right w:val="none" w:sz="0" w:space="0" w:color="auto"/>
      </w:divBdr>
    </w:div>
    <w:div w:id="1109619521">
      <w:bodyDiv w:val="1"/>
      <w:marLeft w:val="0"/>
      <w:marRight w:val="0"/>
      <w:marTop w:val="0"/>
      <w:marBottom w:val="0"/>
      <w:divBdr>
        <w:top w:val="none" w:sz="0" w:space="0" w:color="auto"/>
        <w:left w:val="none" w:sz="0" w:space="0" w:color="auto"/>
        <w:bottom w:val="none" w:sz="0" w:space="0" w:color="auto"/>
        <w:right w:val="none" w:sz="0" w:space="0" w:color="auto"/>
      </w:divBdr>
    </w:div>
    <w:div w:id="1109853874">
      <w:bodyDiv w:val="1"/>
      <w:marLeft w:val="0"/>
      <w:marRight w:val="0"/>
      <w:marTop w:val="0"/>
      <w:marBottom w:val="0"/>
      <w:divBdr>
        <w:top w:val="none" w:sz="0" w:space="0" w:color="auto"/>
        <w:left w:val="none" w:sz="0" w:space="0" w:color="auto"/>
        <w:bottom w:val="none" w:sz="0" w:space="0" w:color="auto"/>
        <w:right w:val="none" w:sz="0" w:space="0" w:color="auto"/>
      </w:divBdr>
    </w:div>
    <w:div w:id="1109862179">
      <w:bodyDiv w:val="1"/>
      <w:marLeft w:val="0"/>
      <w:marRight w:val="0"/>
      <w:marTop w:val="0"/>
      <w:marBottom w:val="0"/>
      <w:divBdr>
        <w:top w:val="none" w:sz="0" w:space="0" w:color="auto"/>
        <w:left w:val="none" w:sz="0" w:space="0" w:color="auto"/>
        <w:bottom w:val="none" w:sz="0" w:space="0" w:color="auto"/>
        <w:right w:val="none" w:sz="0" w:space="0" w:color="auto"/>
      </w:divBdr>
    </w:div>
    <w:div w:id="1110321532">
      <w:bodyDiv w:val="1"/>
      <w:marLeft w:val="0"/>
      <w:marRight w:val="0"/>
      <w:marTop w:val="0"/>
      <w:marBottom w:val="0"/>
      <w:divBdr>
        <w:top w:val="none" w:sz="0" w:space="0" w:color="auto"/>
        <w:left w:val="none" w:sz="0" w:space="0" w:color="auto"/>
        <w:bottom w:val="none" w:sz="0" w:space="0" w:color="auto"/>
        <w:right w:val="none" w:sz="0" w:space="0" w:color="auto"/>
      </w:divBdr>
    </w:div>
    <w:div w:id="1110586781">
      <w:bodyDiv w:val="1"/>
      <w:marLeft w:val="0"/>
      <w:marRight w:val="0"/>
      <w:marTop w:val="0"/>
      <w:marBottom w:val="0"/>
      <w:divBdr>
        <w:top w:val="none" w:sz="0" w:space="0" w:color="auto"/>
        <w:left w:val="none" w:sz="0" w:space="0" w:color="auto"/>
        <w:bottom w:val="none" w:sz="0" w:space="0" w:color="auto"/>
        <w:right w:val="none" w:sz="0" w:space="0" w:color="auto"/>
      </w:divBdr>
    </w:div>
    <w:div w:id="1110977094">
      <w:bodyDiv w:val="1"/>
      <w:marLeft w:val="0"/>
      <w:marRight w:val="0"/>
      <w:marTop w:val="0"/>
      <w:marBottom w:val="0"/>
      <w:divBdr>
        <w:top w:val="none" w:sz="0" w:space="0" w:color="auto"/>
        <w:left w:val="none" w:sz="0" w:space="0" w:color="auto"/>
        <w:bottom w:val="none" w:sz="0" w:space="0" w:color="auto"/>
        <w:right w:val="none" w:sz="0" w:space="0" w:color="auto"/>
      </w:divBdr>
    </w:div>
    <w:div w:id="1112087575">
      <w:bodyDiv w:val="1"/>
      <w:marLeft w:val="0"/>
      <w:marRight w:val="0"/>
      <w:marTop w:val="0"/>
      <w:marBottom w:val="0"/>
      <w:divBdr>
        <w:top w:val="none" w:sz="0" w:space="0" w:color="auto"/>
        <w:left w:val="none" w:sz="0" w:space="0" w:color="auto"/>
        <w:bottom w:val="none" w:sz="0" w:space="0" w:color="auto"/>
        <w:right w:val="none" w:sz="0" w:space="0" w:color="auto"/>
      </w:divBdr>
    </w:div>
    <w:div w:id="1114326531">
      <w:bodyDiv w:val="1"/>
      <w:marLeft w:val="0"/>
      <w:marRight w:val="0"/>
      <w:marTop w:val="0"/>
      <w:marBottom w:val="0"/>
      <w:divBdr>
        <w:top w:val="none" w:sz="0" w:space="0" w:color="auto"/>
        <w:left w:val="none" w:sz="0" w:space="0" w:color="auto"/>
        <w:bottom w:val="none" w:sz="0" w:space="0" w:color="auto"/>
        <w:right w:val="none" w:sz="0" w:space="0" w:color="auto"/>
      </w:divBdr>
    </w:div>
    <w:div w:id="1114790725">
      <w:bodyDiv w:val="1"/>
      <w:marLeft w:val="0"/>
      <w:marRight w:val="0"/>
      <w:marTop w:val="0"/>
      <w:marBottom w:val="0"/>
      <w:divBdr>
        <w:top w:val="none" w:sz="0" w:space="0" w:color="auto"/>
        <w:left w:val="none" w:sz="0" w:space="0" w:color="auto"/>
        <w:bottom w:val="none" w:sz="0" w:space="0" w:color="auto"/>
        <w:right w:val="none" w:sz="0" w:space="0" w:color="auto"/>
      </w:divBdr>
    </w:div>
    <w:div w:id="1115447020">
      <w:bodyDiv w:val="1"/>
      <w:marLeft w:val="0"/>
      <w:marRight w:val="0"/>
      <w:marTop w:val="0"/>
      <w:marBottom w:val="0"/>
      <w:divBdr>
        <w:top w:val="none" w:sz="0" w:space="0" w:color="auto"/>
        <w:left w:val="none" w:sz="0" w:space="0" w:color="auto"/>
        <w:bottom w:val="none" w:sz="0" w:space="0" w:color="auto"/>
        <w:right w:val="none" w:sz="0" w:space="0" w:color="auto"/>
      </w:divBdr>
      <w:divsChild>
        <w:div w:id="2137140195">
          <w:marLeft w:val="0"/>
          <w:marRight w:val="0"/>
          <w:marTop w:val="0"/>
          <w:marBottom w:val="0"/>
          <w:divBdr>
            <w:top w:val="none" w:sz="0" w:space="0" w:color="auto"/>
            <w:left w:val="none" w:sz="0" w:space="0" w:color="auto"/>
            <w:bottom w:val="none" w:sz="0" w:space="0" w:color="auto"/>
            <w:right w:val="none" w:sz="0" w:space="0" w:color="auto"/>
          </w:divBdr>
        </w:div>
      </w:divsChild>
    </w:div>
    <w:div w:id="1117287304">
      <w:bodyDiv w:val="1"/>
      <w:marLeft w:val="0"/>
      <w:marRight w:val="0"/>
      <w:marTop w:val="0"/>
      <w:marBottom w:val="0"/>
      <w:divBdr>
        <w:top w:val="none" w:sz="0" w:space="0" w:color="auto"/>
        <w:left w:val="none" w:sz="0" w:space="0" w:color="auto"/>
        <w:bottom w:val="none" w:sz="0" w:space="0" w:color="auto"/>
        <w:right w:val="none" w:sz="0" w:space="0" w:color="auto"/>
      </w:divBdr>
    </w:div>
    <w:div w:id="1117601294">
      <w:bodyDiv w:val="1"/>
      <w:marLeft w:val="0"/>
      <w:marRight w:val="0"/>
      <w:marTop w:val="0"/>
      <w:marBottom w:val="0"/>
      <w:divBdr>
        <w:top w:val="none" w:sz="0" w:space="0" w:color="auto"/>
        <w:left w:val="none" w:sz="0" w:space="0" w:color="auto"/>
        <w:bottom w:val="none" w:sz="0" w:space="0" w:color="auto"/>
        <w:right w:val="none" w:sz="0" w:space="0" w:color="auto"/>
      </w:divBdr>
    </w:div>
    <w:div w:id="1117994038">
      <w:bodyDiv w:val="1"/>
      <w:marLeft w:val="0"/>
      <w:marRight w:val="0"/>
      <w:marTop w:val="0"/>
      <w:marBottom w:val="0"/>
      <w:divBdr>
        <w:top w:val="none" w:sz="0" w:space="0" w:color="auto"/>
        <w:left w:val="none" w:sz="0" w:space="0" w:color="auto"/>
        <w:bottom w:val="none" w:sz="0" w:space="0" w:color="auto"/>
        <w:right w:val="none" w:sz="0" w:space="0" w:color="auto"/>
      </w:divBdr>
    </w:div>
    <w:div w:id="1119567148">
      <w:bodyDiv w:val="1"/>
      <w:marLeft w:val="0"/>
      <w:marRight w:val="0"/>
      <w:marTop w:val="0"/>
      <w:marBottom w:val="0"/>
      <w:divBdr>
        <w:top w:val="none" w:sz="0" w:space="0" w:color="auto"/>
        <w:left w:val="none" w:sz="0" w:space="0" w:color="auto"/>
        <w:bottom w:val="none" w:sz="0" w:space="0" w:color="auto"/>
        <w:right w:val="none" w:sz="0" w:space="0" w:color="auto"/>
      </w:divBdr>
    </w:div>
    <w:div w:id="1119570223">
      <w:bodyDiv w:val="1"/>
      <w:marLeft w:val="0"/>
      <w:marRight w:val="0"/>
      <w:marTop w:val="0"/>
      <w:marBottom w:val="0"/>
      <w:divBdr>
        <w:top w:val="none" w:sz="0" w:space="0" w:color="auto"/>
        <w:left w:val="none" w:sz="0" w:space="0" w:color="auto"/>
        <w:bottom w:val="none" w:sz="0" w:space="0" w:color="auto"/>
        <w:right w:val="none" w:sz="0" w:space="0" w:color="auto"/>
      </w:divBdr>
    </w:div>
    <w:div w:id="1119682631">
      <w:bodyDiv w:val="1"/>
      <w:marLeft w:val="0"/>
      <w:marRight w:val="0"/>
      <w:marTop w:val="0"/>
      <w:marBottom w:val="0"/>
      <w:divBdr>
        <w:top w:val="none" w:sz="0" w:space="0" w:color="auto"/>
        <w:left w:val="none" w:sz="0" w:space="0" w:color="auto"/>
        <w:bottom w:val="none" w:sz="0" w:space="0" w:color="auto"/>
        <w:right w:val="none" w:sz="0" w:space="0" w:color="auto"/>
      </w:divBdr>
    </w:div>
    <w:div w:id="1120151456">
      <w:bodyDiv w:val="1"/>
      <w:marLeft w:val="0"/>
      <w:marRight w:val="0"/>
      <w:marTop w:val="0"/>
      <w:marBottom w:val="0"/>
      <w:divBdr>
        <w:top w:val="none" w:sz="0" w:space="0" w:color="auto"/>
        <w:left w:val="none" w:sz="0" w:space="0" w:color="auto"/>
        <w:bottom w:val="none" w:sz="0" w:space="0" w:color="auto"/>
        <w:right w:val="none" w:sz="0" w:space="0" w:color="auto"/>
      </w:divBdr>
    </w:div>
    <w:div w:id="1120303512">
      <w:bodyDiv w:val="1"/>
      <w:marLeft w:val="0"/>
      <w:marRight w:val="0"/>
      <w:marTop w:val="0"/>
      <w:marBottom w:val="0"/>
      <w:divBdr>
        <w:top w:val="none" w:sz="0" w:space="0" w:color="auto"/>
        <w:left w:val="none" w:sz="0" w:space="0" w:color="auto"/>
        <w:bottom w:val="none" w:sz="0" w:space="0" w:color="auto"/>
        <w:right w:val="none" w:sz="0" w:space="0" w:color="auto"/>
      </w:divBdr>
    </w:div>
    <w:div w:id="1120339482">
      <w:bodyDiv w:val="1"/>
      <w:marLeft w:val="0"/>
      <w:marRight w:val="0"/>
      <w:marTop w:val="0"/>
      <w:marBottom w:val="0"/>
      <w:divBdr>
        <w:top w:val="none" w:sz="0" w:space="0" w:color="auto"/>
        <w:left w:val="none" w:sz="0" w:space="0" w:color="auto"/>
        <w:bottom w:val="none" w:sz="0" w:space="0" w:color="auto"/>
        <w:right w:val="none" w:sz="0" w:space="0" w:color="auto"/>
      </w:divBdr>
      <w:divsChild>
        <w:div w:id="795296114">
          <w:marLeft w:val="0"/>
          <w:marRight w:val="0"/>
          <w:marTop w:val="0"/>
          <w:marBottom w:val="0"/>
          <w:divBdr>
            <w:top w:val="none" w:sz="0" w:space="0" w:color="auto"/>
            <w:left w:val="none" w:sz="0" w:space="0" w:color="auto"/>
            <w:bottom w:val="none" w:sz="0" w:space="0" w:color="auto"/>
            <w:right w:val="none" w:sz="0" w:space="0" w:color="auto"/>
          </w:divBdr>
        </w:div>
      </w:divsChild>
    </w:div>
    <w:div w:id="1120414270">
      <w:bodyDiv w:val="1"/>
      <w:marLeft w:val="0"/>
      <w:marRight w:val="0"/>
      <w:marTop w:val="0"/>
      <w:marBottom w:val="0"/>
      <w:divBdr>
        <w:top w:val="none" w:sz="0" w:space="0" w:color="auto"/>
        <w:left w:val="none" w:sz="0" w:space="0" w:color="auto"/>
        <w:bottom w:val="none" w:sz="0" w:space="0" w:color="auto"/>
        <w:right w:val="none" w:sz="0" w:space="0" w:color="auto"/>
      </w:divBdr>
    </w:div>
    <w:div w:id="1120606842">
      <w:bodyDiv w:val="1"/>
      <w:marLeft w:val="0"/>
      <w:marRight w:val="0"/>
      <w:marTop w:val="0"/>
      <w:marBottom w:val="0"/>
      <w:divBdr>
        <w:top w:val="none" w:sz="0" w:space="0" w:color="auto"/>
        <w:left w:val="none" w:sz="0" w:space="0" w:color="auto"/>
        <w:bottom w:val="none" w:sz="0" w:space="0" w:color="auto"/>
        <w:right w:val="none" w:sz="0" w:space="0" w:color="auto"/>
      </w:divBdr>
    </w:div>
    <w:div w:id="1120608886">
      <w:bodyDiv w:val="1"/>
      <w:marLeft w:val="0"/>
      <w:marRight w:val="0"/>
      <w:marTop w:val="0"/>
      <w:marBottom w:val="0"/>
      <w:divBdr>
        <w:top w:val="none" w:sz="0" w:space="0" w:color="auto"/>
        <w:left w:val="none" w:sz="0" w:space="0" w:color="auto"/>
        <w:bottom w:val="none" w:sz="0" w:space="0" w:color="auto"/>
        <w:right w:val="none" w:sz="0" w:space="0" w:color="auto"/>
      </w:divBdr>
    </w:div>
    <w:div w:id="1120806901">
      <w:bodyDiv w:val="1"/>
      <w:marLeft w:val="0"/>
      <w:marRight w:val="0"/>
      <w:marTop w:val="0"/>
      <w:marBottom w:val="0"/>
      <w:divBdr>
        <w:top w:val="none" w:sz="0" w:space="0" w:color="auto"/>
        <w:left w:val="none" w:sz="0" w:space="0" w:color="auto"/>
        <w:bottom w:val="none" w:sz="0" w:space="0" w:color="auto"/>
        <w:right w:val="none" w:sz="0" w:space="0" w:color="auto"/>
      </w:divBdr>
    </w:div>
    <w:div w:id="1121412076">
      <w:bodyDiv w:val="1"/>
      <w:marLeft w:val="0"/>
      <w:marRight w:val="0"/>
      <w:marTop w:val="0"/>
      <w:marBottom w:val="0"/>
      <w:divBdr>
        <w:top w:val="none" w:sz="0" w:space="0" w:color="auto"/>
        <w:left w:val="none" w:sz="0" w:space="0" w:color="auto"/>
        <w:bottom w:val="none" w:sz="0" w:space="0" w:color="auto"/>
        <w:right w:val="none" w:sz="0" w:space="0" w:color="auto"/>
      </w:divBdr>
    </w:div>
    <w:div w:id="1122729729">
      <w:bodyDiv w:val="1"/>
      <w:marLeft w:val="0"/>
      <w:marRight w:val="0"/>
      <w:marTop w:val="0"/>
      <w:marBottom w:val="0"/>
      <w:divBdr>
        <w:top w:val="none" w:sz="0" w:space="0" w:color="auto"/>
        <w:left w:val="none" w:sz="0" w:space="0" w:color="auto"/>
        <w:bottom w:val="none" w:sz="0" w:space="0" w:color="auto"/>
        <w:right w:val="none" w:sz="0" w:space="0" w:color="auto"/>
      </w:divBdr>
    </w:div>
    <w:div w:id="1122965093">
      <w:bodyDiv w:val="1"/>
      <w:marLeft w:val="0"/>
      <w:marRight w:val="0"/>
      <w:marTop w:val="0"/>
      <w:marBottom w:val="0"/>
      <w:divBdr>
        <w:top w:val="none" w:sz="0" w:space="0" w:color="auto"/>
        <w:left w:val="none" w:sz="0" w:space="0" w:color="auto"/>
        <w:bottom w:val="none" w:sz="0" w:space="0" w:color="auto"/>
        <w:right w:val="none" w:sz="0" w:space="0" w:color="auto"/>
      </w:divBdr>
    </w:div>
    <w:div w:id="1123427740">
      <w:bodyDiv w:val="1"/>
      <w:marLeft w:val="0"/>
      <w:marRight w:val="0"/>
      <w:marTop w:val="0"/>
      <w:marBottom w:val="0"/>
      <w:divBdr>
        <w:top w:val="none" w:sz="0" w:space="0" w:color="auto"/>
        <w:left w:val="none" w:sz="0" w:space="0" w:color="auto"/>
        <w:bottom w:val="none" w:sz="0" w:space="0" w:color="auto"/>
        <w:right w:val="none" w:sz="0" w:space="0" w:color="auto"/>
      </w:divBdr>
    </w:div>
    <w:div w:id="1123578354">
      <w:bodyDiv w:val="1"/>
      <w:marLeft w:val="0"/>
      <w:marRight w:val="0"/>
      <w:marTop w:val="0"/>
      <w:marBottom w:val="0"/>
      <w:divBdr>
        <w:top w:val="none" w:sz="0" w:space="0" w:color="auto"/>
        <w:left w:val="none" w:sz="0" w:space="0" w:color="auto"/>
        <w:bottom w:val="none" w:sz="0" w:space="0" w:color="auto"/>
        <w:right w:val="none" w:sz="0" w:space="0" w:color="auto"/>
      </w:divBdr>
    </w:div>
    <w:div w:id="1123620986">
      <w:bodyDiv w:val="1"/>
      <w:marLeft w:val="0"/>
      <w:marRight w:val="0"/>
      <w:marTop w:val="0"/>
      <w:marBottom w:val="0"/>
      <w:divBdr>
        <w:top w:val="none" w:sz="0" w:space="0" w:color="auto"/>
        <w:left w:val="none" w:sz="0" w:space="0" w:color="auto"/>
        <w:bottom w:val="none" w:sz="0" w:space="0" w:color="auto"/>
        <w:right w:val="none" w:sz="0" w:space="0" w:color="auto"/>
      </w:divBdr>
    </w:div>
    <w:div w:id="1123890517">
      <w:bodyDiv w:val="1"/>
      <w:marLeft w:val="0"/>
      <w:marRight w:val="0"/>
      <w:marTop w:val="0"/>
      <w:marBottom w:val="0"/>
      <w:divBdr>
        <w:top w:val="none" w:sz="0" w:space="0" w:color="auto"/>
        <w:left w:val="none" w:sz="0" w:space="0" w:color="auto"/>
        <w:bottom w:val="none" w:sz="0" w:space="0" w:color="auto"/>
        <w:right w:val="none" w:sz="0" w:space="0" w:color="auto"/>
      </w:divBdr>
    </w:div>
    <w:div w:id="1125001602">
      <w:bodyDiv w:val="1"/>
      <w:marLeft w:val="0"/>
      <w:marRight w:val="0"/>
      <w:marTop w:val="0"/>
      <w:marBottom w:val="0"/>
      <w:divBdr>
        <w:top w:val="none" w:sz="0" w:space="0" w:color="auto"/>
        <w:left w:val="none" w:sz="0" w:space="0" w:color="auto"/>
        <w:bottom w:val="none" w:sz="0" w:space="0" w:color="auto"/>
        <w:right w:val="none" w:sz="0" w:space="0" w:color="auto"/>
      </w:divBdr>
    </w:div>
    <w:div w:id="1125393747">
      <w:bodyDiv w:val="1"/>
      <w:marLeft w:val="0"/>
      <w:marRight w:val="0"/>
      <w:marTop w:val="0"/>
      <w:marBottom w:val="0"/>
      <w:divBdr>
        <w:top w:val="none" w:sz="0" w:space="0" w:color="auto"/>
        <w:left w:val="none" w:sz="0" w:space="0" w:color="auto"/>
        <w:bottom w:val="none" w:sz="0" w:space="0" w:color="auto"/>
        <w:right w:val="none" w:sz="0" w:space="0" w:color="auto"/>
      </w:divBdr>
    </w:div>
    <w:div w:id="1125613507">
      <w:bodyDiv w:val="1"/>
      <w:marLeft w:val="0"/>
      <w:marRight w:val="0"/>
      <w:marTop w:val="0"/>
      <w:marBottom w:val="0"/>
      <w:divBdr>
        <w:top w:val="none" w:sz="0" w:space="0" w:color="auto"/>
        <w:left w:val="none" w:sz="0" w:space="0" w:color="auto"/>
        <w:bottom w:val="none" w:sz="0" w:space="0" w:color="auto"/>
        <w:right w:val="none" w:sz="0" w:space="0" w:color="auto"/>
      </w:divBdr>
    </w:div>
    <w:div w:id="1125655901">
      <w:bodyDiv w:val="1"/>
      <w:marLeft w:val="0"/>
      <w:marRight w:val="0"/>
      <w:marTop w:val="0"/>
      <w:marBottom w:val="0"/>
      <w:divBdr>
        <w:top w:val="none" w:sz="0" w:space="0" w:color="auto"/>
        <w:left w:val="none" w:sz="0" w:space="0" w:color="auto"/>
        <w:bottom w:val="none" w:sz="0" w:space="0" w:color="auto"/>
        <w:right w:val="none" w:sz="0" w:space="0" w:color="auto"/>
      </w:divBdr>
    </w:div>
    <w:div w:id="1125999233">
      <w:bodyDiv w:val="1"/>
      <w:marLeft w:val="0"/>
      <w:marRight w:val="0"/>
      <w:marTop w:val="0"/>
      <w:marBottom w:val="0"/>
      <w:divBdr>
        <w:top w:val="none" w:sz="0" w:space="0" w:color="auto"/>
        <w:left w:val="none" w:sz="0" w:space="0" w:color="auto"/>
        <w:bottom w:val="none" w:sz="0" w:space="0" w:color="auto"/>
        <w:right w:val="none" w:sz="0" w:space="0" w:color="auto"/>
      </w:divBdr>
    </w:div>
    <w:div w:id="1127358912">
      <w:bodyDiv w:val="1"/>
      <w:marLeft w:val="0"/>
      <w:marRight w:val="0"/>
      <w:marTop w:val="0"/>
      <w:marBottom w:val="0"/>
      <w:divBdr>
        <w:top w:val="none" w:sz="0" w:space="0" w:color="auto"/>
        <w:left w:val="none" w:sz="0" w:space="0" w:color="auto"/>
        <w:bottom w:val="none" w:sz="0" w:space="0" w:color="auto"/>
        <w:right w:val="none" w:sz="0" w:space="0" w:color="auto"/>
      </w:divBdr>
    </w:div>
    <w:div w:id="1127774891">
      <w:bodyDiv w:val="1"/>
      <w:marLeft w:val="0"/>
      <w:marRight w:val="0"/>
      <w:marTop w:val="0"/>
      <w:marBottom w:val="0"/>
      <w:divBdr>
        <w:top w:val="none" w:sz="0" w:space="0" w:color="auto"/>
        <w:left w:val="none" w:sz="0" w:space="0" w:color="auto"/>
        <w:bottom w:val="none" w:sz="0" w:space="0" w:color="auto"/>
        <w:right w:val="none" w:sz="0" w:space="0" w:color="auto"/>
      </w:divBdr>
    </w:div>
    <w:div w:id="1128550464">
      <w:bodyDiv w:val="1"/>
      <w:marLeft w:val="0"/>
      <w:marRight w:val="0"/>
      <w:marTop w:val="0"/>
      <w:marBottom w:val="0"/>
      <w:divBdr>
        <w:top w:val="none" w:sz="0" w:space="0" w:color="auto"/>
        <w:left w:val="none" w:sz="0" w:space="0" w:color="auto"/>
        <w:bottom w:val="none" w:sz="0" w:space="0" w:color="auto"/>
        <w:right w:val="none" w:sz="0" w:space="0" w:color="auto"/>
      </w:divBdr>
    </w:div>
    <w:div w:id="1128818599">
      <w:bodyDiv w:val="1"/>
      <w:marLeft w:val="0"/>
      <w:marRight w:val="0"/>
      <w:marTop w:val="0"/>
      <w:marBottom w:val="0"/>
      <w:divBdr>
        <w:top w:val="none" w:sz="0" w:space="0" w:color="auto"/>
        <w:left w:val="none" w:sz="0" w:space="0" w:color="auto"/>
        <w:bottom w:val="none" w:sz="0" w:space="0" w:color="auto"/>
        <w:right w:val="none" w:sz="0" w:space="0" w:color="auto"/>
      </w:divBdr>
    </w:div>
    <w:div w:id="1129132661">
      <w:bodyDiv w:val="1"/>
      <w:marLeft w:val="0"/>
      <w:marRight w:val="0"/>
      <w:marTop w:val="0"/>
      <w:marBottom w:val="0"/>
      <w:divBdr>
        <w:top w:val="none" w:sz="0" w:space="0" w:color="auto"/>
        <w:left w:val="none" w:sz="0" w:space="0" w:color="auto"/>
        <w:bottom w:val="none" w:sz="0" w:space="0" w:color="auto"/>
        <w:right w:val="none" w:sz="0" w:space="0" w:color="auto"/>
      </w:divBdr>
    </w:div>
    <w:div w:id="1129593759">
      <w:bodyDiv w:val="1"/>
      <w:marLeft w:val="0"/>
      <w:marRight w:val="0"/>
      <w:marTop w:val="0"/>
      <w:marBottom w:val="0"/>
      <w:divBdr>
        <w:top w:val="none" w:sz="0" w:space="0" w:color="auto"/>
        <w:left w:val="none" w:sz="0" w:space="0" w:color="auto"/>
        <w:bottom w:val="none" w:sz="0" w:space="0" w:color="auto"/>
        <w:right w:val="none" w:sz="0" w:space="0" w:color="auto"/>
      </w:divBdr>
    </w:div>
    <w:div w:id="1130169503">
      <w:bodyDiv w:val="1"/>
      <w:marLeft w:val="0"/>
      <w:marRight w:val="0"/>
      <w:marTop w:val="0"/>
      <w:marBottom w:val="0"/>
      <w:divBdr>
        <w:top w:val="none" w:sz="0" w:space="0" w:color="auto"/>
        <w:left w:val="none" w:sz="0" w:space="0" w:color="auto"/>
        <w:bottom w:val="none" w:sz="0" w:space="0" w:color="auto"/>
        <w:right w:val="none" w:sz="0" w:space="0" w:color="auto"/>
      </w:divBdr>
    </w:div>
    <w:div w:id="1130245083">
      <w:bodyDiv w:val="1"/>
      <w:marLeft w:val="0"/>
      <w:marRight w:val="0"/>
      <w:marTop w:val="0"/>
      <w:marBottom w:val="0"/>
      <w:divBdr>
        <w:top w:val="none" w:sz="0" w:space="0" w:color="auto"/>
        <w:left w:val="none" w:sz="0" w:space="0" w:color="auto"/>
        <w:bottom w:val="none" w:sz="0" w:space="0" w:color="auto"/>
        <w:right w:val="none" w:sz="0" w:space="0" w:color="auto"/>
      </w:divBdr>
    </w:div>
    <w:div w:id="1130586185">
      <w:bodyDiv w:val="1"/>
      <w:marLeft w:val="0"/>
      <w:marRight w:val="0"/>
      <w:marTop w:val="0"/>
      <w:marBottom w:val="0"/>
      <w:divBdr>
        <w:top w:val="none" w:sz="0" w:space="0" w:color="auto"/>
        <w:left w:val="none" w:sz="0" w:space="0" w:color="auto"/>
        <w:bottom w:val="none" w:sz="0" w:space="0" w:color="auto"/>
        <w:right w:val="none" w:sz="0" w:space="0" w:color="auto"/>
      </w:divBdr>
    </w:div>
    <w:div w:id="1130784559">
      <w:bodyDiv w:val="1"/>
      <w:marLeft w:val="0"/>
      <w:marRight w:val="0"/>
      <w:marTop w:val="0"/>
      <w:marBottom w:val="0"/>
      <w:divBdr>
        <w:top w:val="none" w:sz="0" w:space="0" w:color="auto"/>
        <w:left w:val="none" w:sz="0" w:space="0" w:color="auto"/>
        <w:bottom w:val="none" w:sz="0" w:space="0" w:color="auto"/>
        <w:right w:val="none" w:sz="0" w:space="0" w:color="auto"/>
      </w:divBdr>
    </w:div>
    <w:div w:id="1131095711">
      <w:bodyDiv w:val="1"/>
      <w:marLeft w:val="0"/>
      <w:marRight w:val="0"/>
      <w:marTop w:val="0"/>
      <w:marBottom w:val="0"/>
      <w:divBdr>
        <w:top w:val="none" w:sz="0" w:space="0" w:color="auto"/>
        <w:left w:val="none" w:sz="0" w:space="0" w:color="auto"/>
        <w:bottom w:val="none" w:sz="0" w:space="0" w:color="auto"/>
        <w:right w:val="none" w:sz="0" w:space="0" w:color="auto"/>
      </w:divBdr>
    </w:div>
    <w:div w:id="1131096108">
      <w:bodyDiv w:val="1"/>
      <w:marLeft w:val="0"/>
      <w:marRight w:val="0"/>
      <w:marTop w:val="0"/>
      <w:marBottom w:val="0"/>
      <w:divBdr>
        <w:top w:val="none" w:sz="0" w:space="0" w:color="auto"/>
        <w:left w:val="none" w:sz="0" w:space="0" w:color="auto"/>
        <w:bottom w:val="none" w:sz="0" w:space="0" w:color="auto"/>
        <w:right w:val="none" w:sz="0" w:space="0" w:color="auto"/>
      </w:divBdr>
    </w:div>
    <w:div w:id="1131436060">
      <w:bodyDiv w:val="1"/>
      <w:marLeft w:val="0"/>
      <w:marRight w:val="0"/>
      <w:marTop w:val="0"/>
      <w:marBottom w:val="0"/>
      <w:divBdr>
        <w:top w:val="none" w:sz="0" w:space="0" w:color="auto"/>
        <w:left w:val="none" w:sz="0" w:space="0" w:color="auto"/>
        <w:bottom w:val="none" w:sz="0" w:space="0" w:color="auto"/>
        <w:right w:val="none" w:sz="0" w:space="0" w:color="auto"/>
      </w:divBdr>
    </w:div>
    <w:div w:id="1132409870">
      <w:bodyDiv w:val="1"/>
      <w:marLeft w:val="0"/>
      <w:marRight w:val="0"/>
      <w:marTop w:val="0"/>
      <w:marBottom w:val="0"/>
      <w:divBdr>
        <w:top w:val="none" w:sz="0" w:space="0" w:color="auto"/>
        <w:left w:val="none" w:sz="0" w:space="0" w:color="auto"/>
        <w:bottom w:val="none" w:sz="0" w:space="0" w:color="auto"/>
        <w:right w:val="none" w:sz="0" w:space="0" w:color="auto"/>
      </w:divBdr>
    </w:div>
    <w:div w:id="1132476528">
      <w:bodyDiv w:val="1"/>
      <w:marLeft w:val="0"/>
      <w:marRight w:val="0"/>
      <w:marTop w:val="0"/>
      <w:marBottom w:val="0"/>
      <w:divBdr>
        <w:top w:val="none" w:sz="0" w:space="0" w:color="auto"/>
        <w:left w:val="none" w:sz="0" w:space="0" w:color="auto"/>
        <w:bottom w:val="none" w:sz="0" w:space="0" w:color="auto"/>
        <w:right w:val="none" w:sz="0" w:space="0" w:color="auto"/>
      </w:divBdr>
    </w:div>
    <w:div w:id="1132600363">
      <w:bodyDiv w:val="1"/>
      <w:marLeft w:val="0"/>
      <w:marRight w:val="0"/>
      <w:marTop w:val="0"/>
      <w:marBottom w:val="0"/>
      <w:divBdr>
        <w:top w:val="none" w:sz="0" w:space="0" w:color="auto"/>
        <w:left w:val="none" w:sz="0" w:space="0" w:color="auto"/>
        <w:bottom w:val="none" w:sz="0" w:space="0" w:color="auto"/>
        <w:right w:val="none" w:sz="0" w:space="0" w:color="auto"/>
      </w:divBdr>
    </w:div>
    <w:div w:id="1132796246">
      <w:bodyDiv w:val="1"/>
      <w:marLeft w:val="0"/>
      <w:marRight w:val="0"/>
      <w:marTop w:val="0"/>
      <w:marBottom w:val="0"/>
      <w:divBdr>
        <w:top w:val="none" w:sz="0" w:space="0" w:color="auto"/>
        <w:left w:val="none" w:sz="0" w:space="0" w:color="auto"/>
        <w:bottom w:val="none" w:sz="0" w:space="0" w:color="auto"/>
        <w:right w:val="none" w:sz="0" w:space="0" w:color="auto"/>
      </w:divBdr>
    </w:div>
    <w:div w:id="1133331540">
      <w:bodyDiv w:val="1"/>
      <w:marLeft w:val="0"/>
      <w:marRight w:val="0"/>
      <w:marTop w:val="0"/>
      <w:marBottom w:val="0"/>
      <w:divBdr>
        <w:top w:val="none" w:sz="0" w:space="0" w:color="auto"/>
        <w:left w:val="none" w:sz="0" w:space="0" w:color="auto"/>
        <w:bottom w:val="none" w:sz="0" w:space="0" w:color="auto"/>
        <w:right w:val="none" w:sz="0" w:space="0" w:color="auto"/>
      </w:divBdr>
    </w:div>
    <w:div w:id="1134102162">
      <w:bodyDiv w:val="1"/>
      <w:marLeft w:val="0"/>
      <w:marRight w:val="0"/>
      <w:marTop w:val="0"/>
      <w:marBottom w:val="0"/>
      <w:divBdr>
        <w:top w:val="none" w:sz="0" w:space="0" w:color="auto"/>
        <w:left w:val="none" w:sz="0" w:space="0" w:color="auto"/>
        <w:bottom w:val="none" w:sz="0" w:space="0" w:color="auto"/>
        <w:right w:val="none" w:sz="0" w:space="0" w:color="auto"/>
      </w:divBdr>
    </w:div>
    <w:div w:id="1134298836">
      <w:bodyDiv w:val="1"/>
      <w:marLeft w:val="0"/>
      <w:marRight w:val="0"/>
      <w:marTop w:val="0"/>
      <w:marBottom w:val="0"/>
      <w:divBdr>
        <w:top w:val="none" w:sz="0" w:space="0" w:color="auto"/>
        <w:left w:val="none" w:sz="0" w:space="0" w:color="auto"/>
        <w:bottom w:val="none" w:sz="0" w:space="0" w:color="auto"/>
        <w:right w:val="none" w:sz="0" w:space="0" w:color="auto"/>
      </w:divBdr>
    </w:div>
    <w:div w:id="1134568621">
      <w:bodyDiv w:val="1"/>
      <w:marLeft w:val="0"/>
      <w:marRight w:val="0"/>
      <w:marTop w:val="0"/>
      <w:marBottom w:val="0"/>
      <w:divBdr>
        <w:top w:val="none" w:sz="0" w:space="0" w:color="auto"/>
        <w:left w:val="none" w:sz="0" w:space="0" w:color="auto"/>
        <w:bottom w:val="none" w:sz="0" w:space="0" w:color="auto"/>
        <w:right w:val="none" w:sz="0" w:space="0" w:color="auto"/>
      </w:divBdr>
    </w:div>
    <w:div w:id="1134910231">
      <w:bodyDiv w:val="1"/>
      <w:marLeft w:val="0"/>
      <w:marRight w:val="0"/>
      <w:marTop w:val="0"/>
      <w:marBottom w:val="0"/>
      <w:divBdr>
        <w:top w:val="none" w:sz="0" w:space="0" w:color="auto"/>
        <w:left w:val="none" w:sz="0" w:space="0" w:color="auto"/>
        <w:bottom w:val="none" w:sz="0" w:space="0" w:color="auto"/>
        <w:right w:val="none" w:sz="0" w:space="0" w:color="auto"/>
      </w:divBdr>
    </w:div>
    <w:div w:id="1135101370">
      <w:bodyDiv w:val="1"/>
      <w:marLeft w:val="0"/>
      <w:marRight w:val="0"/>
      <w:marTop w:val="0"/>
      <w:marBottom w:val="0"/>
      <w:divBdr>
        <w:top w:val="none" w:sz="0" w:space="0" w:color="auto"/>
        <w:left w:val="none" w:sz="0" w:space="0" w:color="auto"/>
        <w:bottom w:val="none" w:sz="0" w:space="0" w:color="auto"/>
        <w:right w:val="none" w:sz="0" w:space="0" w:color="auto"/>
      </w:divBdr>
    </w:div>
    <w:div w:id="1135178599">
      <w:bodyDiv w:val="1"/>
      <w:marLeft w:val="0"/>
      <w:marRight w:val="0"/>
      <w:marTop w:val="0"/>
      <w:marBottom w:val="0"/>
      <w:divBdr>
        <w:top w:val="none" w:sz="0" w:space="0" w:color="auto"/>
        <w:left w:val="none" w:sz="0" w:space="0" w:color="auto"/>
        <w:bottom w:val="none" w:sz="0" w:space="0" w:color="auto"/>
        <w:right w:val="none" w:sz="0" w:space="0" w:color="auto"/>
      </w:divBdr>
    </w:div>
    <w:div w:id="1136023834">
      <w:bodyDiv w:val="1"/>
      <w:marLeft w:val="0"/>
      <w:marRight w:val="0"/>
      <w:marTop w:val="0"/>
      <w:marBottom w:val="0"/>
      <w:divBdr>
        <w:top w:val="none" w:sz="0" w:space="0" w:color="auto"/>
        <w:left w:val="none" w:sz="0" w:space="0" w:color="auto"/>
        <w:bottom w:val="none" w:sz="0" w:space="0" w:color="auto"/>
        <w:right w:val="none" w:sz="0" w:space="0" w:color="auto"/>
      </w:divBdr>
    </w:div>
    <w:div w:id="1136096274">
      <w:bodyDiv w:val="1"/>
      <w:marLeft w:val="0"/>
      <w:marRight w:val="0"/>
      <w:marTop w:val="0"/>
      <w:marBottom w:val="0"/>
      <w:divBdr>
        <w:top w:val="none" w:sz="0" w:space="0" w:color="auto"/>
        <w:left w:val="none" w:sz="0" w:space="0" w:color="auto"/>
        <w:bottom w:val="none" w:sz="0" w:space="0" w:color="auto"/>
        <w:right w:val="none" w:sz="0" w:space="0" w:color="auto"/>
      </w:divBdr>
    </w:div>
    <w:div w:id="1136263364">
      <w:bodyDiv w:val="1"/>
      <w:marLeft w:val="0"/>
      <w:marRight w:val="0"/>
      <w:marTop w:val="0"/>
      <w:marBottom w:val="0"/>
      <w:divBdr>
        <w:top w:val="none" w:sz="0" w:space="0" w:color="auto"/>
        <w:left w:val="none" w:sz="0" w:space="0" w:color="auto"/>
        <w:bottom w:val="none" w:sz="0" w:space="0" w:color="auto"/>
        <w:right w:val="none" w:sz="0" w:space="0" w:color="auto"/>
      </w:divBdr>
    </w:div>
    <w:div w:id="1136265663">
      <w:bodyDiv w:val="1"/>
      <w:marLeft w:val="0"/>
      <w:marRight w:val="0"/>
      <w:marTop w:val="0"/>
      <w:marBottom w:val="0"/>
      <w:divBdr>
        <w:top w:val="none" w:sz="0" w:space="0" w:color="auto"/>
        <w:left w:val="none" w:sz="0" w:space="0" w:color="auto"/>
        <w:bottom w:val="none" w:sz="0" w:space="0" w:color="auto"/>
        <w:right w:val="none" w:sz="0" w:space="0" w:color="auto"/>
      </w:divBdr>
    </w:div>
    <w:div w:id="1136532413">
      <w:bodyDiv w:val="1"/>
      <w:marLeft w:val="0"/>
      <w:marRight w:val="0"/>
      <w:marTop w:val="0"/>
      <w:marBottom w:val="0"/>
      <w:divBdr>
        <w:top w:val="none" w:sz="0" w:space="0" w:color="auto"/>
        <w:left w:val="none" w:sz="0" w:space="0" w:color="auto"/>
        <w:bottom w:val="none" w:sz="0" w:space="0" w:color="auto"/>
        <w:right w:val="none" w:sz="0" w:space="0" w:color="auto"/>
      </w:divBdr>
    </w:div>
    <w:div w:id="1136801145">
      <w:bodyDiv w:val="1"/>
      <w:marLeft w:val="0"/>
      <w:marRight w:val="0"/>
      <w:marTop w:val="0"/>
      <w:marBottom w:val="0"/>
      <w:divBdr>
        <w:top w:val="none" w:sz="0" w:space="0" w:color="auto"/>
        <w:left w:val="none" w:sz="0" w:space="0" w:color="auto"/>
        <w:bottom w:val="none" w:sz="0" w:space="0" w:color="auto"/>
        <w:right w:val="none" w:sz="0" w:space="0" w:color="auto"/>
      </w:divBdr>
    </w:div>
    <w:div w:id="1137183645">
      <w:bodyDiv w:val="1"/>
      <w:marLeft w:val="0"/>
      <w:marRight w:val="0"/>
      <w:marTop w:val="0"/>
      <w:marBottom w:val="0"/>
      <w:divBdr>
        <w:top w:val="none" w:sz="0" w:space="0" w:color="auto"/>
        <w:left w:val="none" w:sz="0" w:space="0" w:color="auto"/>
        <w:bottom w:val="none" w:sz="0" w:space="0" w:color="auto"/>
        <w:right w:val="none" w:sz="0" w:space="0" w:color="auto"/>
      </w:divBdr>
    </w:div>
    <w:div w:id="1137524748">
      <w:bodyDiv w:val="1"/>
      <w:marLeft w:val="0"/>
      <w:marRight w:val="0"/>
      <w:marTop w:val="0"/>
      <w:marBottom w:val="0"/>
      <w:divBdr>
        <w:top w:val="none" w:sz="0" w:space="0" w:color="auto"/>
        <w:left w:val="none" w:sz="0" w:space="0" w:color="auto"/>
        <w:bottom w:val="none" w:sz="0" w:space="0" w:color="auto"/>
        <w:right w:val="none" w:sz="0" w:space="0" w:color="auto"/>
      </w:divBdr>
    </w:div>
    <w:div w:id="1137527217">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38449366">
      <w:bodyDiv w:val="1"/>
      <w:marLeft w:val="0"/>
      <w:marRight w:val="0"/>
      <w:marTop w:val="0"/>
      <w:marBottom w:val="0"/>
      <w:divBdr>
        <w:top w:val="none" w:sz="0" w:space="0" w:color="auto"/>
        <w:left w:val="none" w:sz="0" w:space="0" w:color="auto"/>
        <w:bottom w:val="none" w:sz="0" w:space="0" w:color="auto"/>
        <w:right w:val="none" w:sz="0" w:space="0" w:color="auto"/>
      </w:divBdr>
    </w:div>
    <w:div w:id="1139151504">
      <w:bodyDiv w:val="1"/>
      <w:marLeft w:val="0"/>
      <w:marRight w:val="0"/>
      <w:marTop w:val="0"/>
      <w:marBottom w:val="0"/>
      <w:divBdr>
        <w:top w:val="none" w:sz="0" w:space="0" w:color="auto"/>
        <w:left w:val="none" w:sz="0" w:space="0" w:color="auto"/>
        <w:bottom w:val="none" w:sz="0" w:space="0" w:color="auto"/>
        <w:right w:val="none" w:sz="0" w:space="0" w:color="auto"/>
      </w:divBdr>
    </w:div>
    <w:div w:id="1139306314">
      <w:bodyDiv w:val="1"/>
      <w:marLeft w:val="0"/>
      <w:marRight w:val="0"/>
      <w:marTop w:val="0"/>
      <w:marBottom w:val="0"/>
      <w:divBdr>
        <w:top w:val="none" w:sz="0" w:space="0" w:color="auto"/>
        <w:left w:val="none" w:sz="0" w:space="0" w:color="auto"/>
        <w:bottom w:val="none" w:sz="0" w:space="0" w:color="auto"/>
        <w:right w:val="none" w:sz="0" w:space="0" w:color="auto"/>
      </w:divBdr>
    </w:div>
    <w:div w:id="1139373094">
      <w:bodyDiv w:val="1"/>
      <w:marLeft w:val="0"/>
      <w:marRight w:val="0"/>
      <w:marTop w:val="0"/>
      <w:marBottom w:val="0"/>
      <w:divBdr>
        <w:top w:val="none" w:sz="0" w:space="0" w:color="auto"/>
        <w:left w:val="none" w:sz="0" w:space="0" w:color="auto"/>
        <w:bottom w:val="none" w:sz="0" w:space="0" w:color="auto"/>
        <w:right w:val="none" w:sz="0" w:space="0" w:color="auto"/>
      </w:divBdr>
    </w:div>
    <w:div w:id="1139570285">
      <w:bodyDiv w:val="1"/>
      <w:marLeft w:val="0"/>
      <w:marRight w:val="0"/>
      <w:marTop w:val="0"/>
      <w:marBottom w:val="0"/>
      <w:divBdr>
        <w:top w:val="none" w:sz="0" w:space="0" w:color="auto"/>
        <w:left w:val="none" w:sz="0" w:space="0" w:color="auto"/>
        <w:bottom w:val="none" w:sz="0" w:space="0" w:color="auto"/>
        <w:right w:val="none" w:sz="0" w:space="0" w:color="auto"/>
      </w:divBdr>
    </w:div>
    <w:div w:id="1139760975">
      <w:bodyDiv w:val="1"/>
      <w:marLeft w:val="0"/>
      <w:marRight w:val="0"/>
      <w:marTop w:val="0"/>
      <w:marBottom w:val="0"/>
      <w:divBdr>
        <w:top w:val="none" w:sz="0" w:space="0" w:color="auto"/>
        <w:left w:val="none" w:sz="0" w:space="0" w:color="auto"/>
        <w:bottom w:val="none" w:sz="0" w:space="0" w:color="auto"/>
        <w:right w:val="none" w:sz="0" w:space="0" w:color="auto"/>
      </w:divBdr>
    </w:div>
    <w:div w:id="1139807570">
      <w:bodyDiv w:val="1"/>
      <w:marLeft w:val="0"/>
      <w:marRight w:val="0"/>
      <w:marTop w:val="0"/>
      <w:marBottom w:val="0"/>
      <w:divBdr>
        <w:top w:val="none" w:sz="0" w:space="0" w:color="auto"/>
        <w:left w:val="none" w:sz="0" w:space="0" w:color="auto"/>
        <w:bottom w:val="none" w:sz="0" w:space="0" w:color="auto"/>
        <w:right w:val="none" w:sz="0" w:space="0" w:color="auto"/>
      </w:divBdr>
    </w:div>
    <w:div w:id="1139954459">
      <w:bodyDiv w:val="1"/>
      <w:marLeft w:val="0"/>
      <w:marRight w:val="0"/>
      <w:marTop w:val="0"/>
      <w:marBottom w:val="0"/>
      <w:divBdr>
        <w:top w:val="none" w:sz="0" w:space="0" w:color="auto"/>
        <w:left w:val="none" w:sz="0" w:space="0" w:color="auto"/>
        <w:bottom w:val="none" w:sz="0" w:space="0" w:color="auto"/>
        <w:right w:val="none" w:sz="0" w:space="0" w:color="auto"/>
      </w:divBdr>
    </w:div>
    <w:div w:id="1140264834">
      <w:bodyDiv w:val="1"/>
      <w:marLeft w:val="0"/>
      <w:marRight w:val="0"/>
      <w:marTop w:val="0"/>
      <w:marBottom w:val="0"/>
      <w:divBdr>
        <w:top w:val="none" w:sz="0" w:space="0" w:color="auto"/>
        <w:left w:val="none" w:sz="0" w:space="0" w:color="auto"/>
        <w:bottom w:val="none" w:sz="0" w:space="0" w:color="auto"/>
        <w:right w:val="none" w:sz="0" w:space="0" w:color="auto"/>
      </w:divBdr>
    </w:div>
    <w:div w:id="1140611863">
      <w:bodyDiv w:val="1"/>
      <w:marLeft w:val="0"/>
      <w:marRight w:val="0"/>
      <w:marTop w:val="0"/>
      <w:marBottom w:val="0"/>
      <w:divBdr>
        <w:top w:val="none" w:sz="0" w:space="0" w:color="auto"/>
        <w:left w:val="none" w:sz="0" w:space="0" w:color="auto"/>
        <w:bottom w:val="none" w:sz="0" w:space="0" w:color="auto"/>
        <w:right w:val="none" w:sz="0" w:space="0" w:color="auto"/>
      </w:divBdr>
    </w:div>
    <w:div w:id="1141578354">
      <w:bodyDiv w:val="1"/>
      <w:marLeft w:val="0"/>
      <w:marRight w:val="0"/>
      <w:marTop w:val="0"/>
      <w:marBottom w:val="0"/>
      <w:divBdr>
        <w:top w:val="none" w:sz="0" w:space="0" w:color="auto"/>
        <w:left w:val="none" w:sz="0" w:space="0" w:color="auto"/>
        <w:bottom w:val="none" w:sz="0" w:space="0" w:color="auto"/>
        <w:right w:val="none" w:sz="0" w:space="0" w:color="auto"/>
      </w:divBdr>
    </w:div>
    <w:div w:id="1142188207">
      <w:bodyDiv w:val="1"/>
      <w:marLeft w:val="0"/>
      <w:marRight w:val="0"/>
      <w:marTop w:val="0"/>
      <w:marBottom w:val="0"/>
      <w:divBdr>
        <w:top w:val="none" w:sz="0" w:space="0" w:color="auto"/>
        <w:left w:val="none" w:sz="0" w:space="0" w:color="auto"/>
        <w:bottom w:val="none" w:sz="0" w:space="0" w:color="auto"/>
        <w:right w:val="none" w:sz="0" w:space="0" w:color="auto"/>
      </w:divBdr>
    </w:div>
    <w:div w:id="1142305364">
      <w:bodyDiv w:val="1"/>
      <w:marLeft w:val="0"/>
      <w:marRight w:val="0"/>
      <w:marTop w:val="0"/>
      <w:marBottom w:val="0"/>
      <w:divBdr>
        <w:top w:val="none" w:sz="0" w:space="0" w:color="auto"/>
        <w:left w:val="none" w:sz="0" w:space="0" w:color="auto"/>
        <w:bottom w:val="none" w:sz="0" w:space="0" w:color="auto"/>
        <w:right w:val="none" w:sz="0" w:space="0" w:color="auto"/>
      </w:divBdr>
    </w:div>
    <w:div w:id="1142313207">
      <w:bodyDiv w:val="1"/>
      <w:marLeft w:val="0"/>
      <w:marRight w:val="0"/>
      <w:marTop w:val="0"/>
      <w:marBottom w:val="0"/>
      <w:divBdr>
        <w:top w:val="none" w:sz="0" w:space="0" w:color="auto"/>
        <w:left w:val="none" w:sz="0" w:space="0" w:color="auto"/>
        <w:bottom w:val="none" w:sz="0" w:space="0" w:color="auto"/>
        <w:right w:val="none" w:sz="0" w:space="0" w:color="auto"/>
      </w:divBdr>
    </w:div>
    <w:div w:id="1142501973">
      <w:bodyDiv w:val="1"/>
      <w:marLeft w:val="0"/>
      <w:marRight w:val="0"/>
      <w:marTop w:val="0"/>
      <w:marBottom w:val="0"/>
      <w:divBdr>
        <w:top w:val="none" w:sz="0" w:space="0" w:color="auto"/>
        <w:left w:val="none" w:sz="0" w:space="0" w:color="auto"/>
        <w:bottom w:val="none" w:sz="0" w:space="0" w:color="auto"/>
        <w:right w:val="none" w:sz="0" w:space="0" w:color="auto"/>
      </w:divBdr>
    </w:div>
    <w:div w:id="1142962633">
      <w:bodyDiv w:val="1"/>
      <w:marLeft w:val="0"/>
      <w:marRight w:val="0"/>
      <w:marTop w:val="0"/>
      <w:marBottom w:val="0"/>
      <w:divBdr>
        <w:top w:val="none" w:sz="0" w:space="0" w:color="auto"/>
        <w:left w:val="none" w:sz="0" w:space="0" w:color="auto"/>
        <w:bottom w:val="none" w:sz="0" w:space="0" w:color="auto"/>
        <w:right w:val="none" w:sz="0" w:space="0" w:color="auto"/>
      </w:divBdr>
    </w:div>
    <w:div w:id="1143156699">
      <w:bodyDiv w:val="1"/>
      <w:marLeft w:val="0"/>
      <w:marRight w:val="0"/>
      <w:marTop w:val="0"/>
      <w:marBottom w:val="0"/>
      <w:divBdr>
        <w:top w:val="none" w:sz="0" w:space="0" w:color="auto"/>
        <w:left w:val="none" w:sz="0" w:space="0" w:color="auto"/>
        <w:bottom w:val="none" w:sz="0" w:space="0" w:color="auto"/>
        <w:right w:val="none" w:sz="0" w:space="0" w:color="auto"/>
      </w:divBdr>
    </w:div>
    <w:div w:id="1143158317">
      <w:bodyDiv w:val="1"/>
      <w:marLeft w:val="0"/>
      <w:marRight w:val="0"/>
      <w:marTop w:val="0"/>
      <w:marBottom w:val="0"/>
      <w:divBdr>
        <w:top w:val="none" w:sz="0" w:space="0" w:color="auto"/>
        <w:left w:val="none" w:sz="0" w:space="0" w:color="auto"/>
        <w:bottom w:val="none" w:sz="0" w:space="0" w:color="auto"/>
        <w:right w:val="none" w:sz="0" w:space="0" w:color="auto"/>
      </w:divBdr>
    </w:div>
    <w:div w:id="1144395055">
      <w:bodyDiv w:val="1"/>
      <w:marLeft w:val="0"/>
      <w:marRight w:val="0"/>
      <w:marTop w:val="0"/>
      <w:marBottom w:val="0"/>
      <w:divBdr>
        <w:top w:val="none" w:sz="0" w:space="0" w:color="auto"/>
        <w:left w:val="none" w:sz="0" w:space="0" w:color="auto"/>
        <w:bottom w:val="none" w:sz="0" w:space="0" w:color="auto"/>
        <w:right w:val="none" w:sz="0" w:space="0" w:color="auto"/>
      </w:divBdr>
    </w:div>
    <w:div w:id="1144587385">
      <w:bodyDiv w:val="1"/>
      <w:marLeft w:val="0"/>
      <w:marRight w:val="0"/>
      <w:marTop w:val="0"/>
      <w:marBottom w:val="0"/>
      <w:divBdr>
        <w:top w:val="none" w:sz="0" w:space="0" w:color="auto"/>
        <w:left w:val="none" w:sz="0" w:space="0" w:color="auto"/>
        <w:bottom w:val="none" w:sz="0" w:space="0" w:color="auto"/>
        <w:right w:val="none" w:sz="0" w:space="0" w:color="auto"/>
      </w:divBdr>
    </w:div>
    <w:div w:id="1144811302">
      <w:bodyDiv w:val="1"/>
      <w:marLeft w:val="0"/>
      <w:marRight w:val="0"/>
      <w:marTop w:val="0"/>
      <w:marBottom w:val="0"/>
      <w:divBdr>
        <w:top w:val="none" w:sz="0" w:space="0" w:color="auto"/>
        <w:left w:val="none" w:sz="0" w:space="0" w:color="auto"/>
        <w:bottom w:val="none" w:sz="0" w:space="0" w:color="auto"/>
        <w:right w:val="none" w:sz="0" w:space="0" w:color="auto"/>
      </w:divBdr>
    </w:div>
    <w:div w:id="1144929963">
      <w:bodyDiv w:val="1"/>
      <w:marLeft w:val="0"/>
      <w:marRight w:val="0"/>
      <w:marTop w:val="0"/>
      <w:marBottom w:val="0"/>
      <w:divBdr>
        <w:top w:val="none" w:sz="0" w:space="0" w:color="auto"/>
        <w:left w:val="none" w:sz="0" w:space="0" w:color="auto"/>
        <w:bottom w:val="none" w:sz="0" w:space="0" w:color="auto"/>
        <w:right w:val="none" w:sz="0" w:space="0" w:color="auto"/>
      </w:divBdr>
    </w:div>
    <w:div w:id="1145124247">
      <w:bodyDiv w:val="1"/>
      <w:marLeft w:val="0"/>
      <w:marRight w:val="0"/>
      <w:marTop w:val="0"/>
      <w:marBottom w:val="0"/>
      <w:divBdr>
        <w:top w:val="none" w:sz="0" w:space="0" w:color="auto"/>
        <w:left w:val="none" w:sz="0" w:space="0" w:color="auto"/>
        <w:bottom w:val="none" w:sz="0" w:space="0" w:color="auto"/>
        <w:right w:val="none" w:sz="0" w:space="0" w:color="auto"/>
      </w:divBdr>
    </w:div>
    <w:div w:id="1145312576">
      <w:bodyDiv w:val="1"/>
      <w:marLeft w:val="0"/>
      <w:marRight w:val="0"/>
      <w:marTop w:val="0"/>
      <w:marBottom w:val="0"/>
      <w:divBdr>
        <w:top w:val="none" w:sz="0" w:space="0" w:color="auto"/>
        <w:left w:val="none" w:sz="0" w:space="0" w:color="auto"/>
        <w:bottom w:val="none" w:sz="0" w:space="0" w:color="auto"/>
        <w:right w:val="none" w:sz="0" w:space="0" w:color="auto"/>
      </w:divBdr>
    </w:div>
    <w:div w:id="1145589118">
      <w:bodyDiv w:val="1"/>
      <w:marLeft w:val="0"/>
      <w:marRight w:val="0"/>
      <w:marTop w:val="0"/>
      <w:marBottom w:val="0"/>
      <w:divBdr>
        <w:top w:val="none" w:sz="0" w:space="0" w:color="auto"/>
        <w:left w:val="none" w:sz="0" w:space="0" w:color="auto"/>
        <w:bottom w:val="none" w:sz="0" w:space="0" w:color="auto"/>
        <w:right w:val="none" w:sz="0" w:space="0" w:color="auto"/>
      </w:divBdr>
    </w:div>
    <w:div w:id="1145779438">
      <w:bodyDiv w:val="1"/>
      <w:marLeft w:val="0"/>
      <w:marRight w:val="0"/>
      <w:marTop w:val="0"/>
      <w:marBottom w:val="0"/>
      <w:divBdr>
        <w:top w:val="none" w:sz="0" w:space="0" w:color="auto"/>
        <w:left w:val="none" w:sz="0" w:space="0" w:color="auto"/>
        <w:bottom w:val="none" w:sz="0" w:space="0" w:color="auto"/>
        <w:right w:val="none" w:sz="0" w:space="0" w:color="auto"/>
      </w:divBdr>
    </w:div>
    <w:div w:id="1145970563">
      <w:bodyDiv w:val="1"/>
      <w:marLeft w:val="0"/>
      <w:marRight w:val="0"/>
      <w:marTop w:val="0"/>
      <w:marBottom w:val="0"/>
      <w:divBdr>
        <w:top w:val="none" w:sz="0" w:space="0" w:color="auto"/>
        <w:left w:val="none" w:sz="0" w:space="0" w:color="auto"/>
        <w:bottom w:val="none" w:sz="0" w:space="0" w:color="auto"/>
        <w:right w:val="none" w:sz="0" w:space="0" w:color="auto"/>
      </w:divBdr>
    </w:div>
    <w:div w:id="1146043640">
      <w:bodyDiv w:val="1"/>
      <w:marLeft w:val="0"/>
      <w:marRight w:val="0"/>
      <w:marTop w:val="0"/>
      <w:marBottom w:val="0"/>
      <w:divBdr>
        <w:top w:val="none" w:sz="0" w:space="0" w:color="auto"/>
        <w:left w:val="none" w:sz="0" w:space="0" w:color="auto"/>
        <w:bottom w:val="none" w:sz="0" w:space="0" w:color="auto"/>
        <w:right w:val="none" w:sz="0" w:space="0" w:color="auto"/>
      </w:divBdr>
    </w:div>
    <w:div w:id="1146319990">
      <w:bodyDiv w:val="1"/>
      <w:marLeft w:val="0"/>
      <w:marRight w:val="0"/>
      <w:marTop w:val="0"/>
      <w:marBottom w:val="0"/>
      <w:divBdr>
        <w:top w:val="none" w:sz="0" w:space="0" w:color="auto"/>
        <w:left w:val="none" w:sz="0" w:space="0" w:color="auto"/>
        <w:bottom w:val="none" w:sz="0" w:space="0" w:color="auto"/>
        <w:right w:val="none" w:sz="0" w:space="0" w:color="auto"/>
      </w:divBdr>
    </w:div>
    <w:div w:id="1147941023">
      <w:bodyDiv w:val="1"/>
      <w:marLeft w:val="0"/>
      <w:marRight w:val="0"/>
      <w:marTop w:val="0"/>
      <w:marBottom w:val="0"/>
      <w:divBdr>
        <w:top w:val="none" w:sz="0" w:space="0" w:color="auto"/>
        <w:left w:val="none" w:sz="0" w:space="0" w:color="auto"/>
        <w:bottom w:val="none" w:sz="0" w:space="0" w:color="auto"/>
        <w:right w:val="none" w:sz="0" w:space="0" w:color="auto"/>
      </w:divBdr>
    </w:div>
    <w:div w:id="1148473135">
      <w:bodyDiv w:val="1"/>
      <w:marLeft w:val="0"/>
      <w:marRight w:val="0"/>
      <w:marTop w:val="0"/>
      <w:marBottom w:val="0"/>
      <w:divBdr>
        <w:top w:val="none" w:sz="0" w:space="0" w:color="auto"/>
        <w:left w:val="none" w:sz="0" w:space="0" w:color="auto"/>
        <w:bottom w:val="none" w:sz="0" w:space="0" w:color="auto"/>
        <w:right w:val="none" w:sz="0" w:space="0" w:color="auto"/>
      </w:divBdr>
    </w:div>
    <w:div w:id="1149008455">
      <w:bodyDiv w:val="1"/>
      <w:marLeft w:val="0"/>
      <w:marRight w:val="0"/>
      <w:marTop w:val="0"/>
      <w:marBottom w:val="0"/>
      <w:divBdr>
        <w:top w:val="none" w:sz="0" w:space="0" w:color="auto"/>
        <w:left w:val="none" w:sz="0" w:space="0" w:color="auto"/>
        <w:bottom w:val="none" w:sz="0" w:space="0" w:color="auto"/>
        <w:right w:val="none" w:sz="0" w:space="0" w:color="auto"/>
      </w:divBdr>
    </w:div>
    <w:div w:id="1149250767">
      <w:bodyDiv w:val="1"/>
      <w:marLeft w:val="0"/>
      <w:marRight w:val="0"/>
      <w:marTop w:val="0"/>
      <w:marBottom w:val="0"/>
      <w:divBdr>
        <w:top w:val="none" w:sz="0" w:space="0" w:color="auto"/>
        <w:left w:val="none" w:sz="0" w:space="0" w:color="auto"/>
        <w:bottom w:val="none" w:sz="0" w:space="0" w:color="auto"/>
        <w:right w:val="none" w:sz="0" w:space="0" w:color="auto"/>
      </w:divBdr>
    </w:div>
    <w:div w:id="1150826530">
      <w:bodyDiv w:val="1"/>
      <w:marLeft w:val="0"/>
      <w:marRight w:val="0"/>
      <w:marTop w:val="0"/>
      <w:marBottom w:val="0"/>
      <w:divBdr>
        <w:top w:val="none" w:sz="0" w:space="0" w:color="auto"/>
        <w:left w:val="none" w:sz="0" w:space="0" w:color="auto"/>
        <w:bottom w:val="none" w:sz="0" w:space="0" w:color="auto"/>
        <w:right w:val="none" w:sz="0" w:space="0" w:color="auto"/>
      </w:divBdr>
    </w:div>
    <w:div w:id="1151093818">
      <w:bodyDiv w:val="1"/>
      <w:marLeft w:val="0"/>
      <w:marRight w:val="0"/>
      <w:marTop w:val="0"/>
      <w:marBottom w:val="0"/>
      <w:divBdr>
        <w:top w:val="none" w:sz="0" w:space="0" w:color="auto"/>
        <w:left w:val="none" w:sz="0" w:space="0" w:color="auto"/>
        <w:bottom w:val="none" w:sz="0" w:space="0" w:color="auto"/>
        <w:right w:val="none" w:sz="0" w:space="0" w:color="auto"/>
      </w:divBdr>
    </w:div>
    <w:div w:id="1151365853">
      <w:bodyDiv w:val="1"/>
      <w:marLeft w:val="0"/>
      <w:marRight w:val="0"/>
      <w:marTop w:val="0"/>
      <w:marBottom w:val="0"/>
      <w:divBdr>
        <w:top w:val="none" w:sz="0" w:space="0" w:color="auto"/>
        <w:left w:val="none" w:sz="0" w:space="0" w:color="auto"/>
        <w:bottom w:val="none" w:sz="0" w:space="0" w:color="auto"/>
        <w:right w:val="none" w:sz="0" w:space="0" w:color="auto"/>
      </w:divBdr>
    </w:div>
    <w:div w:id="1152679359">
      <w:bodyDiv w:val="1"/>
      <w:marLeft w:val="0"/>
      <w:marRight w:val="0"/>
      <w:marTop w:val="0"/>
      <w:marBottom w:val="0"/>
      <w:divBdr>
        <w:top w:val="none" w:sz="0" w:space="0" w:color="auto"/>
        <w:left w:val="none" w:sz="0" w:space="0" w:color="auto"/>
        <w:bottom w:val="none" w:sz="0" w:space="0" w:color="auto"/>
        <w:right w:val="none" w:sz="0" w:space="0" w:color="auto"/>
      </w:divBdr>
    </w:div>
    <w:div w:id="1153253426">
      <w:bodyDiv w:val="1"/>
      <w:marLeft w:val="0"/>
      <w:marRight w:val="0"/>
      <w:marTop w:val="0"/>
      <w:marBottom w:val="0"/>
      <w:divBdr>
        <w:top w:val="none" w:sz="0" w:space="0" w:color="auto"/>
        <w:left w:val="none" w:sz="0" w:space="0" w:color="auto"/>
        <w:bottom w:val="none" w:sz="0" w:space="0" w:color="auto"/>
        <w:right w:val="none" w:sz="0" w:space="0" w:color="auto"/>
      </w:divBdr>
    </w:div>
    <w:div w:id="1153984604">
      <w:bodyDiv w:val="1"/>
      <w:marLeft w:val="0"/>
      <w:marRight w:val="0"/>
      <w:marTop w:val="0"/>
      <w:marBottom w:val="0"/>
      <w:divBdr>
        <w:top w:val="none" w:sz="0" w:space="0" w:color="auto"/>
        <w:left w:val="none" w:sz="0" w:space="0" w:color="auto"/>
        <w:bottom w:val="none" w:sz="0" w:space="0" w:color="auto"/>
        <w:right w:val="none" w:sz="0" w:space="0" w:color="auto"/>
      </w:divBdr>
    </w:div>
    <w:div w:id="1154443782">
      <w:bodyDiv w:val="1"/>
      <w:marLeft w:val="0"/>
      <w:marRight w:val="0"/>
      <w:marTop w:val="0"/>
      <w:marBottom w:val="0"/>
      <w:divBdr>
        <w:top w:val="none" w:sz="0" w:space="0" w:color="auto"/>
        <w:left w:val="none" w:sz="0" w:space="0" w:color="auto"/>
        <w:bottom w:val="none" w:sz="0" w:space="0" w:color="auto"/>
        <w:right w:val="none" w:sz="0" w:space="0" w:color="auto"/>
      </w:divBdr>
    </w:div>
    <w:div w:id="1155075055">
      <w:bodyDiv w:val="1"/>
      <w:marLeft w:val="0"/>
      <w:marRight w:val="0"/>
      <w:marTop w:val="0"/>
      <w:marBottom w:val="0"/>
      <w:divBdr>
        <w:top w:val="none" w:sz="0" w:space="0" w:color="auto"/>
        <w:left w:val="none" w:sz="0" w:space="0" w:color="auto"/>
        <w:bottom w:val="none" w:sz="0" w:space="0" w:color="auto"/>
        <w:right w:val="none" w:sz="0" w:space="0" w:color="auto"/>
      </w:divBdr>
    </w:div>
    <w:div w:id="1155334672">
      <w:bodyDiv w:val="1"/>
      <w:marLeft w:val="0"/>
      <w:marRight w:val="0"/>
      <w:marTop w:val="0"/>
      <w:marBottom w:val="0"/>
      <w:divBdr>
        <w:top w:val="none" w:sz="0" w:space="0" w:color="auto"/>
        <w:left w:val="none" w:sz="0" w:space="0" w:color="auto"/>
        <w:bottom w:val="none" w:sz="0" w:space="0" w:color="auto"/>
        <w:right w:val="none" w:sz="0" w:space="0" w:color="auto"/>
      </w:divBdr>
    </w:div>
    <w:div w:id="1155491718">
      <w:bodyDiv w:val="1"/>
      <w:marLeft w:val="0"/>
      <w:marRight w:val="0"/>
      <w:marTop w:val="0"/>
      <w:marBottom w:val="0"/>
      <w:divBdr>
        <w:top w:val="none" w:sz="0" w:space="0" w:color="auto"/>
        <w:left w:val="none" w:sz="0" w:space="0" w:color="auto"/>
        <w:bottom w:val="none" w:sz="0" w:space="0" w:color="auto"/>
        <w:right w:val="none" w:sz="0" w:space="0" w:color="auto"/>
      </w:divBdr>
    </w:div>
    <w:div w:id="1155533053">
      <w:bodyDiv w:val="1"/>
      <w:marLeft w:val="0"/>
      <w:marRight w:val="0"/>
      <w:marTop w:val="0"/>
      <w:marBottom w:val="0"/>
      <w:divBdr>
        <w:top w:val="none" w:sz="0" w:space="0" w:color="auto"/>
        <w:left w:val="none" w:sz="0" w:space="0" w:color="auto"/>
        <w:bottom w:val="none" w:sz="0" w:space="0" w:color="auto"/>
        <w:right w:val="none" w:sz="0" w:space="0" w:color="auto"/>
      </w:divBdr>
    </w:div>
    <w:div w:id="1155684069">
      <w:bodyDiv w:val="1"/>
      <w:marLeft w:val="0"/>
      <w:marRight w:val="0"/>
      <w:marTop w:val="0"/>
      <w:marBottom w:val="0"/>
      <w:divBdr>
        <w:top w:val="none" w:sz="0" w:space="0" w:color="auto"/>
        <w:left w:val="none" w:sz="0" w:space="0" w:color="auto"/>
        <w:bottom w:val="none" w:sz="0" w:space="0" w:color="auto"/>
        <w:right w:val="none" w:sz="0" w:space="0" w:color="auto"/>
      </w:divBdr>
    </w:div>
    <w:div w:id="1156804988">
      <w:bodyDiv w:val="1"/>
      <w:marLeft w:val="0"/>
      <w:marRight w:val="0"/>
      <w:marTop w:val="0"/>
      <w:marBottom w:val="0"/>
      <w:divBdr>
        <w:top w:val="none" w:sz="0" w:space="0" w:color="auto"/>
        <w:left w:val="none" w:sz="0" w:space="0" w:color="auto"/>
        <w:bottom w:val="none" w:sz="0" w:space="0" w:color="auto"/>
        <w:right w:val="none" w:sz="0" w:space="0" w:color="auto"/>
      </w:divBdr>
    </w:div>
    <w:div w:id="1156919637">
      <w:bodyDiv w:val="1"/>
      <w:marLeft w:val="0"/>
      <w:marRight w:val="0"/>
      <w:marTop w:val="0"/>
      <w:marBottom w:val="0"/>
      <w:divBdr>
        <w:top w:val="none" w:sz="0" w:space="0" w:color="auto"/>
        <w:left w:val="none" w:sz="0" w:space="0" w:color="auto"/>
        <w:bottom w:val="none" w:sz="0" w:space="0" w:color="auto"/>
        <w:right w:val="none" w:sz="0" w:space="0" w:color="auto"/>
      </w:divBdr>
    </w:div>
    <w:div w:id="1157651111">
      <w:bodyDiv w:val="1"/>
      <w:marLeft w:val="0"/>
      <w:marRight w:val="0"/>
      <w:marTop w:val="0"/>
      <w:marBottom w:val="0"/>
      <w:divBdr>
        <w:top w:val="none" w:sz="0" w:space="0" w:color="auto"/>
        <w:left w:val="none" w:sz="0" w:space="0" w:color="auto"/>
        <w:bottom w:val="none" w:sz="0" w:space="0" w:color="auto"/>
        <w:right w:val="none" w:sz="0" w:space="0" w:color="auto"/>
      </w:divBdr>
    </w:div>
    <w:div w:id="1157720714">
      <w:bodyDiv w:val="1"/>
      <w:marLeft w:val="0"/>
      <w:marRight w:val="0"/>
      <w:marTop w:val="0"/>
      <w:marBottom w:val="0"/>
      <w:divBdr>
        <w:top w:val="none" w:sz="0" w:space="0" w:color="auto"/>
        <w:left w:val="none" w:sz="0" w:space="0" w:color="auto"/>
        <w:bottom w:val="none" w:sz="0" w:space="0" w:color="auto"/>
        <w:right w:val="none" w:sz="0" w:space="0" w:color="auto"/>
      </w:divBdr>
    </w:div>
    <w:div w:id="1157771652">
      <w:bodyDiv w:val="1"/>
      <w:marLeft w:val="0"/>
      <w:marRight w:val="0"/>
      <w:marTop w:val="0"/>
      <w:marBottom w:val="0"/>
      <w:divBdr>
        <w:top w:val="none" w:sz="0" w:space="0" w:color="auto"/>
        <w:left w:val="none" w:sz="0" w:space="0" w:color="auto"/>
        <w:bottom w:val="none" w:sz="0" w:space="0" w:color="auto"/>
        <w:right w:val="none" w:sz="0" w:space="0" w:color="auto"/>
      </w:divBdr>
    </w:div>
    <w:div w:id="1159267796">
      <w:bodyDiv w:val="1"/>
      <w:marLeft w:val="0"/>
      <w:marRight w:val="0"/>
      <w:marTop w:val="0"/>
      <w:marBottom w:val="0"/>
      <w:divBdr>
        <w:top w:val="none" w:sz="0" w:space="0" w:color="auto"/>
        <w:left w:val="none" w:sz="0" w:space="0" w:color="auto"/>
        <w:bottom w:val="none" w:sz="0" w:space="0" w:color="auto"/>
        <w:right w:val="none" w:sz="0" w:space="0" w:color="auto"/>
      </w:divBdr>
    </w:div>
    <w:div w:id="1159463633">
      <w:bodyDiv w:val="1"/>
      <w:marLeft w:val="0"/>
      <w:marRight w:val="0"/>
      <w:marTop w:val="0"/>
      <w:marBottom w:val="0"/>
      <w:divBdr>
        <w:top w:val="none" w:sz="0" w:space="0" w:color="auto"/>
        <w:left w:val="none" w:sz="0" w:space="0" w:color="auto"/>
        <w:bottom w:val="none" w:sz="0" w:space="0" w:color="auto"/>
        <w:right w:val="none" w:sz="0" w:space="0" w:color="auto"/>
      </w:divBdr>
    </w:div>
    <w:div w:id="1159611692">
      <w:bodyDiv w:val="1"/>
      <w:marLeft w:val="0"/>
      <w:marRight w:val="0"/>
      <w:marTop w:val="0"/>
      <w:marBottom w:val="0"/>
      <w:divBdr>
        <w:top w:val="none" w:sz="0" w:space="0" w:color="auto"/>
        <w:left w:val="none" w:sz="0" w:space="0" w:color="auto"/>
        <w:bottom w:val="none" w:sz="0" w:space="0" w:color="auto"/>
        <w:right w:val="none" w:sz="0" w:space="0" w:color="auto"/>
      </w:divBdr>
    </w:div>
    <w:div w:id="1160081953">
      <w:bodyDiv w:val="1"/>
      <w:marLeft w:val="0"/>
      <w:marRight w:val="0"/>
      <w:marTop w:val="0"/>
      <w:marBottom w:val="0"/>
      <w:divBdr>
        <w:top w:val="none" w:sz="0" w:space="0" w:color="auto"/>
        <w:left w:val="none" w:sz="0" w:space="0" w:color="auto"/>
        <w:bottom w:val="none" w:sz="0" w:space="0" w:color="auto"/>
        <w:right w:val="none" w:sz="0" w:space="0" w:color="auto"/>
      </w:divBdr>
    </w:div>
    <w:div w:id="1160386174">
      <w:bodyDiv w:val="1"/>
      <w:marLeft w:val="0"/>
      <w:marRight w:val="0"/>
      <w:marTop w:val="0"/>
      <w:marBottom w:val="0"/>
      <w:divBdr>
        <w:top w:val="none" w:sz="0" w:space="0" w:color="auto"/>
        <w:left w:val="none" w:sz="0" w:space="0" w:color="auto"/>
        <w:bottom w:val="none" w:sz="0" w:space="0" w:color="auto"/>
        <w:right w:val="none" w:sz="0" w:space="0" w:color="auto"/>
      </w:divBdr>
    </w:div>
    <w:div w:id="1161653622">
      <w:bodyDiv w:val="1"/>
      <w:marLeft w:val="0"/>
      <w:marRight w:val="0"/>
      <w:marTop w:val="0"/>
      <w:marBottom w:val="0"/>
      <w:divBdr>
        <w:top w:val="none" w:sz="0" w:space="0" w:color="auto"/>
        <w:left w:val="none" w:sz="0" w:space="0" w:color="auto"/>
        <w:bottom w:val="none" w:sz="0" w:space="0" w:color="auto"/>
        <w:right w:val="none" w:sz="0" w:space="0" w:color="auto"/>
      </w:divBdr>
    </w:div>
    <w:div w:id="1161653900">
      <w:bodyDiv w:val="1"/>
      <w:marLeft w:val="0"/>
      <w:marRight w:val="0"/>
      <w:marTop w:val="0"/>
      <w:marBottom w:val="0"/>
      <w:divBdr>
        <w:top w:val="none" w:sz="0" w:space="0" w:color="auto"/>
        <w:left w:val="none" w:sz="0" w:space="0" w:color="auto"/>
        <w:bottom w:val="none" w:sz="0" w:space="0" w:color="auto"/>
        <w:right w:val="none" w:sz="0" w:space="0" w:color="auto"/>
      </w:divBdr>
    </w:div>
    <w:div w:id="1161894348">
      <w:bodyDiv w:val="1"/>
      <w:marLeft w:val="0"/>
      <w:marRight w:val="0"/>
      <w:marTop w:val="0"/>
      <w:marBottom w:val="0"/>
      <w:divBdr>
        <w:top w:val="none" w:sz="0" w:space="0" w:color="auto"/>
        <w:left w:val="none" w:sz="0" w:space="0" w:color="auto"/>
        <w:bottom w:val="none" w:sz="0" w:space="0" w:color="auto"/>
        <w:right w:val="none" w:sz="0" w:space="0" w:color="auto"/>
      </w:divBdr>
    </w:div>
    <w:div w:id="1162350061">
      <w:bodyDiv w:val="1"/>
      <w:marLeft w:val="0"/>
      <w:marRight w:val="0"/>
      <w:marTop w:val="0"/>
      <w:marBottom w:val="0"/>
      <w:divBdr>
        <w:top w:val="none" w:sz="0" w:space="0" w:color="auto"/>
        <w:left w:val="none" w:sz="0" w:space="0" w:color="auto"/>
        <w:bottom w:val="none" w:sz="0" w:space="0" w:color="auto"/>
        <w:right w:val="none" w:sz="0" w:space="0" w:color="auto"/>
      </w:divBdr>
    </w:div>
    <w:div w:id="1162350291">
      <w:bodyDiv w:val="1"/>
      <w:marLeft w:val="0"/>
      <w:marRight w:val="0"/>
      <w:marTop w:val="0"/>
      <w:marBottom w:val="0"/>
      <w:divBdr>
        <w:top w:val="none" w:sz="0" w:space="0" w:color="auto"/>
        <w:left w:val="none" w:sz="0" w:space="0" w:color="auto"/>
        <w:bottom w:val="none" w:sz="0" w:space="0" w:color="auto"/>
        <w:right w:val="none" w:sz="0" w:space="0" w:color="auto"/>
      </w:divBdr>
    </w:div>
    <w:div w:id="1162618322">
      <w:bodyDiv w:val="1"/>
      <w:marLeft w:val="0"/>
      <w:marRight w:val="0"/>
      <w:marTop w:val="0"/>
      <w:marBottom w:val="0"/>
      <w:divBdr>
        <w:top w:val="none" w:sz="0" w:space="0" w:color="auto"/>
        <w:left w:val="none" w:sz="0" w:space="0" w:color="auto"/>
        <w:bottom w:val="none" w:sz="0" w:space="0" w:color="auto"/>
        <w:right w:val="none" w:sz="0" w:space="0" w:color="auto"/>
      </w:divBdr>
    </w:div>
    <w:div w:id="1162887003">
      <w:bodyDiv w:val="1"/>
      <w:marLeft w:val="0"/>
      <w:marRight w:val="0"/>
      <w:marTop w:val="0"/>
      <w:marBottom w:val="0"/>
      <w:divBdr>
        <w:top w:val="none" w:sz="0" w:space="0" w:color="auto"/>
        <w:left w:val="none" w:sz="0" w:space="0" w:color="auto"/>
        <w:bottom w:val="none" w:sz="0" w:space="0" w:color="auto"/>
        <w:right w:val="none" w:sz="0" w:space="0" w:color="auto"/>
      </w:divBdr>
    </w:div>
    <w:div w:id="1163593779">
      <w:bodyDiv w:val="1"/>
      <w:marLeft w:val="0"/>
      <w:marRight w:val="0"/>
      <w:marTop w:val="0"/>
      <w:marBottom w:val="0"/>
      <w:divBdr>
        <w:top w:val="none" w:sz="0" w:space="0" w:color="auto"/>
        <w:left w:val="none" w:sz="0" w:space="0" w:color="auto"/>
        <w:bottom w:val="none" w:sz="0" w:space="0" w:color="auto"/>
        <w:right w:val="none" w:sz="0" w:space="0" w:color="auto"/>
      </w:divBdr>
    </w:div>
    <w:div w:id="1164079395">
      <w:bodyDiv w:val="1"/>
      <w:marLeft w:val="0"/>
      <w:marRight w:val="0"/>
      <w:marTop w:val="0"/>
      <w:marBottom w:val="0"/>
      <w:divBdr>
        <w:top w:val="none" w:sz="0" w:space="0" w:color="auto"/>
        <w:left w:val="none" w:sz="0" w:space="0" w:color="auto"/>
        <w:bottom w:val="none" w:sz="0" w:space="0" w:color="auto"/>
        <w:right w:val="none" w:sz="0" w:space="0" w:color="auto"/>
      </w:divBdr>
    </w:div>
    <w:div w:id="1164198238">
      <w:bodyDiv w:val="1"/>
      <w:marLeft w:val="0"/>
      <w:marRight w:val="0"/>
      <w:marTop w:val="0"/>
      <w:marBottom w:val="0"/>
      <w:divBdr>
        <w:top w:val="none" w:sz="0" w:space="0" w:color="auto"/>
        <w:left w:val="none" w:sz="0" w:space="0" w:color="auto"/>
        <w:bottom w:val="none" w:sz="0" w:space="0" w:color="auto"/>
        <w:right w:val="none" w:sz="0" w:space="0" w:color="auto"/>
      </w:divBdr>
    </w:div>
    <w:div w:id="1164321978">
      <w:bodyDiv w:val="1"/>
      <w:marLeft w:val="0"/>
      <w:marRight w:val="0"/>
      <w:marTop w:val="0"/>
      <w:marBottom w:val="0"/>
      <w:divBdr>
        <w:top w:val="none" w:sz="0" w:space="0" w:color="auto"/>
        <w:left w:val="none" w:sz="0" w:space="0" w:color="auto"/>
        <w:bottom w:val="none" w:sz="0" w:space="0" w:color="auto"/>
        <w:right w:val="none" w:sz="0" w:space="0" w:color="auto"/>
      </w:divBdr>
    </w:div>
    <w:div w:id="1164471147">
      <w:bodyDiv w:val="1"/>
      <w:marLeft w:val="0"/>
      <w:marRight w:val="0"/>
      <w:marTop w:val="0"/>
      <w:marBottom w:val="0"/>
      <w:divBdr>
        <w:top w:val="none" w:sz="0" w:space="0" w:color="auto"/>
        <w:left w:val="none" w:sz="0" w:space="0" w:color="auto"/>
        <w:bottom w:val="none" w:sz="0" w:space="0" w:color="auto"/>
        <w:right w:val="none" w:sz="0" w:space="0" w:color="auto"/>
      </w:divBdr>
    </w:div>
    <w:div w:id="1166432692">
      <w:bodyDiv w:val="1"/>
      <w:marLeft w:val="0"/>
      <w:marRight w:val="0"/>
      <w:marTop w:val="0"/>
      <w:marBottom w:val="0"/>
      <w:divBdr>
        <w:top w:val="none" w:sz="0" w:space="0" w:color="auto"/>
        <w:left w:val="none" w:sz="0" w:space="0" w:color="auto"/>
        <w:bottom w:val="none" w:sz="0" w:space="0" w:color="auto"/>
        <w:right w:val="none" w:sz="0" w:space="0" w:color="auto"/>
      </w:divBdr>
    </w:div>
    <w:div w:id="1166676486">
      <w:bodyDiv w:val="1"/>
      <w:marLeft w:val="0"/>
      <w:marRight w:val="0"/>
      <w:marTop w:val="0"/>
      <w:marBottom w:val="0"/>
      <w:divBdr>
        <w:top w:val="none" w:sz="0" w:space="0" w:color="auto"/>
        <w:left w:val="none" w:sz="0" w:space="0" w:color="auto"/>
        <w:bottom w:val="none" w:sz="0" w:space="0" w:color="auto"/>
        <w:right w:val="none" w:sz="0" w:space="0" w:color="auto"/>
      </w:divBdr>
    </w:div>
    <w:div w:id="1166941698">
      <w:bodyDiv w:val="1"/>
      <w:marLeft w:val="0"/>
      <w:marRight w:val="0"/>
      <w:marTop w:val="0"/>
      <w:marBottom w:val="0"/>
      <w:divBdr>
        <w:top w:val="none" w:sz="0" w:space="0" w:color="auto"/>
        <w:left w:val="none" w:sz="0" w:space="0" w:color="auto"/>
        <w:bottom w:val="none" w:sz="0" w:space="0" w:color="auto"/>
        <w:right w:val="none" w:sz="0" w:space="0" w:color="auto"/>
      </w:divBdr>
    </w:div>
    <w:div w:id="1167473945">
      <w:bodyDiv w:val="1"/>
      <w:marLeft w:val="0"/>
      <w:marRight w:val="0"/>
      <w:marTop w:val="0"/>
      <w:marBottom w:val="0"/>
      <w:divBdr>
        <w:top w:val="none" w:sz="0" w:space="0" w:color="auto"/>
        <w:left w:val="none" w:sz="0" w:space="0" w:color="auto"/>
        <w:bottom w:val="none" w:sz="0" w:space="0" w:color="auto"/>
        <w:right w:val="none" w:sz="0" w:space="0" w:color="auto"/>
      </w:divBdr>
    </w:div>
    <w:div w:id="1168012431">
      <w:bodyDiv w:val="1"/>
      <w:marLeft w:val="0"/>
      <w:marRight w:val="0"/>
      <w:marTop w:val="0"/>
      <w:marBottom w:val="0"/>
      <w:divBdr>
        <w:top w:val="none" w:sz="0" w:space="0" w:color="auto"/>
        <w:left w:val="none" w:sz="0" w:space="0" w:color="auto"/>
        <w:bottom w:val="none" w:sz="0" w:space="0" w:color="auto"/>
        <w:right w:val="none" w:sz="0" w:space="0" w:color="auto"/>
      </w:divBdr>
    </w:div>
    <w:div w:id="1168252339">
      <w:bodyDiv w:val="1"/>
      <w:marLeft w:val="0"/>
      <w:marRight w:val="0"/>
      <w:marTop w:val="0"/>
      <w:marBottom w:val="0"/>
      <w:divBdr>
        <w:top w:val="none" w:sz="0" w:space="0" w:color="auto"/>
        <w:left w:val="none" w:sz="0" w:space="0" w:color="auto"/>
        <w:bottom w:val="none" w:sz="0" w:space="0" w:color="auto"/>
        <w:right w:val="none" w:sz="0" w:space="0" w:color="auto"/>
      </w:divBdr>
    </w:div>
    <w:div w:id="1168448692">
      <w:bodyDiv w:val="1"/>
      <w:marLeft w:val="0"/>
      <w:marRight w:val="0"/>
      <w:marTop w:val="0"/>
      <w:marBottom w:val="0"/>
      <w:divBdr>
        <w:top w:val="none" w:sz="0" w:space="0" w:color="auto"/>
        <w:left w:val="none" w:sz="0" w:space="0" w:color="auto"/>
        <w:bottom w:val="none" w:sz="0" w:space="0" w:color="auto"/>
        <w:right w:val="none" w:sz="0" w:space="0" w:color="auto"/>
      </w:divBdr>
    </w:div>
    <w:div w:id="1169171194">
      <w:bodyDiv w:val="1"/>
      <w:marLeft w:val="0"/>
      <w:marRight w:val="0"/>
      <w:marTop w:val="0"/>
      <w:marBottom w:val="0"/>
      <w:divBdr>
        <w:top w:val="none" w:sz="0" w:space="0" w:color="auto"/>
        <w:left w:val="none" w:sz="0" w:space="0" w:color="auto"/>
        <w:bottom w:val="none" w:sz="0" w:space="0" w:color="auto"/>
        <w:right w:val="none" w:sz="0" w:space="0" w:color="auto"/>
      </w:divBdr>
    </w:div>
    <w:div w:id="1169832912">
      <w:bodyDiv w:val="1"/>
      <w:marLeft w:val="0"/>
      <w:marRight w:val="0"/>
      <w:marTop w:val="0"/>
      <w:marBottom w:val="0"/>
      <w:divBdr>
        <w:top w:val="none" w:sz="0" w:space="0" w:color="auto"/>
        <w:left w:val="none" w:sz="0" w:space="0" w:color="auto"/>
        <w:bottom w:val="none" w:sz="0" w:space="0" w:color="auto"/>
        <w:right w:val="none" w:sz="0" w:space="0" w:color="auto"/>
      </w:divBdr>
    </w:div>
    <w:div w:id="1169910491">
      <w:bodyDiv w:val="1"/>
      <w:marLeft w:val="0"/>
      <w:marRight w:val="0"/>
      <w:marTop w:val="0"/>
      <w:marBottom w:val="0"/>
      <w:divBdr>
        <w:top w:val="none" w:sz="0" w:space="0" w:color="auto"/>
        <w:left w:val="none" w:sz="0" w:space="0" w:color="auto"/>
        <w:bottom w:val="none" w:sz="0" w:space="0" w:color="auto"/>
        <w:right w:val="none" w:sz="0" w:space="0" w:color="auto"/>
      </w:divBdr>
    </w:div>
    <w:div w:id="1170175264">
      <w:bodyDiv w:val="1"/>
      <w:marLeft w:val="0"/>
      <w:marRight w:val="0"/>
      <w:marTop w:val="0"/>
      <w:marBottom w:val="0"/>
      <w:divBdr>
        <w:top w:val="none" w:sz="0" w:space="0" w:color="auto"/>
        <w:left w:val="none" w:sz="0" w:space="0" w:color="auto"/>
        <w:bottom w:val="none" w:sz="0" w:space="0" w:color="auto"/>
        <w:right w:val="none" w:sz="0" w:space="0" w:color="auto"/>
      </w:divBdr>
    </w:div>
    <w:div w:id="1170218963">
      <w:bodyDiv w:val="1"/>
      <w:marLeft w:val="0"/>
      <w:marRight w:val="0"/>
      <w:marTop w:val="0"/>
      <w:marBottom w:val="0"/>
      <w:divBdr>
        <w:top w:val="none" w:sz="0" w:space="0" w:color="auto"/>
        <w:left w:val="none" w:sz="0" w:space="0" w:color="auto"/>
        <w:bottom w:val="none" w:sz="0" w:space="0" w:color="auto"/>
        <w:right w:val="none" w:sz="0" w:space="0" w:color="auto"/>
      </w:divBdr>
    </w:div>
    <w:div w:id="1170369048">
      <w:bodyDiv w:val="1"/>
      <w:marLeft w:val="0"/>
      <w:marRight w:val="0"/>
      <w:marTop w:val="0"/>
      <w:marBottom w:val="0"/>
      <w:divBdr>
        <w:top w:val="none" w:sz="0" w:space="0" w:color="auto"/>
        <w:left w:val="none" w:sz="0" w:space="0" w:color="auto"/>
        <w:bottom w:val="none" w:sz="0" w:space="0" w:color="auto"/>
        <w:right w:val="none" w:sz="0" w:space="0" w:color="auto"/>
      </w:divBdr>
    </w:div>
    <w:div w:id="1171142012">
      <w:bodyDiv w:val="1"/>
      <w:marLeft w:val="0"/>
      <w:marRight w:val="0"/>
      <w:marTop w:val="0"/>
      <w:marBottom w:val="0"/>
      <w:divBdr>
        <w:top w:val="none" w:sz="0" w:space="0" w:color="auto"/>
        <w:left w:val="none" w:sz="0" w:space="0" w:color="auto"/>
        <w:bottom w:val="none" w:sz="0" w:space="0" w:color="auto"/>
        <w:right w:val="none" w:sz="0" w:space="0" w:color="auto"/>
      </w:divBdr>
    </w:div>
    <w:div w:id="1171675040">
      <w:bodyDiv w:val="1"/>
      <w:marLeft w:val="0"/>
      <w:marRight w:val="0"/>
      <w:marTop w:val="0"/>
      <w:marBottom w:val="0"/>
      <w:divBdr>
        <w:top w:val="none" w:sz="0" w:space="0" w:color="auto"/>
        <w:left w:val="none" w:sz="0" w:space="0" w:color="auto"/>
        <w:bottom w:val="none" w:sz="0" w:space="0" w:color="auto"/>
        <w:right w:val="none" w:sz="0" w:space="0" w:color="auto"/>
      </w:divBdr>
    </w:div>
    <w:div w:id="1171869629">
      <w:bodyDiv w:val="1"/>
      <w:marLeft w:val="0"/>
      <w:marRight w:val="0"/>
      <w:marTop w:val="0"/>
      <w:marBottom w:val="0"/>
      <w:divBdr>
        <w:top w:val="none" w:sz="0" w:space="0" w:color="auto"/>
        <w:left w:val="none" w:sz="0" w:space="0" w:color="auto"/>
        <w:bottom w:val="none" w:sz="0" w:space="0" w:color="auto"/>
        <w:right w:val="none" w:sz="0" w:space="0" w:color="auto"/>
      </w:divBdr>
    </w:div>
    <w:div w:id="1172065776">
      <w:bodyDiv w:val="1"/>
      <w:marLeft w:val="0"/>
      <w:marRight w:val="0"/>
      <w:marTop w:val="0"/>
      <w:marBottom w:val="0"/>
      <w:divBdr>
        <w:top w:val="none" w:sz="0" w:space="0" w:color="auto"/>
        <w:left w:val="none" w:sz="0" w:space="0" w:color="auto"/>
        <w:bottom w:val="none" w:sz="0" w:space="0" w:color="auto"/>
        <w:right w:val="none" w:sz="0" w:space="0" w:color="auto"/>
      </w:divBdr>
    </w:div>
    <w:div w:id="1172649910">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173030997">
      <w:bodyDiv w:val="1"/>
      <w:marLeft w:val="0"/>
      <w:marRight w:val="0"/>
      <w:marTop w:val="0"/>
      <w:marBottom w:val="0"/>
      <w:divBdr>
        <w:top w:val="none" w:sz="0" w:space="0" w:color="auto"/>
        <w:left w:val="none" w:sz="0" w:space="0" w:color="auto"/>
        <w:bottom w:val="none" w:sz="0" w:space="0" w:color="auto"/>
        <w:right w:val="none" w:sz="0" w:space="0" w:color="auto"/>
      </w:divBdr>
    </w:div>
    <w:div w:id="1173957863">
      <w:bodyDiv w:val="1"/>
      <w:marLeft w:val="0"/>
      <w:marRight w:val="0"/>
      <w:marTop w:val="0"/>
      <w:marBottom w:val="0"/>
      <w:divBdr>
        <w:top w:val="none" w:sz="0" w:space="0" w:color="auto"/>
        <w:left w:val="none" w:sz="0" w:space="0" w:color="auto"/>
        <w:bottom w:val="none" w:sz="0" w:space="0" w:color="auto"/>
        <w:right w:val="none" w:sz="0" w:space="0" w:color="auto"/>
      </w:divBdr>
    </w:div>
    <w:div w:id="1174959374">
      <w:bodyDiv w:val="1"/>
      <w:marLeft w:val="0"/>
      <w:marRight w:val="0"/>
      <w:marTop w:val="0"/>
      <w:marBottom w:val="0"/>
      <w:divBdr>
        <w:top w:val="none" w:sz="0" w:space="0" w:color="auto"/>
        <w:left w:val="none" w:sz="0" w:space="0" w:color="auto"/>
        <w:bottom w:val="none" w:sz="0" w:space="0" w:color="auto"/>
        <w:right w:val="none" w:sz="0" w:space="0" w:color="auto"/>
      </w:divBdr>
    </w:div>
    <w:div w:id="1174996311">
      <w:bodyDiv w:val="1"/>
      <w:marLeft w:val="0"/>
      <w:marRight w:val="0"/>
      <w:marTop w:val="0"/>
      <w:marBottom w:val="0"/>
      <w:divBdr>
        <w:top w:val="none" w:sz="0" w:space="0" w:color="auto"/>
        <w:left w:val="none" w:sz="0" w:space="0" w:color="auto"/>
        <w:bottom w:val="none" w:sz="0" w:space="0" w:color="auto"/>
        <w:right w:val="none" w:sz="0" w:space="0" w:color="auto"/>
      </w:divBdr>
    </w:div>
    <w:div w:id="1175026560">
      <w:bodyDiv w:val="1"/>
      <w:marLeft w:val="0"/>
      <w:marRight w:val="0"/>
      <w:marTop w:val="0"/>
      <w:marBottom w:val="0"/>
      <w:divBdr>
        <w:top w:val="none" w:sz="0" w:space="0" w:color="auto"/>
        <w:left w:val="none" w:sz="0" w:space="0" w:color="auto"/>
        <w:bottom w:val="none" w:sz="0" w:space="0" w:color="auto"/>
        <w:right w:val="none" w:sz="0" w:space="0" w:color="auto"/>
      </w:divBdr>
    </w:div>
    <w:div w:id="1175458491">
      <w:bodyDiv w:val="1"/>
      <w:marLeft w:val="0"/>
      <w:marRight w:val="0"/>
      <w:marTop w:val="0"/>
      <w:marBottom w:val="0"/>
      <w:divBdr>
        <w:top w:val="none" w:sz="0" w:space="0" w:color="auto"/>
        <w:left w:val="none" w:sz="0" w:space="0" w:color="auto"/>
        <w:bottom w:val="none" w:sz="0" w:space="0" w:color="auto"/>
        <w:right w:val="none" w:sz="0" w:space="0" w:color="auto"/>
      </w:divBdr>
    </w:div>
    <w:div w:id="1176578417">
      <w:bodyDiv w:val="1"/>
      <w:marLeft w:val="0"/>
      <w:marRight w:val="0"/>
      <w:marTop w:val="0"/>
      <w:marBottom w:val="0"/>
      <w:divBdr>
        <w:top w:val="none" w:sz="0" w:space="0" w:color="auto"/>
        <w:left w:val="none" w:sz="0" w:space="0" w:color="auto"/>
        <w:bottom w:val="none" w:sz="0" w:space="0" w:color="auto"/>
        <w:right w:val="none" w:sz="0" w:space="0" w:color="auto"/>
      </w:divBdr>
    </w:div>
    <w:div w:id="1176650534">
      <w:bodyDiv w:val="1"/>
      <w:marLeft w:val="0"/>
      <w:marRight w:val="0"/>
      <w:marTop w:val="0"/>
      <w:marBottom w:val="0"/>
      <w:divBdr>
        <w:top w:val="none" w:sz="0" w:space="0" w:color="auto"/>
        <w:left w:val="none" w:sz="0" w:space="0" w:color="auto"/>
        <w:bottom w:val="none" w:sz="0" w:space="0" w:color="auto"/>
        <w:right w:val="none" w:sz="0" w:space="0" w:color="auto"/>
      </w:divBdr>
    </w:div>
    <w:div w:id="1176724052">
      <w:bodyDiv w:val="1"/>
      <w:marLeft w:val="0"/>
      <w:marRight w:val="0"/>
      <w:marTop w:val="0"/>
      <w:marBottom w:val="0"/>
      <w:divBdr>
        <w:top w:val="none" w:sz="0" w:space="0" w:color="auto"/>
        <w:left w:val="none" w:sz="0" w:space="0" w:color="auto"/>
        <w:bottom w:val="none" w:sz="0" w:space="0" w:color="auto"/>
        <w:right w:val="none" w:sz="0" w:space="0" w:color="auto"/>
      </w:divBdr>
    </w:div>
    <w:div w:id="1177378521">
      <w:bodyDiv w:val="1"/>
      <w:marLeft w:val="0"/>
      <w:marRight w:val="0"/>
      <w:marTop w:val="0"/>
      <w:marBottom w:val="0"/>
      <w:divBdr>
        <w:top w:val="none" w:sz="0" w:space="0" w:color="auto"/>
        <w:left w:val="none" w:sz="0" w:space="0" w:color="auto"/>
        <w:bottom w:val="none" w:sz="0" w:space="0" w:color="auto"/>
        <w:right w:val="none" w:sz="0" w:space="0" w:color="auto"/>
      </w:divBdr>
    </w:div>
    <w:div w:id="1178500118">
      <w:bodyDiv w:val="1"/>
      <w:marLeft w:val="0"/>
      <w:marRight w:val="0"/>
      <w:marTop w:val="0"/>
      <w:marBottom w:val="0"/>
      <w:divBdr>
        <w:top w:val="none" w:sz="0" w:space="0" w:color="auto"/>
        <w:left w:val="none" w:sz="0" w:space="0" w:color="auto"/>
        <w:bottom w:val="none" w:sz="0" w:space="0" w:color="auto"/>
        <w:right w:val="none" w:sz="0" w:space="0" w:color="auto"/>
      </w:divBdr>
    </w:div>
    <w:div w:id="1178617771">
      <w:bodyDiv w:val="1"/>
      <w:marLeft w:val="0"/>
      <w:marRight w:val="0"/>
      <w:marTop w:val="0"/>
      <w:marBottom w:val="0"/>
      <w:divBdr>
        <w:top w:val="none" w:sz="0" w:space="0" w:color="auto"/>
        <w:left w:val="none" w:sz="0" w:space="0" w:color="auto"/>
        <w:bottom w:val="none" w:sz="0" w:space="0" w:color="auto"/>
        <w:right w:val="none" w:sz="0" w:space="0" w:color="auto"/>
      </w:divBdr>
    </w:div>
    <w:div w:id="1178739997">
      <w:bodyDiv w:val="1"/>
      <w:marLeft w:val="0"/>
      <w:marRight w:val="0"/>
      <w:marTop w:val="0"/>
      <w:marBottom w:val="0"/>
      <w:divBdr>
        <w:top w:val="none" w:sz="0" w:space="0" w:color="auto"/>
        <w:left w:val="none" w:sz="0" w:space="0" w:color="auto"/>
        <w:bottom w:val="none" w:sz="0" w:space="0" w:color="auto"/>
        <w:right w:val="none" w:sz="0" w:space="0" w:color="auto"/>
      </w:divBdr>
    </w:div>
    <w:div w:id="1178957501">
      <w:bodyDiv w:val="1"/>
      <w:marLeft w:val="0"/>
      <w:marRight w:val="0"/>
      <w:marTop w:val="0"/>
      <w:marBottom w:val="0"/>
      <w:divBdr>
        <w:top w:val="none" w:sz="0" w:space="0" w:color="auto"/>
        <w:left w:val="none" w:sz="0" w:space="0" w:color="auto"/>
        <w:bottom w:val="none" w:sz="0" w:space="0" w:color="auto"/>
        <w:right w:val="none" w:sz="0" w:space="0" w:color="auto"/>
      </w:divBdr>
    </w:div>
    <w:div w:id="1179008886">
      <w:bodyDiv w:val="1"/>
      <w:marLeft w:val="0"/>
      <w:marRight w:val="0"/>
      <w:marTop w:val="0"/>
      <w:marBottom w:val="0"/>
      <w:divBdr>
        <w:top w:val="none" w:sz="0" w:space="0" w:color="auto"/>
        <w:left w:val="none" w:sz="0" w:space="0" w:color="auto"/>
        <w:bottom w:val="none" w:sz="0" w:space="0" w:color="auto"/>
        <w:right w:val="none" w:sz="0" w:space="0" w:color="auto"/>
      </w:divBdr>
    </w:div>
    <w:div w:id="1179270954">
      <w:bodyDiv w:val="1"/>
      <w:marLeft w:val="0"/>
      <w:marRight w:val="0"/>
      <w:marTop w:val="0"/>
      <w:marBottom w:val="0"/>
      <w:divBdr>
        <w:top w:val="none" w:sz="0" w:space="0" w:color="auto"/>
        <w:left w:val="none" w:sz="0" w:space="0" w:color="auto"/>
        <w:bottom w:val="none" w:sz="0" w:space="0" w:color="auto"/>
        <w:right w:val="none" w:sz="0" w:space="0" w:color="auto"/>
      </w:divBdr>
    </w:div>
    <w:div w:id="1179586314">
      <w:bodyDiv w:val="1"/>
      <w:marLeft w:val="0"/>
      <w:marRight w:val="0"/>
      <w:marTop w:val="0"/>
      <w:marBottom w:val="0"/>
      <w:divBdr>
        <w:top w:val="none" w:sz="0" w:space="0" w:color="auto"/>
        <w:left w:val="none" w:sz="0" w:space="0" w:color="auto"/>
        <w:bottom w:val="none" w:sz="0" w:space="0" w:color="auto"/>
        <w:right w:val="none" w:sz="0" w:space="0" w:color="auto"/>
      </w:divBdr>
    </w:div>
    <w:div w:id="1180856033">
      <w:bodyDiv w:val="1"/>
      <w:marLeft w:val="0"/>
      <w:marRight w:val="0"/>
      <w:marTop w:val="0"/>
      <w:marBottom w:val="0"/>
      <w:divBdr>
        <w:top w:val="none" w:sz="0" w:space="0" w:color="auto"/>
        <w:left w:val="none" w:sz="0" w:space="0" w:color="auto"/>
        <w:bottom w:val="none" w:sz="0" w:space="0" w:color="auto"/>
        <w:right w:val="none" w:sz="0" w:space="0" w:color="auto"/>
      </w:divBdr>
    </w:div>
    <w:div w:id="1180923553">
      <w:bodyDiv w:val="1"/>
      <w:marLeft w:val="0"/>
      <w:marRight w:val="0"/>
      <w:marTop w:val="0"/>
      <w:marBottom w:val="0"/>
      <w:divBdr>
        <w:top w:val="none" w:sz="0" w:space="0" w:color="auto"/>
        <w:left w:val="none" w:sz="0" w:space="0" w:color="auto"/>
        <w:bottom w:val="none" w:sz="0" w:space="0" w:color="auto"/>
        <w:right w:val="none" w:sz="0" w:space="0" w:color="auto"/>
      </w:divBdr>
    </w:div>
    <w:div w:id="1181168296">
      <w:bodyDiv w:val="1"/>
      <w:marLeft w:val="0"/>
      <w:marRight w:val="0"/>
      <w:marTop w:val="0"/>
      <w:marBottom w:val="0"/>
      <w:divBdr>
        <w:top w:val="none" w:sz="0" w:space="0" w:color="auto"/>
        <w:left w:val="none" w:sz="0" w:space="0" w:color="auto"/>
        <w:bottom w:val="none" w:sz="0" w:space="0" w:color="auto"/>
        <w:right w:val="none" w:sz="0" w:space="0" w:color="auto"/>
      </w:divBdr>
    </w:div>
    <w:div w:id="1181428648">
      <w:bodyDiv w:val="1"/>
      <w:marLeft w:val="0"/>
      <w:marRight w:val="0"/>
      <w:marTop w:val="0"/>
      <w:marBottom w:val="0"/>
      <w:divBdr>
        <w:top w:val="none" w:sz="0" w:space="0" w:color="auto"/>
        <w:left w:val="none" w:sz="0" w:space="0" w:color="auto"/>
        <w:bottom w:val="none" w:sz="0" w:space="0" w:color="auto"/>
        <w:right w:val="none" w:sz="0" w:space="0" w:color="auto"/>
      </w:divBdr>
    </w:div>
    <w:div w:id="1181511259">
      <w:bodyDiv w:val="1"/>
      <w:marLeft w:val="0"/>
      <w:marRight w:val="0"/>
      <w:marTop w:val="0"/>
      <w:marBottom w:val="0"/>
      <w:divBdr>
        <w:top w:val="none" w:sz="0" w:space="0" w:color="auto"/>
        <w:left w:val="none" w:sz="0" w:space="0" w:color="auto"/>
        <w:bottom w:val="none" w:sz="0" w:space="0" w:color="auto"/>
        <w:right w:val="none" w:sz="0" w:space="0" w:color="auto"/>
      </w:divBdr>
    </w:div>
    <w:div w:id="1181704511">
      <w:bodyDiv w:val="1"/>
      <w:marLeft w:val="0"/>
      <w:marRight w:val="0"/>
      <w:marTop w:val="0"/>
      <w:marBottom w:val="0"/>
      <w:divBdr>
        <w:top w:val="none" w:sz="0" w:space="0" w:color="auto"/>
        <w:left w:val="none" w:sz="0" w:space="0" w:color="auto"/>
        <w:bottom w:val="none" w:sz="0" w:space="0" w:color="auto"/>
        <w:right w:val="none" w:sz="0" w:space="0" w:color="auto"/>
      </w:divBdr>
    </w:div>
    <w:div w:id="1181745768">
      <w:bodyDiv w:val="1"/>
      <w:marLeft w:val="0"/>
      <w:marRight w:val="0"/>
      <w:marTop w:val="0"/>
      <w:marBottom w:val="0"/>
      <w:divBdr>
        <w:top w:val="none" w:sz="0" w:space="0" w:color="auto"/>
        <w:left w:val="none" w:sz="0" w:space="0" w:color="auto"/>
        <w:bottom w:val="none" w:sz="0" w:space="0" w:color="auto"/>
        <w:right w:val="none" w:sz="0" w:space="0" w:color="auto"/>
      </w:divBdr>
    </w:div>
    <w:div w:id="1181890220">
      <w:bodyDiv w:val="1"/>
      <w:marLeft w:val="0"/>
      <w:marRight w:val="0"/>
      <w:marTop w:val="0"/>
      <w:marBottom w:val="0"/>
      <w:divBdr>
        <w:top w:val="none" w:sz="0" w:space="0" w:color="auto"/>
        <w:left w:val="none" w:sz="0" w:space="0" w:color="auto"/>
        <w:bottom w:val="none" w:sz="0" w:space="0" w:color="auto"/>
        <w:right w:val="none" w:sz="0" w:space="0" w:color="auto"/>
      </w:divBdr>
    </w:div>
    <w:div w:id="1182089701">
      <w:bodyDiv w:val="1"/>
      <w:marLeft w:val="0"/>
      <w:marRight w:val="0"/>
      <w:marTop w:val="0"/>
      <w:marBottom w:val="0"/>
      <w:divBdr>
        <w:top w:val="none" w:sz="0" w:space="0" w:color="auto"/>
        <w:left w:val="none" w:sz="0" w:space="0" w:color="auto"/>
        <w:bottom w:val="none" w:sz="0" w:space="0" w:color="auto"/>
        <w:right w:val="none" w:sz="0" w:space="0" w:color="auto"/>
      </w:divBdr>
    </w:div>
    <w:div w:id="1182281587">
      <w:bodyDiv w:val="1"/>
      <w:marLeft w:val="0"/>
      <w:marRight w:val="0"/>
      <w:marTop w:val="0"/>
      <w:marBottom w:val="0"/>
      <w:divBdr>
        <w:top w:val="none" w:sz="0" w:space="0" w:color="auto"/>
        <w:left w:val="none" w:sz="0" w:space="0" w:color="auto"/>
        <w:bottom w:val="none" w:sz="0" w:space="0" w:color="auto"/>
        <w:right w:val="none" w:sz="0" w:space="0" w:color="auto"/>
      </w:divBdr>
    </w:div>
    <w:div w:id="1182284163">
      <w:bodyDiv w:val="1"/>
      <w:marLeft w:val="0"/>
      <w:marRight w:val="0"/>
      <w:marTop w:val="0"/>
      <w:marBottom w:val="0"/>
      <w:divBdr>
        <w:top w:val="none" w:sz="0" w:space="0" w:color="auto"/>
        <w:left w:val="none" w:sz="0" w:space="0" w:color="auto"/>
        <w:bottom w:val="none" w:sz="0" w:space="0" w:color="auto"/>
        <w:right w:val="none" w:sz="0" w:space="0" w:color="auto"/>
      </w:divBdr>
    </w:div>
    <w:div w:id="1182356113">
      <w:bodyDiv w:val="1"/>
      <w:marLeft w:val="0"/>
      <w:marRight w:val="0"/>
      <w:marTop w:val="0"/>
      <w:marBottom w:val="0"/>
      <w:divBdr>
        <w:top w:val="none" w:sz="0" w:space="0" w:color="auto"/>
        <w:left w:val="none" w:sz="0" w:space="0" w:color="auto"/>
        <w:bottom w:val="none" w:sz="0" w:space="0" w:color="auto"/>
        <w:right w:val="none" w:sz="0" w:space="0" w:color="auto"/>
      </w:divBdr>
    </w:div>
    <w:div w:id="1182428246">
      <w:bodyDiv w:val="1"/>
      <w:marLeft w:val="0"/>
      <w:marRight w:val="0"/>
      <w:marTop w:val="0"/>
      <w:marBottom w:val="0"/>
      <w:divBdr>
        <w:top w:val="none" w:sz="0" w:space="0" w:color="auto"/>
        <w:left w:val="none" w:sz="0" w:space="0" w:color="auto"/>
        <w:bottom w:val="none" w:sz="0" w:space="0" w:color="auto"/>
        <w:right w:val="none" w:sz="0" w:space="0" w:color="auto"/>
      </w:divBdr>
    </w:div>
    <w:div w:id="1183516240">
      <w:bodyDiv w:val="1"/>
      <w:marLeft w:val="0"/>
      <w:marRight w:val="0"/>
      <w:marTop w:val="0"/>
      <w:marBottom w:val="0"/>
      <w:divBdr>
        <w:top w:val="none" w:sz="0" w:space="0" w:color="auto"/>
        <w:left w:val="none" w:sz="0" w:space="0" w:color="auto"/>
        <w:bottom w:val="none" w:sz="0" w:space="0" w:color="auto"/>
        <w:right w:val="none" w:sz="0" w:space="0" w:color="auto"/>
      </w:divBdr>
    </w:div>
    <w:div w:id="1183781231">
      <w:bodyDiv w:val="1"/>
      <w:marLeft w:val="0"/>
      <w:marRight w:val="0"/>
      <w:marTop w:val="0"/>
      <w:marBottom w:val="0"/>
      <w:divBdr>
        <w:top w:val="none" w:sz="0" w:space="0" w:color="auto"/>
        <w:left w:val="none" w:sz="0" w:space="0" w:color="auto"/>
        <w:bottom w:val="none" w:sz="0" w:space="0" w:color="auto"/>
        <w:right w:val="none" w:sz="0" w:space="0" w:color="auto"/>
      </w:divBdr>
    </w:div>
    <w:div w:id="1183864251">
      <w:bodyDiv w:val="1"/>
      <w:marLeft w:val="0"/>
      <w:marRight w:val="0"/>
      <w:marTop w:val="0"/>
      <w:marBottom w:val="0"/>
      <w:divBdr>
        <w:top w:val="none" w:sz="0" w:space="0" w:color="auto"/>
        <w:left w:val="none" w:sz="0" w:space="0" w:color="auto"/>
        <w:bottom w:val="none" w:sz="0" w:space="0" w:color="auto"/>
        <w:right w:val="none" w:sz="0" w:space="0" w:color="auto"/>
      </w:divBdr>
    </w:div>
    <w:div w:id="1184782258">
      <w:bodyDiv w:val="1"/>
      <w:marLeft w:val="0"/>
      <w:marRight w:val="0"/>
      <w:marTop w:val="0"/>
      <w:marBottom w:val="0"/>
      <w:divBdr>
        <w:top w:val="none" w:sz="0" w:space="0" w:color="auto"/>
        <w:left w:val="none" w:sz="0" w:space="0" w:color="auto"/>
        <w:bottom w:val="none" w:sz="0" w:space="0" w:color="auto"/>
        <w:right w:val="none" w:sz="0" w:space="0" w:color="auto"/>
      </w:divBdr>
    </w:div>
    <w:div w:id="1184788692">
      <w:bodyDiv w:val="1"/>
      <w:marLeft w:val="0"/>
      <w:marRight w:val="0"/>
      <w:marTop w:val="0"/>
      <w:marBottom w:val="0"/>
      <w:divBdr>
        <w:top w:val="none" w:sz="0" w:space="0" w:color="auto"/>
        <w:left w:val="none" w:sz="0" w:space="0" w:color="auto"/>
        <w:bottom w:val="none" w:sz="0" w:space="0" w:color="auto"/>
        <w:right w:val="none" w:sz="0" w:space="0" w:color="auto"/>
      </w:divBdr>
    </w:div>
    <w:div w:id="1184828074">
      <w:bodyDiv w:val="1"/>
      <w:marLeft w:val="0"/>
      <w:marRight w:val="0"/>
      <w:marTop w:val="0"/>
      <w:marBottom w:val="0"/>
      <w:divBdr>
        <w:top w:val="none" w:sz="0" w:space="0" w:color="auto"/>
        <w:left w:val="none" w:sz="0" w:space="0" w:color="auto"/>
        <w:bottom w:val="none" w:sz="0" w:space="0" w:color="auto"/>
        <w:right w:val="none" w:sz="0" w:space="0" w:color="auto"/>
      </w:divBdr>
    </w:div>
    <w:div w:id="1185168144">
      <w:bodyDiv w:val="1"/>
      <w:marLeft w:val="0"/>
      <w:marRight w:val="0"/>
      <w:marTop w:val="0"/>
      <w:marBottom w:val="0"/>
      <w:divBdr>
        <w:top w:val="none" w:sz="0" w:space="0" w:color="auto"/>
        <w:left w:val="none" w:sz="0" w:space="0" w:color="auto"/>
        <w:bottom w:val="none" w:sz="0" w:space="0" w:color="auto"/>
        <w:right w:val="none" w:sz="0" w:space="0" w:color="auto"/>
      </w:divBdr>
    </w:div>
    <w:div w:id="1185174997">
      <w:bodyDiv w:val="1"/>
      <w:marLeft w:val="0"/>
      <w:marRight w:val="0"/>
      <w:marTop w:val="0"/>
      <w:marBottom w:val="0"/>
      <w:divBdr>
        <w:top w:val="none" w:sz="0" w:space="0" w:color="auto"/>
        <w:left w:val="none" w:sz="0" w:space="0" w:color="auto"/>
        <w:bottom w:val="none" w:sz="0" w:space="0" w:color="auto"/>
        <w:right w:val="none" w:sz="0" w:space="0" w:color="auto"/>
      </w:divBdr>
    </w:div>
    <w:div w:id="1185941262">
      <w:bodyDiv w:val="1"/>
      <w:marLeft w:val="0"/>
      <w:marRight w:val="0"/>
      <w:marTop w:val="0"/>
      <w:marBottom w:val="0"/>
      <w:divBdr>
        <w:top w:val="none" w:sz="0" w:space="0" w:color="auto"/>
        <w:left w:val="none" w:sz="0" w:space="0" w:color="auto"/>
        <w:bottom w:val="none" w:sz="0" w:space="0" w:color="auto"/>
        <w:right w:val="none" w:sz="0" w:space="0" w:color="auto"/>
      </w:divBdr>
    </w:div>
    <w:div w:id="1186480134">
      <w:bodyDiv w:val="1"/>
      <w:marLeft w:val="0"/>
      <w:marRight w:val="0"/>
      <w:marTop w:val="0"/>
      <w:marBottom w:val="0"/>
      <w:divBdr>
        <w:top w:val="none" w:sz="0" w:space="0" w:color="auto"/>
        <w:left w:val="none" w:sz="0" w:space="0" w:color="auto"/>
        <w:bottom w:val="none" w:sz="0" w:space="0" w:color="auto"/>
        <w:right w:val="none" w:sz="0" w:space="0" w:color="auto"/>
      </w:divBdr>
    </w:div>
    <w:div w:id="1186868727">
      <w:bodyDiv w:val="1"/>
      <w:marLeft w:val="0"/>
      <w:marRight w:val="0"/>
      <w:marTop w:val="0"/>
      <w:marBottom w:val="0"/>
      <w:divBdr>
        <w:top w:val="none" w:sz="0" w:space="0" w:color="auto"/>
        <w:left w:val="none" w:sz="0" w:space="0" w:color="auto"/>
        <w:bottom w:val="none" w:sz="0" w:space="0" w:color="auto"/>
        <w:right w:val="none" w:sz="0" w:space="0" w:color="auto"/>
      </w:divBdr>
    </w:div>
    <w:div w:id="1186940335">
      <w:bodyDiv w:val="1"/>
      <w:marLeft w:val="0"/>
      <w:marRight w:val="0"/>
      <w:marTop w:val="0"/>
      <w:marBottom w:val="0"/>
      <w:divBdr>
        <w:top w:val="none" w:sz="0" w:space="0" w:color="auto"/>
        <w:left w:val="none" w:sz="0" w:space="0" w:color="auto"/>
        <w:bottom w:val="none" w:sz="0" w:space="0" w:color="auto"/>
        <w:right w:val="none" w:sz="0" w:space="0" w:color="auto"/>
      </w:divBdr>
    </w:div>
    <w:div w:id="1187329305">
      <w:bodyDiv w:val="1"/>
      <w:marLeft w:val="0"/>
      <w:marRight w:val="0"/>
      <w:marTop w:val="0"/>
      <w:marBottom w:val="0"/>
      <w:divBdr>
        <w:top w:val="none" w:sz="0" w:space="0" w:color="auto"/>
        <w:left w:val="none" w:sz="0" w:space="0" w:color="auto"/>
        <w:bottom w:val="none" w:sz="0" w:space="0" w:color="auto"/>
        <w:right w:val="none" w:sz="0" w:space="0" w:color="auto"/>
      </w:divBdr>
    </w:div>
    <w:div w:id="1187408576">
      <w:bodyDiv w:val="1"/>
      <w:marLeft w:val="0"/>
      <w:marRight w:val="0"/>
      <w:marTop w:val="0"/>
      <w:marBottom w:val="0"/>
      <w:divBdr>
        <w:top w:val="none" w:sz="0" w:space="0" w:color="auto"/>
        <w:left w:val="none" w:sz="0" w:space="0" w:color="auto"/>
        <w:bottom w:val="none" w:sz="0" w:space="0" w:color="auto"/>
        <w:right w:val="none" w:sz="0" w:space="0" w:color="auto"/>
      </w:divBdr>
    </w:div>
    <w:div w:id="1187595127">
      <w:bodyDiv w:val="1"/>
      <w:marLeft w:val="0"/>
      <w:marRight w:val="0"/>
      <w:marTop w:val="0"/>
      <w:marBottom w:val="0"/>
      <w:divBdr>
        <w:top w:val="none" w:sz="0" w:space="0" w:color="auto"/>
        <w:left w:val="none" w:sz="0" w:space="0" w:color="auto"/>
        <w:bottom w:val="none" w:sz="0" w:space="0" w:color="auto"/>
        <w:right w:val="none" w:sz="0" w:space="0" w:color="auto"/>
      </w:divBdr>
    </w:div>
    <w:div w:id="1187788527">
      <w:bodyDiv w:val="1"/>
      <w:marLeft w:val="0"/>
      <w:marRight w:val="0"/>
      <w:marTop w:val="0"/>
      <w:marBottom w:val="0"/>
      <w:divBdr>
        <w:top w:val="none" w:sz="0" w:space="0" w:color="auto"/>
        <w:left w:val="none" w:sz="0" w:space="0" w:color="auto"/>
        <w:bottom w:val="none" w:sz="0" w:space="0" w:color="auto"/>
        <w:right w:val="none" w:sz="0" w:space="0" w:color="auto"/>
      </w:divBdr>
    </w:div>
    <w:div w:id="1187870452">
      <w:bodyDiv w:val="1"/>
      <w:marLeft w:val="0"/>
      <w:marRight w:val="0"/>
      <w:marTop w:val="0"/>
      <w:marBottom w:val="0"/>
      <w:divBdr>
        <w:top w:val="none" w:sz="0" w:space="0" w:color="auto"/>
        <w:left w:val="none" w:sz="0" w:space="0" w:color="auto"/>
        <w:bottom w:val="none" w:sz="0" w:space="0" w:color="auto"/>
        <w:right w:val="none" w:sz="0" w:space="0" w:color="auto"/>
      </w:divBdr>
    </w:div>
    <w:div w:id="1187908976">
      <w:bodyDiv w:val="1"/>
      <w:marLeft w:val="0"/>
      <w:marRight w:val="0"/>
      <w:marTop w:val="0"/>
      <w:marBottom w:val="0"/>
      <w:divBdr>
        <w:top w:val="none" w:sz="0" w:space="0" w:color="auto"/>
        <w:left w:val="none" w:sz="0" w:space="0" w:color="auto"/>
        <w:bottom w:val="none" w:sz="0" w:space="0" w:color="auto"/>
        <w:right w:val="none" w:sz="0" w:space="0" w:color="auto"/>
      </w:divBdr>
    </w:div>
    <w:div w:id="1188252292">
      <w:bodyDiv w:val="1"/>
      <w:marLeft w:val="0"/>
      <w:marRight w:val="0"/>
      <w:marTop w:val="0"/>
      <w:marBottom w:val="0"/>
      <w:divBdr>
        <w:top w:val="none" w:sz="0" w:space="0" w:color="auto"/>
        <w:left w:val="none" w:sz="0" w:space="0" w:color="auto"/>
        <w:bottom w:val="none" w:sz="0" w:space="0" w:color="auto"/>
        <w:right w:val="none" w:sz="0" w:space="0" w:color="auto"/>
      </w:divBdr>
    </w:div>
    <w:div w:id="1188719297">
      <w:bodyDiv w:val="1"/>
      <w:marLeft w:val="0"/>
      <w:marRight w:val="0"/>
      <w:marTop w:val="0"/>
      <w:marBottom w:val="0"/>
      <w:divBdr>
        <w:top w:val="none" w:sz="0" w:space="0" w:color="auto"/>
        <w:left w:val="none" w:sz="0" w:space="0" w:color="auto"/>
        <w:bottom w:val="none" w:sz="0" w:space="0" w:color="auto"/>
        <w:right w:val="none" w:sz="0" w:space="0" w:color="auto"/>
      </w:divBdr>
    </w:div>
    <w:div w:id="1188830088">
      <w:bodyDiv w:val="1"/>
      <w:marLeft w:val="0"/>
      <w:marRight w:val="0"/>
      <w:marTop w:val="0"/>
      <w:marBottom w:val="0"/>
      <w:divBdr>
        <w:top w:val="none" w:sz="0" w:space="0" w:color="auto"/>
        <w:left w:val="none" w:sz="0" w:space="0" w:color="auto"/>
        <w:bottom w:val="none" w:sz="0" w:space="0" w:color="auto"/>
        <w:right w:val="none" w:sz="0" w:space="0" w:color="auto"/>
      </w:divBdr>
    </w:div>
    <w:div w:id="1188982054">
      <w:bodyDiv w:val="1"/>
      <w:marLeft w:val="0"/>
      <w:marRight w:val="0"/>
      <w:marTop w:val="0"/>
      <w:marBottom w:val="0"/>
      <w:divBdr>
        <w:top w:val="none" w:sz="0" w:space="0" w:color="auto"/>
        <w:left w:val="none" w:sz="0" w:space="0" w:color="auto"/>
        <w:bottom w:val="none" w:sz="0" w:space="0" w:color="auto"/>
        <w:right w:val="none" w:sz="0" w:space="0" w:color="auto"/>
      </w:divBdr>
    </w:div>
    <w:div w:id="1189758926">
      <w:bodyDiv w:val="1"/>
      <w:marLeft w:val="0"/>
      <w:marRight w:val="0"/>
      <w:marTop w:val="0"/>
      <w:marBottom w:val="0"/>
      <w:divBdr>
        <w:top w:val="none" w:sz="0" w:space="0" w:color="auto"/>
        <w:left w:val="none" w:sz="0" w:space="0" w:color="auto"/>
        <w:bottom w:val="none" w:sz="0" w:space="0" w:color="auto"/>
        <w:right w:val="none" w:sz="0" w:space="0" w:color="auto"/>
      </w:divBdr>
    </w:div>
    <w:div w:id="1190145149">
      <w:bodyDiv w:val="1"/>
      <w:marLeft w:val="0"/>
      <w:marRight w:val="0"/>
      <w:marTop w:val="0"/>
      <w:marBottom w:val="0"/>
      <w:divBdr>
        <w:top w:val="none" w:sz="0" w:space="0" w:color="auto"/>
        <w:left w:val="none" w:sz="0" w:space="0" w:color="auto"/>
        <w:bottom w:val="none" w:sz="0" w:space="0" w:color="auto"/>
        <w:right w:val="none" w:sz="0" w:space="0" w:color="auto"/>
      </w:divBdr>
    </w:div>
    <w:div w:id="1191069405">
      <w:bodyDiv w:val="1"/>
      <w:marLeft w:val="0"/>
      <w:marRight w:val="0"/>
      <w:marTop w:val="0"/>
      <w:marBottom w:val="0"/>
      <w:divBdr>
        <w:top w:val="none" w:sz="0" w:space="0" w:color="auto"/>
        <w:left w:val="none" w:sz="0" w:space="0" w:color="auto"/>
        <w:bottom w:val="none" w:sz="0" w:space="0" w:color="auto"/>
        <w:right w:val="none" w:sz="0" w:space="0" w:color="auto"/>
      </w:divBdr>
    </w:div>
    <w:div w:id="1191258423">
      <w:bodyDiv w:val="1"/>
      <w:marLeft w:val="0"/>
      <w:marRight w:val="0"/>
      <w:marTop w:val="0"/>
      <w:marBottom w:val="0"/>
      <w:divBdr>
        <w:top w:val="none" w:sz="0" w:space="0" w:color="auto"/>
        <w:left w:val="none" w:sz="0" w:space="0" w:color="auto"/>
        <w:bottom w:val="none" w:sz="0" w:space="0" w:color="auto"/>
        <w:right w:val="none" w:sz="0" w:space="0" w:color="auto"/>
      </w:divBdr>
    </w:div>
    <w:div w:id="1192761807">
      <w:bodyDiv w:val="1"/>
      <w:marLeft w:val="0"/>
      <w:marRight w:val="0"/>
      <w:marTop w:val="0"/>
      <w:marBottom w:val="0"/>
      <w:divBdr>
        <w:top w:val="none" w:sz="0" w:space="0" w:color="auto"/>
        <w:left w:val="none" w:sz="0" w:space="0" w:color="auto"/>
        <w:bottom w:val="none" w:sz="0" w:space="0" w:color="auto"/>
        <w:right w:val="none" w:sz="0" w:space="0" w:color="auto"/>
      </w:divBdr>
    </w:div>
    <w:div w:id="1193222956">
      <w:bodyDiv w:val="1"/>
      <w:marLeft w:val="0"/>
      <w:marRight w:val="0"/>
      <w:marTop w:val="0"/>
      <w:marBottom w:val="0"/>
      <w:divBdr>
        <w:top w:val="none" w:sz="0" w:space="0" w:color="auto"/>
        <w:left w:val="none" w:sz="0" w:space="0" w:color="auto"/>
        <w:bottom w:val="none" w:sz="0" w:space="0" w:color="auto"/>
        <w:right w:val="none" w:sz="0" w:space="0" w:color="auto"/>
      </w:divBdr>
    </w:div>
    <w:div w:id="1193348191">
      <w:bodyDiv w:val="1"/>
      <w:marLeft w:val="0"/>
      <w:marRight w:val="0"/>
      <w:marTop w:val="0"/>
      <w:marBottom w:val="0"/>
      <w:divBdr>
        <w:top w:val="none" w:sz="0" w:space="0" w:color="auto"/>
        <w:left w:val="none" w:sz="0" w:space="0" w:color="auto"/>
        <w:bottom w:val="none" w:sz="0" w:space="0" w:color="auto"/>
        <w:right w:val="none" w:sz="0" w:space="0" w:color="auto"/>
      </w:divBdr>
    </w:div>
    <w:div w:id="1194071662">
      <w:bodyDiv w:val="1"/>
      <w:marLeft w:val="0"/>
      <w:marRight w:val="0"/>
      <w:marTop w:val="0"/>
      <w:marBottom w:val="0"/>
      <w:divBdr>
        <w:top w:val="none" w:sz="0" w:space="0" w:color="auto"/>
        <w:left w:val="none" w:sz="0" w:space="0" w:color="auto"/>
        <w:bottom w:val="none" w:sz="0" w:space="0" w:color="auto"/>
        <w:right w:val="none" w:sz="0" w:space="0" w:color="auto"/>
      </w:divBdr>
    </w:div>
    <w:div w:id="1194078841">
      <w:bodyDiv w:val="1"/>
      <w:marLeft w:val="0"/>
      <w:marRight w:val="0"/>
      <w:marTop w:val="0"/>
      <w:marBottom w:val="0"/>
      <w:divBdr>
        <w:top w:val="none" w:sz="0" w:space="0" w:color="auto"/>
        <w:left w:val="none" w:sz="0" w:space="0" w:color="auto"/>
        <w:bottom w:val="none" w:sz="0" w:space="0" w:color="auto"/>
        <w:right w:val="none" w:sz="0" w:space="0" w:color="auto"/>
      </w:divBdr>
    </w:div>
    <w:div w:id="1194422609">
      <w:bodyDiv w:val="1"/>
      <w:marLeft w:val="0"/>
      <w:marRight w:val="0"/>
      <w:marTop w:val="0"/>
      <w:marBottom w:val="0"/>
      <w:divBdr>
        <w:top w:val="none" w:sz="0" w:space="0" w:color="auto"/>
        <w:left w:val="none" w:sz="0" w:space="0" w:color="auto"/>
        <w:bottom w:val="none" w:sz="0" w:space="0" w:color="auto"/>
        <w:right w:val="none" w:sz="0" w:space="0" w:color="auto"/>
      </w:divBdr>
    </w:div>
    <w:div w:id="1194881159">
      <w:bodyDiv w:val="1"/>
      <w:marLeft w:val="0"/>
      <w:marRight w:val="0"/>
      <w:marTop w:val="0"/>
      <w:marBottom w:val="0"/>
      <w:divBdr>
        <w:top w:val="none" w:sz="0" w:space="0" w:color="auto"/>
        <w:left w:val="none" w:sz="0" w:space="0" w:color="auto"/>
        <w:bottom w:val="none" w:sz="0" w:space="0" w:color="auto"/>
        <w:right w:val="none" w:sz="0" w:space="0" w:color="auto"/>
      </w:divBdr>
    </w:div>
    <w:div w:id="1194922563">
      <w:bodyDiv w:val="1"/>
      <w:marLeft w:val="0"/>
      <w:marRight w:val="0"/>
      <w:marTop w:val="0"/>
      <w:marBottom w:val="0"/>
      <w:divBdr>
        <w:top w:val="none" w:sz="0" w:space="0" w:color="auto"/>
        <w:left w:val="none" w:sz="0" w:space="0" w:color="auto"/>
        <w:bottom w:val="none" w:sz="0" w:space="0" w:color="auto"/>
        <w:right w:val="none" w:sz="0" w:space="0" w:color="auto"/>
      </w:divBdr>
    </w:div>
    <w:div w:id="1195191314">
      <w:bodyDiv w:val="1"/>
      <w:marLeft w:val="0"/>
      <w:marRight w:val="0"/>
      <w:marTop w:val="0"/>
      <w:marBottom w:val="0"/>
      <w:divBdr>
        <w:top w:val="none" w:sz="0" w:space="0" w:color="auto"/>
        <w:left w:val="none" w:sz="0" w:space="0" w:color="auto"/>
        <w:bottom w:val="none" w:sz="0" w:space="0" w:color="auto"/>
        <w:right w:val="none" w:sz="0" w:space="0" w:color="auto"/>
      </w:divBdr>
    </w:div>
    <w:div w:id="1195533949">
      <w:bodyDiv w:val="1"/>
      <w:marLeft w:val="0"/>
      <w:marRight w:val="0"/>
      <w:marTop w:val="0"/>
      <w:marBottom w:val="0"/>
      <w:divBdr>
        <w:top w:val="none" w:sz="0" w:space="0" w:color="auto"/>
        <w:left w:val="none" w:sz="0" w:space="0" w:color="auto"/>
        <w:bottom w:val="none" w:sz="0" w:space="0" w:color="auto"/>
        <w:right w:val="none" w:sz="0" w:space="0" w:color="auto"/>
      </w:divBdr>
    </w:div>
    <w:div w:id="1195580746">
      <w:bodyDiv w:val="1"/>
      <w:marLeft w:val="0"/>
      <w:marRight w:val="0"/>
      <w:marTop w:val="0"/>
      <w:marBottom w:val="0"/>
      <w:divBdr>
        <w:top w:val="none" w:sz="0" w:space="0" w:color="auto"/>
        <w:left w:val="none" w:sz="0" w:space="0" w:color="auto"/>
        <w:bottom w:val="none" w:sz="0" w:space="0" w:color="auto"/>
        <w:right w:val="none" w:sz="0" w:space="0" w:color="auto"/>
      </w:divBdr>
    </w:div>
    <w:div w:id="1195998538">
      <w:bodyDiv w:val="1"/>
      <w:marLeft w:val="0"/>
      <w:marRight w:val="0"/>
      <w:marTop w:val="0"/>
      <w:marBottom w:val="0"/>
      <w:divBdr>
        <w:top w:val="none" w:sz="0" w:space="0" w:color="auto"/>
        <w:left w:val="none" w:sz="0" w:space="0" w:color="auto"/>
        <w:bottom w:val="none" w:sz="0" w:space="0" w:color="auto"/>
        <w:right w:val="none" w:sz="0" w:space="0" w:color="auto"/>
      </w:divBdr>
    </w:div>
    <w:div w:id="1196043307">
      <w:bodyDiv w:val="1"/>
      <w:marLeft w:val="0"/>
      <w:marRight w:val="0"/>
      <w:marTop w:val="0"/>
      <w:marBottom w:val="0"/>
      <w:divBdr>
        <w:top w:val="none" w:sz="0" w:space="0" w:color="auto"/>
        <w:left w:val="none" w:sz="0" w:space="0" w:color="auto"/>
        <w:bottom w:val="none" w:sz="0" w:space="0" w:color="auto"/>
        <w:right w:val="none" w:sz="0" w:space="0" w:color="auto"/>
      </w:divBdr>
    </w:div>
    <w:div w:id="1196307871">
      <w:bodyDiv w:val="1"/>
      <w:marLeft w:val="0"/>
      <w:marRight w:val="0"/>
      <w:marTop w:val="0"/>
      <w:marBottom w:val="0"/>
      <w:divBdr>
        <w:top w:val="none" w:sz="0" w:space="0" w:color="auto"/>
        <w:left w:val="none" w:sz="0" w:space="0" w:color="auto"/>
        <w:bottom w:val="none" w:sz="0" w:space="0" w:color="auto"/>
        <w:right w:val="none" w:sz="0" w:space="0" w:color="auto"/>
      </w:divBdr>
    </w:div>
    <w:div w:id="1196312168">
      <w:bodyDiv w:val="1"/>
      <w:marLeft w:val="0"/>
      <w:marRight w:val="0"/>
      <w:marTop w:val="0"/>
      <w:marBottom w:val="0"/>
      <w:divBdr>
        <w:top w:val="none" w:sz="0" w:space="0" w:color="auto"/>
        <w:left w:val="none" w:sz="0" w:space="0" w:color="auto"/>
        <w:bottom w:val="none" w:sz="0" w:space="0" w:color="auto"/>
        <w:right w:val="none" w:sz="0" w:space="0" w:color="auto"/>
      </w:divBdr>
    </w:div>
    <w:div w:id="1196504349">
      <w:bodyDiv w:val="1"/>
      <w:marLeft w:val="0"/>
      <w:marRight w:val="0"/>
      <w:marTop w:val="0"/>
      <w:marBottom w:val="0"/>
      <w:divBdr>
        <w:top w:val="none" w:sz="0" w:space="0" w:color="auto"/>
        <w:left w:val="none" w:sz="0" w:space="0" w:color="auto"/>
        <w:bottom w:val="none" w:sz="0" w:space="0" w:color="auto"/>
        <w:right w:val="none" w:sz="0" w:space="0" w:color="auto"/>
      </w:divBdr>
    </w:div>
    <w:div w:id="1196851126">
      <w:bodyDiv w:val="1"/>
      <w:marLeft w:val="0"/>
      <w:marRight w:val="0"/>
      <w:marTop w:val="0"/>
      <w:marBottom w:val="0"/>
      <w:divBdr>
        <w:top w:val="none" w:sz="0" w:space="0" w:color="auto"/>
        <w:left w:val="none" w:sz="0" w:space="0" w:color="auto"/>
        <w:bottom w:val="none" w:sz="0" w:space="0" w:color="auto"/>
        <w:right w:val="none" w:sz="0" w:space="0" w:color="auto"/>
      </w:divBdr>
    </w:div>
    <w:div w:id="1197156314">
      <w:bodyDiv w:val="1"/>
      <w:marLeft w:val="0"/>
      <w:marRight w:val="0"/>
      <w:marTop w:val="0"/>
      <w:marBottom w:val="0"/>
      <w:divBdr>
        <w:top w:val="none" w:sz="0" w:space="0" w:color="auto"/>
        <w:left w:val="none" w:sz="0" w:space="0" w:color="auto"/>
        <w:bottom w:val="none" w:sz="0" w:space="0" w:color="auto"/>
        <w:right w:val="none" w:sz="0" w:space="0" w:color="auto"/>
      </w:divBdr>
    </w:div>
    <w:div w:id="1197158293">
      <w:bodyDiv w:val="1"/>
      <w:marLeft w:val="0"/>
      <w:marRight w:val="0"/>
      <w:marTop w:val="0"/>
      <w:marBottom w:val="0"/>
      <w:divBdr>
        <w:top w:val="none" w:sz="0" w:space="0" w:color="auto"/>
        <w:left w:val="none" w:sz="0" w:space="0" w:color="auto"/>
        <w:bottom w:val="none" w:sz="0" w:space="0" w:color="auto"/>
        <w:right w:val="none" w:sz="0" w:space="0" w:color="auto"/>
      </w:divBdr>
    </w:div>
    <w:div w:id="1197348952">
      <w:bodyDiv w:val="1"/>
      <w:marLeft w:val="0"/>
      <w:marRight w:val="0"/>
      <w:marTop w:val="0"/>
      <w:marBottom w:val="0"/>
      <w:divBdr>
        <w:top w:val="none" w:sz="0" w:space="0" w:color="auto"/>
        <w:left w:val="none" w:sz="0" w:space="0" w:color="auto"/>
        <w:bottom w:val="none" w:sz="0" w:space="0" w:color="auto"/>
        <w:right w:val="none" w:sz="0" w:space="0" w:color="auto"/>
      </w:divBdr>
    </w:div>
    <w:div w:id="1197625319">
      <w:bodyDiv w:val="1"/>
      <w:marLeft w:val="0"/>
      <w:marRight w:val="0"/>
      <w:marTop w:val="0"/>
      <w:marBottom w:val="0"/>
      <w:divBdr>
        <w:top w:val="none" w:sz="0" w:space="0" w:color="auto"/>
        <w:left w:val="none" w:sz="0" w:space="0" w:color="auto"/>
        <w:bottom w:val="none" w:sz="0" w:space="0" w:color="auto"/>
        <w:right w:val="none" w:sz="0" w:space="0" w:color="auto"/>
      </w:divBdr>
    </w:div>
    <w:div w:id="1197743321">
      <w:bodyDiv w:val="1"/>
      <w:marLeft w:val="0"/>
      <w:marRight w:val="0"/>
      <w:marTop w:val="0"/>
      <w:marBottom w:val="0"/>
      <w:divBdr>
        <w:top w:val="none" w:sz="0" w:space="0" w:color="auto"/>
        <w:left w:val="none" w:sz="0" w:space="0" w:color="auto"/>
        <w:bottom w:val="none" w:sz="0" w:space="0" w:color="auto"/>
        <w:right w:val="none" w:sz="0" w:space="0" w:color="auto"/>
      </w:divBdr>
    </w:div>
    <w:div w:id="1198082983">
      <w:bodyDiv w:val="1"/>
      <w:marLeft w:val="0"/>
      <w:marRight w:val="0"/>
      <w:marTop w:val="0"/>
      <w:marBottom w:val="0"/>
      <w:divBdr>
        <w:top w:val="none" w:sz="0" w:space="0" w:color="auto"/>
        <w:left w:val="none" w:sz="0" w:space="0" w:color="auto"/>
        <w:bottom w:val="none" w:sz="0" w:space="0" w:color="auto"/>
        <w:right w:val="none" w:sz="0" w:space="0" w:color="auto"/>
      </w:divBdr>
    </w:div>
    <w:div w:id="1198276866">
      <w:bodyDiv w:val="1"/>
      <w:marLeft w:val="0"/>
      <w:marRight w:val="0"/>
      <w:marTop w:val="0"/>
      <w:marBottom w:val="0"/>
      <w:divBdr>
        <w:top w:val="none" w:sz="0" w:space="0" w:color="auto"/>
        <w:left w:val="none" w:sz="0" w:space="0" w:color="auto"/>
        <w:bottom w:val="none" w:sz="0" w:space="0" w:color="auto"/>
        <w:right w:val="none" w:sz="0" w:space="0" w:color="auto"/>
      </w:divBdr>
    </w:div>
    <w:div w:id="1198279740">
      <w:bodyDiv w:val="1"/>
      <w:marLeft w:val="0"/>
      <w:marRight w:val="0"/>
      <w:marTop w:val="0"/>
      <w:marBottom w:val="0"/>
      <w:divBdr>
        <w:top w:val="none" w:sz="0" w:space="0" w:color="auto"/>
        <w:left w:val="none" w:sz="0" w:space="0" w:color="auto"/>
        <w:bottom w:val="none" w:sz="0" w:space="0" w:color="auto"/>
        <w:right w:val="none" w:sz="0" w:space="0" w:color="auto"/>
      </w:divBdr>
    </w:div>
    <w:div w:id="1198812260">
      <w:bodyDiv w:val="1"/>
      <w:marLeft w:val="0"/>
      <w:marRight w:val="0"/>
      <w:marTop w:val="0"/>
      <w:marBottom w:val="0"/>
      <w:divBdr>
        <w:top w:val="none" w:sz="0" w:space="0" w:color="auto"/>
        <w:left w:val="none" w:sz="0" w:space="0" w:color="auto"/>
        <w:bottom w:val="none" w:sz="0" w:space="0" w:color="auto"/>
        <w:right w:val="none" w:sz="0" w:space="0" w:color="auto"/>
      </w:divBdr>
    </w:div>
    <w:div w:id="1200240313">
      <w:bodyDiv w:val="1"/>
      <w:marLeft w:val="0"/>
      <w:marRight w:val="0"/>
      <w:marTop w:val="0"/>
      <w:marBottom w:val="0"/>
      <w:divBdr>
        <w:top w:val="none" w:sz="0" w:space="0" w:color="auto"/>
        <w:left w:val="none" w:sz="0" w:space="0" w:color="auto"/>
        <w:bottom w:val="none" w:sz="0" w:space="0" w:color="auto"/>
        <w:right w:val="none" w:sz="0" w:space="0" w:color="auto"/>
      </w:divBdr>
    </w:div>
    <w:div w:id="1200244519">
      <w:bodyDiv w:val="1"/>
      <w:marLeft w:val="0"/>
      <w:marRight w:val="0"/>
      <w:marTop w:val="0"/>
      <w:marBottom w:val="0"/>
      <w:divBdr>
        <w:top w:val="none" w:sz="0" w:space="0" w:color="auto"/>
        <w:left w:val="none" w:sz="0" w:space="0" w:color="auto"/>
        <w:bottom w:val="none" w:sz="0" w:space="0" w:color="auto"/>
        <w:right w:val="none" w:sz="0" w:space="0" w:color="auto"/>
      </w:divBdr>
    </w:div>
    <w:div w:id="1200358003">
      <w:bodyDiv w:val="1"/>
      <w:marLeft w:val="0"/>
      <w:marRight w:val="0"/>
      <w:marTop w:val="0"/>
      <w:marBottom w:val="0"/>
      <w:divBdr>
        <w:top w:val="none" w:sz="0" w:space="0" w:color="auto"/>
        <w:left w:val="none" w:sz="0" w:space="0" w:color="auto"/>
        <w:bottom w:val="none" w:sz="0" w:space="0" w:color="auto"/>
        <w:right w:val="none" w:sz="0" w:space="0" w:color="auto"/>
      </w:divBdr>
    </w:div>
    <w:div w:id="1200510869">
      <w:bodyDiv w:val="1"/>
      <w:marLeft w:val="0"/>
      <w:marRight w:val="0"/>
      <w:marTop w:val="0"/>
      <w:marBottom w:val="0"/>
      <w:divBdr>
        <w:top w:val="none" w:sz="0" w:space="0" w:color="auto"/>
        <w:left w:val="none" w:sz="0" w:space="0" w:color="auto"/>
        <w:bottom w:val="none" w:sz="0" w:space="0" w:color="auto"/>
        <w:right w:val="none" w:sz="0" w:space="0" w:color="auto"/>
      </w:divBdr>
    </w:div>
    <w:div w:id="1200632949">
      <w:bodyDiv w:val="1"/>
      <w:marLeft w:val="0"/>
      <w:marRight w:val="0"/>
      <w:marTop w:val="0"/>
      <w:marBottom w:val="0"/>
      <w:divBdr>
        <w:top w:val="none" w:sz="0" w:space="0" w:color="auto"/>
        <w:left w:val="none" w:sz="0" w:space="0" w:color="auto"/>
        <w:bottom w:val="none" w:sz="0" w:space="0" w:color="auto"/>
        <w:right w:val="none" w:sz="0" w:space="0" w:color="auto"/>
      </w:divBdr>
    </w:div>
    <w:div w:id="1201093297">
      <w:bodyDiv w:val="1"/>
      <w:marLeft w:val="0"/>
      <w:marRight w:val="0"/>
      <w:marTop w:val="0"/>
      <w:marBottom w:val="0"/>
      <w:divBdr>
        <w:top w:val="none" w:sz="0" w:space="0" w:color="auto"/>
        <w:left w:val="none" w:sz="0" w:space="0" w:color="auto"/>
        <w:bottom w:val="none" w:sz="0" w:space="0" w:color="auto"/>
        <w:right w:val="none" w:sz="0" w:space="0" w:color="auto"/>
      </w:divBdr>
    </w:div>
    <w:div w:id="1201623687">
      <w:bodyDiv w:val="1"/>
      <w:marLeft w:val="0"/>
      <w:marRight w:val="0"/>
      <w:marTop w:val="0"/>
      <w:marBottom w:val="0"/>
      <w:divBdr>
        <w:top w:val="none" w:sz="0" w:space="0" w:color="auto"/>
        <w:left w:val="none" w:sz="0" w:space="0" w:color="auto"/>
        <w:bottom w:val="none" w:sz="0" w:space="0" w:color="auto"/>
        <w:right w:val="none" w:sz="0" w:space="0" w:color="auto"/>
      </w:divBdr>
    </w:div>
    <w:div w:id="1201629974">
      <w:bodyDiv w:val="1"/>
      <w:marLeft w:val="0"/>
      <w:marRight w:val="0"/>
      <w:marTop w:val="0"/>
      <w:marBottom w:val="0"/>
      <w:divBdr>
        <w:top w:val="none" w:sz="0" w:space="0" w:color="auto"/>
        <w:left w:val="none" w:sz="0" w:space="0" w:color="auto"/>
        <w:bottom w:val="none" w:sz="0" w:space="0" w:color="auto"/>
        <w:right w:val="none" w:sz="0" w:space="0" w:color="auto"/>
      </w:divBdr>
    </w:div>
    <w:div w:id="1202936383">
      <w:bodyDiv w:val="1"/>
      <w:marLeft w:val="0"/>
      <w:marRight w:val="0"/>
      <w:marTop w:val="0"/>
      <w:marBottom w:val="0"/>
      <w:divBdr>
        <w:top w:val="none" w:sz="0" w:space="0" w:color="auto"/>
        <w:left w:val="none" w:sz="0" w:space="0" w:color="auto"/>
        <w:bottom w:val="none" w:sz="0" w:space="0" w:color="auto"/>
        <w:right w:val="none" w:sz="0" w:space="0" w:color="auto"/>
      </w:divBdr>
    </w:div>
    <w:div w:id="1202941506">
      <w:bodyDiv w:val="1"/>
      <w:marLeft w:val="0"/>
      <w:marRight w:val="0"/>
      <w:marTop w:val="0"/>
      <w:marBottom w:val="0"/>
      <w:divBdr>
        <w:top w:val="none" w:sz="0" w:space="0" w:color="auto"/>
        <w:left w:val="none" w:sz="0" w:space="0" w:color="auto"/>
        <w:bottom w:val="none" w:sz="0" w:space="0" w:color="auto"/>
        <w:right w:val="none" w:sz="0" w:space="0" w:color="auto"/>
      </w:divBdr>
    </w:div>
    <w:div w:id="1203635724">
      <w:bodyDiv w:val="1"/>
      <w:marLeft w:val="0"/>
      <w:marRight w:val="0"/>
      <w:marTop w:val="0"/>
      <w:marBottom w:val="0"/>
      <w:divBdr>
        <w:top w:val="none" w:sz="0" w:space="0" w:color="auto"/>
        <w:left w:val="none" w:sz="0" w:space="0" w:color="auto"/>
        <w:bottom w:val="none" w:sz="0" w:space="0" w:color="auto"/>
        <w:right w:val="none" w:sz="0" w:space="0" w:color="auto"/>
      </w:divBdr>
    </w:div>
    <w:div w:id="1204102255">
      <w:bodyDiv w:val="1"/>
      <w:marLeft w:val="0"/>
      <w:marRight w:val="0"/>
      <w:marTop w:val="0"/>
      <w:marBottom w:val="0"/>
      <w:divBdr>
        <w:top w:val="none" w:sz="0" w:space="0" w:color="auto"/>
        <w:left w:val="none" w:sz="0" w:space="0" w:color="auto"/>
        <w:bottom w:val="none" w:sz="0" w:space="0" w:color="auto"/>
        <w:right w:val="none" w:sz="0" w:space="0" w:color="auto"/>
      </w:divBdr>
    </w:div>
    <w:div w:id="1205604243">
      <w:bodyDiv w:val="1"/>
      <w:marLeft w:val="0"/>
      <w:marRight w:val="0"/>
      <w:marTop w:val="0"/>
      <w:marBottom w:val="0"/>
      <w:divBdr>
        <w:top w:val="none" w:sz="0" w:space="0" w:color="auto"/>
        <w:left w:val="none" w:sz="0" w:space="0" w:color="auto"/>
        <w:bottom w:val="none" w:sz="0" w:space="0" w:color="auto"/>
        <w:right w:val="none" w:sz="0" w:space="0" w:color="auto"/>
      </w:divBdr>
    </w:div>
    <w:div w:id="1205752350">
      <w:bodyDiv w:val="1"/>
      <w:marLeft w:val="0"/>
      <w:marRight w:val="0"/>
      <w:marTop w:val="0"/>
      <w:marBottom w:val="0"/>
      <w:divBdr>
        <w:top w:val="none" w:sz="0" w:space="0" w:color="auto"/>
        <w:left w:val="none" w:sz="0" w:space="0" w:color="auto"/>
        <w:bottom w:val="none" w:sz="0" w:space="0" w:color="auto"/>
        <w:right w:val="none" w:sz="0" w:space="0" w:color="auto"/>
      </w:divBdr>
    </w:div>
    <w:div w:id="1206139802">
      <w:bodyDiv w:val="1"/>
      <w:marLeft w:val="0"/>
      <w:marRight w:val="0"/>
      <w:marTop w:val="0"/>
      <w:marBottom w:val="0"/>
      <w:divBdr>
        <w:top w:val="none" w:sz="0" w:space="0" w:color="auto"/>
        <w:left w:val="none" w:sz="0" w:space="0" w:color="auto"/>
        <w:bottom w:val="none" w:sz="0" w:space="0" w:color="auto"/>
        <w:right w:val="none" w:sz="0" w:space="0" w:color="auto"/>
      </w:divBdr>
    </w:div>
    <w:div w:id="120771828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08684681">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10726207">
      <w:bodyDiv w:val="1"/>
      <w:marLeft w:val="0"/>
      <w:marRight w:val="0"/>
      <w:marTop w:val="0"/>
      <w:marBottom w:val="0"/>
      <w:divBdr>
        <w:top w:val="none" w:sz="0" w:space="0" w:color="auto"/>
        <w:left w:val="none" w:sz="0" w:space="0" w:color="auto"/>
        <w:bottom w:val="none" w:sz="0" w:space="0" w:color="auto"/>
        <w:right w:val="none" w:sz="0" w:space="0" w:color="auto"/>
      </w:divBdr>
    </w:div>
    <w:div w:id="1211654657">
      <w:bodyDiv w:val="1"/>
      <w:marLeft w:val="0"/>
      <w:marRight w:val="0"/>
      <w:marTop w:val="0"/>
      <w:marBottom w:val="0"/>
      <w:divBdr>
        <w:top w:val="none" w:sz="0" w:space="0" w:color="auto"/>
        <w:left w:val="none" w:sz="0" w:space="0" w:color="auto"/>
        <w:bottom w:val="none" w:sz="0" w:space="0" w:color="auto"/>
        <w:right w:val="none" w:sz="0" w:space="0" w:color="auto"/>
      </w:divBdr>
    </w:div>
    <w:div w:id="1212764584">
      <w:bodyDiv w:val="1"/>
      <w:marLeft w:val="0"/>
      <w:marRight w:val="0"/>
      <w:marTop w:val="0"/>
      <w:marBottom w:val="0"/>
      <w:divBdr>
        <w:top w:val="none" w:sz="0" w:space="0" w:color="auto"/>
        <w:left w:val="none" w:sz="0" w:space="0" w:color="auto"/>
        <w:bottom w:val="none" w:sz="0" w:space="0" w:color="auto"/>
        <w:right w:val="none" w:sz="0" w:space="0" w:color="auto"/>
      </w:divBdr>
    </w:div>
    <w:div w:id="1213230141">
      <w:bodyDiv w:val="1"/>
      <w:marLeft w:val="0"/>
      <w:marRight w:val="0"/>
      <w:marTop w:val="0"/>
      <w:marBottom w:val="0"/>
      <w:divBdr>
        <w:top w:val="none" w:sz="0" w:space="0" w:color="auto"/>
        <w:left w:val="none" w:sz="0" w:space="0" w:color="auto"/>
        <w:bottom w:val="none" w:sz="0" w:space="0" w:color="auto"/>
        <w:right w:val="none" w:sz="0" w:space="0" w:color="auto"/>
      </w:divBdr>
    </w:div>
    <w:div w:id="1216240366">
      <w:bodyDiv w:val="1"/>
      <w:marLeft w:val="0"/>
      <w:marRight w:val="0"/>
      <w:marTop w:val="0"/>
      <w:marBottom w:val="0"/>
      <w:divBdr>
        <w:top w:val="none" w:sz="0" w:space="0" w:color="auto"/>
        <w:left w:val="none" w:sz="0" w:space="0" w:color="auto"/>
        <w:bottom w:val="none" w:sz="0" w:space="0" w:color="auto"/>
        <w:right w:val="none" w:sz="0" w:space="0" w:color="auto"/>
      </w:divBdr>
    </w:div>
    <w:div w:id="1217231529">
      <w:bodyDiv w:val="1"/>
      <w:marLeft w:val="0"/>
      <w:marRight w:val="0"/>
      <w:marTop w:val="0"/>
      <w:marBottom w:val="0"/>
      <w:divBdr>
        <w:top w:val="none" w:sz="0" w:space="0" w:color="auto"/>
        <w:left w:val="none" w:sz="0" w:space="0" w:color="auto"/>
        <w:bottom w:val="none" w:sz="0" w:space="0" w:color="auto"/>
        <w:right w:val="none" w:sz="0" w:space="0" w:color="auto"/>
      </w:divBdr>
    </w:div>
    <w:div w:id="1217279834">
      <w:bodyDiv w:val="1"/>
      <w:marLeft w:val="0"/>
      <w:marRight w:val="0"/>
      <w:marTop w:val="0"/>
      <w:marBottom w:val="0"/>
      <w:divBdr>
        <w:top w:val="none" w:sz="0" w:space="0" w:color="auto"/>
        <w:left w:val="none" w:sz="0" w:space="0" w:color="auto"/>
        <w:bottom w:val="none" w:sz="0" w:space="0" w:color="auto"/>
        <w:right w:val="none" w:sz="0" w:space="0" w:color="auto"/>
      </w:divBdr>
    </w:div>
    <w:div w:id="1217353427">
      <w:bodyDiv w:val="1"/>
      <w:marLeft w:val="0"/>
      <w:marRight w:val="0"/>
      <w:marTop w:val="0"/>
      <w:marBottom w:val="0"/>
      <w:divBdr>
        <w:top w:val="none" w:sz="0" w:space="0" w:color="auto"/>
        <w:left w:val="none" w:sz="0" w:space="0" w:color="auto"/>
        <w:bottom w:val="none" w:sz="0" w:space="0" w:color="auto"/>
        <w:right w:val="none" w:sz="0" w:space="0" w:color="auto"/>
      </w:divBdr>
    </w:div>
    <w:div w:id="1217623934">
      <w:bodyDiv w:val="1"/>
      <w:marLeft w:val="0"/>
      <w:marRight w:val="0"/>
      <w:marTop w:val="0"/>
      <w:marBottom w:val="0"/>
      <w:divBdr>
        <w:top w:val="none" w:sz="0" w:space="0" w:color="auto"/>
        <w:left w:val="none" w:sz="0" w:space="0" w:color="auto"/>
        <w:bottom w:val="none" w:sz="0" w:space="0" w:color="auto"/>
        <w:right w:val="none" w:sz="0" w:space="0" w:color="auto"/>
      </w:divBdr>
    </w:div>
    <w:div w:id="1217817165">
      <w:bodyDiv w:val="1"/>
      <w:marLeft w:val="0"/>
      <w:marRight w:val="0"/>
      <w:marTop w:val="0"/>
      <w:marBottom w:val="0"/>
      <w:divBdr>
        <w:top w:val="none" w:sz="0" w:space="0" w:color="auto"/>
        <w:left w:val="none" w:sz="0" w:space="0" w:color="auto"/>
        <w:bottom w:val="none" w:sz="0" w:space="0" w:color="auto"/>
        <w:right w:val="none" w:sz="0" w:space="0" w:color="auto"/>
      </w:divBdr>
    </w:div>
    <w:div w:id="1217818935">
      <w:bodyDiv w:val="1"/>
      <w:marLeft w:val="0"/>
      <w:marRight w:val="0"/>
      <w:marTop w:val="0"/>
      <w:marBottom w:val="0"/>
      <w:divBdr>
        <w:top w:val="none" w:sz="0" w:space="0" w:color="auto"/>
        <w:left w:val="none" w:sz="0" w:space="0" w:color="auto"/>
        <w:bottom w:val="none" w:sz="0" w:space="0" w:color="auto"/>
        <w:right w:val="none" w:sz="0" w:space="0" w:color="auto"/>
      </w:divBdr>
    </w:div>
    <w:div w:id="1218974704">
      <w:bodyDiv w:val="1"/>
      <w:marLeft w:val="0"/>
      <w:marRight w:val="0"/>
      <w:marTop w:val="0"/>
      <w:marBottom w:val="0"/>
      <w:divBdr>
        <w:top w:val="none" w:sz="0" w:space="0" w:color="auto"/>
        <w:left w:val="none" w:sz="0" w:space="0" w:color="auto"/>
        <w:bottom w:val="none" w:sz="0" w:space="0" w:color="auto"/>
        <w:right w:val="none" w:sz="0" w:space="0" w:color="auto"/>
      </w:divBdr>
    </w:div>
    <w:div w:id="1219438505">
      <w:bodyDiv w:val="1"/>
      <w:marLeft w:val="0"/>
      <w:marRight w:val="0"/>
      <w:marTop w:val="0"/>
      <w:marBottom w:val="0"/>
      <w:divBdr>
        <w:top w:val="none" w:sz="0" w:space="0" w:color="auto"/>
        <w:left w:val="none" w:sz="0" w:space="0" w:color="auto"/>
        <w:bottom w:val="none" w:sz="0" w:space="0" w:color="auto"/>
        <w:right w:val="none" w:sz="0" w:space="0" w:color="auto"/>
      </w:divBdr>
    </w:div>
    <w:div w:id="1220097553">
      <w:bodyDiv w:val="1"/>
      <w:marLeft w:val="0"/>
      <w:marRight w:val="0"/>
      <w:marTop w:val="0"/>
      <w:marBottom w:val="0"/>
      <w:divBdr>
        <w:top w:val="none" w:sz="0" w:space="0" w:color="auto"/>
        <w:left w:val="none" w:sz="0" w:space="0" w:color="auto"/>
        <w:bottom w:val="none" w:sz="0" w:space="0" w:color="auto"/>
        <w:right w:val="none" w:sz="0" w:space="0" w:color="auto"/>
      </w:divBdr>
    </w:div>
    <w:div w:id="1220242896">
      <w:bodyDiv w:val="1"/>
      <w:marLeft w:val="0"/>
      <w:marRight w:val="0"/>
      <w:marTop w:val="0"/>
      <w:marBottom w:val="0"/>
      <w:divBdr>
        <w:top w:val="none" w:sz="0" w:space="0" w:color="auto"/>
        <w:left w:val="none" w:sz="0" w:space="0" w:color="auto"/>
        <w:bottom w:val="none" w:sz="0" w:space="0" w:color="auto"/>
        <w:right w:val="none" w:sz="0" w:space="0" w:color="auto"/>
      </w:divBdr>
    </w:div>
    <w:div w:id="1220822162">
      <w:bodyDiv w:val="1"/>
      <w:marLeft w:val="0"/>
      <w:marRight w:val="0"/>
      <w:marTop w:val="0"/>
      <w:marBottom w:val="0"/>
      <w:divBdr>
        <w:top w:val="none" w:sz="0" w:space="0" w:color="auto"/>
        <w:left w:val="none" w:sz="0" w:space="0" w:color="auto"/>
        <w:bottom w:val="none" w:sz="0" w:space="0" w:color="auto"/>
        <w:right w:val="none" w:sz="0" w:space="0" w:color="auto"/>
      </w:divBdr>
    </w:div>
    <w:div w:id="1221091685">
      <w:bodyDiv w:val="1"/>
      <w:marLeft w:val="0"/>
      <w:marRight w:val="0"/>
      <w:marTop w:val="0"/>
      <w:marBottom w:val="0"/>
      <w:divBdr>
        <w:top w:val="none" w:sz="0" w:space="0" w:color="auto"/>
        <w:left w:val="none" w:sz="0" w:space="0" w:color="auto"/>
        <w:bottom w:val="none" w:sz="0" w:space="0" w:color="auto"/>
        <w:right w:val="none" w:sz="0" w:space="0" w:color="auto"/>
      </w:divBdr>
    </w:div>
    <w:div w:id="1222399200">
      <w:bodyDiv w:val="1"/>
      <w:marLeft w:val="0"/>
      <w:marRight w:val="0"/>
      <w:marTop w:val="0"/>
      <w:marBottom w:val="0"/>
      <w:divBdr>
        <w:top w:val="none" w:sz="0" w:space="0" w:color="auto"/>
        <w:left w:val="none" w:sz="0" w:space="0" w:color="auto"/>
        <w:bottom w:val="none" w:sz="0" w:space="0" w:color="auto"/>
        <w:right w:val="none" w:sz="0" w:space="0" w:color="auto"/>
      </w:divBdr>
    </w:div>
    <w:div w:id="1222406076">
      <w:bodyDiv w:val="1"/>
      <w:marLeft w:val="0"/>
      <w:marRight w:val="0"/>
      <w:marTop w:val="0"/>
      <w:marBottom w:val="0"/>
      <w:divBdr>
        <w:top w:val="none" w:sz="0" w:space="0" w:color="auto"/>
        <w:left w:val="none" w:sz="0" w:space="0" w:color="auto"/>
        <w:bottom w:val="none" w:sz="0" w:space="0" w:color="auto"/>
        <w:right w:val="none" w:sz="0" w:space="0" w:color="auto"/>
      </w:divBdr>
    </w:div>
    <w:div w:id="1222785952">
      <w:bodyDiv w:val="1"/>
      <w:marLeft w:val="0"/>
      <w:marRight w:val="0"/>
      <w:marTop w:val="0"/>
      <w:marBottom w:val="0"/>
      <w:divBdr>
        <w:top w:val="none" w:sz="0" w:space="0" w:color="auto"/>
        <w:left w:val="none" w:sz="0" w:space="0" w:color="auto"/>
        <w:bottom w:val="none" w:sz="0" w:space="0" w:color="auto"/>
        <w:right w:val="none" w:sz="0" w:space="0" w:color="auto"/>
      </w:divBdr>
    </w:div>
    <w:div w:id="1224372711">
      <w:bodyDiv w:val="1"/>
      <w:marLeft w:val="0"/>
      <w:marRight w:val="0"/>
      <w:marTop w:val="0"/>
      <w:marBottom w:val="0"/>
      <w:divBdr>
        <w:top w:val="none" w:sz="0" w:space="0" w:color="auto"/>
        <w:left w:val="none" w:sz="0" w:space="0" w:color="auto"/>
        <w:bottom w:val="none" w:sz="0" w:space="0" w:color="auto"/>
        <w:right w:val="none" w:sz="0" w:space="0" w:color="auto"/>
      </w:divBdr>
    </w:div>
    <w:div w:id="1224607994">
      <w:bodyDiv w:val="1"/>
      <w:marLeft w:val="0"/>
      <w:marRight w:val="0"/>
      <w:marTop w:val="0"/>
      <w:marBottom w:val="0"/>
      <w:divBdr>
        <w:top w:val="none" w:sz="0" w:space="0" w:color="auto"/>
        <w:left w:val="none" w:sz="0" w:space="0" w:color="auto"/>
        <w:bottom w:val="none" w:sz="0" w:space="0" w:color="auto"/>
        <w:right w:val="none" w:sz="0" w:space="0" w:color="auto"/>
      </w:divBdr>
    </w:div>
    <w:div w:id="1224875974">
      <w:bodyDiv w:val="1"/>
      <w:marLeft w:val="0"/>
      <w:marRight w:val="0"/>
      <w:marTop w:val="0"/>
      <w:marBottom w:val="0"/>
      <w:divBdr>
        <w:top w:val="none" w:sz="0" w:space="0" w:color="auto"/>
        <w:left w:val="none" w:sz="0" w:space="0" w:color="auto"/>
        <w:bottom w:val="none" w:sz="0" w:space="0" w:color="auto"/>
        <w:right w:val="none" w:sz="0" w:space="0" w:color="auto"/>
      </w:divBdr>
    </w:div>
    <w:div w:id="1225261481">
      <w:bodyDiv w:val="1"/>
      <w:marLeft w:val="0"/>
      <w:marRight w:val="0"/>
      <w:marTop w:val="0"/>
      <w:marBottom w:val="0"/>
      <w:divBdr>
        <w:top w:val="none" w:sz="0" w:space="0" w:color="auto"/>
        <w:left w:val="none" w:sz="0" w:space="0" w:color="auto"/>
        <w:bottom w:val="none" w:sz="0" w:space="0" w:color="auto"/>
        <w:right w:val="none" w:sz="0" w:space="0" w:color="auto"/>
      </w:divBdr>
    </w:div>
    <w:div w:id="1225751908">
      <w:bodyDiv w:val="1"/>
      <w:marLeft w:val="0"/>
      <w:marRight w:val="0"/>
      <w:marTop w:val="0"/>
      <w:marBottom w:val="0"/>
      <w:divBdr>
        <w:top w:val="none" w:sz="0" w:space="0" w:color="auto"/>
        <w:left w:val="none" w:sz="0" w:space="0" w:color="auto"/>
        <w:bottom w:val="none" w:sz="0" w:space="0" w:color="auto"/>
        <w:right w:val="none" w:sz="0" w:space="0" w:color="auto"/>
      </w:divBdr>
    </w:div>
    <w:div w:id="1226338253">
      <w:bodyDiv w:val="1"/>
      <w:marLeft w:val="0"/>
      <w:marRight w:val="0"/>
      <w:marTop w:val="0"/>
      <w:marBottom w:val="0"/>
      <w:divBdr>
        <w:top w:val="none" w:sz="0" w:space="0" w:color="auto"/>
        <w:left w:val="none" w:sz="0" w:space="0" w:color="auto"/>
        <w:bottom w:val="none" w:sz="0" w:space="0" w:color="auto"/>
        <w:right w:val="none" w:sz="0" w:space="0" w:color="auto"/>
      </w:divBdr>
    </w:div>
    <w:div w:id="1226524377">
      <w:bodyDiv w:val="1"/>
      <w:marLeft w:val="0"/>
      <w:marRight w:val="0"/>
      <w:marTop w:val="0"/>
      <w:marBottom w:val="0"/>
      <w:divBdr>
        <w:top w:val="none" w:sz="0" w:space="0" w:color="auto"/>
        <w:left w:val="none" w:sz="0" w:space="0" w:color="auto"/>
        <w:bottom w:val="none" w:sz="0" w:space="0" w:color="auto"/>
        <w:right w:val="none" w:sz="0" w:space="0" w:color="auto"/>
      </w:divBdr>
    </w:div>
    <w:div w:id="1226527665">
      <w:bodyDiv w:val="1"/>
      <w:marLeft w:val="0"/>
      <w:marRight w:val="0"/>
      <w:marTop w:val="0"/>
      <w:marBottom w:val="0"/>
      <w:divBdr>
        <w:top w:val="none" w:sz="0" w:space="0" w:color="auto"/>
        <w:left w:val="none" w:sz="0" w:space="0" w:color="auto"/>
        <w:bottom w:val="none" w:sz="0" w:space="0" w:color="auto"/>
        <w:right w:val="none" w:sz="0" w:space="0" w:color="auto"/>
      </w:divBdr>
    </w:div>
    <w:div w:id="1226575335">
      <w:bodyDiv w:val="1"/>
      <w:marLeft w:val="0"/>
      <w:marRight w:val="0"/>
      <w:marTop w:val="0"/>
      <w:marBottom w:val="0"/>
      <w:divBdr>
        <w:top w:val="none" w:sz="0" w:space="0" w:color="auto"/>
        <w:left w:val="none" w:sz="0" w:space="0" w:color="auto"/>
        <w:bottom w:val="none" w:sz="0" w:space="0" w:color="auto"/>
        <w:right w:val="none" w:sz="0" w:space="0" w:color="auto"/>
      </w:divBdr>
    </w:div>
    <w:div w:id="1227497424">
      <w:bodyDiv w:val="1"/>
      <w:marLeft w:val="0"/>
      <w:marRight w:val="0"/>
      <w:marTop w:val="0"/>
      <w:marBottom w:val="0"/>
      <w:divBdr>
        <w:top w:val="none" w:sz="0" w:space="0" w:color="auto"/>
        <w:left w:val="none" w:sz="0" w:space="0" w:color="auto"/>
        <w:bottom w:val="none" w:sz="0" w:space="0" w:color="auto"/>
        <w:right w:val="none" w:sz="0" w:space="0" w:color="auto"/>
      </w:divBdr>
    </w:div>
    <w:div w:id="1227759481">
      <w:bodyDiv w:val="1"/>
      <w:marLeft w:val="0"/>
      <w:marRight w:val="0"/>
      <w:marTop w:val="0"/>
      <w:marBottom w:val="0"/>
      <w:divBdr>
        <w:top w:val="none" w:sz="0" w:space="0" w:color="auto"/>
        <w:left w:val="none" w:sz="0" w:space="0" w:color="auto"/>
        <w:bottom w:val="none" w:sz="0" w:space="0" w:color="auto"/>
        <w:right w:val="none" w:sz="0" w:space="0" w:color="auto"/>
      </w:divBdr>
    </w:div>
    <w:div w:id="1228146232">
      <w:bodyDiv w:val="1"/>
      <w:marLeft w:val="0"/>
      <w:marRight w:val="0"/>
      <w:marTop w:val="0"/>
      <w:marBottom w:val="0"/>
      <w:divBdr>
        <w:top w:val="none" w:sz="0" w:space="0" w:color="auto"/>
        <w:left w:val="none" w:sz="0" w:space="0" w:color="auto"/>
        <w:bottom w:val="none" w:sz="0" w:space="0" w:color="auto"/>
        <w:right w:val="none" w:sz="0" w:space="0" w:color="auto"/>
      </w:divBdr>
    </w:div>
    <w:div w:id="1228146537">
      <w:bodyDiv w:val="1"/>
      <w:marLeft w:val="0"/>
      <w:marRight w:val="0"/>
      <w:marTop w:val="0"/>
      <w:marBottom w:val="0"/>
      <w:divBdr>
        <w:top w:val="none" w:sz="0" w:space="0" w:color="auto"/>
        <w:left w:val="none" w:sz="0" w:space="0" w:color="auto"/>
        <w:bottom w:val="none" w:sz="0" w:space="0" w:color="auto"/>
        <w:right w:val="none" w:sz="0" w:space="0" w:color="auto"/>
      </w:divBdr>
    </w:div>
    <w:div w:id="1228951682">
      <w:bodyDiv w:val="1"/>
      <w:marLeft w:val="0"/>
      <w:marRight w:val="0"/>
      <w:marTop w:val="0"/>
      <w:marBottom w:val="0"/>
      <w:divBdr>
        <w:top w:val="none" w:sz="0" w:space="0" w:color="auto"/>
        <w:left w:val="none" w:sz="0" w:space="0" w:color="auto"/>
        <w:bottom w:val="none" w:sz="0" w:space="0" w:color="auto"/>
        <w:right w:val="none" w:sz="0" w:space="0" w:color="auto"/>
      </w:divBdr>
    </w:div>
    <w:div w:id="1230535038">
      <w:bodyDiv w:val="1"/>
      <w:marLeft w:val="0"/>
      <w:marRight w:val="0"/>
      <w:marTop w:val="0"/>
      <w:marBottom w:val="0"/>
      <w:divBdr>
        <w:top w:val="none" w:sz="0" w:space="0" w:color="auto"/>
        <w:left w:val="none" w:sz="0" w:space="0" w:color="auto"/>
        <w:bottom w:val="none" w:sz="0" w:space="0" w:color="auto"/>
        <w:right w:val="none" w:sz="0" w:space="0" w:color="auto"/>
      </w:divBdr>
    </w:div>
    <w:div w:id="1230992362">
      <w:bodyDiv w:val="1"/>
      <w:marLeft w:val="0"/>
      <w:marRight w:val="0"/>
      <w:marTop w:val="0"/>
      <w:marBottom w:val="0"/>
      <w:divBdr>
        <w:top w:val="none" w:sz="0" w:space="0" w:color="auto"/>
        <w:left w:val="none" w:sz="0" w:space="0" w:color="auto"/>
        <w:bottom w:val="none" w:sz="0" w:space="0" w:color="auto"/>
        <w:right w:val="none" w:sz="0" w:space="0" w:color="auto"/>
      </w:divBdr>
    </w:div>
    <w:div w:id="1232931648">
      <w:bodyDiv w:val="1"/>
      <w:marLeft w:val="0"/>
      <w:marRight w:val="0"/>
      <w:marTop w:val="0"/>
      <w:marBottom w:val="0"/>
      <w:divBdr>
        <w:top w:val="none" w:sz="0" w:space="0" w:color="auto"/>
        <w:left w:val="none" w:sz="0" w:space="0" w:color="auto"/>
        <w:bottom w:val="none" w:sz="0" w:space="0" w:color="auto"/>
        <w:right w:val="none" w:sz="0" w:space="0" w:color="auto"/>
      </w:divBdr>
    </w:div>
    <w:div w:id="1233195585">
      <w:bodyDiv w:val="1"/>
      <w:marLeft w:val="0"/>
      <w:marRight w:val="0"/>
      <w:marTop w:val="0"/>
      <w:marBottom w:val="0"/>
      <w:divBdr>
        <w:top w:val="none" w:sz="0" w:space="0" w:color="auto"/>
        <w:left w:val="none" w:sz="0" w:space="0" w:color="auto"/>
        <w:bottom w:val="none" w:sz="0" w:space="0" w:color="auto"/>
        <w:right w:val="none" w:sz="0" w:space="0" w:color="auto"/>
      </w:divBdr>
    </w:div>
    <w:div w:id="1233663833">
      <w:bodyDiv w:val="1"/>
      <w:marLeft w:val="0"/>
      <w:marRight w:val="0"/>
      <w:marTop w:val="0"/>
      <w:marBottom w:val="0"/>
      <w:divBdr>
        <w:top w:val="none" w:sz="0" w:space="0" w:color="auto"/>
        <w:left w:val="none" w:sz="0" w:space="0" w:color="auto"/>
        <w:bottom w:val="none" w:sz="0" w:space="0" w:color="auto"/>
        <w:right w:val="none" w:sz="0" w:space="0" w:color="auto"/>
      </w:divBdr>
    </w:div>
    <w:div w:id="1234319607">
      <w:bodyDiv w:val="1"/>
      <w:marLeft w:val="0"/>
      <w:marRight w:val="0"/>
      <w:marTop w:val="0"/>
      <w:marBottom w:val="0"/>
      <w:divBdr>
        <w:top w:val="none" w:sz="0" w:space="0" w:color="auto"/>
        <w:left w:val="none" w:sz="0" w:space="0" w:color="auto"/>
        <w:bottom w:val="none" w:sz="0" w:space="0" w:color="auto"/>
        <w:right w:val="none" w:sz="0" w:space="0" w:color="auto"/>
      </w:divBdr>
    </w:div>
    <w:div w:id="1234849960">
      <w:bodyDiv w:val="1"/>
      <w:marLeft w:val="0"/>
      <w:marRight w:val="0"/>
      <w:marTop w:val="0"/>
      <w:marBottom w:val="0"/>
      <w:divBdr>
        <w:top w:val="none" w:sz="0" w:space="0" w:color="auto"/>
        <w:left w:val="none" w:sz="0" w:space="0" w:color="auto"/>
        <w:bottom w:val="none" w:sz="0" w:space="0" w:color="auto"/>
        <w:right w:val="none" w:sz="0" w:space="0" w:color="auto"/>
      </w:divBdr>
    </w:div>
    <w:div w:id="1235240275">
      <w:bodyDiv w:val="1"/>
      <w:marLeft w:val="0"/>
      <w:marRight w:val="0"/>
      <w:marTop w:val="0"/>
      <w:marBottom w:val="0"/>
      <w:divBdr>
        <w:top w:val="none" w:sz="0" w:space="0" w:color="auto"/>
        <w:left w:val="none" w:sz="0" w:space="0" w:color="auto"/>
        <w:bottom w:val="none" w:sz="0" w:space="0" w:color="auto"/>
        <w:right w:val="none" w:sz="0" w:space="0" w:color="auto"/>
      </w:divBdr>
    </w:div>
    <w:div w:id="1236624762">
      <w:bodyDiv w:val="1"/>
      <w:marLeft w:val="0"/>
      <w:marRight w:val="0"/>
      <w:marTop w:val="0"/>
      <w:marBottom w:val="0"/>
      <w:divBdr>
        <w:top w:val="none" w:sz="0" w:space="0" w:color="auto"/>
        <w:left w:val="none" w:sz="0" w:space="0" w:color="auto"/>
        <w:bottom w:val="none" w:sz="0" w:space="0" w:color="auto"/>
        <w:right w:val="none" w:sz="0" w:space="0" w:color="auto"/>
      </w:divBdr>
    </w:div>
    <w:div w:id="1236816494">
      <w:bodyDiv w:val="1"/>
      <w:marLeft w:val="0"/>
      <w:marRight w:val="0"/>
      <w:marTop w:val="0"/>
      <w:marBottom w:val="0"/>
      <w:divBdr>
        <w:top w:val="none" w:sz="0" w:space="0" w:color="auto"/>
        <w:left w:val="none" w:sz="0" w:space="0" w:color="auto"/>
        <w:bottom w:val="none" w:sz="0" w:space="0" w:color="auto"/>
        <w:right w:val="none" w:sz="0" w:space="0" w:color="auto"/>
      </w:divBdr>
    </w:div>
    <w:div w:id="1238788505">
      <w:bodyDiv w:val="1"/>
      <w:marLeft w:val="0"/>
      <w:marRight w:val="0"/>
      <w:marTop w:val="0"/>
      <w:marBottom w:val="0"/>
      <w:divBdr>
        <w:top w:val="none" w:sz="0" w:space="0" w:color="auto"/>
        <w:left w:val="none" w:sz="0" w:space="0" w:color="auto"/>
        <w:bottom w:val="none" w:sz="0" w:space="0" w:color="auto"/>
        <w:right w:val="none" w:sz="0" w:space="0" w:color="auto"/>
      </w:divBdr>
    </w:div>
    <w:div w:id="1239091972">
      <w:bodyDiv w:val="1"/>
      <w:marLeft w:val="0"/>
      <w:marRight w:val="0"/>
      <w:marTop w:val="0"/>
      <w:marBottom w:val="0"/>
      <w:divBdr>
        <w:top w:val="none" w:sz="0" w:space="0" w:color="auto"/>
        <w:left w:val="none" w:sz="0" w:space="0" w:color="auto"/>
        <w:bottom w:val="none" w:sz="0" w:space="0" w:color="auto"/>
        <w:right w:val="none" w:sz="0" w:space="0" w:color="auto"/>
      </w:divBdr>
    </w:div>
    <w:div w:id="1239632540">
      <w:bodyDiv w:val="1"/>
      <w:marLeft w:val="0"/>
      <w:marRight w:val="0"/>
      <w:marTop w:val="0"/>
      <w:marBottom w:val="0"/>
      <w:divBdr>
        <w:top w:val="none" w:sz="0" w:space="0" w:color="auto"/>
        <w:left w:val="none" w:sz="0" w:space="0" w:color="auto"/>
        <w:bottom w:val="none" w:sz="0" w:space="0" w:color="auto"/>
        <w:right w:val="none" w:sz="0" w:space="0" w:color="auto"/>
      </w:divBdr>
    </w:div>
    <w:div w:id="1239633977">
      <w:bodyDiv w:val="1"/>
      <w:marLeft w:val="0"/>
      <w:marRight w:val="0"/>
      <w:marTop w:val="0"/>
      <w:marBottom w:val="0"/>
      <w:divBdr>
        <w:top w:val="none" w:sz="0" w:space="0" w:color="auto"/>
        <w:left w:val="none" w:sz="0" w:space="0" w:color="auto"/>
        <w:bottom w:val="none" w:sz="0" w:space="0" w:color="auto"/>
        <w:right w:val="none" w:sz="0" w:space="0" w:color="auto"/>
      </w:divBdr>
    </w:div>
    <w:div w:id="1239824788">
      <w:bodyDiv w:val="1"/>
      <w:marLeft w:val="0"/>
      <w:marRight w:val="0"/>
      <w:marTop w:val="0"/>
      <w:marBottom w:val="0"/>
      <w:divBdr>
        <w:top w:val="none" w:sz="0" w:space="0" w:color="auto"/>
        <w:left w:val="none" w:sz="0" w:space="0" w:color="auto"/>
        <w:bottom w:val="none" w:sz="0" w:space="0" w:color="auto"/>
        <w:right w:val="none" w:sz="0" w:space="0" w:color="auto"/>
      </w:divBdr>
    </w:div>
    <w:div w:id="1239906633">
      <w:bodyDiv w:val="1"/>
      <w:marLeft w:val="0"/>
      <w:marRight w:val="0"/>
      <w:marTop w:val="0"/>
      <w:marBottom w:val="0"/>
      <w:divBdr>
        <w:top w:val="none" w:sz="0" w:space="0" w:color="auto"/>
        <w:left w:val="none" w:sz="0" w:space="0" w:color="auto"/>
        <w:bottom w:val="none" w:sz="0" w:space="0" w:color="auto"/>
        <w:right w:val="none" w:sz="0" w:space="0" w:color="auto"/>
      </w:divBdr>
    </w:div>
    <w:div w:id="1239941253">
      <w:bodyDiv w:val="1"/>
      <w:marLeft w:val="0"/>
      <w:marRight w:val="0"/>
      <w:marTop w:val="0"/>
      <w:marBottom w:val="0"/>
      <w:divBdr>
        <w:top w:val="none" w:sz="0" w:space="0" w:color="auto"/>
        <w:left w:val="none" w:sz="0" w:space="0" w:color="auto"/>
        <w:bottom w:val="none" w:sz="0" w:space="0" w:color="auto"/>
        <w:right w:val="none" w:sz="0" w:space="0" w:color="auto"/>
      </w:divBdr>
    </w:div>
    <w:div w:id="1241063462">
      <w:bodyDiv w:val="1"/>
      <w:marLeft w:val="0"/>
      <w:marRight w:val="0"/>
      <w:marTop w:val="0"/>
      <w:marBottom w:val="0"/>
      <w:divBdr>
        <w:top w:val="none" w:sz="0" w:space="0" w:color="auto"/>
        <w:left w:val="none" w:sz="0" w:space="0" w:color="auto"/>
        <w:bottom w:val="none" w:sz="0" w:space="0" w:color="auto"/>
        <w:right w:val="none" w:sz="0" w:space="0" w:color="auto"/>
      </w:divBdr>
    </w:div>
    <w:div w:id="1241331103">
      <w:bodyDiv w:val="1"/>
      <w:marLeft w:val="0"/>
      <w:marRight w:val="0"/>
      <w:marTop w:val="0"/>
      <w:marBottom w:val="0"/>
      <w:divBdr>
        <w:top w:val="none" w:sz="0" w:space="0" w:color="auto"/>
        <w:left w:val="none" w:sz="0" w:space="0" w:color="auto"/>
        <w:bottom w:val="none" w:sz="0" w:space="0" w:color="auto"/>
        <w:right w:val="none" w:sz="0" w:space="0" w:color="auto"/>
      </w:divBdr>
    </w:div>
    <w:div w:id="1241335272">
      <w:bodyDiv w:val="1"/>
      <w:marLeft w:val="0"/>
      <w:marRight w:val="0"/>
      <w:marTop w:val="0"/>
      <w:marBottom w:val="0"/>
      <w:divBdr>
        <w:top w:val="none" w:sz="0" w:space="0" w:color="auto"/>
        <w:left w:val="none" w:sz="0" w:space="0" w:color="auto"/>
        <w:bottom w:val="none" w:sz="0" w:space="0" w:color="auto"/>
        <w:right w:val="none" w:sz="0" w:space="0" w:color="auto"/>
      </w:divBdr>
    </w:div>
    <w:div w:id="1241717542">
      <w:bodyDiv w:val="1"/>
      <w:marLeft w:val="0"/>
      <w:marRight w:val="0"/>
      <w:marTop w:val="0"/>
      <w:marBottom w:val="0"/>
      <w:divBdr>
        <w:top w:val="none" w:sz="0" w:space="0" w:color="auto"/>
        <w:left w:val="none" w:sz="0" w:space="0" w:color="auto"/>
        <w:bottom w:val="none" w:sz="0" w:space="0" w:color="auto"/>
        <w:right w:val="none" w:sz="0" w:space="0" w:color="auto"/>
      </w:divBdr>
    </w:div>
    <w:div w:id="1242567551">
      <w:bodyDiv w:val="1"/>
      <w:marLeft w:val="0"/>
      <w:marRight w:val="0"/>
      <w:marTop w:val="0"/>
      <w:marBottom w:val="0"/>
      <w:divBdr>
        <w:top w:val="none" w:sz="0" w:space="0" w:color="auto"/>
        <w:left w:val="none" w:sz="0" w:space="0" w:color="auto"/>
        <w:bottom w:val="none" w:sz="0" w:space="0" w:color="auto"/>
        <w:right w:val="none" w:sz="0" w:space="0" w:color="auto"/>
      </w:divBdr>
    </w:div>
    <w:div w:id="1242712677">
      <w:bodyDiv w:val="1"/>
      <w:marLeft w:val="0"/>
      <w:marRight w:val="0"/>
      <w:marTop w:val="0"/>
      <w:marBottom w:val="0"/>
      <w:divBdr>
        <w:top w:val="none" w:sz="0" w:space="0" w:color="auto"/>
        <w:left w:val="none" w:sz="0" w:space="0" w:color="auto"/>
        <w:bottom w:val="none" w:sz="0" w:space="0" w:color="auto"/>
        <w:right w:val="none" w:sz="0" w:space="0" w:color="auto"/>
      </w:divBdr>
    </w:div>
    <w:div w:id="1242760255">
      <w:bodyDiv w:val="1"/>
      <w:marLeft w:val="0"/>
      <w:marRight w:val="0"/>
      <w:marTop w:val="0"/>
      <w:marBottom w:val="0"/>
      <w:divBdr>
        <w:top w:val="none" w:sz="0" w:space="0" w:color="auto"/>
        <w:left w:val="none" w:sz="0" w:space="0" w:color="auto"/>
        <w:bottom w:val="none" w:sz="0" w:space="0" w:color="auto"/>
        <w:right w:val="none" w:sz="0" w:space="0" w:color="auto"/>
      </w:divBdr>
    </w:div>
    <w:div w:id="1242762760">
      <w:bodyDiv w:val="1"/>
      <w:marLeft w:val="0"/>
      <w:marRight w:val="0"/>
      <w:marTop w:val="0"/>
      <w:marBottom w:val="0"/>
      <w:divBdr>
        <w:top w:val="none" w:sz="0" w:space="0" w:color="auto"/>
        <w:left w:val="none" w:sz="0" w:space="0" w:color="auto"/>
        <w:bottom w:val="none" w:sz="0" w:space="0" w:color="auto"/>
        <w:right w:val="none" w:sz="0" w:space="0" w:color="auto"/>
      </w:divBdr>
    </w:div>
    <w:div w:id="1242906921">
      <w:bodyDiv w:val="1"/>
      <w:marLeft w:val="0"/>
      <w:marRight w:val="0"/>
      <w:marTop w:val="0"/>
      <w:marBottom w:val="0"/>
      <w:divBdr>
        <w:top w:val="none" w:sz="0" w:space="0" w:color="auto"/>
        <w:left w:val="none" w:sz="0" w:space="0" w:color="auto"/>
        <w:bottom w:val="none" w:sz="0" w:space="0" w:color="auto"/>
        <w:right w:val="none" w:sz="0" w:space="0" w:color="auto"/>
      </w:divBdr>
    </w:div>
    <w:div w:id="1242909489">
      <w:bodyDiv w:val="1"/>
      <w:marLeft w:val="0"/>
      <w:marRight w:val="0"/>
      <w:marTop w:val="0"/>
      <w:marBottom w:val="0"/>
      <w:divBdr>
        <w:top w:val="none" w:sz="0" w:space="0" w:color="auto"/>
        <w:left w:val="none" w:sz="0" w:space="0" w:color="auto"/>
        <w:bottom w:val="none" w:sz="0" w:space="0" w:color="auto"/>
        <w:right w:val="none" w:sz="0" w:space="0" w:color="auto"/>
      </w:divBdr>
    </w:div>
    <w:div w:id="1243417054">
      <w:bodyDiv w:val="1"/>
      <w:marLeft w:val="0"/>
      <w:marRight w:val="0"/>
      <w:marTop w:val="0"/>
      <w:marBottom w:val="0"/>
      <w:divBdr>
        <w:top w:val="none" w:sz="0" w:space="0" w:color="auto"/>
        <w:left w:val="none" w:sz="0" w:space="0" w:color="auto"/>
        <w:bottom w:val="none" w:sz="0" w:space="0" w:color="auto"/>
        <w:right w:val="none" w:sz="0" w:space="0" w:color="auto"/>
      </w:divBdr>
    </w:div>
    <w:div w:id="1244341140">
      <w:bodyDiv w:val="1"/>
      <w:marLeft w:val="0"/>
      <w:marRight w:val="0"/>
      <w:marTop w:val="0"/>
      <w:marBottom w:val="0"/>
      <w:divBdr>
        <w:top w:val="none" w:sz="0" w:space="0" w:color="auto"/>
        <w:left w:val="none" w:sz="0" w:space="0" w:color="auto"/>
        <w:bottom w:val="none" w:sz="0" w:space="0" w:color="auto"/>
        <w:right w:val="none" w:sz="0" w:space="0" w:color="auto"/>
      </w:divBdr>
    </w:div>
    <w:div w:id="1244409510">
      <w:bodyDiv w:val="1"/>
      <w:marLeft w:val="0"/>
      <w:marRight w:val="0"/>
      <w:marTop w:val="0"/>
      <w:marBottom w:val="0"/>
      <w:divBdr>
        <w:top w:val="none" w:sz="0" w:space="0" w:color="auto"/>
        <w:left w:val="none" w:sz="0" w:space="0" w:color="auto"/>
        <w:bottom w:val="none" w:sz="0" w:space="0" w:color="auto"/>
        <w:right w:val="none" w:sz="0" w:space="0" w:color="auto"/>
      </w:divBdr>
    </w:div>
    <w:div w:id="1245141297">
      <w:bodyDiv w:val="1"/>
      <w:marLeft w:val="0"/>
      <w:marRight w:val="0"/>
      <w:marTop w:val="0"/>
      <w:marBottom w:val="0"/>
      <w:divBdr>
        <w:top w:val="none" w:sz="0" w:space="0" w:color="auto"/>
        <w:left w:val="none" w:sz="0" w:space="0" w:color="auto"/>
        <w:bottom w:val="none" w:sz="0" w:space="0" w:color="auto"/>
        <w:right w:val="none" w:sz="0" w:space="0" w:color="auto"/>
      </w:divBdr>
    </w:div>
    <w:div w:id="1245460257">
      <w:bodyDiv w:val="1"/>
      <w:marLeft w:val="0"/>
      <w:marRight w:val="0"/>
      <w:marTop w:val="0"/>
      <w:marBottom w:val="0"/>
      <w:divBdr>
        <w:top w:val="none" w:sz="0" w:space="0" w:color="auto"/>
        <w:left w:val="none" w:sz="0" w:space="0" w:color="auto"/>
        <w:bottom w:val="none" w:sz="0" w:space="0" w:color="auto"/>
        <w:right w:val="none" w:sz="0" w:space="0" w:color="auto"/>
      </w:divBdr>
    </w:div>
    <w:div w:id="1246648882">
      <w:bodyDiv w:val="1"/>
      <w:marLeft w:val="0"/>
      <w:marRight w:val="0"/>
      <w:marTop w:val="0"/>
      <w:marBottom w:val="0"/>
      <w:divBdr>
        <w:top w:val="none" w:sz="0" w:space="0" w:color="auto"/>
        <w:left w:val="none" w:sz="0" w:space="0" w:color="auto"/>
        <w:bottom w:val="none" w:sz="0" w:space="0" w:color="auto"/>
        <w:right w:val="none" w:sz="0" w:space="0" w:color="auto"/>
      </w:divBdr>
    </w:div>
    <w:div w:id="1246838887">
      <w:bodyDiv w:val="1"/>
      <w:marLeft w:val="0"/>
      <w:marRight w:val="0"/>
      <w:marTop w:val="0"/>
      <w:marBottom w:val="0"/>
      <w:divBdr>
        <w:top w:val="none" w:sz="0" w:space="0" w:color="auto"/>
        <w:left w:val="none" w:sz="0" w:space="0" w:color="auto"/>
        <w:bottom w:val="none" w:sz="0" w:space="0" w:color="auto"/>
        <w:right w:val="none" w:sz="0" w:space="0" w:color="auto"/>
      </w:divBdr>
    </w:div>
    <w:div w:id="1247346916">
      <w:bodyDiv w:val="1"/>
      <w:marLeft w:val="0"/>
      <w:marRight w:val="0"/>
      <w:marTop w:val="0"/>
      <w:marBottom w:val="0"/>
      <w:divBdr>
        <w:top w:val="none" w:sz="0" w:space="0" w:color="auto"/>
        <w:left w:val="none" w:sz="0" w:space="0" w:color="auto"/>
        <w:bottom w:val="none" w:sz="0" w:space="0" w:color="auto"/>
        <w:right w:val="none" w:sz="0" w:space="0" w:color="auto"/>
      </w:divBdr>
    </w:div>
    <w:div w:id="1247423054">
      <w:bodyDiv w:val="1"/>
      <w:marLeft w:val="0"/>
      <w:marRight w:val="0"/>
      <w:marTop w:val="0"/>
      <w:marBottom w:val="0"/>
      <w:divBdr>
        <w:top w:val="none" w:sz="0" w:space="0" w:color="auto"/>
        <w:left w:val="none" w:sz="0" w:space="0" w:color="auto"/>
        <w:bottom w:val="none" w:sz="0" w:space="0" w:color="auto"/>
        <w:right w:val="none" w:sz="0" w:space="0" w:color="auto"/>
      </w:divBdr>
    </w:div>
    <w:div w:id="1247574587">
      <w:bodyDiv w:val="1"/>
      <w:marLeft w:val="0"/>
      <w:marRight w:val="0"/>
      <w:marTop w:val="0"/>
      <w:marBottom w:val="0"/>
      <w:divBdr>
        <w:top w:val="none" w:sz="0" w:space="0" w:color="auto"/>
        <w:left w:val="none" w:sz="0" w:space="0" w:color="auto"/>
        <w:bottom w:val="none" w:sz="0" w:space="0" w:color="auto"/>
        <w:right w:val="none" w:sz="0" w:space="0" w:color="auto"/>
      </w:divBdr>
    </w:div>
    <w:div w:id="1247960931">
      <w:bodyDiv w:val="1"/>
      <w:marLeft w:val="0"/>
      <w:marRight w:val="0"/>
      <w:marTop w:val="0"/>
      <w:marBottom w:val="0"/>
      <w:divBdr>
        <w:top w:val="none" w:sz="0" w:space="0" w:color="auto"/>
        <w:left w:val="none" w:sz="0" w:space="0" w:color="auto"/>
        <w:bottom w:val="none" w:sz="0" w:space="0" w:color="auto"/>
        <w:right w:val="none" w:sz="0" w:space="0" w:color="auto"/>
      </w:divBdr>
    </w:div>
    <w:div w:id="1248005236">
      <w:bodyDiv w:val="1"/>
      <w:marLeft w:val="0"/>
      <w:marRight w:val="0"/>
      <w:marTop w:val="0"/>
      <w:marBottom w:val="0"/>
      <w:divBdr>
        <w:top w:val="none" w:sz="0" w:space="0" w:color="auto"/>
        <w:left w:val="none" w:sz="0" w:space="0" w:color="auto"/>
        <w:bottom w:val="none" w:sz="0" w:space="0" w:color="auto"/>
        <w:right w:val="none" w:sz="0" w:space="0" w:color="auto"/>
      </w:divBdr>
    </w:div>
    <w:div w:id="1248078249">
      <w:bodyDiv w:val="1"/>
      <w:marLeft w:val="0"/>
      <w:marRight w:val="0"/>
      <w:marTop w:val="0"/>
      <w:marBottom w:val="0"/>
      <w:divBdr>
        <w:top w:val="none" w:sz="0" w:space="0" w:color="auto"/>
        <w:left w:val="none" w:sz="0" w:space="0" w:color="auto"/>
        <w:bottom w:val="none" w:sz="0" w:space="0" w:color="auto"/>
        <w:right w:val="none" w:sz="0" w:space="0" w:color="auto"/>
      </w:divBdr>
    </w:div>
    <w:div w:id="1248268686">
      <w:bodyDiv w:val="1"/>
      <w:marLeft w:val="0"/>
      <w:marRight w:val="0"/>
      <w:marTop w:val="0"/>
      <w:marBottom w:val="0"/>
      <w:divBdr>
        <w:top w:val="none" w:sz="0" w:space="0" w:color="auto"/>
        <w:left w:val="none" w:sz="0" w:space="0" w:color="auto"/>
        <w:bottom w:val="none" w:sz="0" w:space="0" w:color="auto"/>
        <w:right w:val="none" w:sz="0" w:space="0" w:color="auto"/>
      </w:divBdr>
    </w:div>
    <w:div w:id="1248342548">
      <w:bodyDiv w:val="1"/>
      <w:marLeft w:val="0"/>
      <w:marRight w:val="0"/>
      <w:marTop w:val="0"/>
      <w:marBottom w:val="0"/>
      <w:divBdr>
        <w:top w:val="none" w:sz="0" w:space="0" w:color="auto"/>
        <w:left w:val="none" w:sz="0" w:space="0" w:color="auto"/>
        <w:bottom w:val="none" w:sz="0" w:space="0" w:color="auto"/>
        <w:right w:val="none" w:sz="0" w:space="0" w:color="auto"/>
      </w:divBdr>
    </w:div>
    <w:div w:id="1248923246">
      <w:bodyDiv w:val="1"/>
      <w:marLeft w:val="0"/>
      <w:marRight w:val="0"/>
      <w:marTop w:val="0"/>
      <w:marBottom w:val="0"/>
      <w:divBdr>
        <w:top w:val="none" w:sz="0" w:space="0" w:color="auto"/>
        <w:left w:val="none" w:sz="0" w:space="0" w:color="auto"/>
        <w:bottom w:val="none" w:sz="0" w:space="0" w:color="auto"/>
        <w:right w:val="none" w:sz="0" w:space="0" w:color="auto"/>
      </w:divBdr>
    </w:div>
    <w:div w:id="1249732621">
      <w:bodyDiv w:val="1"/>
      <w:marLeft w:val="0"/>
      <w:marRight w:val="0"/>
      <w:marTop w:val="0"/>
      <w:marBottom w:val="0"/>
      <w:divBdr>
        <w:top w:val="none" w:sz="0" w:space="0" w:color="auto"/>
        <w:left w:val="none" w:sz="0" w:space="0" w:color="auto"/>
        <w:bottom w:val="none" w:sz="0" w:space="0" w:color="auto"/>
        <w:right w:val="none" w:sz="0" w:space="0" w:color="auto"/>
      </w:divBdr>
    </w:div>
    <w:div w:id="1250188841">
      <w:bodyDiv w:val="1"/>
      <w:marLeft w:val="0"/>
      <w:marRight w:val="0"/>
      <w:marTop w:val="0"/>
      <w:marBottom w:val="0"/>
      <w:divBdr>
        <w:top w:val="none" w:sz="0" w:space="0" w:color="auto"/>
        <w:left w:val="none" w:sz="0" w:space="0" w:color="auto"/>
        <w:bottom w:val="none" w:sz="0" w:space="0" w:color="auto"/>
        <w:right w:val="none" w:sz="0" w:space="0" w:color="auto"/>
      </w:divBdr>
    </w:div>
    <w:div w:id="1250502010">
      <w:bodyDiv w:val="1"/>
      <w:marLeft w:val="0"/>
      <w:marRight w:val="0"/>
      <w:marTop w:val="0"/>
      <w:marBottom w:val="0"/>
      <w:divBdr>
        <w:top w:val="none" w:sz="0" w:space="0" w:color="auto"/>
        <w:left w:val="none" w:sz="0" w:space="0" w:color="auto"/>
        <w:bottom w:val="none" w:sz="0" w:space="0" w:color="auto"/>
        <w:right w:val="none" w:sz="0" w:space="0" w:color="auto"/>
      </w:divBdr>
    </w:div>
    <w:div w:id="1250887237">
      <w:bodyDiv w:val="1"/>
      <w:marLeft w:val="0"/>
      <w:marRight w:val="0"/>
      <w:marTop w:val="0"/>
      <w:marBottom w:val="0"/>
      <w:divBdr>
        <w:top w:val="none" w:sz="0" w:space="0" w:color="auto"/>
        <w:left w:val="none" w:sz="0" w:space="0" w:color="auto"/>
        <w:bottom w:val="none" w:sz="0" w:space="0" w:color="auto"/>
        <w:right w:val="none" w:sz="0" w:space="0" w:color="auto"/>
      </w:divBdr>
    </w:div>
    <w:div w:id="1250964003">
      <w:bodyDiv w:val="1"/>
      <w:marLeft w:val="0"/>
      <w:marRight w:val="0"/>
      <w:marTop w:val="0"/>
      <w:marBottom w:val="0"/>
      <w:divBdr>
        <w:top w:val="none" w:sz="0" w:space="0" w:color="auto"/>
        <w:left w:val="none" w:sz="0" w:space="0" w:color="auto"/>
        <w:bottom w:val="none" w:sz="0" w:space="0" w:color="auto"/>
        <w:right w:val="none" w:sz="0" w:space="0" w:color="auto"/>
      </w:divBdr>
    </w:div>
    <w:div w:id="1251040531">
      <w:bodyDiv w:val="1"/>
      <w:marLeft w:val="0"/>
      <w:marRight w:val="0"/>
      <w:marTop w:val="0"/>
      <w:marBottom w:val="0"/>
      <w:divBdr>
        <w:top w:val="none" w:sz="0" w:space="0" w:color="auto"/>
        <w:left w:val="none" w:sz="0" w:space="0" w:color="auto"/>
        <w:bottom w:val="none" w:sz="0" w:space="0" w:color="auto"/>
        <w:right w:val="none" w:sz="0" w:space="0" w:color="auto"/>
      </w:divBdr>
    </w:div>
    <w:div w:id="1251701123">
      <w:bodyDiv w:val="1"/>
      <w:marLeft w:val="0"/>
      <w:marRight w:val="0"/>
      <w:marTop w:val="0"/>
      <w:marBottom w:val="0"/>
      <w:divBdr>
        <w:top w:val="none" w:sz="0" w:space="0" w:color="auto"/>
        <w:left w:val="none" w:sz="0" w:space="0" w:color="auto"/>
        <w:bottom w:val="none" w:sz="0" w:space="0" w:color="auto"/>
        <w:right w:val="none" w:sz="0" w:space="0" w:color="auto"/>
      </w:divBdr>
    </w:div>
    <w:div w:id="1251966207">
      <w:bodyDiv w:val="1"/>
      <w:marLeft w:val="0"/>
      <w:marRight w:val="0"/>
      <w:marTop w:val="0"/>
      <w:marBottom w:val="0"/>
      <w:divBdr>
        <w:top w:val="none" w:sz="0" w:space="0" w:color="auto"/>
        <w:left w:val="none" w:sz="0" w:space="0" w:color="auto"/>
        <w:bottom w:val="none" w:sz="0" w:space="0" w:color="auto"/>
        <w:right w:val="none" w:sz="0" w:space="0" w:color="auto"/>
      </w:divBdr>
    </w:div>
    <w:div w:id="1252465460">
      <w:bodyDiv w:val="1"/>
      <w:marLeft w:val="0"/>
      <w:marRight w:val="0"/>
      <w:marTop w:val="0"/>
      <w:marBottom w:val="0"/>
      <w:divBdr>
        <w:top w:val="none" w:sz="0" w:space="0" w:color="auto"/>
        <w:left w:val="none" w:sz="0" w:space="0" w:color="auto"/>
        <w:bottom w:val="none" w:sz="0" w:space="0" w:color="auto"/>
        <w:right w:val="none" w:sz="0" w:space="0" w:color="auto"/>
      </w:divBdr>
    </w:div>
    <w:div w:id="1252934325">
      <w:bodyDiv w:val="1"/>
      <w:marLeft w:val="0"/>
      <w:marRight w:val="0"/>
      <w:marTop w:val="0"/>
      <w:marBottom w:val="0"/>
      <w:divBdr>
        <w:top w:val="none" w:sz="0" w:space="0" w:color="auto"/>
        <w:left w:val="none" w:sz="0" w:space="0" w:color="auto"/>
        <w:bottom w:val="none" w:sz="0" w:space="0" w:color="auto"/>
        <w:right w:val="none" w:sz="0" w:space="0" w:color="auto"/>
      </w:divBdr>
    </w:div>
    <w:div w:id="1253248109">
      <w:bodyDiv w:val="1"/>
      <w:marLeft w:val="0"/>
      <w:marRight w:val="0"/>
      <w:marTop w:val="0"/>
      <w:marBottom w:val="0"/>
      <w:divBdr>
        <w:top w:val="none" w:sz="0" w:space="0" w:color="auto"/>
        <w:left w:val="none" w:sz="0" w:space="0" w:color="auto"/>
        <w:bottom w:val="none" w:sz="0" w:space="0" w:color="auto"/>
        <w:right w:val="none" w:sz="0" w:space="0" w:color="auto"/>
      </w:divBdr>
    </w:div>
    <w:div w:id="1253902225">
      <w:bodyDiv w:val="1"/>
      <w:marLeft w:val="0"/>
      <w:marRight w:val="0"/>
      <w:marTop w:val="0"/>
      <w:marBottom w:val="0"/>
      <w:divBdr>
        <w:top w:val="none" w:sz="0" w:space="0" w:color="auto"/>
        <w:left w:val="none" w:sz="0" w:space="0" w:color="auto"/>
        <w:bottom w:val="none" w:sz="0" w:space="0" w:color="auto"/>
        <w:right w:val="none" w:sz="0" w:space="0" w:color="auto"/>
      </w:divBdr>
    </w:div>
    <w:div w:id="1254168417">
      <w:bodyDiv w:val="1"/>
      <w:marLeft w:val="0"/>
      <w:marRight w:val="0"/>
      <w:marTop w:val="0"/>
      <w:marBottom w:val="0"/>
      <w:divBdr>
        <w:top w:val="none" w:sz="0" w:space="0" w:color="auto"/>
        <w:left w:val="none" w:sz="0" w:space="0" w:color="auto"/>
        <w:bottom w:val="none" w:sz="0" w:space="0" w:color="auto"/>
        <w:right w:val="none" w:sz="0" w:space="0" w:color="auto"/>
      </w:divBdr>
    </w:div>
    <w:div w:id="1254315691">
      <w:bodyDiv w:val="1"/>
      <w:marLeft w:val="0"/>
      <w:marRight w:val="0"/>
      <w:marTop w:val="0"/>
      <w:marBottom w:val="0"/>
      <w:divBdr>
        <w:top w:val="none" w:sz="0" w:space="0" w:color="auto"/>
        <w:left w:val="none" w:sz="0" w:space="0" w:color="auto"/>
        <w:bottom w:val="none" w:sz="0" w:space="0" w:color="auto"/>
        <w:right w:val="none" w:sz="0" w:space="0" w:color="auto"/>
      </w:divBdr>
    </w:div>
    <w:div w:id="1255016375">
      <w:bodyDiv w:val="1"/>
      <w:marLeft w:val="0"/>
      <w:marRight w:val="0"/>
      <w:marTop w:val="0"/>
      <w:marBottom w:val="0"/>
      <w:divBdr>
        <w:top w:val="none" w:sz="0" w:space="0" w:color="auto"/>
        <w:left w:val="none" w:sz="0" w:space="0" w:color="auto"/>
        <w:bottom w:val="none" w:sz="0" w:space="0" w:color="auto"/>
        <w:right w:val="none" w:sz="0" w:space="0" w:color="auto"/>
      </w:divBdr>
    </w:div>
    <w:div w:id="1255164186">
      <w:bodyDiv w:val="1"/>
      <w:marLeft w:val="0"/>
      <w:marRight w:val="0"/>
      <w:marTop w:val="0"/>
      <w:marBottom w:val="0"/>
      <w:divBdr>
        <w:top w:val="none" w:sz="0" w:space="0" w:color="auto"/>
        <w:left w:val="none" w:sz="0" w:space="0" w:color="auto"/>
        <w:bottom w:val="none" w:sz="0" w:space="0" w:color="auto"/>
        <w:right w:val="none" w:sz="0" w:space="0" w:color="auto"/>
      </w:divBdr>
    </w:div>
    <w:div w:id="1255553987">
      <w:bodyDiv w:val="1"/>
      <w:marLeft w:val="0"/>
      <w:marRight w:val="0"/>
      <w:marTop w:val="0"/>
      <w:marBottom w:val="0"/>
      <w:divBdr>
        <w:top w:val="none" w:sz="0" w:space="0" w:color="auto"/>
        <w:left w:val="none" w:sz="0" w:space="0" w:color="auto"/>
        <w:bottom w:val="none" w:sz="0" w:space="0" w:color="auto"/>
        <w:right w:val="none" w:sz="0" w:space="0" w:color="auto"/>
      </w:divBdr>
    </w:div>
    <w:div w:id="1255824909">
      <w:bodyDiv w:val="1"/>
      <w:marLeft w:val="0"/>
      <w:marRight w:val="0"/>
      <w:marTop w:val="0"/>
      <w:marBottom w:val="0"/>
      <w:divBdr>
        <w:top w:val="none" w:sz="0" w:space="0" w:color="auto"/>
        <w:left w:val="none" w:sz="0" w:space="0" w:color="auto"/>
        <w:bottom w:val="none" w:sz="0" w:space="0" w:color="auto"/>
        <w:right w:val="none" w:sz="0" w:space="0" w:color="auto"/>
      </w:divBdr>
    </w:div>
    <w:div w:id="1256280325">
      <w:bodyDiv w:val="1"/>
      <w:marLeft w:val="0"/>
      <w:marRight w:val="0"/>
      <w:marTop w:val="0"/>
      <w:marBottom w:val="0"/>
      <w:divBdr>
        <w:top w:val="none" w:sz="0" w:space="0" w:color="auto"/>
        <w:left w:val="none" w:sz="0" w:space="0" w:color="auto"/>
        <w:bottom w:val="none" w:sz="0" w:space="0" w:color="auto"/>
        <w:right w:val="none" w:sz="0" w:space="0" w:color="auto"/>
      </w:divBdr>
    </w:div>
    <w:div w:id="1256523128">
      <w:bodyDiv w:val="1"/>
      <w:marLeft w:val="0"/>
      <w:marRight w:val="0"/>
      <w:marTop w:val="0"/>
      <w:marBottom w:val="0"/>
      <w:divBdr>
        <w:top w:val="none" w:sz="0" w:space="0" w:color="auto"/>
        <w:left w:val="none" w:sz="0" w:space="0" w:color="auto"/>
        <w:bottom w:val="none" w:sz="0" w:space="0" w:color="auto"/>
        <w:right w:val="none" w:sz="0" w:space="0" w:color="auto"/>
      </w:divBdr>
    </w:div>
    <w:div w:id="1257247785">
      <w:bodyDiv w:val="1"/>
      <w:marLeft w:val="0"/>
      <w:marRight w:val="0"/>
      <w:marTop w:val="0"/>
      <w:marBottom w:val="0"/>
      <w:divBdr>
        <w:top w:val="none" w:sz="0" w:space="0" w:color="auto"/>
        <w:left w:val="none" w:sz="0" w:space="0" w:color="auto"/>
        <w:bottom w:val="none" w:sz="0" w:space="0" w:color="auto"/>
        <w:right w:val="none" w:sz="0" w:space="0" w:color="auto"/>
      </w:divBdr>
    </w:div>
    <w:div w:id="1257440206">
      <w:bodyDiv w:val="1"/>
      <w:marLeft w:val="0"/>
      <w:marRight w:val="0"/>
      <w:marTop w:val="0"/>
      <w:marBottom w:val="0"/>
      <w:divBdr>
        <w:top w:val="none" w:sz="0" w:space="0" w:color="auto"/>
        <w:left w:val="none" w:sz="0" w:space="0" w:color="auto"/>
        <w:bottom w:val="none" w:sz="0" w:space="0" w:color="auto"/>
        <w:right w:val="none" w:sz="0" w:space="0" w:color="auto"/>
      </w:divBdr>
    </w:div>
    <w:div w:id="1257522446">
      <w:bodyDiv w:val="1"/>
      <w:marLeft w:val="0"/>
      <w:marRight w:val="0"/>
      <w:marTop w:val="0"/>
      <w:marBottom w:val="0"/>
      <w:divBdr>
        <w:top w:val="none" w:sz="0" w:space="0" w:color="auto"/>
        <w:left w:val="none" w:sz="0" w:space="0" w:color="auto"/>
        <w:bottom w:val="none" w:sz="0" w:space="0" w:color="auto"/>
        <w:right w:val="none" w:sz="0" w:space="0" w:color="auto"/>
      </w:divBdr>
    </w:div>
    <w:div w:id="1257832702">
      <w:bodyDiv w:val="1"/>
      <w:marLeft w:val="0"/>
      <w:marRight w:val="0"/>
      <w:marTop w:val="0"/>
      <w:marBottom w:val="0"/>
      <w:divBdr>
        <w:top w:val="none" w:sz="0" w:space="0" w:color="auto"/>
        <w:left w:val="none" w:sz="0" w:space="0" w:color="auto"/>
        <w:bottom w:val="none" w:sz="0" w:space="0" w:color="auto"/>
        <w:right w:val="none" w:sz="0" w:space="0" w:color="auto"/>
      </w:divBdr>
    </w:div>
    <w:div w:id="1257909313">
      <w:bodyDiv w:val="1"/>
      <w:marLeft w:val="0"/>
      <w:marRight w:val="0"/>
      <w:marTop w:val="0"/>
      <w:marBottom w:val="0"/>
      <w:divBdr>
        <w:top w:val="none" w:sz="0" w:space="0" w:color="auto"/>
        <w:left w:val="none" w:sz="0" w:space="0" w:color="auto"/>
        <w:bottom w:val="none" w:sz="0" w:space="0" w:color="auto"/>
        <w:right w:val="none" w:sz="0" w:space="0" w:color="auto"/>
      </w:divBdr>
    </w:div>
    <w:div w:id="1258058365">
      <w:bodyDiv w:val="1"/>
      <w:marLeft w:val="0"/>
      <w:marRight w:val="0"/>
      <w:marTop w:val="0"/>
      <w:marBottom w:val="0"/>
      <w:divBdr>
        <w:top w:val="none" w:sz="0" w:space="0" w:color="auto"/>
        <w:left w:val="none" w:sz="0" w:space="0" w:color="auto"/>
        <w:bottom w:val="none" w:sz="0" w:space="0" w:color="auto"/>
        <w:right w:val="none" w:sz="0" w:space="0" w:color="auto"/>
      </w:divBdr>
    </w:div>
    <w:div w:id="1258323916">
      <w:bodyDiv w:val="1"/>
      <w:marLeft w:val="0"/>
      <w:marRight w:val="0"/>
      <w:marTop w:val="0"/>
      <w:marBottom w:val="0"/>
      <w:divBdr>
        <w:top w:val="none" w:sz="0" w:space="0" w:color="auto"/>
        <w:left w:val="none" w:sz="0" w:space="0" w:color="auto"/>
        <w:bottom w:val="none" w:sz="0" w:space="0" w:color="auto"/>
        <w:right w:val="none" w:sz="0" w:space="0" w:color="auto"/>
      </w:divBdr>
    </w:div>
    <w:div w:id="1258371021">
      <w:bodyDiv w:val="1"/>
      <w:marLeft w:val="0"/>
      <w:marRight w:val="0"/>
      <w:marTop w:val="0"/>
      <w:marBottom w:val="0"/>
      <w:divBdr>
        <w:top w:val="none" w:sz="0" w:space="0" w:color="auto"/>
        <w:left w:val="none" w:sz="0" w:space="0" w:color="auto"/>
        <w:bottom w:val="none" w:sz="0" w:space="0" w:color="auto"/>
        <w:right w:val="none" w:sz="0" w:space="0" w:color="auto"/>
      </w:divBdr>
    </w:div>
    <w:div w:id="1258443842">
      <w:bodyDiv w:val="1"/>
      <w:marLeft w:val="0"/>
      <w:marRight w:val="0"/>
      <w:marTop w:val="0"/>
      <w:marBottom w:val="0"/>
      <w:divBdr>
        <w:top w:val="none" w:sz="0" w:space="0" w:color="auto"/>
        <w:left w:val="none" w:sz="0" w:space="0" w:color="auto"/>
        <w:bottom w:val="none" w:sz="0" w:space="0" w:color="auto"/>
        <w:right w:val="none" w:sz="0" w:space="0" w:color="auto"/>
      </w:divBdr>
    </w:div>
    <w:div w:id="1258828121">
      <w:bodyDiv w:val="1"/>
      <w:marLeft w:val="0"/>
      <w:marRight w:val="0"/>
      <w:marTop w:val="0"/>
      <w:marBottom w:val="0"/>
      <w:divBdr>
        <w:top w:val="none" w:sz="0" w:space="0" w:color="auto"/>
        <w:left w:val="none" w:sz="0" w:space="0" w:color="auto"/>
        <w:bottom w:val="none" w:sz="0" w:space="0" w:color="auto"/>
        <w:right w:val="none" w:sz="0" w:space="0" w:color="auto"/>
      </w:divBdr>
    </w:div>
    <w:div w:id="1259219194">
      <w:bodyDiv w:val="1"/>
      <w:marLeft w:val="0"/>
      <w:marRight w:val="0"/>
      <w:marTop w:val="0"/>
      <w:marBottom w:val="0"/>
      <w:divBdr>
        <w:top w:val="none" w:sz="0" w:space="0" w:color="auto"/>
        <w:left w:val="none" w:sz="0" w:space="0" w:color="auto"/>
        <w:bottom w:val="none" w:sz="0" w:space="0" w:color="auto"/>
        <w:right w:val="none" w:sz="0" w:space="0" w:color="auto"/>
      </w:divBdr>
    </w:div>
    <w:div w:id="1259604368">
      <w:bodyDiv w:val="1"/>
      <w:marLeft w:val="0"/>
      <w:marRight w:val="0"/>
      <w:marTop w:val="0"/>
      <w:marBottom w:val="0"/>
      <w:divBdr>
        <w:top w:val="none" w:sz="0" w:space="0" w:color="auto"/>
        <w:left w:val="none" w:sz="0" w:space="0" w:color="auto"/>
        <w:bottom w:val="none" w:sz="0" w:space="0" w:color="auto"/>
        <w:right w:val="none" w:sz="0" w:space="0" w:color="auto"/>
      </w:divBdr>
    </w:div>
    <w:div w:id="1259634685">
      <w:bodyDiv w:val="1"/>
      <w:marLeft w:val="0"/>
      <w:marRight w:val="0"/>
      <w:marTop w:val="0"/>
      <w:marBottom w:val="0"/>
      <w:divBdr>
        <w:top w:val="none" w:sz="0" w:space="0" w:color="auto"/>
        <w:left w:val="none" w:sz="0" w:space="0" w:color="auto"/>
        <w:bottom w:val="none" w:sz="0" w:space="0" w:color="auto"/>
        <w:right w:val="none" w:sz="0" w:space="0" w:color="auto"/>
      </w:divBdr>
    </w:div>
    <w:div w:id="1260022270">
      <w:bodyDiv w:val="1"/>
      <w:marLeft w:val="0"/>
      <w:marRight w:val="0"/>
      <w:marTop w:val="0"/>
      <w:marBottom w:val="0"/>
      <w:divBdr>
        <w:top w:val="none" w:sz="0" w:space="0" w:color="auto"/>
        <w:left w:val="none" w:sz="0" w:space="0" w:color="auto"/>
        <w:bottom w:val="none" w:sz="0" w:space="0" w:color="auto"/>
        <w:right w:val="none" w:sz="0" w:space="0" w:color="auto"/>
      </w:divBdr>
    </w:div>
    <w:div w:id="1260287662">
      <w:bodyDiv w:val="1"/>
      <w:marLeft w:val="0"/>
      <w:marRight w:val="0"/>
      <w:marTop w:val="0"/>
      <w:marBottom w:val="0"/>
      <w:divBdr>
        <w:top w:val="none" w:sz="0" w:space="0" w:color="auto"/>
        <w:left w:val="none" w:sz="0" w:space="0" w:color="auto"/>
        <w:bottom w:val="none" w:sz="0" w:space="0" w:color="auto"/>
        <w:right w:val="none" w:sz="0" w:space="0" w:color="auto"/>
      </w:divBdr>
    </w:div>
    <w:div w:id="1260987940">
      <w:bodyDiv w:val="1"/>
      <w:marLeft w:val="0"/>
      <w:marRight w:val="0"/>
      <w:marTop w:val="0"/>
      <w:marBottom w:val="0"/>
      <w:divBdr>
        <w:top w:val="none" w:sz="0" w:space="0" w:color="auto"/>
        <w:left w:val="none" w:sz="0" w:space="0" w:color="auto"/>
        <w:bottom w:val="none" w:sz="0" w:space="0" w:color="auto"/>
        <w:right w:val="none" w:sz="0" w:space="0" w:color="auto"/>
      </w:divBdr>
    </w:div>
    <w:div w:id="1260988586">
      <w:bodyDiv w:val="1"/>
      <w:marLeft w:val="0"/>
      <w:marRight w:val="0"/>
      <w:marTop w:val="0"/>
      <w:marBottom w:val="0"/>
      <w:divBdr>
        <w:top w:val="none" w:sz="0" w:space="0" w:color="auto"/>
        <w:left w:val="none" w:sz="0" w:space="0" w:color="auto"/>
        <w:bottom w:val="none" w:sz="0" w:space="0" w:color="auto"/>
        <w:right w:val="none" w:sz="0" w:space="0" w:color="auto"/>
      </w:divBdr>
    </w:div>
    <w:div w:id="1261914476">
      <w:bodyDiv w:val="1"/>
      <w:marLeft w:val="0"/>
      <w:marRight w:val="0"/>
      <w:marTop w:val="0"/>
      <w:marBottom w:val="0"/>
      <w:divBdr>
        <w:top w:val="none" w:sz="0" w:space="0" w:color="auto"/>
        <w:left w:val="none" w:sz="0" w:space="0" w:color="auto"/>
        <w:bottom w:val="none" w:sz="0" w:space="0" w:color="auto"/>
        <w:right w:val="none" w:sz="0" w:space="0" w:color="auto"/>
      </w:divBdr>
    </w:div>
    <w:div w:id="1262644899">
      <w:bodyDiv w:val="1"/>
      <w:marLeft w:val="0"/>
      <w:marRight w:val="0"/>
      <w:marTop w:val="0"/>
      <w:marBottom w:val="0"/>
      <w:divBdr>
        <w:top w:val="none" w:sz="0" w:space="0" w:color="auto"/>
        <w:left w:val="none" w:sz="0" w:space="0" w:color="auto"/>
        <w:bottom w:val="none" w:sz="0" w:space="0" w:color="auto"/>
        <w:right w:val="none" w:sz="0" w:space="0" w:color="auto"/>
      </w:divBdr>
    </w:div>
    <w:div w:id="1262954441">
      <w:bodyDiv w:val="1"/>
      <w:marLeft w:val="0"/>
      <w:marRight w:val="0"/>
      <w:marTop w:val="0"/>
      <w:marBottom w:val="0"/>
      <w:divBdr>
        <w:top w:val="none" w:sz="0" w:space="0" w:color="auto"/>
        <w:left w:val="none" w:sz="0" w:space="0" w:color="auto"/>
        <w:bottom w:val="none" w:sz="0" w:space="0" w:color="auto"/>
        <w:right w:val="none" w:sz="0" w:space="0" w:color="auto"/>
      </w:divBdr>
    </w:div>
    <w:div w:id="1263218870">
      <w:bodyDiv w:val="1"/>
      <w:marLeft w:val="0"/>
      <w:marRight w:val="0"/>
      <w:marTop w:val="0"/>
      <w:marBottom w:val="0"/>
      <w:divBdr>
        <w:top w:val="none" w:sz="0" w:space="0" w:color="auto"/>
        <w:left w:val="none" w:sz="0" w:space="0" w:color="auto"/>
        <w:bottom w:val="none" w:sz="0" w:space="0" w:color="auto"/>
        <w:right w:val="none" w:sz="0" w:space="0" w:color="auto"/>
      </w:divBdr>
    </w:div>
    <w:div w:id="1263682702">
      <w:bodyDiv w:val="1"/>
      <w:marLeft w:val="0"/>
      <w:marRight w:val="0"/>
      <w:marTop w:val="0"/>
      <w:marBottom w:val="0"/>
      <w:divBdr>
        <w:top w:val="none" w:sz="0" w:space="0" w:color="auto"/>
        <w:left w:val="none" w:sz="0" w:space="0" w:color="auto"/>
        <w:bottom w:val="none" w:sz="0" w:space="0" w:color="auto"/>
        <w:right w:val="none" w:sz="0" w:space="0" w:color="auto"/>
      </w:divBdr>
    </w:div>
    <w:div w:id="1264024444">
      <w:bodyDiv w:val="1"/>
      <w:marLeft w:val="0"/>
      <w:marRight w:val="0"/>
      <w:marTop w:val="0"/>
      <w:marBottom w:val="0"/>
      <w:divBdr>
        <w:top w:val="none" w:sz="0" w:space="0" w:color="auto"/>
        <w:left w:val="none" w:sz="0" w:space="0" w:color="auto"/>
        <w:bottom w:val="none" w:sz="0" w:space="0" w:color="auto"/>
        <w:right w:val="none" w:sz="0" w:space="0" w:color="auto"/>
      </w:divBdr>
    </w:div>
    <w:div w:id="1264264870">
      <w:bodyDiv w:val="1"/>
      <w:marLeft w:val="0"/>
      <w:marRight w:val="0"/>
      <w:marTop w:val="0"/>
      <w:marBottom w:val="0"/>
      <w:divBdr>
        <w:top w:val="none" w:sz="0" w:space="0" w:color="auto"/>
        <w:left w:val="none" w:sz="0" w:space="0" w:color="auto"/>
        <w:bottom w:val="none" w:sz="0" w:space="0" w:color="auto"/>
        <w:right w:val="none" w:sz="0" w:space="0" w:color="auto"/>
      </w:divBdr>
    </w:div>
    <w:div w:id="1264386288">
      <w:bodyDiv w:val="1"/>
      <w:marLeft w:val="0"/>
      <w:marRight w:val="0"/>
      <w:marTop w:val="0"/>
      <w:marBottom w:val="0"/>
      <w:divBdr>
        <w:top w:val="none" w:sz="0" w:space="0" w:color="auto"/>
        <w:left w:val="none" w:sz="0" w:space="0" w:color="auto"/>
        <w:bottom w:val="none" w:sz="0" w:space="0" w:color="auto"/>
        <w:right w:val="none" w:sz="0" w:space="0" w:color="auto"/>
      </w:divBdr>
    </w:div>
    <w:div w:id="1264455361">
      <w:bodyDiv w:val="1"/>
      <w:marLeft w:val="0"/>
      <w:marRight w:val="0"/>
      <w:marTop w:val="0"/>
      <w:marBottom w:val="0"/>
      <w:divBdr>
        <w:top w:val="none" w:sz="0" w:space="0" w:color="auto"/>
        <w:left w:val="none" w:sz="0" w:space="0" w:color="auto"/>
        <w:bottom w:val="none" w:sz="0" w:space="0" w:color="auto"/>
        <w:right w:val="none" w:sz="0" w:space="0" w:color="auto"/>
      </w:divBdr>
    </w:div>
    <w:div w:id="1264529277">
      <w:bodyDiv w:val="1"/>
      <w:marLeft w:val="0"/>
      <w:marRight w:val="0"/>
      <w:marTop w:val="0"/>
      <w:marBottom w:val="0"/>
      <w:divBdr>
        <w:top w:val="none" w:sz="0" w:space="0" w:color="auto"/>
        <w:left w:val="none" w:sz="0" w:space="0" w:color="auto"/>
        <w:bottom w:val="none" w:sz="0" w:space="0" w:color="auto"/>
        <w:right w:val="none" w:sz="0" w:space="0" w:color="auto"/>
      </w:divBdr>
    </w:div>
    <w:div w:id="1265068491">
      <w:bodyDiv w:val="1"/>
      <w:marLeft w:val="0"/>
      <w:marRight w:val="0"/>
      <w:marTop w:val="0"/>
      <w:marBottom w:val="0"/>
      <w:divBdr>
        <w:top w:val="none" w:sz="0" w:space="0" w:color="auto"/>
        <w:left w:val="none" w:sz="0" w:space="0" w:color="auto"/>
        <w:bottom w:val="none" w:sz="0" w:space="0" w:color="auto"/>
        <w:right w:val="none" w:sz="0" w:space="0" w:color="auto"/>
      </w:divBdr>
    </w:div>
    <w:div w:id="1266035755">
      <w:bodyDiv w:val="1"/>
      <w:marLeft w:val="0"/>
      <w:marRight w:val="0"/>
      <w:marTop w:val="0"/>
      <w:marBottom w:val="0"/>
      <w:divBdr>
        <w:top w:val="none" w:sz="0" w:space="0" w:color="auto"/>
        <w:left w:val="none" w:sz="0" w:space="0" w:color="auto"/>
        <w:bottom w:val="none" w:sz="0" w:space="0" w:color="auto"/>
        <w:right w:val="none" w:sz="0" w:space="0" w:color="auto"/>
      </w:divBdr>
    </w:div>
    <w:div w:id="1266159497">
      <w:bodyDiv w:val="1"/>
      <w:marLeft w:val="0"/>
      <w:marRight w:val="0"/>
      <w:marTop w:val="0"/>
      <w:marBottom w:val="0"/>
      <w:divBdr>
        <w:top w:val="none" w:sz="0" w:space="0" w:color="auto"/>
        <w:left w:val="none" w:sz="0" w:space="0" w:color="auto"/>
        <w:bottom w:val="none" w:sz="0" w:space="0" w:color="auto"/>
        <w:right w:val="none" w:sz="0" w:space="0" w:color="auto"/>
      </w:divBdr>
    </w:div>
    <w:div w:id="1267076598">
      <w:bodyDiv w:val="1"/>
      <w:marLeft w:val="0"/>
      <w:marRight w:val="0"/>
      <w:marTop w:val="0"/>
      <w:marBottom w:val="0"/>
      <w:divBdr>
        <w:top w:val="none" w:sz="0" w:space="0" w:color="auto"/>
        <w:left w:val="none" w:sz="0" w:space="0" w:color="auto"/>
        <w:bottom w:val="none" w:sz="0" w:space="0" w:color="auto"/>
        <w:right w:val="none" w:sz="0" w:space="0" w:color="auto"/>
      </w:divBdr>
    </w:div>
    <w:div w:id="1267152611">
      <w:bodyDiv w:val="1"/>
      <w:marLeft w:val="0"/>
      <w:marRight w:val="0"/>
      <w:marTop w:val="0"/>
      <w:marBottom w:val="0"/>
      <w:divBdr>
        <w:top w:val="none" w:sz="0" w:space="0" w:color="auto"/>
        <w:left w:val="none" w:sz="0" w:space="0" w:color="auto"/>
        <w:bottom w:val="none" w:sz="0" w:space="0" w:color="auto"/>
        <w:right w:val="none" w:sz="0" w:space="0" w:color="auto"/>
      </w:divBdr>
    </w:div>
    <w:div w:id="1267469455">
      <w:bodyDiv w:val="1"/>
      <w:marLeft w:val="0"/>
      <w:marRight w:val="0"/>
      <w:marTop w:val="0"/>
      <w:marBottom w:val="0"/>
      <w:divBdr>
        <w:top w:val="none" w:sz="0" w:space="0" w:color="auto"/>
        <w:left w:val="none" w:sz="0" w:space="0" w:color="auto"/>
        <w:bottom w:val="none" w:sz="0" w:space="0" w:color="auto"/>
        <w:right w:val="none" w:sz="0" w:space="0" w:color="auto"/>
      </w:divBdr>
    </w:div>
    <w:div w:id="1267695181">
      <w:bodyDiv w:val="1"/>
      <w:marLeft w:val="0"/>
      <w:marRight w:val="0"/>
      <w:marTop w:val="0"/>
      <w:marBottom w:val="0"/>
      <w:divBdr>
        <w:top w:val="none" w:sz="0" w:space="0" w:color="auto"/>
        <w:left w:val="none" w:sz="0" w:space="0" w:color="auto"/>
        <w:bottom w:val="none" w:sz="0" w:space="0" w:color="auto"/>
        <w:right w:val="none" w:sz="0" w:space="0" w:color="auto"/>
      </w:divBdr>
    </w:div>
    <w:div w:id="1268388349">
      <w:bodyDiv w:val="1"/>
      <w:marLeft w:val="0"/>
      <w:marRight w:val="0"/>
      <w:marTop w:val="0"/>
      <w:marBottom w:val="0"/>
      <w:divBdr>
        <w:top w:val="none" w:sz="0" w:space="0" w:color="auto"/>
        <w:left w:val="none" w:sz="0" w:space="0" w:color="auto"/>
        <w:bottom w:val="none" w:sz="0" w:space="0" w:color="auto"/>
        <w:right w:val="none" w:sz="0" w:space="0" w:color="auto"/>
      </w:divBdr>
    </w:div>
    <w:div w:id="1268465451">
      <w:bodyDiv w:val="1"/>
      <w:marLeft w:val="0"/>
      <w:marRight w:val="0"/>
      <w:marTop w:val="0"/>
      <w:marBottom w:val="0"/>
      <w:divBdr>
        <w:top w:val="none" w:sz="0" w:space="0" w:color="auto"/>
        <w:left w:val="none" w:sz="0" w:space="0" w:color="auto"/>
        <w:bottom w:val="none" w:sz="0" w:space="0" w:color="auto"/>
        <w:right w:val="none" w:sz="0" w:space="0" w:color="auto"/>
      </w:divBdr>
    </w:div>
    <w:div w:id="1269240269">
      <w:bodyDiv w:val="1"/>
      <w:marLeft w:val="0"/>
      <w:marRight w:val="0"/>
      <w:marTop w:val="0"/>
      <w:marBottom w:val="0"/>
      <w:divBdr>
        <w:top w:val="none" w:sz="0" w:space="0" w:color="auto"/>
        <w:left w:val="none" w:sz="0" w:space="0" w:color="auto"/>
        <w:bottom w:val="none" w:sz="0" w:space="0" w:color="auto"/>
        <w:right w:val="none" w:sz="0" w:space="0" w:color="auto"/>
      </w:divBdr>
    </w:div>
    <w:div w:id="1269511730">
      <w:bodyDiv w:val="1"/>
      <w:marLeft w:val="0"/>
      <w:marRight w:val="0"/>
      <w:marTop w:val="0"/>
      <w:marBottom w:val="0"/>
      <w:divBdr>
        <w:top w:val="none" w:sz="0" w:space="0" w:color="auto"/>
        <w:left w:val="none" w:sz="0" w:space="0" w:color="auto"/>
        <w:bottom w:val="none" w:sz="0" w:space="0" w:color="auto"/>
        <w:right w:val="none" w:sz="0" w:space="0" w:color="auto"/>
      </w:divBdr>
    </w:div>
    <w:div w:id="1269893790">
      <w:bodyDiv w:val="1"/>
      <w:marLeft w:val="0"/>
      <w:marRight w:val="0"/>
      <w:marTop w:val="0"/>
      <w:marBottom w:val="0"/>
      <w:divBdr>
        <w:top w:val="none" w:sz="0" w:space="0" w:color="auto"/>
        <w:left w:val="none" w:sz="0" w:space="0" w:color="auto"/>
        <w:bottom w:val="none" w:sz="0" w:space="0" w:color="auto"/>
        <w:right w:val="none" w:sz="0" w:space="0" w:color="auto"/>
      </w:divBdr>
    </w:div>
    <w:div w:id="1270239725">
      <w:bodyDiv w:val="1"/>
      <w:marLeft w:val="0"/>
      <w:marRight w:val="0"/>
      <w:marTop w:val="0"/>
      <w:marBottom w:val="0"/>
      <w:divBdr>
        <w:top w:val="none" w:sz="0" w:space="0" w:color="auto"/>
        <w:left w:val="none" w:sz="0" w:space="0" w:color="auto"/>
        <w:bottom w:val="none" w:sz="0" w:space="0" w:color="auto"/>
        <w:right w:val="none" w:sz="0" w:space="0" w:color="auto"/>
      </w:divBdr>
    </w:div>
    <w:div w:id="1270428063">
      <w:bodyDiv w:val="1"/>
      <w:marLeft w:val="0"/>
      <w:marRight w:val="0"/>
      <w:marTop w:val="0"/>
      <w:marBottom w:val="0"/>
      <w:divBdr>
        <w:top w:val="none" w:sz="0" w:space="0" w:color="auto"/>
        <w:left w:val="none" w:sz="0" w:space="0" w:color="auto"/>
        <w:bottom w:val="none" w:sz="0" w:space="0" w:color="auto"/>
        <w:right w:val="none" w:sz="0" w:space="0" w:color="auto"/>
      </w:divBdr>
    </w:div>
    <w:div w:id="1270553743">
      <w:bodyDiv w:val="1"/>
      <w:marLeft w:val="0"/>
      <w:marRight w:val="0"/>
      <w:marTop w:val="0"/>
      <w:marBottom w:val="0"/>
      <w:divBdr>
        <w:top w:val="none" w:sz="0" w:space="0" w:color="auto"/>
        <w:left w:val="none" w:sz="0" w:space="0" w:color="auto"/>
        <w:bottom w:val="none" w:sz="0" w:space="0" w:color="auto"/>
        <w:right w:val="none" w:sz="0" w:space="0" w:color="auto"/>
      </w:divBdr>
    </w:div>
    <w:div w:id="1270970597">
      <w:bodyDiv w:val="1"/>
      <w:marLeft w:val="0"/>
      <w:marRight w:val="0"/>
      <w:marTop w:val="0"/>
      <w:marBottom w:val="0"/>
      <w:divBdr>
        <w:top w:val="none" w:sz="0" w:space="0" w:color="auto"/>
        <w:left w:val="none" w:sz="0" w:space="0" w:color="auto"/>
        <w:bottom w:val="none" w:sz="0" w:space="0" w:color="auto"/>
        <w:right w:val="none" w:sz="0" w:space="0" w:color="auto"/>
      </w:divBdr>
    </w:div>
    <w:div w:id="1271937695">
      <w:bodyDiv w:val="1"/>
      <w:marLeft w:val="0"/>
      <w:marRight w:val="0"/>
      <w:marTop w:val="0"/>
      <w:marBottom w:val="0"/>
      <w:divBdr>
        <w:top w:val="none" w:sz="0" w:space="0" w:color="auto"/>
        <w:left w:val="none" w:sz="0" w:space="0" w:color="auto"/>
        <w:bottom w:val="none" w:sz="0" w:space="0" w:color="auto"/>
        <w:right w:val="none" w:sz="0" w:space="0" w:color="auto"/>
      </w:divBdr>
    </w:div>
    <w:div w:id="1272515218">
      <w:bodyDiv w:val="1"/>
      <w:marLeft w:val="0"/>
      <w:marRight w:val="0"/>
      <w:marTop w:val="0"/>
      <w:marBottom w:val="0"/>
      <w:divBdr>
        <w:top w:val="none" w:sz="0" w:space="0" w:color="auto"/>
        <w:left w:val="none" w:sz="0" w:space="0" w:color="auto"/>
        <w:bottom w:val="none" w:sz="0" w:space="0" w:color="auto"/>
        <w:right w:val="none" w:sz="0" w:space="0" w:color="auto"/>
      </w:divBdr>
    </w:div>
    <w:div w:id="1273561132">
      <w:bodyDiv w:val="1"/>
      <w:marLeft w:val="0"/>
      <w:marRight w:val="0"/>
      <w:marTop w:val="0"/>
      <w:marBottom w:val="0"/>
      <w:divBdr>
        <w:top w:val="none" w:sz="0" w:space="0" w:color="auto"/>
        <w:left w:val="none" w:sz="0" w:space="0" w:color="auto"/>
        <w:bottom w:val="none" w:sz="0" w:space="0" w:color="auto"/>
        <w:right w:val="none" w:sz="0" w:space="0" w:color="auto"/>
      </w:divBdr>
    </w:div>
    <w:div w:id="1273854520">
      <w:bodyDiv w:val="1"/>
      <w:marLeft w:val="0"/>
      <w:marRight w:val="0"/>
      <w:marTop w:val="0"/>
      <w:marBottom w:val="0"/>
      <w:divBdr>
        <w:top w:val="none" w:sz="0" w:space="0" w:color="auto"/>
        <w:left w:val="none" w:sz="0" w:space="0" w:color="auto"/>
        <w:bottom w:val="none" w:sz="0" w:space="0" w:color="auto"/>
        <w:right w:val="none" w:sz="0" w:space="0" w:color="auto"/>
      </w:divBdr>
    </w:div>
    <w:div w:id="1273902621">
      <w:bodyDiv w:val="1"/>
      <w:marLeft w:val="0"/>
      <w:marRight w:val="0"/>
      <w:marTop w:val="0"/>
      <w:marBottom w:val="0"/>
      <w:divBdr>
        <w:top w:val="none" w:sz="0" w:space="0" w:color="auto"/>
        <w:left w:val="none" w:sz="0" w:space="0" w:color="auto"/>
        <w:bottom w:val="none" w:sz="0" w:space="0" w:color="auto"/>
        <w:right w:val="none" w:sz="0" w:space="0" w:color="auto"/>
      </w:divBdr>
    </w:div>
    <w:div w:id="1274243616">
      <w:bodyDiv w:val="1"/>
      <w:marLeft w:val="0"/>
      <w:marRight w:val="0"/>
      <w:marTop w:val="0"/>
      <w:marBottom w:val="0"/>
      <w:divBdr>
        <w:top w:val="none" w:sz="0" w:space="0" w:color="auto"/>
        <w:left w:val="none" w:sz="0" w:space="0" w:color="auto"/>
        <w:bottom w:val="none" w:sz="0" w:space="0" w:color="auto"/>
        <w:right w:val="none" w:sz="0" w:space="0" w:color="auto"/>
      </w:divBdr>
    </w:div>
    <w:div w:id="1274439896">
      <w:bodyDiv w:val="1"/>
      <w:marLeft w:val="0"/>
      <w:marRight w:val="0"/>
      <w:marTop w:val="0"/>
      <w:marBottom w:val="0"/>
      <w:divBdr>
        <w:top w:val="none" w:sz="0" w:space="0" w:color="auto"/>
        <w:left w:val="none" w:sz="0" w:space="0" w:color="auto"/>
        <w:bottom w:val="none" w:sz="0" w:space="0" w:color="auto"/>
        <w:right w:val="none" w:sz="0" w:space="0" w:color="auto"/>
      </w:divBdr>
    </w:div>
    <w:div w:id="1275140098">
      <w:bodyDiv w:val="1"/>
      <w:marLeft w:val="0"/>
      <w:marRight w:val="0"/>
      <w:marTop w:val="0"/>
      <w:marBottom w:val="0"/>
      <w:divBdr>
        <w:top w:val="none" w:sz="0" w:space="0" w:color="auto"/>
        <w:left w:val="none" w:sz="0" w:space="0" w:color="auto"/>
        <w:bottom w:val="none" w:sz="0" w:space="0" w:color="auto"/>
        <w:right w:val="none" w:sz="0" w:space="0" w:color="auto"/>
      </w:divBdr>
    </w:div>
    <w:div w:id="1275553086">
      <w:bodyDiv w:val="1"/>
      <w:marLeft w:val="0"/>
      <w:marRight w:val="0"/>
      <w:marTop w:val="0"/>
      <w:marBottom w:val="0"/>
      <w:divBdr>
        <w:top w:val="none" w:sz="0" w:space="0" w:color="auto"/>
        <w:left w:val="none" w:sz="0" w:space="0" w:color="auto"/>
        <w:bottom w:val="none" w:sz="0" w:space="0" w:color="auto"/>
        <w:right w:val="none" w:sz="0" w:space="0" w:color="auto"/>
      </w:divBdr>
    </w:div>
    <w:div w:id="1275557258">
      <w:bodyDiv w:val="1"/>
      <w:marLeft w:val="0"/>
      <w:marRight w:val="0"/>
      <w:marTop w:val="0"/>
      <w:marBottom w:val="0"/>
      <w:divBdr>
        <w:top w:val="none" w:sz="0" w:space="0" w:color="auto"/>
        <w:left w:val="none" w:sz="0" w:space="0" w:color="auto"/>
        <w:bottom w:val="none" w:sz="0" w:space="0" w:color="auto"/>
        <w:right w:val="none" w:sz="0" w:space="0" w:color="auto"/>
      </w:divBdr>
    </w:div>
    <w:div w:id="1275792676">
      <w:bodyDiv w:val="1"/>
      <w:marLeft w:val="0"/>
      <w:marRight w:val="0"/>
      <w:marTop w:val="0"/>
      <w:marBottom w:val="0"/>
      <w:divBdr>
        <w:top w:val="none" w:sz="0" w:space="0" w:color="auto"/>
        <w:left w:val="none" w:sz="0" w:space="0" w:color="auto"/>
        <w:bottom w:val="none" w:sz="0" w:space="0" w:color="auto"/>
        <w:right w:val="none" w:sz="0" w:space="0" w:color="auto"/>
      </w:divBdr>
    </w:div>
    <w:div w:id="1275821016">
      <w:bodyDiv w:val="1"/>
      <w:marLeft w:val="0"/>
      <w:marRight w:val="0"/>
      <w:marTop w:val="0"/>
      <w:marBottom w:val="0"/>
      <w:divBdr>
        <w:top w:val="none" w:sz="0" w:space="0" w:color="auto"/>
        <w:left w:val="none" w:sz="0" w:space="0" w:color="auto"/>
        <w:bottom w:val="none" w:sz="0" w:space="0" w:color="auto"/>
        <w:right w:val="none" w:sz="0" w:space="0" w:color="auto"/>
      </w:divBdr>
    </w:div>
    <w:div w:id="1275939372">
      <w:bodyDiv w:val="1"/>
      <w:marLeft w:val="0"/>
      <w:marRight w:val="0"/>
      <w:marTop w:val="0"/>
      <w:marBottom w:val="0"/>
      <w:divBdr>
        <w:top w:val="none" w:sz="0" w:space="0" w:color="auto"/>
        <w:left w:val="none" w:sz="0" w:space="0" w:color="auto"/>
        <w:bottom w:val="none" w:sz="0" w:space="0" w:color="auto"/>
        <w:right w:val="none" w:sz="0" w:space="0" w:color="auto"/>
      </w:divBdr>
    </w:div>
    <w:div w:id="1275944555">
      <w:bodyDiv w:val="1"/>
      <w:marLeft w:val="0"/>
      <w:marRight w:val="0"/>
      <w:marTop w:val="0"/>
      <w:marBottom w:val="0"/>
      <w:divBdr>
        <w:top w:val="none" w:sz="0" w:space="0" w:color="auto"/>
        <w:left w:val="none" w:sz="0" w:space="0" w:color="auto"/>
        <w:bottom w:val="none" w:sz="0" w:space="0" w:color="auto"/>
        <w:right w:val="none" w:sz="0" w:space="0" w:color="auto"/>
      </w:divBdr>
    </w:div>
    <w:div w:id="1276134778">
      <w:bodyDiv w:val="1"/>
      <w:marLeft w:val="0"/>
      <w:marRight w:val="0"/>
      <w:marTop w:val="0"/>
      <w:marBottom w:val="0"/>
      <w:divBdr>
        <w:top w:val="none" w:sz="0" w:space="0" w:color="auto"/>
        <w:left w:val="none" w:sz="0" w:space="0" w:color="auto"/>
        <w:bottom w:val="none" w:sz="0" w:space="0" w:color="auto"/>
        <w:right w:val="none" w:sz="0" w:space="0" w:color="auto"/>
      </w:divBdr>
    </w:div>
    <w:div w:id="1276526303">
      <w:bodyDiv w:val="1"/>
      <w:marLeft w:val="0"/>
      <w:marRight w:val="0"/>
      <w:marTop w:val="0"/>
      <w:marBottom w:val="0"/>
      <w:divBdr>
        <w:top w:val="none" w:sz="0" w:space="0" w:color="auto"/>
        <w:left w:val="none" w:sz="0" w:space="0" w:color="auto"/>
        <w:bottom w:val="none" w:sz="0" w:space="0" w:color="auto"/>
        <w:right w:val="none" w:sz="0" w:space="0" w:color="auto"/>
      </w:divBdr>
    </w:div>
    <w:div w:id="1276794762">
      <w:bodyDiv w:val="1"/>
      <w:marLeft w:val="0"/>
      <w:marRight w:val="0"/>
      <w:marTop w:val="0"/>
      <w:marBottom w:val="0"/>
      <w:divBdr>
        <w:top w:val="none" w:sz="0" w:space="0" w:color="auto"/>
        <w:left w:val="none" w:sz="0" w:space="0" w:color="auto"/>
        <w:bottom w:val="none" w:sz="0" w:space="0" w:color="auto"/>
        <w:right w:val="none" w:sz="0" w:space="0" w:color="auto"/>
      </w:divBdr>
    </w:div>
    <w:div w:id="1278485471">
      <w:bodyDiv w:val="1"/>
      <w:marLeft w:val="0"/>
      <w:marRight w:val="0"/>
      <w:marTop w:val="0"/>
      <w:marBottom w:val="0"/>
      <w:divBdr>
        <w:top w:val="none" w:sz="0" w:space="0" w:color="auto"/>
        <w:left w:val="none" w:sz="0" w:space="0" w:color="auto"/>
        <w:bottom w:val="none" w:sz="0" w:space="0" w:color="auto"/>
        <w:right w:val="none" w:sz="0" w:space="0" w:color="auto"/>
      </w:divBdr>
    </w:div>
    <w:div w:id="1278607648">
      <w:bodyDiv w:val="1"/>
      <w:marLeft w:val="0"/>
      <w:marRight w:val="0"/>
      <w:marTop w:val="0"/>
      <w:marBottom w:val="0"/>
      <w:divBdr>
        <w:top w:val="none" w:sz="0" w:space="0" w:color="auto"/>
        <w:left w:val="none" w:sz="0" w:space="0" w:color="auto"/>
        <w:bottom w:val="none" w:sz="0" w:space="0" w:color="auto"/>
        <w:right w:val="none" w:sz="0" w:space="0" w:color="auto"/>
      </w:divBdr>
    </w:div>
    <w:div w:id="1278872368">
      <w:bodyDiv w:val="1"/>
      <w:marLeft w:val="0"/>
      <w:marRight w:val="0"/>
      <w:marTop w:val="0"/>
      <w:marBottom w:val="0"/>
      <w:divBdr>
        <w:top w:val="none" w:sz="0" w:space="0" w:color="auto"/>
        <w:left w:val="none" w:sz="0" w:space="0" w:color="auto"/>
        <w:bottom w:val="none" w:sz="0" w:space="0" w:color="auto"/>
        <w:right w:val="none" w:sz="0" w:space="0" w:color="auto"/>
      </w:divBdr>
    </w:div>
    <w:div w:id="1279022270">
      <w:bodyDiv w:val="1"/>
      <w:marLeft w:val="0"/>
      <w:marRight w:val="0"/>
      <w:marTop w:val="0"/>
      <w:marBottom w:val="0"/>
      <w:divBdr>
        <w:top w:val="none" w:sz="0" w:space="0" w:color="auto"/>
        <w:left w:val="none" w:sz="0" w:space="0" w:color="auto"/>
        <w:bottom w:val="none" w:sz="0" w:space="0" w:color="auto"/>
        <w:right w:val="none" w:sz="0" w:space="0" w:color="auto"/>
      </w:divBdr>
    </w:div>
    <w:div w:id="1279333491">
      <w:bodyDiv w:val="1"/>
      <w:marLeft w:val="0"/>
      <w:marRight w:val="0"/>
      <w:marTop w:val="0"/>
      <w:marBottom w:val="0"/>
      <w:divBdr>
        <w:top w:val="none" w:sz="0" w:space="0" w:color="auto"/>
        <w:left w:val="none" w:sz="0" w:space="0" w:color="auto"/>
        <w:bottom w:val="none" w:sz="0" w:space="0" w:color="auto"/>
        <w:right w:val="none" w:sz="0" w:space="0" w:color="auto"/>
      </w:divBdr>
    </w:div>
    <w:div w:id="1279524897">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79986720">
      <w:bodyDiv w:val="1"/>
      <w:marLeft w:val="0"/>
      <w:marRight w:val="0"/>
      <w:marTop w:val="0"/>
      <w:marBottom w:val="0"/>
      <w:divBdr>
        <w:top w:val="none" w:sz="0" w:space="0" w:color="auto"/>
        <w:left w:val="none" w:sz="0" w:space="0" w:color="auto"/>
        <w:bottom w:val="none" w:sz="0" w:space="0" w:color="auto"/>
        <w:right w:val="none" w:sz="0" w:space="0" w:color="auto"/>
      </w:divBdr>
    </w:div>
    <w:div w:id="1279992537">
      <w:bodyDiv w:val="1"/>
      <w:marLeft w:val="0"/>
      <w:marRight w:val="0"/>
      <w:marTop w:val="0"/>
      <w:marBottom w:val="0"/>
      <w:divBdr>
        <w:top w:val="none" w:sz="0" w:space="0" w:color="auto"/>
        <w:left w:val="none" w:sz="0" w:space="0" w:color="auto"/>
        <w:bottom w:val="none" w:sz="0" w:space="0" w:color="auto"/>
        <w:right w:val="none" w:sz="0" w:space="0" w:color="auto"/>
      </w:divBdr>
    </w:div>
    <w:div w:id="1280643910">
      <w:bodyDiv w:val="1"/>
      <w:marLeft w:val="0"/>
      <w:marRight w:val="0"/>
      <w:marTop w:val="0"/>
      <w:marBottom w:val="0"/>
      <w:divBdr>
        <w:top w:val="none" w:sz="0" w:space="0" w:color="auto"/>
        <w:left w:val="none" w:sz="0" w:space="0" w:color="auto"/>
        <w:bottom w:val="none" w:sz="0" w:space="0" w:color="auto"/>
        <w:right w:val="none" w:sz="0" w:space="0" w:color="auto"/>
      </w:divBdr>
    </w:div>
    <w:div w:id="1281106459">
      <w:bodyDiv w:val="1"/>
      <w:marLeft w:val="0"/>
      <w:marRight w:val="0"/>
      <w:marTop w:val="0"/>
      <w:marBottom w:val="0"/>
      <w:divBdr>
        <w:top w:val="none" w:sz="0" w:space="0" w:color="auto"/>
        <w:left w:val="none" w:sz="0" w:space="0" w:color="auto"/>
        <w:bottom w:val="none" w:sz="0" w:space="0" w:color="auto"/>
        <w:right w:val="none" w:sz="0" w:space="0" w:color="auto"/>
      </w:divBdr>
    </w:div>
    <w:div w:id="1282495704">
      <w:bodyDiv w:val="1"/>
      <w:marLeft w:val="0"/>
      <w:marRight w:val="0"/>
      <w:marTop w:val="0"/>
      <w:marBottom w:val="0"/>
      <w:divBdr>
        <w:top w:val="none" w:sz="0" w:space="0" w:color="auto"/>
        <w:left w:val="none" w:sz="0" w:space="0" w:color="auto"/>
        <w:bottom w:val="none" w:sz="0" w:space="0" w:color="auto"/>
        <w:right w:val="none" w:sz="0" w:space="0" w:color="auto"/>
      </w:divBdr>
    </w:div>
    <w:div w:id="1282567645">
      <w:bodyDiv w:val="1"/>
      <w:marLeft w:val="0"/>
      <w:marRight w:val="0"/>
      <w:marTop w:val="0"/>
      <w:marBottom w:val="0"/>
      <w:divBdr>
        <w:top w:val="none" w:sz="0" w:space="0" w:color="auto"/>
        <w:left w:val="none" w:sz="0" w:space="0" w:color="auto"/>
        <w:bottom w:val="none" w:sz="0" w:space="0" w:color="auto"/>
        <w:right w:val="none" w:sz="0" w:space="0" w:color="auto"/>
      </w:divBdr>
    </w:div>
    <w:div w:id="1282687671">
      <w:bodyDiv w:val="1"/>
      <w:marLeft w:val="0"/>
      <w:marRight w:val="0"/>
      <w:marTop w:val="0"/>
      <w:marBottom w:val="0"/>
      <w:divBdr>
        <w:top w:val="none" w:sz="0" w:space="0" w:color="auto"/>
        <w:left w:val="none" w:sz="0" w:space="0" w:color="auto"/>
        <w:bottom w:val="none" w:sz="0" w:space="0" w:color="auto"/>
        <w:right w:val="none" w:sz="0" w:space="0" w:color="auto"/>
      </w:divBdr>
    </w:div>
    <w:div w:id="1282876615">
      <w:bodyDiv w:val="1"/>
      <w:marLeft w:val="0"/>
      <w:marRight w:val="0"/>
      <w:marTop w:val="0"/>
      <w:marBottom w:val="0"/>
      <w:divBdr>
        <w:top w:val="none" w:sz="0" w:space="0" w:color="auto"/>
        <w:left w:val="none" w:sz="0" w:space="0" w:color="auto"/>
        <w:bottom w:val="none" w:sz="0" w:space="0" w:color="auto"/>
        <w:right w:val="none" w:sz="0" w:space="0" w:color="auto"/>
      </w:divBdr>
    </w:div>
    <w:div w:id="1283999339">
      <w:bodyDiv w:val="1"/>
      <w:marLeft w:val="0"/>
      <w:marRight w:val="0"/>
      <w:marTop w:val="0"/>
      <w:marBottom w:val="0"/>
      <w:divBdr>
        <w:top w:val="none" w:sz="0" w:space="0" w:color="auto"/>
        <w:left w:val="none" w:sz="0" w:space="0" w:color="auto"/>
        <w:bottom w:val="none" w:sz="0" w:space="0" w:color="auto"/>
        <w:right w:val="none" w:sz="0" w:space="0" w:color="auto"/>
      </w:divBdr>
    </w:div>
    <w:div w:id="1284196494">
      <w:bodyDiv w:val="1"/>
      <w:marLeft w:val="0"/>
      <w:marRight w:val="0"/>
      <w:marTop w:val="0"/>
      <w:marBottom w:val="0"/>
      <w:divBdr>
        <w:top w:val="none" w:sz="0" w:space="0" w:color="auto"/>
        <w:left w:val="none" w:sz="0" w:space="0" w:color="auto"/>
        <w:bottom w:val="none" w:sz="0" w:space="0" w:color="auto"/>
        <w:right w:val="none" w:sz="0" w:space="0" w:color="auto"/>
      </w:divBdr>
    </w:div>
    <w:div w:id="1284649080">
      <w:bodyDiv w:val="1"/>
      <w:marLeft w:val="0"/>
      <w:marRight w:val="0"/>
      <w:marTop w:val="0"/>
      <w:marBottom w:val="0"/>
      <w:divBdr>
        <w:top w:val="none" w:sz="0" w:space="0" w:color="auto"/>
        <w:left w:val="none" w:sz="0" w:space="0" w:color="auto"/>
        <w:bottom w:val="none" w:sz="0" w:space="0" w:color="auto"/>
        <w:right w:val="none" w:sz="0" w:space="0" w:color="auto"/>
      </w:divBdr>
    </w:div>
    <w:div w:id="1285038772">
      <w:bodyDiv w:val="1"/>
      <w:marLeft w:val="0"/>
      <w:marRight w:val="0"/>
      <w:marTop w:val="0"/>
      <w:marBottom w:val="0"/>
      <w:divBdr>
        <w:top w:val="none" w:sz="0" w:space="0" w:color="auto"/>
        <w:left w:val="none" w:sz="0" w:space="0" w:color="auto"/>
        <w:bottom w:val="none" w:sz="0" w:space="0" w:color="auto"/>
        <w:right w:val="none" w:sz="0" w:space="0" w:color="auto"/>
      </w:divBdr>
    </w:div>
    <w:div w:id="1285162918">
      <w:bodyDiv w:val="1"/>
      <w:marLeft w:val="0"/>
      <w:marRight w:val="0"/>
      <w:marTop w:val="0"/>
      <w:marBottom w:val="0"/>
      <w:divBdr>
        <w:top w:val="none" w:sz="0" w:space="0" w:color="auto"/>
        <w:left w:val="none" w:sz="0" w:space="0" w:color="auto"/>
        <w:bottom w:val="none" w:sz="0" w:space="0" w:color="auto"/>
        <w:right w:val="none" w:sz="0" w:space="0" w:color="auto"/>
      </w:divBdr>
    </w:div>
    <w:div w:id="1286305492">
      <w:bodyDiv w:val="1"/>
      <w:marLeft w:val="0"/>
      <w:marRight w:val="0"/>
      <w:marTop w:val="0"/>
      <w:marBottom w:val="0"/>
      <w:divBdr>
        <w:top w:val="none" w:sz="0" w:space="0" w:color="auto"/>
        <w:left w:val="none" w:sz="0" w:space="0" w:color="auto"/>
        <w:bottom w:val="none" w:sz="0" w:space="0" w:color="auto"/>
        <w:right w:val="none" w:sz="0" w:space="0" w:color="auto"/>
      </w:divBdr>
    </w:div>
    <w:div w:id="1286353420">
      <w:bodyDiv w:val="1"/>
      <w:marLeft w:val="0"/>
      <w:marRight w:val="0"/>
      <w:marTop w:val="0"/>
      <w:marBottom w:val="0"/>
      <w:divBdr>
        <w:top w:val="none" w:sz="0" w:space="0" w:color="auto"/>
        <w:left w:val="none" w:sz="0" w:space="0" w:color="auto"/>
        <w:bottom w:val="none" w:sz="0" w:space="0" w:color="auto"/>
        <w:right w:val="none" w:sz="0" w:space="0" w:color="auto"/>
      </w:divBdr>
    </w:div>
    <w:div w:id="1286424244">
      <w:bodyDiv w:val="1"/>
      <w:marLeft w:val="0"/>
      <w:marRight w:val="0"/>
      <w:marTop w:val="0"/>
      <w:marBottom w:val="0"/>
      <w:divBdr>
        <w:top w:val="none" w:sz="0" w:space="0" w:color="auto"/>
        <w:left w:val="none" w:sz="0" w:space="0" w:color="auto"/>
        <w:bottom w:val="none" w:sz="0" w:space="0" w:color="auto"/>
        <w:right w:val="none" w:sz="0" w:space="0" w:color="auto"/>
      </w:divBdr>
    </w:div>
    <w:div w:id="1286742174">
      <w:bodyDiv w:val="1"/>
      <w:marLeft w:val="0"/>
      <w:marRight w:val="0"/>
      <w:marTop w:val="0"/>
      <w:marBottom w:val="0"/>
      <w:divBdr>
        <w:top w:val="none" w:sz="0" w:space="0" w:color="auto"/>
        <w:left w:val="none" w:sz="0" w:space="0" w:color="auto"/>
        <w:bottom w:val="none" w:sz="0" w:space="0" w:color="auto"/>
        <w:right w:val="none" w:sz="0" w:space="0" w:color="auto"/>
      </w:divBdr>
    </w:div>
    <w:div w:id="1287852244">
      <w:bodyDiv w:val="1"/>
      <w:marLeft w:val="0"/>
      <w:marRight w:val="0"/>
      <w:marTop w:val="0"/>
      <w:marBottom w:val="0"/>
      <w:divBdr>
        <w:top w:val="none" w:sz="0" w:space="0" w:color="auto"/>
        <w:left w:val="none" w:sz="0" w:space="0" w:color="auto"/>
        <w:bottom w:val="none" w:sz="0" w:space="0" w:color="auto"/>
        <w:right w:val="none" w:sz="0" w:space="0" w:color="auto"/>
      </w:divBdr>
    </w:div>
    <w:div w:id="1288005119">
      <w:bodyDiv w:val="1"/>
      <w:marLeft w:val="0"/>
      <w:marRight w:val="0"/>
      <w:marTop w:val="0"/>
      <w:marBottom w:val="0"/>
      <w:divBdr>
        <w:top w:val="none" w:sz="0" w:space="0" w:color="auto"/>
        <w:left w:val="none" w:sz="0" w:space="0" w:color="auto"/>
        <w:bottom w:val="none" w:sz="0" w:space="0" w:color="auto"/>
        <w:right w:val="none" w:sz="0" w:space="0" w:color="auto"/>
      </w:divBdr>
    </w:div>
    <w:div w:id="1289242563">
      <w:bodyDiv w:val="1"/>
      <w:marLeft w:val="0"/>
      <w:marRight w:val="0"/>
      <w:marTop w:val="0"/>
      <w:marBottom w:val="0"/>
      <w:divBdr>
        <w:top w:val="none" w:sz="0" w:space="0" w:color="auto"/>
        <w:left w:val="none" w:sz="0" w:space="0" w:color="auto"/>
        <w:bottom w:val="none" w:sz="0" w:space="0" w:color="auto"/>
        <w:right w:val="none" w:sz="0" w:space="0" w:color="auto"/>
      </w:divBdr>
    </w:div>
    <w:div w:id="1289360718">
      <w:bodyDiv w:val="1"/>
      <w:marLeft w:val="0"/>
      <w:marRight w:val="0"/>
      <w:marTop w:val="0"/>
      <w:marBottom w:val="0"/>
      <w:divBdr>
        <w:top w:val="none" w:sz="0" w:space="0" w:color="auto"/>
        <w:left w:val="none" w:sz="0" w:space="0" w:color="auto"/>
        <w:bottom w:val="none" w:sz="0" w:space="0" w:color="auto"/>
        <w:right w:val="none" w:sz="0" w:space="0" w:color="auto"/>
      </w:divBdr>
    </w:div>
    <w:div w:id="1289707117">
      <w:bodyDiv w:val="1"/>
      <w:marLeft w:val="0"/>
      <w:marRight w:val="0"/>
      <w:marTop w:val="0"/>
      <w:marBottom w:val="0"/>
      <w:divBdr>
        <w:top w:val="none" w:sz="0" w:space="0" w:color="auto"/>
        <w:left w:val="none" w:sz="0" w:space="0" w:color="auto"/>
        <w:bottom w:val="none" w:sz="0" w:space="0" w:color="auto"/>
        <w:right w:val="none" w:sz="0" w:space="0" w:color="auto"/>
      </w:divBdr>
    </w:div>
    <w:div w:id="1290209337">
      <w:bodyDiv w:val="1"/>
      <w:marLeft w:val="0"/>
      <w:marRight w:val="0"/>
      <w:marTop w:val="0"/>
      <w:marBottom w:val="0"/>
      <w:divBdr>
        <w:top w:val="none" w:sz="0" w:space="0" w:color="auto"/>
        <w:left w:val="none" w:sz="0" w:space="0" w:color="auto"/>
        <w:bottom w:val="none" w:sz="0" w:space="0" w:color="auto"/>
        <w:right w:val="none" w:sz="0" w:space="0" w:color="auto"/>
      </w:divBdr>
    </w:div>
    <w:div w:id="1290666659">
      <w:bodyDiv w:val="1"/>
      <w:marLeft w:val="0"/>
      <w:marRight w:val="0"/>
      <w:marTop w:val="0"/>
      <w:marBottom w:val="0"/>
      <w:divBdr>
        <w:top w:val="none" w:sz="0" w:space="0" w:color="auto"/>
        <w:left w:val="none" w:sz="0" w:space="0" w:color="auto"/>
        <w:bottom w:val="none" w:sz="0" w:space="0" w:color="auto"/>
        <w:right w:val="none" w:sz="0" w:space="0" w:color="auto"/>
      </w:divBdr>
    </w:div>
    <w:div w:id="1290669342">
      <w:bodyDiv w:val="1"/>
      <w:marLeft w:val="0"/>
      <w:marRight w:val="0"/>
      <w:marTop w:val="0"/>
      <w:marBottom w:val="0"/>
      <w:divBdr>
        <w:top w:val="none" w:sz="0" w:space="0" w:color="auto"/>
        <w:left w:val="none" w:sz="0" w:space="0" w:color="auto"/>
        <w:bottom w:val="none" w:sz="0" w:space="0" w:color="auto"/>
        <w:right w:val="none" w:sz="0" w:space="0" w:color="auto"/>
      </w:divBdr>
    </w:div>
    <w:div w:id="1291016598">
      <w:bodyDiv w:val="1"/>
      <w:marLeft w:val="0"/>
      <w:marRight w:val="0"/>
      <w:marTop w:val="0"/>
      <w:marBottom w:val="0"/>
      <w:divBdr>
        <w:top w:val="none" w:sz="0" w:space="0" w:color="auto"/>
        <w:left w:val="none" w:sz="0" w:space="0" w:color="auto"/>
        <w:bottom w:val="none" w:sz="0" w:space="0" w:color="auto"/>
        <w:right w:val="none" w:sz="0" w:space="0" w:color="auto"/>
      </w:divBdr>
    </w:div>
    <w:div w:id="1291471439">
      <w:bodyDiv w:val="1"/>
      <w:marLeft w:val="0"/>
      <w:marRight w:val="0"/>
      <w:marTop w:val="0"/>
      <w:marBottom w:val="0"/>
      <w:divBdr>
        <w:top w:val="none" w:sz="0" w:space="0" w:color="auto"/>
        <w:left w:val="none" w:sz="0" w:space="0" w:color="auto"/>
        <w:bottom w:val="none" w:sz="0" w:space="0" w:color="auto"/>
        <w:right w:val="none" w:sz="0" w:space="0" w:color="auto"/>
      </w:divBdr>
    </w:div>
    <w:div w:id="1292173329">
      <w:bodyDiv w:val="1"/>
      <w:marLeft w:val="0"/>
      <w:marRight w:val="0"/>
      <w:marTop w:val="0"/>
      <w:marBottom w:val="0"/>
      <w:divBdr>
        <w:top w:val="none" w:sz="0" w:space="0" w:color="auto"/>
        <w:left w:val="none" w:sz="0" w:space="0" w:color="auto"/>
        <w:bottom w:val="none" w:sz="0" w:space="0" w:color="auto"/>
        <w:right w:val="none" w:sz="0" w:space="0" w:color="auto"/>
      </w:divBdr>
    </w:div>
    <w:div w:id="1292323624">
      <w:bodyDiv w:val="1"/>
      <w:marLeft w:val="0"/>
      <w:marRight w:val="0"/>
      <w:marTop w:val="0"/>
      <w:marBottom w:val="0"/>
      <w:divBdr>
        <w:top w:val="none" w:sz="0" w:space="0" w:color="auto"/>
        <w:left w:val="none" w:sz="0" w:space="0" w:color="auto"/>
        <w:bottom w:val="none" w:sz="0" w:space="0" w:color="auto"/>
        <w:right w:val="none" w:sz="0" w:space="0" w:color="auto"/>
      </w:divBdr>
    </w:div>
    <w:div w:id="1293250266">
      <w:bodyDiv w:val="1"/>
      <w:marLeft w:val="0"/>
      <w:marRight w:val="0"/>
      <w:marTop w:val="0"/>
      <w:marBottom w:val="0"/>
      <w:divBdr>
        <w:top w:val="none" w:sz="0" w:space="0" w:color="auto"/>
        <w:left w:val="none" w:sz="0" w:space="0" w:color="auto"/>
        <w:bottom w:val="none" w:sz="0" w:space="0" w:color="auto"/>
        <w:right w:val="none" w:sz="0" w:space="0" w:color="auto"/>
      </w:divBdr>
    </w:div>
    <w:div w:id="1293443719">
      <w:bodyDiv w:val="1"/>
      <w:marLeft w:val="0"/>
      <w:marRight w:val="0"/>
      <w:marTop w:val="0"/>
      <w:marBottom w:val="0"/>
      <w:divBdr>
        <w:top w:val="none" w:sz="0" w:space="0" w:color="auto"/>
        <w:left w:val="none" w:sz="0" w:space="0" w:color="auto"/>
        <w:bottom w:val="none" w:sz="0" w:space="0" w:color="auto"/>
        <w:right w:val="none" w:sz="0" w:space="0" w:color="auto"/>
      </w:divBdr>
    </w:div>
    <w:div w:id="1293512585">
      <w:bodyDiv w:val="1"/>
      <w:marLeft w:val="0"/>
      <w:marRight w:val="0"/>
      <w:marTop w:val="0"/>
      <w:marBottom w:val="0"/>
      <w:divBdr>
        <w:top w:val="none" w:sz="0" w:space="0" w:color="auto"/>
        <w:left w:val="none" w:sz="0" w:space="0" w:color="auto"/>
        <w:bottom w:val="none" w:sz="0" w:space="0" w:color="auto"/>
        <w:right w:val="none" w:sz="0" w:space="0" w:color="auto"/>
      </w:divBdr>
    </w:div>
    <w:div w:id="1293560000">
      <w:bodyDiv w:val="1"/>
      <w:marLeft w:val="0"/>
      <w:marRight w:val="0"/>
      <w:marTop w:val="0"/>
      <w:marBottom w:val="0"/>
      <w:divBdr>
        <w:top w:val="none" w:sz="0" w:space="0" w:color="auto"/>
        <w:left w:val="none" w:sz="0" w:space="0" w:color="auto"/>
        <w:bottom w:val="none" w:sz="0" w:space="0" w:color="auto"/>
        <w:right w:val="none" w:sz="0" w:space="0" w:color="auto"/>
      </w:divBdr>
    </w:div>
    <w:div w:id="1293629374">
      <w:bodyDiv w:val="1"/>
      <w:marLeft w:val="0"/>
      <w:marRight w:val="0"/>
      <w:marTop w:val="0"/>
      <w:marBottom w:val="0"/>
      <w:divBdr>
        <w:top w:val="none" w:sz="0" w:space="0" w:color="auto"/>
        <w:left w:val="none" w:sz="0" w:space="0" w:color="auto"/>
        <w:bottom w:val="none" w:sz="0" w:space="0" w:color="auto"/>
        <w:right w:val="none" w:sz="0" w:space="0" w:color="auto"/>
      </w:divBdr>
    </w:div>
    <w:div w:id="1294602408">
      <w:bodyDiv w:val="1"/>
      <w:marLeft w:val="0"/>
      <w:marRight w:val="0"/>
      <w:marTop w:val="0"/>
      <w:marBottom w:val="0"/>
      <w:divBdr>
        <w:top w:val="none" w:sz="0" w:space="0" w:color="auto"/>
        <w:left w:val="none" w:sz="0" w:space="0" w:color="auto"/>
        <w:bottom w:val="none" w:sz="0" w:space="0" w:color="auto"/>
        <w:right w:val="none" w:sz="0" w:space="0" w:color="auto"/>
      </w:divBdr>
    </w:div>
    <w:div w:id="1294870365">
      <w:bodyDiv w:val="1"/>
      <w:marLeft w:val="0"/>
      <w:marRight w:val="0"/>
      <w:marTop w:val="0"/>
      <w:marBottom w:val="0"/>
      <w:divBdr>
        <w:top w:val="none" w:sz="0" w:space="0" w:color="auto"/>
        <w:left w:val="none" w:sz="0" w:space="0" w:color="auto"/>
        <w:bottom w:val="none" w:sz="0" w:space="0" w:color="auto"/>
        <w:right w:val="none" w:sz="0" w:space="0" w:color="auto"/>
      </w:divBdr>
    </w:div>
    <w:div w:id="1294873342">
      <w:bodyDiv w:val="1"/>
      <w:marLeft w:val="0"/>
      <w:marRight w:val="0"/>
      <w:marTop w:val="0"/>
      <w:marBottom w:val="0"/>
      <w:divBdr>
        <w:top w:val="none" w:sz="0" w:space="0" w:color="auto"/>
        <w:left w:val="none" w:sz="0" w:space="0" w:color="auto"/>
        <w:bottom w:val="none" w:sz="0" w:space="0" w:color="auto"/>
        <w:right w:val="none" w:sz="0" w:space="0" w:color="auto"/>
      </w:divBdr>
    </w:div>
    <w:div w:id="1295141168">
      <w:bodyDiv w:val="1"/>
      <w:marLeft w:val="0"/>
      <w:marRight w:val="0"/>
      <w:marTop w:val="0"/>
      <w:marBottom w:val="0"/>
      <w:divBdr>
        <w:top w:val="none" w:sz="0" w:space="0" w:color="auto"/>
        <w:left w:val="none" w:sz="0" w:space="0" w:color="auto"/>
        <w:bottom w:val="none" w:sz="0" w:space="0" w:color="auto"/>
        <w:right w:val="none" w:sz="0" w:space="0" w:color="auto"/>
      </w:divBdr>
    </w:div>
    <w:div w:id="1295597463">
      <w:bodyDiv w:val="1"/>
      <w:marLeft w:val="0"/>
      <w:marRight w:val="0"/>
      <w:marTop w:val="0"/>
      <w:marBottom w:val="0"/>
      <w:divBdr>
        <w:top w:val="none" w:sz="0" w:space="0" w:color="auto"/>
        <w:left w:val="none" w:sz="0" w:space="0" w:color="auto"/>
        <w:bottom w:val="none" w:sz="0" w:space="0" w:color="auto"/>
        <w:right w:val="none" w:sz="0" w:space="0" w:color="auto"/>
      </w:divBdr>
    </w:div>
    <w:div w:id="1295714386">
      <w:bodyDiv w:val="1"/>
      <w:marLeft w:val="0"/>
      <w:marRight w:val="0"/>
      <w:marTop w:val="0"/>
      <w:marBottom w:val="0"/>
      <w:divBdr>
        <w:top w:val="none" w:sz="0" w:space="0" w:color="auto"/>
        <w:left w:val="none" w:sz="0" w:space="0" w:color="auto"/>
        <w:bottom w:val="none" w:sz="0" w:space="0" w:color="auto"/>
        <w:right w:val="none" w:sz="0" w:space="0" w:color="auto"/>
      </w:divBdr>
    </w:div>
    <w:div w:id="1296326469">
      <w:bodyDiv w:val="1"/>
      <w:marLeft w:val="0"/>
      <w:marRight w:val="0"/>
      <w:marTop w:val="0"/>
      <w:marBottom w:val="0"/>
      <w:divBdr>
        <w:top w:val="none" w:sz="0" w:space="0" w:color="auto"/>
        <w:left w:val="none" w:sz="0" w:space="0" w:color="auto"/>
        <w:bottom w:val="none" w:sz="0" w:space="0" w:color="auto"/>
        <w:right w:val="none" w:sz="0" w:space="0" w:color="auto"/>
      </w:divBdr>
    </w:div>
    <w:div w:id="1297565776">
      <w:bodyDiv w:val="1"/>
      <w:marLeft w:val="0"/>
      <w:marRight w:val="0"/>
      <w:marTop w:val="0"/>
      <w:marBottom w:val="0"/>
      <w:divBdr>
        <w:top w:val="none" w:sz="0" w:space="0" w:color="auto"/>
        <w:left w:val="none" w:sz="0" w:space="0" w:color="auto"/>
        <w:bottom w:val="none" w:sz="0" w:space="0" w:color="auto"/>
        <w:right w:val="none" w:sz="0" w:space="0" w:color="auto"/>
      </w:divBdr>
    </w:div>
    <w:div w:id="1297683932">
      <w:bodyDiv w:val="1"/>
      <w:marLeft w:val="0"/>
      <w:marRight w:val="0"/>
      <w:marTop w:val="0"/>
      <w:marBottom w:val="0"/>
      <w:divBdr>
        <w:top w:val="none" w:sz="0" w:space="0" w:color="auto"/>
        <w:left w:val="none" w:sz="0" w:space="0" w:color="auto"/>
        <w:bottom w:val="none" w:sz="0" w:space="0" w:color="auto"/>
        <w:right w:val="none" w:sz="0" w:space="0" w:color="auto"/>
      </w:divBdr>
    </w:div>
    <w:div w:id="1297762342">
      <w:bodyDiv w:val="1"/>
      <w:marLeft w:val="0"/>
      <w:marRight w:val="0"/>
      <w:marTop w:val="0"/>
      <w:marBottom w:val="0"/>
      <w:divBdr>
        <w:top w:val="none" w:sz="0" w:space="0" w:color="auto"/>
        <w:left w:val="none" w:sz="0" w:space="0" w:color="auto"/>
        <w:bottom w:val="none" w:sz="0" w:space="0" w:color="auto"/>
        <w:right w:val="none" w:sz="0" w:space="0" w:color="auto"/>
      </w:divBdr>
    </w:div>
    <w:div w:id="1298533052">
      <w:bodyDiv w:val="1"/>
      <w:marLeft w:val="0"/>
      <w:marRight w:val="0"/>
      <w:marTop w:val="0"/>
      <w:marBottom w:val="0"/>
      <w:divBdr>
        <w:top w:val="none" w:sz="0" w:space="0" w:color="auto"/>
        <w:left w:val="none" w:sz="0" w:space="0" w:color="auto"/>
        <w:bottom w:val="none" w:sz="0" w:space="0" w:color="auto"/>
        <w:right w:val="none" w:sz="0" w:space="0" w:color="auto"/>
      </w:divBdr>
    </w:div>
    <w:div w:id="1298756594">
      <w:bodyDiv w:val="1"/>
      <w:marLeft w:val="0"/>
      <w:marRight w:val="0"/>
      <w:marTop w:val="0"/>
      <w:marBottom w:val="0"/>
      <w:divBdr>
        <w:top w:val="none" w:sz="0" w:space="0" w:color="auto"/>
        <w:left w:val="none" w:sz="0" w:space="0" w:color="auto"/>
        <w:bottom w:val="none" w:sz="0" w:space="0" w:color="auto"/>
        <w:right w:val="none" w:sz="0" w:space="0" w:color="auto"/>
      </w:divBdr>
    </w:div>
    <w:div w:id="1298876274">
      <w:bodyDiv w:val="1"/>
      <w:marLeft w:val="0"/>
      <w:marRight w:val="0"/>
      <w:marTop w:val="0"/>
      <w:marBottom w:val="0"/>
      <w:divBdr>
        <w:top w:val="none" w:sz="0" w:space="0" w:color="auto"/>
        <w:left w:val="none" w:sz="0" w:space="0" w:color="auto"/>
        <w:bottom w:val="none" w:sz="0" w:space="0" w:color="auto"/>
        <w:right w:val="none" w:sz="0" w:space="0" w:color="auto"/>
      </w:divBdr>
    </w:div>
    <w:div w:id="1299340945">
      <w:bodyDiv w:val="1"/>
      <w:marLeft w:val="0"/>
      <w:marRight w:val="0"/>
      <w:marTop w:val="0"/>
      <w:marBottom w:val="0"/>
      <w:divBdr>
        <w:top w:val="none" w:sz="0" w:space="0" w:color="auto"/>
        <w:left w:val="none" w:sz="0" w:space="0" w:color="auto"/>
        <w:bottom w:val="none" w:sz="0" w:space="0" w:color="auto"/>
        <w:right w:val="none" w:sz="0" w:space="0" w:color="auto"/>
      </w:divBdr>
    </w:div>
    <w:div w:id="1299608001">
      <w:bodyDiv w:val="1"/>
      <w:marLeft w:val="0"/>
      <w:marRight w:val="0"/>
      <w:marTop w:val="0"/>
      <w:marBottom w:val="0"/>
      <w:divBdr>
        <w:top w:val="none" w:sz="0" w:space="0" w:color="auto"/>
        <w:left w:val="none" w:sz="0" w:space="0" w:color="auto"/>
        <w:bottom w:val="none" w:sz="0" w:space="0" w:color="auto"/>
        <w:right w:val="none" w:sz="0" w:space="0" w:color="auto"/>
      </w:divBdr>
    </w:div>
    <w:div w:id="1300261346">
      <w:bodyDiv w:val="1"/>
      <w:marLeft w:val="0"/>
      <w:marRight w:val="0"/>
      <w:marTop w:val="0"/>
      <w:marBottom w:val="0"/>
      <w:divBdr>
        <w:top w:val="none" w:sz="0" w:space="0" w:color="auto"/>
        <w:left w:val="none" w:sz="0" w:space="0" w:color="auto"/>
        <w:bottom w:val="none" w:sz="0" w:space="0" w:color="auto"/>
        <w:right w:val="none" w:sz="0" w:space="0" w:color="auto"/>
      </w:divBdr>
    </w:div>
    <w:div w:id="1300383272">
      <w:bodyDiv w:val="1"/>
      <w:marLeft w:val="0"/>
      <w:marRight w:val="0"/>
      <w:marTop w:val="0"/>
      <w:marBottom w:val="0"/>
      <w:divBdr>
        <w:top w:val="none" w:sz="0" w:space="0" w:color="auto"/>
        <w:left w:val="none" w:sz="0" w:space="0" w:color="auto"/>
        <w:bottom w:val="none" w:sz="0" w:space="0" w:color="auto"/>
        <w:right w:val="none" w:sz="0" w:space="0" w:color="auto"/>
      </w:divBdr>
    </w:div>
    <w:div w:id="1301378118">
      <w:bodyDiv w:val="1"/>
      <w:marLeft w:val="0"/>
      <w:marRight w:val="0"/>
      <w:marTop w:val="0"/>
      <w:marBottom w:val="0"/>
      <w:divBdr>
        <w:top w:val="none" w:sz="0" w:space="0" w:color="auto"/>
        <w:left w:val="none" w:sz="0" w:space="0" w:color="auto"/>
        <w:bottom w:val="none" w:sz="0" w:space="0" w:color="auto"/>
        <w:right w:val="none" w:sz="0" w:space="0" w:color="auto"/>
      </w:divBdr>
    </w:div>
    <w:div w:id="1301495929">
      <w:bodyDiv w:val="1"/>
      <w:marLeft w:val="0"/>
      <w:marRight w:val="0"/>
      <w:marTop w:val="0"/>
      <w:marBottom w:val="0"/>
      <w:divBdr>
        <w:top w:val="none" w:sz="0" w:space="0" w:color="auto"/>
        <w:left w:val="none" w:sz="0" w:space="0" w:color="auto"/>
        <w:bottom w:val="none" w:sz="0" w:space="0" w:color="auto"/>
        <w:right w:val="none" w:sz="0" w:space="0" w:color="auto"/>
      </w:divBdr>
    </w:div>
    <w:div w:id="1301888542">
      <w:bodyDiv w:val="1"/>
      <w:marLeft w:val="0"/>
      <w:marRight w:val="0"/>
      <w:marTop w:val="0"/>
      <w:marBottom w:val="0"/>
      <w:divBdr>
        <w:top w:val="none" w:sz="0" w:space="0" w:color="auto"/>
        <w:left w:val="none" w:sz="0" w:space="0" w:color="auto"/>
        <w:bottom w:val="none" w:sz="0" w:space="0" w:color="auto"/>
        <w:right w:val="none" w:sz="0" w:space="0" w:color="auto"/>
      </w:divBdr>
    </w:div>
    <w:div w:id="1302687065">
      <w:bodyDiv w:val="1"/>
      <w:marLeft w:val="0"/>
      <w:marRight w:val="0"/>
      <w:marTop w:val="0"/>
      <w:marBottom w:val="0"/>
      <w:divBdr>
        <w:top w:val="none" w:sz="0" w:space="0" w:color="auto"/>
        <w:left w:val="none" w:sz="0" w:space="0" w:color="auto"/>
        <w:bottom w:val="none" w:sz="0" w:space="0" w:color="auto"/>
        <w:right w:val="none" w:sz="0" w:space="0" w:color="auto"/>
      </w:divBdr>
    </w:div>
    <w:div w:id="1302691448">
      <w:bodyDiv w:val="1"/>
      <w:marLeft w:val="0"/>
      <w:marRight w:val="0"/>
      <w:marTop w:val="0"/>
      <w:marBottom w:val="0"/>
      <w:divBdr>
        <w:top w:val="none" w:sz="0" w:space="0" w:color="auto"/>
        <w:left w:val="none" w:sz="0" w:space="0" w:color="auto"/>
        <w:bottom w:val="none" w:sz="0" w:space="0" w:color="auto"/>
        <w:right w:val="none" w:sz="0" w:space="0" w:color="auto"/>
      </w:divBdr>
    </w:div>
    <w:div w:id="1305044669">
      <w:bodyDiv w:val="1"/>
      <w:marLeft w:val="0"/>
      <w:marRight w:val="0"/>
      <w:marTop w:val="0"/>
      <w:marBottom w:val="0"/>
      <w:divBdr>
        <w:top w:val="none" w:sz="0" w:space="0" w:color="auto"/>
        <w:left w:val="none" w:sz="0" w:space="0" w:color="auto"/>
        <w:bottom w:val="none" w:sz="0" w:space="0" w:color="auto"/>
        <w:right w:val="none" w:sz="0" w:space="0" w:color="auto"/>
      </w:divBdr>
    </w:div>
    <w:div w:id="1305156469">
      <w:bodyDiv w:val="1"/>
      <w:marLeft w:val="0"/>
      <w:marRight w:val="0"/>
      <w:marTop w:val="0"/>
      <w:marBottom w:val="0"/>
      <w:divBdr>
        <w:top w:val="none" w:sz="0" w:space="0" w:color="auto"/>
        <w:left w:val="none" w:sz="0" w:space="0" w:color="auto"/>
        <w:bottom w:val="none" w:sz="0" w:space="0" w:color="auto"/>
        <w:right w:val="none" w:sz="0" w:space="0" w:color="auto"/>
      </w:divBdr>
    </w:div>
    <w:div w:id="1306427345">
      <w:bodyDiv w:val="1"/>
      <w:marLeft w:val="0"/>
      <w:marRight w:val="0"/>
      <w:marTop w:val="0"/>
      <w:marBottom w:val="0"/>
      <w:divBdr>
        <w:top w:val="none" w:sz="0" w:space="0" w:color="auto"/>
        <w:left w:val="none" w:sz="0" w:space="0" w:color="auto"/>
        <w:bottom w:val="none" w:sz="0" w:space="0" w:color="auto"/>
        <w:right w:val="none" w:sz="0" w:space="0" w:color="auto"/>
      </w:divBdr>
    </w:div>
    <w:div w:id="1306858907">
      <w:bodyDiv w:val="1"/>
      <w:marLeft w:val="0"/>
      <w:marRight w:val="0"/>
      <w:marTop w:val="0"/>
      <w:marBottom w:val="0"/>
      <w:divBdr>
        <w:top w:val="none" w:sz="0" w:space="0" w:color="auto"/>
        <w:left w:val="none" w:sz="0" w:space="0" w:color="auto"/>
        <w:bottom w:val="none" w:sz="0" w:space="0" w:color="auto"/>
        <w:right w:val="none" w:sz="0" w:space="0" w:color="auto"/>
      </w:divBdr>
    </w:div>
    <w:div w:id="1308241676">
      <w:bodyDiv w:val="1"/>
      <w:marLeft w:val="0"/>
      <w:marRight w:val="0"/>
      <w:marTop w:val="0"/>
      <w:marBottom w:val="0"/>
      <w:divBdr>
        <w:top w:val="none" w:sz="0" w:space="0" w:color="auto"/>
        <w:left w:val="none" w:sz="0" w:space="0" w:color="auto"/>
        <w:bottom w:val="none" w:sz="0" w:space="0" w:color="auto"/>
        <w:right w:val="none" w:sz="0" w:space="0" w:color="auto"/>
      </w:divBdr>
    </w:div>
    <w:div w:id="1308389348">
      <w:bodyDiv w:val="1"/>
      <w:marLeft w:val="0"/>
      <w:marRight w:val="0"/>
      <w:marTop w:val="0"/>
      <w:marBottom w:val="0"/>
      <w:divBdr>
        <w:top w:val="none" w:sz="0" w:space="0" w:color="auto"/>
        <w:left w:val="none" w:sz="0" w:space="0" w:color="auto"/>
        <w:bottom w:val="none" w:sz="0" w:space="0" w:color="auto"/>
        <w:right w:val="none" w:sz="0" w:space="0" w:color="auto"/>
      </w:divBdr>
    </w:div>
    <w:div w:id="1308973691">
      <w:bodyDiv w:val="1"/>
      <w:marLeft w:val="0"/>
      <w:marRight w:val="0"/>
      <w:marTop w:val="0"/>
      <w:marBottom w:val="0"/>
      <w:divBdr>
        <w:top w:val="none" w:sz="0" w:space="0" w:color="auto"/>
        <w:left w:val="none" w:sz="0" w:space="0" w:color="auto"/>
        <w:bottom w:val="none" w:sz="0" w:space="0" w:color="auto"/>
        <w:right w:val="none" w:sz="0" w:space="0" w:color="auto"/>
      </w:divBdr>
    </w:div>
    <w:div w:id="1309630158">
      <w:bodyDiv w:val="1"/>
      <w:marLeft w:val="0"/>
      <w:marRight w:val="0"/>
      <w:marTop w:val="0"/>
      <w:marBottom w:val="0"/>
      <w:divBdr>
        <w:top w:val="none" w:sz="0" w:space="0" w:color="auto"/>
        <w:left w:val="none" w:sz="0" w:space="0" w:color="auto"/>
        <w:bottom w:val="none" w:sz="0" w:space="0" w:color="auto"/>
        <w:right w:val="none" w:sz="0" w:space="0" w:color="auto"/>
      </w:divBdr>
    </w:div>
    <w:div w:id="1309676551">
      <w:bodyDiv w:val="1"/>
      <w:marLeft w:val="0"/>
      <w:marRight w:val="0"/>
      <w:marTop w:val="0"/>
      <w:marBottom w:val="0"/>
      <w:divBdr>
        <w:top w:val="none" w:sz="0" w:space="0" w:color="auto"/>
        <w:left w:val="none" w:sz="0" w:space="0" w:color="auto"/>
        <w:bottom w:val="none" w:sz="0" w:space="0" w:color="auto"/>
        <w:right w:val="none" w:sz="0" w:space="0" w:color="auto"/>
      </w:divBdr>
    </w:div>
    <w:div w:id="1309900304">
      <w:bodyDiv w:val="1"/>
      <w:marLeft w:val="0"/>
      <w:marRight w:val="0"/>
      <w:marTop w:val="0"/>
      <w:marBottom w:val="0"/>
      <w:divBdr>
        <w:top w:val="none" w:sz="0" w:space="0" w:color="auto"/>
        <w:left w:val="none" w:sz="0" w:space="0" w:color="auto"/>
        <w:bottom w:val="none" w:sz="0" w:space="0" w:color="auto"/>
        <w:right w:val="none" w:sz="0" w:space="0" w:color="auto"/>
      </w:divBdr>
    </w:div>
    <w:div w:id="1310861461">
      <w:bodyDiv w:val="1"/>
      <w:marLeft w:val="0"/>
      <w:marRight w:val="0"/>
      <w:marTop w:val="0"/>
      <w:marBottom w:val="0"/>
      <w:divBdr>
        <w:top w:val="none" w:sz="0" w:space="0" w:color="auto"/>
        <w:left w:val="none" w:sz="0" w:space="0" w:color="auto"/>
        <w:bottom w:val="none" w:sz="0" w:space="0" w:color="auto"/>
        <w:right w:val="none" w:sz="0" w:space="0" w:color="auto"/>
      </w:divBdr>
    </w:div>
    <w:div w:id="1311129397">
      <w:bodyDiv w:val="1"/>
      <w:marLeft w:val="0"/>
      <w:marRight w:val="0"/>
      <w:marTop w:val="0"/>
      <w:marBottom w:val="0"/>
      <w:divBdr>
        <w:top w:val="none" w:sz="0" w:space="0" w:color="auto"/>
        <w:left w:val="none" w:sz="0" w:space="0" w:color="auto"/>
        <w:bottom w:val="none" w:sz="0" w:space="0" w:color="auto"/>
        <w:right w:val="none" w:sz="0" w:space="0" w:color="auto"/>
      </w:divBdr>
    </w:div>
    <w:div w:id="1311135760">
      <w:bodyDiv w:val="1"/>
      <w:marLeft w:val="0"/>
      <w:marRight w:val="0"/>
      <w:marTop w:val="0"/>
      <w:marBottom w:val="0"/>
      <w:divBdr>
        <w:top w:val="none" w:sz="0" w:space="0" w:color="auto"/>
        <w:left w:val="none" w:sz="0" w:space="0" w:color="auto"/>
        <w:bottom w:val="none" w:sz="0" w:space="0" w:color="auto"/>
        <w:right w:val="none" w:sz="0" w:space="0" w:color="auto"/>
      </w:divBdr>
    </w:div>
    <w:div w:id="1311248183">
      <w:bodyDiv w:val="1"/>
      <w:marLeft w:val="0"/>
      <w:marRight w:val="0"/>
      <w:marTop w:val="0"/>
      <w:marBottom w:val="0"/>
      <w:divBdr>
        <w:top w:val="none" w:sz="0" w:space="0" w:color="auto"/>
        <w:left w:val="none" w:sz="0" w:space="0" w:color="auto"/>
        <w:bottom w:val="none" w:sz="0" w:space="0" w:color="auto"/>
        <w:right w:val="none" w:sz="0" w:space="0" w:color="auto"/>
      </w:divBdr>
    </w:div>
    <w:div w:id="1312829608">
      <w:bodyDiv w:val="1"/>
      <w:marLeft w:val="0"/>
      <w:marRight w:val="0"/>
      <w:marTop w:val="0"/>
      <w:marBottom w:val="0"/>
      <w:divBdr>
        <w:top w:val="none" w:sz="0" w:space="0" w:color="auto"/>
        <w:left w:val="none" w:sz="0" w:space="0" w:color="auto"/>
        <w:bottom w:val="none" w:sz="0" w:space="0" w:color="auto"/>
        <w:right w:val="none" w:sz="0" w:space="0" w:color="auto"/>
      </w:divBdr>
    </w:div>
    <w:div w:id="1313368959">
      <w:bodyDiv w:val="1"/>
      <w:marLeft w:val="0"/>
      <w:marRight w:val="0"/>
      <w:marTop w:val="0"/>
      <w:marBottom w:val="0"/>
      <w:divBdr>
        <w:top w:val="none" w:sz="0" w:space="0" w:color="auto"/>
        <w:left w:val="none" w:sz="0" w:space="0" w:color="auto"/>
        <w:bottom w:val="none" w:sz="0" w:space="0" w:color="auto"/>
        <w:right w:val="none" w:sz="0" w:space="0" w:color="auto"/>
      </w:divBdr>
    </w:div>
    <w:div w:id="1313831946">
      <w:bodyDiv w:val="1"/>
      <w:marLeft w:val="0"/>
      <w:marRight w:val="0"/>
      <w:marTop w:val="0"/>
      <w:marBottom w:val="0"/>
      <w:divBdr>
        <w:top w:val="none" w:sz="0" w:space="0" w:color="auto"/>
        <w:left w:val="none" w:sz="0" w:space="0" w:color="auto"/>
        <w:bottom w:val="none" w:sz="0" w:space="0" w:color="auto"/>
        <w:right w:val="none" w:sz="0" w:space="0" w:color="auto"/>
      </w:divBdr>
    </w:div>
    <w:div w:id="1314791148">
      <w:bodyDiv w:val="1"/>
      <w:marLeft w:val="0"/>
      <w:marRight w:val="0"/>
      <w:marTop w:val="0"/>
      <w:marBottom w:val="0"/>
      <w:divBdr>
        <w:top w:val="none" w:sz="0" w:space="0" w:color="auto"/>
        <w:left w:val="none" w:sz="0" w:space="0" w:color="auto"/>
        <w:bottom w:val="none" w:sz="0" w:space="0" w:color="auto"/>
        <w:right w:val="none" w:sz="0" w:space="0" w:color="auto"/>
      </w:divBdr>
    </w:div>
    <w:div w:id="1314941851">
      <w:bodyDiv w:val="1"/>
      <w:marLeft w:val="0"/>
      <w:marRight w:val="0"/>
      <w:marTop w:val="0"/>
      <w:marBottom w:val="0"/>
      <w:divBdr>
        <w:top w:val="none" w:sz="0" w:space="0" w:color="auto"/>
        <w:left w:val="none" w:sz="0" w:space="0" w:color="auto"/>
        <w:bottom w:val="none" w:sz="0" w:space="0" w:color="auto"/>
        <w:right w:val="none" w:sz="0" w:space="0" w:color="auto"/>
      </w:divBdr>
    </w:div>
    <w:div w:id="1315256118">
      <w:bodyDiv w:val="1"/>
      <w:marLeft w:val="0"/>
      <w:marRight w:val="0"/>
      <w:marTop w:val="0"/>
      <w:marBottom w:val="0"/>
      <w:divBdr>
        <w:top w:val="none" w:sz="0" w:space="0" w:color="auto"/>
        <w:left w:val="none" w:sz="0" w:space="0" w:color="auto"/>
        <w:bottom w:val="none" w:sz="0" w:space="0" w:color="auto"/>
        <w:right w:val="none" w:sz="0" w:space="0" w:color="auto"/>
      </w:divBdr>
    </w:div>
    <w:div w:id="1315646653">
      <w:bodyDiv w:val="1"/>
      <w:marLeft w:val="0"/>
      <w:marRight w:val="0"/>
      <w:marTop w:val="0"/>
      <w:marBottom w:val="0"/>
      <w:divBdr>
        <w:top w:val="none" w:sz="0" w:space="0" w:color="auto"/>
        <w:left w:val="none" w:sz="0" w:space="0" w:color="auto"/>
        <w:bottom w:val="none" w:sz="0" w:space="0" w:color="auto"/>
        <w:right w:val="none" w:sz="0" w:space="0" w:color="auto"/>
      </w:divBdr>
    </w:div>
    <w:div w:id="1316035564">
      <w:bodyDiv w:val="1"/>
      <w:marLeft w:val="0"/>
      <w:marRight w:val="0"/>
      <w:marTop w:val="0"/>
      <w:marBottom w:val="0"/>
      <w:divBdr>
        <w:top w:val="none" w:sz="0" w:space="0" w:color="auto"/>
        <w:left w:val="none" w:sz="0" w:space="0" w:color="auto"/>
        <w:bottom w:val="none" w:sz="0" w:space="0" w:color="auto"/>
        <w:right w:val="none" w:sz="0" w:space="0" w:color="auto"/>
      </w:divBdr>
    </w:div>
    <w:div w:id="1316299465">
      <w:bodyDiv w:val="1"/>
      <w:marLeft w:val="0"/>
      <w:marRight w:val="0"/>
      <w:marTop w:val="0"/>
      <w:marBottom w:val="0"/>
      <w:divBdr>
        <w:top w:val="none" w:sz="0" w:space="0" w:color="auto"/>
        <w:left w:val="none" w:sz="0" w:space="0" w:color="auto"/>
        <w:bottom w:val="none" w:sz="0" w:space="0" w:color="auto"/>
        <w:right w:val="none" w:sz="0" w:space="0" w:color="auto"/>
      </w:divBdr>
    </w:div>
    <w:div w:id="1316302353">
      <w:bodyDiv w:val="1"/>
      <w:marLeft w:val="0"/>
      <w:marRight w:val="0"/>
      <w:marTop w:val="0"/>
      <w:marBottom w:val="0"/>
      <w:divBdr>
        <w:top w:val="none" w:sz="0" w:space="0" w:color="auto"/>
        <w:left w:val="none" w:sz="0" w:space="0" w:color="auto"/>
        <w:bottom w:val="none" w:sz="0" w:space="0" w:color="auto"/>
        <w:right w:val="none" w:sz="0" w:space="0" w:color="auto"/>
      </w:divBdr>
    </w:div>
    <w:div w:id="1316491749">
      <w:bodyDiv w:val="1"/>
      <w:marLeft w:val="0"/>
      <w:marRight w:val="0"/>
      <w:marTop w:val="0"/>
      <w:marBottom w:val="0"/>
      <w:divBdr>
        <w:top w:val="none" w:sz="0" w:space="0" w:color="auto"/>
        <w:left w:val="none" w:sz="0" w:space="0" w:color="auto"/>
        <w:bottom w:val="none" w:sz="0" w:space="0" w:color="auto"/>
        <w:right w:val="none" w:sz="0" w:space="0" w:color="auto"/>
      </w:divBdr>
    </w:div>
    <w:div w:id="1318069910">
      <w:bodyDiv w:val="1"/>
      <w:marLeft w:val="0"/>
      <w:marRight w:val="0"/>
      <w:marTop w:val="0"/>
      <w:marBottom w:val="0"/>
      <w:divBdr>
        <w:top w:val="none" w:sz="0" w:space="0" w:color="auto"/>
        <w:left w:val="none" w:sz="0" w:space="0" w:color="auto"/>
        <w:bottom w:val="none" w:sz="0" w:space="0" w:color="auto"/>
        <w:right w:val="none" w:sz="0" w:space="0" w:color="auto"/>
      </w:divBdr>
    </w:div>
    <w:div w:id="1318150678">
      <w:bodyDiv w:val="1"/>
      <w:marLeft w:val="0"/>
      <w:marRight w:val="0"/>
      <w:marTop w:val="0"/>
      <w:marBottom w:val="0"/>
      <w:divBdr>
        <w:top w:val="none" w:sz="0" w:space="0" w:color="auto"/>
        <w:left w:val="none" w:sz="0" w:space="0" w:color="auto"/>
        <w:bottom w:val="none" w:sz="0" w:space="0" w:color="auto"/>
        <w:right w:val="none" w:sz="0" w:space="0" w:color="auto"/>
      </w:divBdr>
    </w:div>
    <w:div w:id="1318416148">
      <w:bodyDiv w:val="1"/>
      <w:marLeft w:val="0"/>
      <w:marRight w:val="0"/>
      <w:marTop w:val="0"/>
      <w:marBottom w:val="0"/>
      <w:divBdr>
        <w:top w:val="none" w:sz="0" w:space="0" w:color="auto"/>
        <w:left w:val="none" w:sz="0" w:space="0" w:color="auto"/>
        <w:bottom w:val="none" w:sz="0" w:space="0" w:color="auto"/>
        <w:right w:val="none" w:sz="0" w:space="0" w:color="auto"/>
      </w:divBdr>
    </w:div>
    <w:div w:id="1321931448">
      <w:bodyDiv w:val="1"/>
      <w:marLeft w:val="0"/>
      <w:marRight w:val="0"/>
      <w:marTop w:val="0"/>
      <w:marBottom w:val="0"/>
      <w:divBdr>
        <w:top w:val="none" w:sz="0" w:space="0" w:color="auto"/>
        <w:left w:val="none" w:sz="0" w:space="0" w:color="auto"/>
        <w:bottom w:val="none" w:sz="0" w:space="0" w:color="auto"/>
        <w:right w:val="none" w:sz="0" w:space="0" w:color="auto"/>
      </w:divBdr>
    </w:div>
    <w:div w:id="1322386067">
      <w:bodyDiv w:val="1"/>
      <w:marLeft w:val="0"/>
      <w:marRight w:val="0"/>
      <w:marTop w:val="0"/>
      <w:marBottom w:val="0"/>
      <w:divBdr>
        <w:top w:val="none" w:sz="0" w:space="0" w:color="auto"/>
        <w:left w:val="none" w:sz="0" w:space="0" w:color="auto"/>
        <w:bottom w:val="none" w:sz="0" w:space="0" w:color="auto"/>
        <w:right w:val="none" w:sz="0" w:space="0" w:color="auto"/>
      </w:divBdr>
    </w:div>
    <w:div w:id="1322731599">
      <w:bodyDiv w:val="1"/>
      <w:marLeft w:val="0"/>
      <w:marRight w:val="0"/>
      <w:marTop w:val="0"/>
      <w:marBottom w:val="0"/>
      <w:divBdr>
        <w:top w:val="none" w:sz="0" w:space="0" w:color="auto"/>
        <w:left w:val="none" w:sz="0" w:space="0" w:color="auto"/>
        <w:bottom w:val="none" w:sz="0" w:space="0" w:color="auto"/>
        <w:right w:val="none" w:sz="0" w:space="0" w:color="auto"/>
      </w:divBdr>
    </w:div>
    <w:div w:id="1323243960">
      <w:bodyDiv w:val="1"/>
      <w:marLeft w:val="0"/>
      <w:marRight w:val="0"/>
      <w:marTop w:val="0"/>
      <w:marBottom w:val="0"/>
      <w:divBdr>
        <w:top w:val="none" w:sz="0" w:space="0" w:color="auto"/>
        <w:left w:val="none" w:sz="0" w:space="0" w:color="auto"/>
        <w:bottom w:val="none" w:sz="0" w:space="0" w:color="auto"/>
        <w:right w:val="none" w:sz="0" w:space="0" w:color="auto"/>
      </w:divBdr>
    </w:div>
    <w:div w:id="1324820109">
      <w:bodyDiv w:val="1"/>
      <w:marLeft w:val="0"/>
      <w:marRight w:val="0"/>
      <w:marTop w:val="0"/>
      <w:marBottom w:val="0"/>
      <w:divBdr>
        <w:top w:val="none" w:sz="0" w:space="0" w:color="auto"/>
        <w:left w:val="none" w:sz="0" w:space="0" w:color="auto"/>
        <w:bottom w:val="none" w:sz="0" w:space="0" w:color="auto"/>
        <w:right w:val="none" w:sz="0" w:space="0" w:color="auto"/>
      </w:divBdr>
    </w:div>
    <w:div w:id="1325547315">
      <w:bodyDiv w:val="1"/>
      <w:marLeft w:val="0"/>
      <w:marRight w:val="0"/>
      <w:marTop w:val="0"/>
      <w:marBottom w:val="0"/>
      <w:divBdr>
        <w:top w:val="none" w:sz="0" w:space="0" w:color="auto"/>
        <w:left w:val="none" w:sz="0" w:space="0" w:color="auto"/>
        <w:bottom w:val="none" w:sz="0" w:space="0" w:color="auto"/>
        <w:right w:val="none" w:sz="0" w:space="0" w:color="auto"/>
      </w:divBdr>
    </w:div>
    <w:div w:id="1326518470">
      <w:bodyDiv w:val="1"/>
      <w:marLeft w:val="0"/>
      <w:marRight w:val="0"/>
      <w:marTop w:val="0"/>
      <w:marBottom w:val="0"/>
      <w:divBdr>
        <w:top w:val="none" w:sz="0" w:space="0" w:color="auto"/>
        <w:left w:val="none" w:sz="0" w:space="0" w:color="auto"/>
        <w:bottom w:val="none" w:sz="0" w:space="0" w:color="auto"/>
        <w:right w:val="none" w:sz="0" w:space="0" w:color="auto"/>
      </w:divBdr>
    </w:div>
    <w:div w:id="1326786829">
      <w:bodyDiv w:val="1"/>
      <w:marLeft w:val="0"/>
      <w:marRight w:val="0"/>
      <w:marTop w:val="0"/>
      <w:marBottom w:val="0"/>
      <w:divBdr>
        <w:top w:val="none" w:sz="0" w:space="0" w:color="auto"/>
        <w:left w:val="none" w:sz="0" w:space="0" w:color="auto"/>
        <w:bottom w:val="none" w:sz="0" w:space="0" w:color="auto"/>
        <w:right w:val="none" w:sz="0" w:space="0" w:color="auto"/>
      </w:divBdr>
    </w:div>
    <w:div w:id="1326930590">
      <w:bodyDiv w:val="1"/>
      <w:marLeft w:val="0"/>
      <w:marRight w:val="0"/>
      <w:marTop w:val="0"/>
      <w:marBottom w:val="0"/>
      <w:divBdr>
        <w:top w:val="none" w:sz="0" w:space="0" w:color="auto"/>
        <w:left w:val="none" w:sz="0" w:space="0" w:color="auto"/>
        <w:bottom w:val="none" w:sz="0" w:space="0" w:color="auto"/>
        <w:right w:val="none" w:sz="0" w:space="0" w:color="auto"/>
      </w:divBdr>
    </w:div>
    <w:div w:id="1326977454">
      <w:bodyDiv w:val="1"/>
      <w:marLeft w:val="0"/>
      <w:marRight w:val="0"/>
      <w:marTop w:val="0"/>
      <w:marBottom w:val="0"/>
      <w:divBdr>
        <w:top w:val="none" w:sz="0" w:space="0" w:color="auto"/>
        <w:left w:val="none" w:sz="0" w:space="0" w:color="auto"/>
        <w:bottom w:val="none" w:sz="0" w:space="0" w:color="auto"/>
        <w:right w:val="none" w:sz="0" w:space="0" w:color="auto"/>
      </w:divBdr>
    </w:div>
    <w:div w:id="1327052841">
      <w:bodyDiv w:val="1"/>
      <w:marLeft w:val="0"/>
      <w:marRight w:val="0"/>
      <w:marTop w:val="0"/>
      <w:marBottom w:val="0"/>
      <w:divBdr>
        <w:top w:val="none" w:sz="0" w:space="0" w:color="auto"/>
        <w:left w:val="none" w:sz="0" w:space="0" w:color="auto"/>
        <w:bottom w:val="none" w:sz="0" w:space="0" w:color="auto"/>
        <w:right w:val="none" w:sz="0" w:space="0" w:color="auto"/>
      </w:divBdr>
    </w:div>
    <w:div w:id="1327367146">
      <w:bodyDiv w:val="1"/>
      <w:marLeft w:val="0"/>
      <w:marRight w:val="0"/>
      <w:marTop w:val="0"/>
      <w:marBottom w:val="0"/>
      <w:divBdr>
        <w:top w:val="none" w:sz="0" w:space="0" w:color="auto"/>
        <w:left w:val="none" w:sz="0" w:space="0" w:color="auto"/>
        <w:bottom w:val="none" w:sz="0" w:space="0" w:color="auto"/>
        <w:right w:val="none" w:sz="0" w:space="0" w:color="auto"/>
      </w:divBdr>
    </w:div>
    <w:div w:id="1327705696">
      <w:bodyDiv w:val="1"/>
      <w:marLeft w:val="0"/>
      <w:marRight w:val="0"/>
      <w:marTop w:val="0"/>
      <w:marBottom w:val="0"/>
      <w:divBdr>
        <w:top w:val="none" w:sz="0" w:space="0" w:color="auto"/>
        <w:left w:val="none" w:sz="0" w:space="0" w:color="auto"/>
        <w:bottom w:val="none" w:sz="0" w:space="0" w:color="auto"/>
        <w:right w:val="none" w:sz="0" w:space="0" w:color="auto"/>
      </w:divBdr>
    </w:div>
    <w:div w:id="1327896468">
      <w:bodyDiv w:val="1"/>
      <w:marLeft w:val="0"/>
      <w:marRight w:val="0"/>
      <w:marTop w:val="0"/>
      <w:marBottom w:val="0"/>
      <w:divBdr>
        <w:top w:val="none" w:sz="0" w:space="0" w:color="auto"/>
        <w:left w:val="none" w:sz="0" w:space="0" w:color="auto"/>
        <w:bottom w:val="none" w:sz="0" w:space="0" w:color="auto"/>
        <w:right w:val="none" w:sz="0" w:space="0" w:color="auto"/>
      </w:divBdr>
    </w:div>
    <w:div w:id="1328440462">
      <w:bodyDiv w:val="1"/>
      <w:marLeft w:val="0"/>
      <w:marRight w:val="0"/>
      <w:marTop w:val="0"/>
      <w:marBottom w:val="0"/>
      <w:divBdr>
        <w:top w:val="none" w:sz="0" w:space="0" w:color="auto"/>
        <w:left w:val="none" w:sz="0" w:space="0" w:color="auto"/>
        <w:bottom w:val="none" w:sz="0" w:space="0" w:color="auto"/>
        <w:right w:val="none" w:sz="0" w:space="0" w:color="auto"/>
      </w:divBdr>
    </w:div>
    <w:div w:id="1328629302">
      <w:bodyDiv w:val="1"/>
      <w:marLeft w:val="0"/>
      <w:marRight w:val="0"/>
      <w:marTop w:val="0"/>
      <w:marBottom w:val="0"/>
      <w:divBdr>
        <w:top w:val="none" w:sz="0" w:space="0" w:color="auto"/>
        <w:left w:val="none" w:sz="0" w:space="0" w:color="auto"/>
        <w:bottom w:val="none" w:sz="0" w:space="0" w:color="auto"/>
        <w:right w:val="none" w:sz="0" w:space="0" w:color="auto"/>
      </w:divBdr>
    </w:div>
    <w:div w:id="1328630046">
      <w:bodyDiv w:val="1"/>
      <w:marLeft w:val="0"/>
      <w:marRight w:val="0"/>
      <w:marTop w:val="0"/>
      <w:marBottom w:val="0"/>
      <w:divBdr>
        <w:top w:val="none" w:sz="0" w:space="0" w:color="auto"/>
        <w:left w:val="none" w:sz="0" w:space="0" w:color="auto"/>
        <w:bottom w:val="none" w:sz="0" w:space="0" w:color="auto"/>
        <w:right w:val="none" w:sz="0" w:space="0" w:color="auto"/>
      </w:divBdr>
    </w:div>
    <w:div w:id="1328747106">
      <w:bodyDiv w:val="1"/>
      <w:marLeft w:val="0"/>
      <w:marRight w:val="0"/>
      <w:marTop w:val="0"/>
      <w:marBottom w:val="0"/>
      <w:divBdr>
        <w:top w:val="none" w:sz="0" w:space="0" w:color="auto"/>
        <w:left w:val="none" w:sz="0" w:space="0" w:color="auto"/>
        <w:bottom w:val="none" w:sz="0" w:space="0" w:color="auto"/>
        <w:right w:val="none" w:sz="0" w:space="0" w:color="auto"/>
      </w:divBdr>
    </w:div>
    <w:div w:id="1328753310">
      <w:bodyDiv w:val="1"/>
      <w:marLeft w:val="0"/>
      <w:marRight w:val="0"/>
      <w:marTop w:val="0"/>
      <w:marBottom w:val="0"/>
      <w:divBdr>
        <w:top w:val="none" w:sz="0" w:space="0" w:color="auto"/>
        <w:left w:val="none" w:sz="0" w:space="0" w:color="auto"/>
        <w:bottom w:val="none" w:sz="0" w:space="0" w:color="auto"/>
        <w:right w:val="none" w:sz="0" w:space="0" w:color="auto"/>
      </w:divBdr>
    </w:div>
    <w:div w:id="1328947798">
      <w:bodyDiv w:val="1"/>
      <w:marLeft w:val="0"/>
      <w:marRight w:val="0"/>
      <w:marTop w:val="0"/>
      <w:marBottom w:val="0"/>
      <w:divBdr>
        <w:top w:val="none" w:sz="0" w:space="0" w:color="auto"/>
        <w:left w:val="none" w:sz="0" w:space="0" w:color="auto"/>
        <w:bottom w:val="none" w:sz="0" w:space="0" w:color="auto"/>
        <w:right w:val="none" w:sz="0" w:space="0" w:color="auto"/>
      </w:divBdr>
    </w:div>
    <w:div w:id="1329867196">
      <w:bodyDiv w:val="1"/>
      <w:marLeft w:val="0"/>
      <w:marRight w:val="0"/>
      <w:marTop w:val="0"/>
      <w:marBottom w:val="0"/>
      <w:divBdr>
        <w:top w:val="none" w:sz="0" w:space="0" w:color="auto"/>
        <w:left w:val="none" w:sz="0" w:space="0" w:color="auto"/>
        <w:bottom w:val="none" w:sz="0" w:space="0" w:color="auto"/>
        <w:right w:val="none" w:sz="0" w:space="0" w:color="auto"/>
      </w:divBdr>
    </w:div>
    <w:div w:id="1330790653">
      <w:bodyDiv w:val="1"/>
      <w:marLeft w:val="0"/>
      <w:marRight w:val="0"/>
      <w:marTop w:val="0"/>
      <w:marBottom w:val="0"/>
      <w:divBdr>
        <w:top w:val="none" w:sz="0" w:space="0" w:color="auto"/>
        <w:left w:val="none" w:sz="0" w:space="0" w:color="auto"/>
        <w:bottom w:val="none" w:sz="0" w:space="0" w:color="auto"/>
        <w:right w:val="none" w:sz="0" w:space="0" w:color="auto"/>
      </w:divBdr>
    </w:div>
    <w:div w:id="1331373848">
      <w:bodyDiv w:val="1"/>
      <w:marLeft w:val="0"/>
      <w:marRight w:val="0"/>
      <w:marTop w:val="0"/>
      <w:marBottom w:val="0"/>
      <w:divBdr>
        <w:top w:val="none" w:sz="0" w:space="0" w:color="auto"/>
        <w:left w:val="none" w:sz="0" w:space="0" w:color="auto"/>
        <w:bottom w:val="none" w:sz="0" w:space="0" w:color="auto"/>
        <w:right w:val="none" w:sz="0" w:space="0" w:color="auto"/>
      </w:divBdr>
    </w:div>
    <w:div w:id="1331718614">
      <w:bodyDiv w:val="1"/>
      <w:marLeft w:val="0"/>
      <w:marRight w:val="0"/>
      <w:marTop w:val="0"/>
      <w:marBottom w:val="0"/>
      <w:divBdr>
        <w:top w:val="none" w:sz="0" w:space="0" w:color="auto"/>
        <w:left w:val="none" w:sz="0" w:space="0" w:color="auto"/>
        <w:bottom w:val="none" w:sz="0" w:space="0" w:color="auto"/>
        <w:right w:val="none" w:sz="0" w:space="0" w:color="auto"/>
      </w:divBdr>
    </w:div>
    <w:div w:id="1331832213">
      <w:bodyDiv w:val="1"/>
      <w:marLeft w:val="0"/>
      <w:marRight w:val="0"/>
      <w:marTop w:val="0"/>
      <w:marBottom w:val="0"/>
      <w:divBdr>
        <w:top w:val="none" w:sz="0" w:space="0" w:color="auto"/>
        <w:left w:val="none" w:sz="0" w:space="0" w:color="auto"/>
        <w:bottom w:val="none" w:sz="0" w:space="0" w:color="auto"/>
        <w:right w:val="none" w:sz="0" w:space="0" w:color="auto"/>
      </w:divBdr>
    </w:div>
    <w:div w:id="1331982816">
      <w:bodyDiv w:val="1"/>
      <w:marLeft w:val="0"/>
      <w:marRight w:val="0"/>
      <w:marTop w:val="0"/>
      <w:marBottom w:val="0"/>
      <w:divBdr>
        <w:top w:val="none" w:sz="0" w:space="0" w:color="auto"/>
        <w:left w:val="none" w:sz="0" w:space="0" w:color="auto"/>
        <w:bottom w:val="none" w:sz="0" w:space="0" w:color="auto"/>
        <w:right w:val="none" w:sz="0" w:space="0" w:color="auto"/>
      </w:divBdr>
    </w:div>
    <w:div w:id="1332102359">
      <w:bodyDiv w:val="1"/>
      <w:marLeft w:val="0"/>
      <w:marRight w:val="0"/>
      <w:marTop w:val="0"/>
      <w:marBottom w:val="0"/>
      <w:divBdr>
        <w:top w:val="none" w:sz="0" w:space="0" w:color="auto"/>
        <w:left w:val="none" w:sz="0" w:space="0" w:color="auto"/>
        <w:bottom w:val="none" w:sz="0" w:space="0" w:color="auto"/>
        <w:right w:val="none" w:sz="0" w:space="0" w:color="auto"/>
      </w:divBdr>
    </w:div>
    <w:div w:id="1332441831">
      <w:bodyDiv w:val="1"/>
      <w:marLeft w:val="0"/>
      <w:marRight w:val="0"/>
      <w:marTop w:val="0"/>
      <w:marBottom w:val="0"/>
      <w:divBdr>
        <w:top w:val="none" w:sz="0" w:space="0" w:color="auto"/>
        <w:left w:val="none" w:sz="0" w:space="0" w:color="auto"/>
        <w:bottom w:val="none" w:sz="0" w:space="0" w:color="auto"/>
        <w:right w:val="none" w:sz="0" w:space="0" w:color="auto"/>
      </w:divBdr>
    </w:div>
    <w:div w:id="1333028713">
      <w:bodyDiv w:val="1"/>
      <w:marLeft w:val="0"/>
      <w:marRight w:val="0"/>
      <w:marTop w:val="0"/>
      <w:marBottom w:val="0"/>
      <w:divBdr>
        <w:top w:val="none" w:sz="0" w:space="0" w:color="auto"/>
        <w:left w:val="none" w:sz="0" w:space="0" w:color="auto"/>
        <w:bottom w:val="none" w:sz="0" w:space="0" w:color="auto"/>
        <w:right w:val="none" w:sz="0" w:space="0" w:color="auto"/>
      </w:divBdr>
    </w:div>
    <w:div w:id="1333223276">
      <w:bodyDiv w:val="1"/>
      <w:marLeft w:val="0"/>
      <w:marRight w:val="0"/>
      <w:marTop w:val="0"/>
      <w:marBottom w:val="0"/>
      <w:divBdr>
        <w:top w:val="none" w:sz="0" w:space="0" w:color="auto"/>
        <w:left w:val="none" w:sz="0" w:space="0" w:color="auto"/>
        <w:bottom w:val="none" w:sz="0" w:space="0" w:color="auto"/>
        <w:right w:val="none" w:sz="0" w:space="0" w:color="auto"/>
      </w:divBdr>
    </w:div>
    <w:div w:id="1334410258">
      <w:bodyDiv w:val="1"/>
      <w:marLeft w:val="0"/>
      <w:marRight w:val="0"/>
      <w:marTop w:val="0"/>
      <w:marBottom w:val="0"/>
      <w:divBdr>
        <w:top w:val="none" w:sz="0" w:space="0" w:color="auto"/>
        <w:left w:val="none" w:sz="0" w:space="0" w:color="auto"/>
        <w:bottom w:val="none" w:sz="0" w:space="0" w:color="auto"/>
        <w:right w:val="none" w:sz="0" w:space="0" w:color="auto"/>
      </w:divBdr>
    </w:div>
    <w:div w:id="1334576704">
      <w:bodyDiv w:val="1"/>
      <w:marLeft w:val="0"/>
      <w:marRight w:val="0"/>
      <w:marTop w:val="0"/>
      <w:marBottom w:val="0"/>
      <w:divBdr>
        <w:top w:val="none" w:sz="0" w:space="0" w:color="auto"/>
        <w:left w:val="none" w:sz="0" w:space="0" w:color="auto"/>
        <w:bottom w:val="none" w:sz="0" w:space="0" w:color="auto"/>
        <w:right w:val="none" w:sz="0" w:space="0" w:color="auto"/>
      </w:divBdr>
    </w:div>
    <w:div w:id="1334642900">
      <w:bodyDiv w:val="1"/>
      <w:marLeft w:val="0"/>
      <w:marRight w:val="0"/>
      <w:marTop w:val="0"/>
      <w:marBottom w:val="0"/>
      <w:divBdr>
        <w:top w:val="none" w:sz="0" w:space="0" w:color="auto"/>
        <w:left w:val="none" w:sz="0" w:space="0" w:color="auto"/>
        <w:bottom w:val="none" w:sz="0" w:space="0" w:color="auto"/>
        <w:right w:val="none" w:sz="0" w:space="0" w:color="auto"/>
      </w:divBdr>
    </w:div>
    <w:div w:id="1335259065">
      <w:bodyDiv w:val="1"/>
      <w:marLeft w:val="0"/>
      <w:marRight w:val="0"/>
      <w:marTop w:val="0"/>
      <w:marBottom w:val="0"/>
      <w:divBdr>
        <w:top w:val="none" w:sz="0" w:space="0" w:color="auto"/>
        <w:left w:val="none" w:sz="0" w:space="0" w:color="auto"/>
        <w:bottom w:val="none" w:sz="0" w:space="0" w:color="auto"/>
        <w:right w:val="none" w:sz="0" w:space="0" w:color="auto"/>
      </w:divBdr>
    </w:div>
    <w:div w:id="1335261329">
      <w:bodyDiv w:val="1"/>
      <w:marLeft w:val="0"/>
      <w:marRight w:val="0"/>
      <w:marTop w:val="0"/>
      <w:marBottom w:val="0"/>
      <w:divBdr>
        <w:top w:val="none" w:sz="0" w:space="0" w:color="auto"/>
        <w:left w:val="none" w:sz="0" w:space="0" w:color="auto"/>
        <w:bottom w:val="none" w:sz="0" w:space="0" w:color="auto"/>
        <w:right w:val="none" w:sz="0" w:space="0" w:color="auto"/>
      </w:divBdr>
    </w:div>
    <w:div w:id="1335304728">
      <w:bodyDiv w:val="1"/>
      <w:marLeft w:val="0"/>
      <w:marRight w:val="0"/>
      <w:marTop w:val="0"/>
      <w:marBottom w:val="0"/>
      <w:divBdr>
        <w:top w:val="none" w:sz="0" w:space="0" w:color="auto"/>
        <w:left w:val="none" w:sz="0" w:space="0" w:color="auto"/>
        <w:bottom w:val="none" w:sz="0" w:space="0" w:color="auto"/>
        <w:right w:val="none" w:sz="0" w:space="0" w:color="auto"/>
      </w:divBdr>
    </w:div>
    <w:div w:id="1335380982">
      <w:bodyDiv w:val="1"/>
      <w:marLeft w:val="0"/>
      <w:marRight w:val="0"/>
      <w:marTop w:val="0"/>
      <w:marBottom w:val="0"/>
      <w:divBdr>
        <w:top w:val="none" w:sz="0" w:space="0" w:color="auto"/>
        <w:left w:val="none" w:sz="0" w:space="0" w:color="auto"/>
        <w:bottom w:val="none" w:sz="0" w:space="0" w:color="auto"/>
        <w:right w:val="none" w:sz="0" w:space="0" w:color="auto"/>
      </w:divBdr>
    </w:div>
    <w:div w:id="1335650103">
      <w:bodyDiv w:val="1"/>
      <w:marLeft w:val="0"/>
      <w:marRight w:val="0"/>
      <w:marTop w:val="0"/>
      <w:marBottom w:val="0"/>
      <w:divBdr>
        <w:top w:val="none" w:sz="0" w:space="0" w:color="auto"/>
        <w:left w:val="none" w:sz="0" w:space="0" w:color="auto"/>
        <w:bottom w:val="none" w:sz="0" w:space="0" w:color="auto"/>
        <w:right w:val="none" w:sz="0" w:space="0" w:color="auto"/>
      </w:divBdr>
    </w:div>
    <w:div w:id="1336804886">
      <w:bodyDiv w:val="1"/>
      <w:marLeft w:val="0"/>
      <w:marRight w:val="0"/>
      <w:marTop w:val="0"/>
      <w:marBottom w:val="0"/>
      <w:divBdr>
        <w:top w:val="none" w:sz="0" w:space="0" w:color="auto"/>
        <w:left w:val="none" w:sz="0" w:space="0" w:color="auto"/>
        <w:bottom w:val="none" w:sz="0" w:space="0" w:color="auto"/>
        <w:right w:val="none" w:sz="0" w:space="0" w:color="auto"/>
      </w:divBdr>
    </w:div>
    <w:div w:id="1337197296">
      <w:bodyDiv w:val="1"/>
      <w:marLeft w:val="0"/>
      <w:marRight w:val="0"/>
      <w:marTop w:val="0"/>
      <w:marBottom w:val="0"/>
      <w:divBdr>
        <w:top w:val="none" w:sz="0" w:space="0" w:color="auto"/>
        <w:left w:val="none" w:sz="0" w:space="0" w:color="auto"/>
        <w:bottom w:val="none" w:sz="0" w:space="0" w:color="auto"/>
        <w:right w:val="none" w:sz="0" w:space="0" w:color="auto"/>
      </w:divBdr>
    </w:div>
    <w:div w:id="1337535923">
      <w:bodyDiv w:val="1"/>
      <w:marLeft w:val="0"/>
      <w:marRight w:val="0"/>
      <w:marTop w:val="0"/>
      <w:marBottom w:val="0"/>
      <w:divBdr>
        <w:top w:val="none" w:sz="0" w:space="0" w:color="auto"/>
        <w:left w:val="none" w:sz="0" w:space="0" w:color="auto"/>
        <w:bottom w:val="none" w:sz="0" w:space="0" w:color="auto"/>
        <w:right w:val="none" w:sz="0" w:space="0" w:color="auto"/>
      </w:divBdr>
    </w:div>
    <w:div w:id="1337609615">
      <w:bodyDiv w:val="1"/>
      <w:marLeft w:val="0"/>
      <w:marRight w:val="0"/>
      <w:marTop w:val="0"/>
      <w:marBottom w:val="0"/>
      <w:divBdr>
        <w:top w:val="none" w:sz="0" w:space="0" w:color="auto"/>
        <w:left w:val="none" w:sz="0" w:space="0" w:color="auto"/>
        <w:bottom w:val="none" w:sz="0" w:space="0" w:color="auto"/>
        <w:right w:val="none" w:sz="0" w:space="0" w:color="auto"/>
      </w:divBdr>
    </w:div>
    <w:div w:id="1337657633">
      <w:bodyDiv w:val="1"/>
      <w:marLeft w:val="0"/>
      <w:marRight w:val="0"/>
      <w:marTop w:val="0"/>
      <w:marBottom w:val="0"/>
      <w:divBdr>
        <w:top w:val="none" w:sz="0" w:space="0" w:color="auto"/>
        <w:left w:val="none" w:sz="0" w:space="0" w:color="auto"/>
        <w:bottom w:val="none" w:sz="0" w:space="0" w:color="auto"/>
        <w:right w:val="none" w:sz="0" w:space="0" w:color="auto"/>
      </w:divBdr>
    </w:div>
    <w:div w:id="1338655724">
      <w:bodyDiv w:val="1"/>
      <w:marLeft w:val="0"/>
      <w:marRight w:val="0"/>
      <w:marTop w:val="0"/>
      <w:marBottom w:val="0"/>
      <w:divBdr>
        <w:top w:val="none" w:sz="0" w:space="0" w:color="auto"/>
        <w:left w:val="none" w:sz="0" w:space="0" w:color="auto"/>
        <w:bottom w:val="none" w:sz="0" w:space="0" w:color="auto"/>
        <w:right w:val="none" w:sz="0" w:space="0" w:color="auto"/>
      </w:divBdr>
    </w:div>
    <w:div w:id="1338727009">
      <w:bodyDiv w:val="1"/>
      <w:marLeft w:val="0"/>
      <w:marRight w:val="0"/>
      <w:marTop w:val="0"/>
      <w:marBottom w:val="0"/>
      <w:divBdr>
        <w:top w:val="none" w:sz="0" w:space="0" w:color="auto"/>
        <w:left w:val="none" w:sz="0" w:space="0" w:color="auto"/>
        <w:bottom w:val="none" w:sz="0" w:space="0" w:color="auto"/>
        <w:right w:val="none" w:sz="0" w:space="0" w:color="auto"/>
      </w:divBdr>
    </w:div>
    <w:div w:id="1339040578">
      <w:bodyDiv w:val="1"/>
      <w:marLeft w:val="0"/>
      <w:marRight w:val="0"/>
      <w:marTop w:val="0"/>
      <w:marBottom w:val="0"/>
      <w:divBdr>
        <w:top w:val="none" w:sz="0" w:space="0" w:color="auto"/>
        <w:left w:val="none" w:sz="0" w:space="0" w:color="auto"/>
        <w:bottom w:val="none" w:sz="0" w:space="0" w:color="auto"/>
        <w:right w:val="none" w:sz="0" w:space="0" w:color="auto"/>
      </w:divBdr>
    </w:div>
    <w:div w:id="1339111869">
      <w:bodyDiv w:val="1"/>
      <w:marLeft w:val="0"/>
      <w:marRight w:val="0"/>
      <w:marTop w:val="0"/>
      <w:marBottom w:val="0"/>
      <w:divBdr>
        <w:top w:val="none" w:sz="0" w:space="0" w:color="auto"/>
        <w:left w:val="none" w:sz="0" w:space="0" w:color="auto"/>
        <w:bottom w:val="none" w:sz="0" w:space="0" w:color="auto"/>
        <w:right w:val="none" w:sz="0" w:space="0" w:color="auto"/>
      </w:divBdr>
    </w:div>
    <w:div w:id="1340543873">
      <w:bodyDiv w:val="1"/>
      <w:marLeft w:val="0"/>
      <w:marRight w:val="0"/>
      <w:marTop w:val="0"/>
      <w:marBottom w:val="0"/>
      <w:divBdr>
        <w:top w:val="none" w:sz="0" w:space="0" w:color="auto"/>
        <w:left w:val="none" w:sz="0" w:space="0" w:color="auto"/>
        <w:bottom w:val="none" w:sz="0" w:space="0" w:color="auto"/>
        <w:right w:val="none" w:sz="0" w:space="0" w:color="auto"/>
      </w:divBdr>
    </w:div>
    <w:div w:id="1340736510">
      <w:bodyDiv w:val="1"/>
      <w:marLeft w:val="0"/>
      <w:marRight w:val="0"/>
      <w:marTop w:val="0"/>
      <w:marBottom w:val="0"/>
      <w:divBdr>
        <w:top w:val="none" w:sz="0" w:space="0" w:color="auto"/>
        <w:left w:val="none" w:sz="0" w:space="0" w:color="auto"/>
        <w:bottom w:val="none" w:sz="0" w:space="0" w:color="auto"/>
        <w:right w:val="none" w:sz="0" w:space="0" w:color="auto"/>
      </w:divBdr>
    </w:div>
    <w:div w:id="1341156185">
      <w:bodyDiv w:val="1"/>
      <w:marLeft w:val="0"/>
      <w:marRight w:val="0"/>
      <w:marTop w:val="0"/>
      <w:marBottom w:val="0"/>
      <w:divBdr>
        <w:top w:val="none" w:sz="0" w:space="0" w:color="auto"/>
        <w:left w:val="none" w:sz="0" w:space="0" w:color="auto"/>
        <w:bottom w:val="none" w:sz="0" w:space="0" w:color="auto"/>
        <w:right w:val="none" w:sz="0" w:space="0" w:color="auto"/>
      </w:divBdr>
    </w:div>
    <w:div w:id="1341279673">
      <w:bodyDiv w:val="1"/>
      <w:marLeft w:val="0"/>
      <w:marRight w:val="0"/>
      <w:marTop w:val="0"/>
      <w:marBottom w:val="0"/>
      <w:divBdr>
        <w:top w:val="none" w:sz="0" w:space="0" w:color="auto"/>
        <w:left w:val="none" w:sz="0" w:space="0" w:color="auto"/>
        <w:bottom w:val="none" w:sz="0" w:space="0" w:color="auto"/>
        <w:right w:val="none" w:sz="0" w:space="0" w:color="auto"/>
      </w:divBdr>
    </w:div>
    <w:div w:id="1341391509">
      <w:bodyDiv w:val="1"/>
      <w:marLeft w:val="0"/>
      <w:marRight w:val="0"/>
      <w:marTop w:val="0"/>
      <w:marBottom w:val="0"/>
      <w:divBdr>
        <w:top w:val="none" w:sz="0" w:space="0" w:color="auto"/>
        <w:left w:val="none" w:sz="0" w:space="0" w:color="auto"/>
        <w:bottom w:val="none" w:sz="0" w:space="0" w:color="auto"/>
        <w:right w:val="none" w:sz="0" w:space="0" w:color="auto"/>
      </w:divBdr>
    </w:div>
    <w:div w:id="1342395725">
      <w:bodyDiv w:val="1"/>
      <w:marLeft w:val="0"/>
      <w:marRight w:val="0"/>
      <w:marTop w:val="0"/>
      <w:marBottom w:val="0"/>
      <w:divBdr>
        <w:top w:val="none" w:sz="0" w:space="0" w:color="auto"/>
        <w:left w:val="none" w:sz="0" w:space="0" w:color="auto"/>
        <w:bottom w:val="none" w:sz="0" w:space="0" w:color="auto"/>
        <w:right w:val="none" w:sz="0" w:space="0" w:color="auto"/>
      </w:divBdr>
    </w:div>
    <w:div w:id="1342971545">
      <w:bodyDiv w:val="1"/>
      <w:marLeft w:val="0"/>
      <w:marRight w:val="0"/>
      <w:marTop w:val="0"/>
      <w:marBottom w:val="0"/>
      <w:divBdr>
        <w:top w:val="none" w:sz="0" w:space="0" w:color="auto"/>
        <w:left w:val="none" w:sz="0" w:space="0" w:color="auto"/>
        <w:bottom w:val="none" w:sz="0" w:space="0" w:color="auto"/>
        <w:right w:val="none" w:sz="0" w:space="0" w:color="auto"/>
      </w:divBdr>
    </w:div>
    <w:div w:id="1343051870">
      <w:bodyDiv w:val="1"/>
      <w:marLeft w:val="0"/>
      <w:marRight w:val="0"/>
      <w:marTop w:val="0"/>
      <w:marBottom w:val="0"/>
      <w:divBdr>
        <w:top w:val="none" w:sz="0" w:space="0" w:color="auto"/>
        <w:left w:val="none" w:sz="0" w:space="0" w:color="auto"/>
        <w:bottom w:val="none" w:sz="0" w:space="0" w:color="auto"/>
        <w:right w:val="none" w:sz="0" w:space="0" w:color="auto"/>
      </w:divBdr>
    </w:div>
    <w:div w:id="1343511591">
      <w:bodyDiv w:val="1"/>
      <w:marLeft w:val="0"/>
      <w:marRight w:val="0"/>
      <w:marTop w:val="0"/>
      <w:marBottom w:val="0"/>
      <w:divBdr>
        <w:top w:val="none" w:sz="0" w:space="0" w:color="auto"/>
        <w:left w:val="none" w:sz="0" w:space="0" w:color="auto"/>
        <w:bottom w:val="none" w:sz="0" w:space="0" w:color="auto"/>
        <w:right w:val="none" w:sz="0" w:space="0" w:color="auto"/>
      </w:divBdr>
    </w:div>
    <w:div w:id="1343703975">
      <w:bodyDiv w:val="1"/>
      <w:marLeft w:val="0"/>
      <w:marRight w:val="0"/>
      <w:marTop w:val="0"/>
      <w:marBottom w:val="0"/>
      <w:divBdr>
        <w:top w:val="none" w:sz="0" w:space="0" w:color="auto"/>
        <w:left w:val="none" w:sz="0" w:space="0" w:color="auto"/>
        <w:bottom w:val="none" w:sz="0" w:space="0" w:color="auto"/>
        <w:right w:val="none" w:sz="0" w:space="0" w:color="auto"/>
      </w:divBdr>
    </w:div>
    <w:div w:id="1344210909">
      <w:bodyDiv w:val="1"/>
      <w:marLeft w:val="0"/>
      <w:marRight w:val="0"/>
      <w:marTop w:val="0"/>
      <w:marBottom w:val="0"/>
      <w:divBdr>
        <w:top w:val="none" w:sz="0" w:space="0" w:color="auto"/>
        <w:left w:val="none" w:sz="0" w:space="0" w:color="auto"/>
        <w:bottom w:val="none" w:sz="0" w:space="0" w:color="auto"/>
        <w:right w:val="none" w:sz="0" w:space="0" w:color="auto"/>
      </w:divBdr>
    </w:div>
    <w:div w:id="1345353495">
      <w:bodyDiv w:val="1"/>
      <w:marLeft w:val="0"/>
      <w:marRight w:val="0"/>
      <w:marTop w:val="0"/>
      <w:marBottom w:val="0"/>
      <w:divBdr>
        <w:top w:val="none" w:sz="0" w:space="0" w:color="auto"/>
        <w:left w:val="none" w:sz="0" w:space="0" w:color="auto"/>
        <w:bottom w:val="none" w:sz="0" w:space="0" w:color="auto"/>
        <w:right w:val="none" w:sz="0" w:space="0" w:color="auto"/>
      </w:divBdr>
    </w:div>
    <w:div w:id="1345933811">
      <w:bodyDiv w:val="1"/>
      <w:marLeft w:val="0"/>
      <w:marRight w:val="0"/>
      <w:marTop w:val="0"/>
      <w:marBottom w:val="0"/>
      <w:divBdr>
        <w:top w:val="none" w:sz="0" w:space="0" w:color="auto"/>
        <w:left w:val="none" w:sz="0" w:space="0" w:color="auto"/>
        <w:bottom w:val="none" w:sz="0" w:space="0" w:color="auto"/>
        <w:right w:val="none" w:sz="0" w:space="0" w:color="auto"/>
      </w:divBdr>
    </w:div>
    <w:div w:id="1346058154">
      <w:bodyDiv w:val="1"/>
      <w:marLeft w:val="0"/>
      <w:marRight w:val="0"/>
      <w:marTop w:val="0"/>
      <w:marBottom w:val="0"/>
      <w:divBdr>
        <w:top w:val="none" w:sz="0" w:space="0" w:color="auto"/>
        <w:left w:val="none" w:sz="0" w:space="0" w:color="auto"/>
        <w:bottom w:val="none" w:sz="0" w:space="0" w:color="auto"/>
        <w:right w:val="none" w:sz="0" w:space="0" w:color="auto"/>
      </w:divBdr>
    </w:div>
    <w:div w:id="1346438247">
      <w:bodyDiv w:val="1"/>
      <w:marLeft w:val="0"/>
      <w:marRight w:val="0"/>
      <w:marTop w:val="0"/>
      <w:marBottom w:val="0"/>
      <w:divBdr>
        <w:top w:val="none" w:sz="0" w:space="0" w:color="auto"/>
        <w:left w:val="none" w:sz="0" w:space="0" w:color="auto"/>
        <w:bottom w:val="none" w:sz="0" w:space="0" w:color="auto"/>
        <w:right w:val="none" w:sz="0" w:space="0" w:color="auto"/>
      </w:divBdr>
    </w:div>
    <w:div w:id="1346445880">
      <w:bodyDiv w:val="1"/>
      <w:marLeft w:val="0"/>
      <w:marRight w:val="0"/>
      <w:marTop w:val="0"/>
      <w:marBottom w:val="0"/>
      <w:divBdr>
        <w:top w:val="none" w:sz="0" w:space="0" w:color="auto"/>
        <w:left w:val="none" w:sz="0" w:space="0" w:color="auto"/>
        <w:bottom w:val="none" w:sz="0" w:space="0" w:color="auto"/>
        <w:right w:val="none" w:sz="0" w:space="0" w:color="auto"/>
      </w:divBdr>
    </w:div>
    <w:div w:id="1347437254">
      <w:bodyDiv w:val="1"/>
      <w:marLeft w:val="0"/>
      <w:marRight w:val="0"/>
      <w:marTop w:val="0"/>
      <w:marBottom w:val="0"/>
      <w:divBdr>
        <w:top w:val="none" w:sz="0" w:space="0" w:color="auto"/>
        <w:left w:val="none" w:sz="0" w:space="0" w:color="auto"/>
        <w:bottom w:val="none" w:sz="0" w:space="0" w:color="auto"/>
        <w:right w:val="none" w:sz="0" w:space="0" w:color="auto"/>
      </w:divBdr>
    </w:div>
    <w:div w:id="1348168963">
      <w:bodyDiv w:val="1"/>
      <w:marLeft w:val="0"/>
      <w:marRight w:val="0"/>
      <w:marTop w:val="0"/>
      <w:marBottom w:val="0"/>
      <w:divBdr>
        <w:top w:val="none" w:sz="0" w:space="0" w:color="auto"/>
        <w:left w:val="none" w:sz="0" w:space="0" w:color="auto"/>
        <w:bottom w:val="none" w:sz="0" w:space="0" w:color="auto"/>
        <w:right w:val="none" w:sz="0" w:space="0" w:color="auto"/>
      </w:divBdr>
    </w:div>
    <w:div w:id="1348410290">
      <w:bodyDiv w:val="1"/>
      <w:marLeft w:val="0"/>
      <w:marRight w:val="0"/>
      <w:marTop w:val="0"/>
      <w:marBottom w:val="0"/>
      <w:divBdr>
        <w:top w:val="none" w:sz="0" w:space="0" w:color="auto"/>
        <w:left w:val="none" w:sz="0" w:space="0" w:color="auto"/>
        <w:bottom w:val="none" w:sz="0" w:space="0" w:color="auto"/>
        <w:right w:val="none" w:sz="0" w:space="0" w:color="auto"/>
      </w:divBdr>
    </w:div>
    <w:div w:id="1348798111">
      <w:bodyDiv w:val="1"/>
      <w:marLeft w:val="0"/>
      <w:marRight w:val="0"/>
      <w:marTop w:val="0"/>
      <w:marBottom w:val="0"/>
      <w:divBdr>
        <w:top w:val="none" w:sz="0" w:space="0" w:color="auto"/>
        <w:left w:val="none" w:sz="0" w:space="0" w:color="auto"/>
        <w:bottom w:val="none" w:sz="0" w:space="0" w:color="auto"/>
        <w:right w:val="none" w:sz="0" w:space="0" w:color="auto"/>
      </w:divBdr>
    </w:div>
    <w:div w:id="1349019881">
      <w:bodyDiv w:val="1"/>
      <w:marLeft w:val="0"/>
      <w:marRight w:val="0"/>
      <w:marTop w:val="0"/>
      <w:marBottom w:val="0"/>
      <w:divBdr>
        <w:top w:val="none" w:sz="0" w:space="0" w:color="auto"/>
        <w:left w:val="none" w:sz="0" w:space="0" w:color="auto"/>
        <w:bottom w:val="none" w:sz="0" w:space="0" w:color="auto"/>
        <w:right w:val="none" w:sz="0" w:space="0" w:color="auto"/>
      </w:divBdr>
    </w:div>
    <w:div w:id="1349411247">
      <w:bodyDiv w:val="1"/>
      <w:marLeft w:val="0"/>
      <w:marRight w:val="0"/>
      <w:marTop w:val="0"/>
      <w:marBottom w:val="0"/>
      <w:divBdr>
        <w:top w:val="none" w:sz="0" w:space="0" w:color="auto"/>
        <w:left w:val="none" w:sz="0" w:space="0" w:color="auto"/>
        <w:bottom w:val="none" w:sz="0" w:space="0" w:color="auto"/>
        <w:right w:val="none" w:sz="0" w:space="0" w:color="auto"/>
      </w:divBdr>
    </w:div>
    <w:div w:id="1349603778">
      <w:bodyDiv w:val="1"/>
      <w:marLeft w:val="0"/>
      <w:marRight w:val="0"/>
      <w:marTop w:val="0"/>
      <w:marBottom w:val="0"/>
      <w:divBdr>
        <w:top w:val="none" w:sz="0" w:space="0" w:color="auto"/>
        <w:left w:val="none" w:sz="0" w:space="0" w:color="auto"/>
        <w:bottom w:val="none" w:sz="0" w:space="0" w:color="auto"/>
        <w:right w:val="none" w:sz="0" w:space="0" w:color="auto"/>
      </w:divBdr>
    </w:div>
    <w:div w:id="1349792401">
      <w:bodyDiv w:val="1"/>
      <w:marLeft w:val="0"/>
      <w:marRight w:val="0"/>
      <w:marTop w:val="0"/>
      <w:marBottom w:val="0"/>
      <w:divBdr>
        <w:top w:val="none" w:sz="0" w:space="0" w:color="auto"/>
        <w:left w:val="none" w:sz="0" w:space="0" w:color="auto"/>
        <w:bottom w:val="none" w:sz="0" w:space="0" w:color="auto"/>
        <w:right w:val="none" w:sz="0" w:space="0" w:color="auto"/>
      </w:divBdr>
    </w:div>
    <w:div w:id="1349986943">
      <w:bodyDiv w:val="1"/>
      <w:marLeft w:val="0"/>
      <w:marRight w:val="0"/>
      <w:marTop w:val="0"/>
      <w:marBottom w:val="0"/>
      <w:divBdr>
        <w:top w:val="none" w:sz="0" w:space="0" w:color="auto"/>
        <w:left w:val="none" w:sz="0" w:space="0" w:color="auto"/>
        <w:bottom w:val="none" w:sz="0" w:space="0" w:color="auto"/>
        <w:right w:val="none" w:sz="0" w:space="0" w:color="auto"/>
      </w:divBdr>
    </w:div>
    <w:div w:id="1350639057">
      <w:bodyDiv w:val="1"/>
      <w:marLeft w:val="0"/>
      <w:marRight w:val="0"/>
      <w:marTop w:val="0"/>
      <w:marBottom w:val="0"/>
      <w:divBdr>
        <w:top w:val="none" w:sz="0" w:space="0" w:color="auto"/>
        <w:left w:val="none" w:sz="0" w:space="0" w:color="auto"/>
        <w:bottom w:val="none" w:sz="0" w:space="0" w:color="auto"/>
        <w:right w:val="none" w:sz="0" w:space="0" w:color="auto"/>
      </w:divBdr>
    </w:div>
    <w:div w:id="1350717358">
      <w:bodyDiv w:val="1"/>
      <w:marLeft w:val="0"/>
      <w:marRight w:val="0"/>
      <w:marTop w:val="0"/>
      <w:marBottom w:val="0"/>
      <w:divBdr>
        <w:top w:val="none" w:sz="0" w:space="0" w:color="auto"/>
        <w:left w:val="none" w:sz="0" w:space="0" w:color="auto"/>
        <w:bottom w:val="none" w:sz="0" w:space="0" w:color="auto"/>
        <w:right w:val="none" w:sz="0" w:space="0" w:color="auto"/>
      </w:divBdr>
    </w:div>
    <w:div w:id="1351372830">
      <w:bodyDiv w:val="1"/>
      <w:marLeft w:val="0"/>
      <w:marRight w:val="0"/>
      <w:marTop w:val="0"/>
      <w:marBottom w:val="0"/>
      <w:divBdr>
        <w:top w:val="none" w:sz="0" w:space="0" w:color="auto"/>
        <w:left w:val="none" w:sz="0" w:space="0" w:color="auto"/>
        <w:bottom w:val="none" w:sz="0" w:space="0" w:color="auto"/>
        <w:right w:val="none" w:sz="0" w:space="0" w:color="auto"/>
      </w:divBdr>
    </w:div>
    <w:div w:id="1352141643">
      <w:bodyDiv w:val="1"/>
      <w:marLeft w:val="0"/>
      <w:marRight w:val="0"/>
      <w:marTop w:val="0"/>
      <w:marBottom w:val="0"/>
      <w:divBdr>
        <w:top w:val="none" w:sz="0" w:space="0" w:color="auto"/>
        <w:left w:val="none" w:sz="0" w:space="0" w:color="auto"/>
        <w:bottom w:val="none" w:sz="0" w:space="0" w:color="auto"/>
        <w:right w:val="none" w:sz="0" w:space="0" w:color="auto"/>
      </w:divBdr>
    </w:div>
    <w:div w:id="1352294318">
      <w:bodyDiv w:val="1"/>
      <w:marLeft w:val="0"/>
      <w:marRight w:val="0"/>
      <w:marTop w:val="0"/>
      <w:marBottom w:val="0"/>
      <w:divBdr>
        <w:top w:val="none" w:sz="0" w:space="0" w:color="auto"/>
        <w:left w:val="none" w:sz="0" w:space="0" w:color="auto"/>
        <w:bottom w:val="none" w:sz="0" w:space="0" w:color="auto"/>
        <w:right w:val="none" w:sz="0" w:space="0" w:color="auto"/>
      </w:divBdr>
    </w:div>
    <w:div w:id="1353609136">
      <w:bodyDiv w:val="1"/>
      <w:marLeft w:val="0"/>
      <w:marRight w:val="0"/>
      <w:marTop w:val="0"/>
      <w:marBottom w:val="0"/>
      <w:divBdr>
        <w:top w:val="none" w:sz="0" w:space="0" w:color="auto"/>
        <w:left w:val="none" w:sz="0" w:space="0" w:color="auto"/>
        <w:bottom w:val="none" w:sz="0" w:space="0" w:color="auto"/>
        <w:right w:val="none" w:sz="0" w:space="0" w:color="auto"/>
      </w:divBdr>
    </w:div>
    <w:div w:id="1353803524">
      <w:bodyDiv w:val="1"/>
      <w:marLeft w:val="0"/>
      <w:marRight w:val="0"/>
      <w:marTop w:val="0"/>
      <w:marBottom w:val="0"/>
      <w:divBdr>
        <w:top w:val="none" w:sz="0" w:space="0" w:color="auto"/>
        <w:left w:val="none" w:sz="0" w:space="0" w:color="auto"/>
        <w:bottom w:val="none" w:sz="0" w:space="0" w:color="auto"/>
        <w:right w:val="none" w:sz="0" w:space="0" w:color="auto"/>
      </w:divBdr>
    </w:div>
    <w:div w:id="1354041606">
      <w:bodyDiv w:val="1"/>
      <w:marLeft w:val="0"/>
      <w:marRight w:val="0"/>
      <w:marTop w:val="0"/>
      <w:marBottom w:val="0"/>
      <w:divBdr>
        <w:top w:val="none" w:sz="0" w:space="0" w:color="auto"/>
        <w:left w:val="none" w:sz="0" w:space="0" w:color="auto"/>
        <w:bottom w:val="none" w:sz="0" w:space="0" w:color="auto"/>
        <w:right w:val="none" w:sz="0" w:space="0" w:color="auto"/>
      </w:divBdr>
    </w:div>
    <w:div w:id="1356686699">
      <w:bodyDiv w:val="1"/>
      <w:marLeft w:val="0"/>
      <w:marRight w:val="0"/>
      <w:marTop w:val="0"/>
      <w:marBottom w:val="0"/>
      <w:divBdr>
        <w:top w:val="none" w:sz="0" w:space="0" w:color="auto"/>
        <w:left w:val="none" w:sz="0" w:space="0" w:color="auto"/>
        <w:bottom w:val="none" w:sz="0" w:space="0" w:color="auto"/>
        <w:right w:val="none" w:sz="0" w:space="0" w:color="auto"/>
      </w:divBdr>
    </w:div>
    <w:div w:id="1356884682">
      <w:bodyDiv w:val="1"/>
      <w:marLeft w:val="0"/>
      <w:marRight w:val="0"/>
      <w:marTop w:val="0"/>
      <w:marBottom w:val="0"/>
      <w:divBdr>
        <w:top w:val="none" w:sz="0" w:space="0" w:color="auto"/>
        <w:left w:val="none" w:sz="0" w:space="0" w:color="auto"/>
        <w:bottom w:val="none" w:sz="0" w:space="0" w:color="auto"/>
        <w:right w:val="none" w:sz="0" w:space="0" w:color="auto"/>
      </w:divBdr>
    </w:div>
    <w:div w:id="1357265686">
      <w:bodyDiv w:val="1"/>
      <w:marLeft w:val="0"/>
      <w:marRight w:val="0"/>
      <w:marTop w:val="0"/>
      <w:marBottom w:val="0"/>
      <w:divBdr>
        <w:top w:val="none" w:sz="0" w:space="0" w:color="auto"/>
        <w:left w:val="none" w:sz="0" w:space="0" w:color="auto"/>
        <w:bottom w:val="none" w:sz="0" w:space="0" w:color="auto"/>
        <w:right w:val="none" w:sz="0" w:space="0" w:color="auto"/>
      </w:divBdr>
    </w:div>
    <w:div w:id="1357275446">
      <w:bodyDiv w:val="1"/>
      <w:marLeft w:val="0"/>
      <w:marRight w:val="0"/>
      <w:marTop w:val="0"/>
      <w:marBottom w:val="0"/>
      <w:divBdr>
        <w:top w:val="none" w:sz="0" w:space="0" w:color="auto"/>
        <w:left w:val="none" w:sz="0" w:space="0" w:color="auto"/>
        <w:bottom w:val="none" w:sz="0" w:space="0" w:color="auto"/>
        <w:right w:val="none" w:sz="0" w:space="0" w:color="auto"/>
      </w:divBdr>
    </w:div>
    <w:div w:id="1357538597">
      <w:bodyDiv w:val="1"/>
      <w:marLeft w:val="0"/>
      <w:marRight w:val="0"/>
      <w:marTop w:val="0"/>
      <w:marBottom w:val="0"/>
      <w:divBdr>
        <w:top w:val="none" w:sz="0" w:space="0" w:color="auto"/>
        <w:left w:val="none" w:sz="0" w:space="0" w:color="auto"/>
        <w:bottom w:val="none" w:sz="0" w:space="0" w:color="auto"/>
        <w:right w:val="none" w:sz="0" w:space="0" w:color="auto"/>
      </w:divBdr>
    </w:div>
    <w:div w:id="1357845855">
      <w:bodyDiv w:val="1"/>
      <w:marLeft w:val="0"/>
      <w:marRight w:val="0"/>
      <w:marTop w:val="0"/>
      <w:marBottom w:val="0"/>
      <w:divBdr>
        <w:top w:val="none" w:sz="0" w:space="0" w:color="auto"/>
        <w:left w:val="none" w:sz="0" w:space="0" w:color="auto"/>
        <w:bottom w:val="none" w:sz="0" w:space="0" w:color="auto"/>
        <w:right w:val="none" w:sz="0" w:space="0" w:color="auto"/>
      </w:divBdr>
    </w:div>
    <w:div w:id="1358458337">
      <w:bodyDiv w:val="1"/>
      <w:marLeft w:val="0"/>
      <w:marRight w:val="0"/>
      <w:marTop w:val="0"/>
      <w:marBottom w:val="0"/>
      <w:divBdr>
        <w:top w:val="none" w:sz="0" w:space="0" w:color="auto"/>
        <w:left w:val="none" w:sz="0" w:space="0" w:color="auto"/>
        <w:bottom w:val="none" w:sz="0" w:space="0" w:color="auto"/>
        <w:right w:val="none" w:sz="0" w:space="0" w:color="auto"/>
      </w:divBdr>
    </w:div>
    <w:div w:id="1359506331">
      <w:bodyDiv w:val="1"/>
      <w:marLeft w:val="0"/>
      <w:marRight w:val="0"/>
      <w:marTop w:val="0"/>
      <w:marBottom w:val="0"/>
      <w:divBdr>
        <w:top w:val="none" w:sz="0" w:space="0" w:color="auto"/>
        <w:left w:val="none" w:sz="0" w:space="0" w:color="auto"/>
        <w:bottom w:val="none" w:sz="0" w:space="0" w:color="auto"/>
        <w:right w:val="none" w:sz="0" w:space="0" w:color="auto"/>
      </w:divBdr>
    </w:div>
    <w:div w:id="1360008754">
      <w:bodyDiv w:val="1"/>
      <w:marLeft w:val="0"/>
      <w:marRight w:val="0"/>
      <w:marTop w:val="0"/>
      <w:marBottom w:val="0"/>
      <w:divBdr>
        <w:top w:val="none" w:sz="0" w:space="0" w:color="auto"/>
        <w:left w:val="none" w:sz="0" w:space="0" w:color="auto"/>
        <w:bottom w:val="none" w:sz="0" w:space="0" w:color="auto"/>
        <w:right w:val="none" w:sz="0" w:space="0" w:color="auto"/>
      </w:divBdr>
    </w:div>
    <w:div w:id="1360010452">
      <w:bodyDiv w:val="1"/>
      <w:marLeft w:val="0"/>
      <w:marRight w:val="0"/>
      <w:marTop w:val="0"/>
      <w:marBottom w:val="0"/>
      <w:divBdr>
        <w:top w:val="none" w:sz="0" w:space="0" w:color="auto"/>
        <w:left w:val="none" w:sz="0" w:space="0" w:color="auto"/>
        <w:bottom w:val="none" w:sz="0" w:space="0" w:color="auto"/>
        <w:right w:val="none" w:sz="0" w:space="0" w:color="auto"/>
      </w:divBdr>
    </w:div>
    <w:div w:id="1360160788">
      <w:bodyDiv w:val="1"/>
      <w:marLeft w:val="0"/>
      <w:marRight w:val="0"/>
      <w:marTop w:val="0"/>
      <w:marBottom w:val="0"/>
      <w:divBdr>
        <w:top w:val="none" w:sz="0" w:space="0" w:color="auto"/>
        <w:left w:val="none" w:sz="0" w:space="0" w:color="auto"/>
        <w:bottom w:val="none" w:sz="0" w:space="0" w:color="auto"/>
        <w:right w:val="none" w:sz="0" w:space="0" w:color="auto"/>
      </w:divBdr>
    </w:div>
    <w:div w:id="1360398115">
      <w:bodyDiv w:val="1"/>
      <w:marLeft w:val="0"/>
      <w:marRight w:val="0"/>
      <w:marTop w:val="0"/>
      <w:marBottom w:val="0"/>
      <w:divBdr>
        <w:top w:val="none" w:sz="0" w:space="0" w:color="auto"/>
        <w:left w:val="none" w:sz="0" w:space="0" w:color="auto"/>
        <w:bottom w:val="none" w:sz="0" w:space="0" w:color="auto"/>
        <w:right w:val="none" w:sz="0" w:space="0" w:color="auto"/>
      </w:divBdr>
    </w:div>
    <w:div w:id="1360624650">
      <w:bodyDiv w:val="1"/>
      <w:marLeft w:val="0"/>
      <w:marRight w:val="0"/>
      <w:marTop w:val="0"/>
      <w:marBottom w:val="0"/>
      <w:divBdr>
        <w:top w:val="none" w:sz="0" w:space="0" w:color="auto"/>
        <w:left w:val="none" w:sz="0" w:space="0" w:color="auto"/>
        <w:bottom w:val="none" w:sz="0" w:space="0" w:color="auto"/>
        <w:right w:val="none" w:sz="0" w:space="0" w:color="auto"/>
      </w:divBdr>
    </w:div>
    <w:div w:id="1360817259">
      <w:bodyDiv w:val="1"/>
      <w:marLeft w:val="0"/>
      <w:marRight w:val="0"/>
      <w:marTop w:val="0"/>
      <w:marBottom w:val="0"/>
      <w:divBdr>
        <w:top w:val="none" w:sz="0" w:space="0" w:color="auto"/>
        <w:left w:val="none" w:sz="0" w:space="0" w:color="auto"/>
        <w:bottom w:val="none" w:sz="0" w:space="0" w:color="auto"/>
        <w:right w:val="none" w:sz="0" w:space="0" w:color="auto"/>
      </w:divBdr>
    </w:div>
    <w:div w:id="1361006381">
      <w:bodyDiv w:val="1"/>
      <w:marLeft w:val="0"/>
      <w:marRight w:val="0"/>
      <w:marTop w:val="0"/>
      <w:marBottom w:val="0"/>
      <w:divBdr>
        <w:top w:val="none" w:sz="0" w:space="0" w:color="auto"/>
        <w:left w:val="none" w:sz="0" w:space="0" w:color="auto"/>
        <w:bottom w:val="none" w:sz="0" w:space="0" w:color="auto"/>
        <w:right w:val="none" w:sz="0" w:space="0" w:color="auto"/>
      </w:divBdr>
    </w:div>
    <w:div w:id="1361126015">
      <w:bodyDiv w:val="1"/>
      <w:marLeft w:val="0"/>
      <w:marRight w:val="0"/>
      <w:marTop w:val="0"/>
      <w:marBottom w:val="0"/>
      <w:divBdr>
        <w:top w:val="none" w:sz="0" w:space="0" w:color="auto"/>
        <w:left w:val="none" w:sz="0" w:space="0" w:color="auto"/>
        <w:bottom w:val="none" w:sz="0" w:space="0" w:color="auto"/>
        <w:right w:val="none" w:sz="0" w:space="0" w:color="auto"/>
      </w:divBdr>
    </w:div>
    <w:div w:id="1361277348">
      <w:bodyDiv w:val="1"/>
      <w:marLeft w:val="0"/>
      <w:marRight w:val="0"/>
      <w:marTop w:val="0"/>
      <w:marBottom w:val="0"/>
      <w:divBdr>
        <w:top w:val="none" w:sz="0" w:space="0" w:color="auto"/>
        <w:left w:val="none" w:sz="0" w:space="0" w:color="auto"/>
        <w:bottom w:val="none" w:sz="0" w:space="0" w:color="auto"/>
        <w:right w:val="none" w:sz="0" w:space="0" w:color="auto"/>
      </w:divBdr>
    </w:div>
    <w:div w:id="1361514211">
      <w:bodyDiv w:val="1"/>
      <w:marLeft w:val="0"/>
      <w:marRight w:val="0"/>
      <w:marTop w:val="0"/>
      <w:marBottom w:val="0"/>
      <w:divBdr>
        <w:top w:val="none" w:sz="0" w:space="0" w:color="auto"/>
        <w:left w:val="none" w:sz="0" w:space="0" w:color="auto"/>
        <w:bottom w:val="none" w:sz="0" w:space="0" w:color="auto"/>
        <w:right w:val="none" w:sz="0" w:space="0" w:color="auto"/>
      </w:divBdr>
    </w:div>
    <w:div w:id="1362587911">
      <w:bodyDiv w:val="1"/>
      <w:marLeft w:val="0"/>
      <w:marRight w:val="0"/>
      <w:marTop w:val="0"/>
      <w:marBottom w:val="0"/>
      <w:divBdr>
        <w:top w:val="none" w:sz="0" w:space="0" w:color="auto"/>
        <w:left w:val="none" w:sz="0" w:space="0" w:color="auto"/>
        <w:bottom w:val="none" w:sz="0" w:space="0" w:color="auto"/>
        <w:right w:val="none" w:sz="0" w:space="0" w:color="auto"/>
      </w:divBdr>
    </w:div>
    <w:div w:id="1362777197">
      <w:bodyDiv w:val="1"/>
      <w:marLeft w:val="0"/>
      <w:marRight w:val="0"/>
      <w:marTop w:val="0"/>
      <w:marBottom w:val="0"/>
      <w:divBdr>
        <w:top w:val="none" w:sz="0" w:space="0" w:color="auto"/>
        <w:left w:val="none" w:sz="0" w:space="0" w:color="auto"/>
        <w:bottom w:val="none" w:sz="0" w:space="0" w:color="auto"/>
        <w:right w:val="none" w:sz="0" w:space="0" w:color="auto"/>
      </w:divBdr>
    </w:div>
    <w:div w:id="1363096266">
      <w:bodyDiv w:val="1"/>
      <w:marLeft w:val="0"/>
      <w:marRight w:val="0"/>
      <w:marTop w:val="0"/>
      <w:marBottom w:val="0"/>
      <w:divBdr>
        <w:top w:val="none" w:sz="0" w:space="0" w:color="auto"/>
        <w:left w:val="none" w:sz="0" w:space="0" w:color="auto"/>
        <w:bottom w:val="none" w:sz="0" w:space="0" w:color="auto"/>
        <w:right w:val="none" w:sz="0" w:space="0" w:color="auto"/>
      </w:divBdr>
    </w:div>
    <w:div w:id="1363286380">
      <w:bodyDiv w:val="1"/>
      <w:marLeft w:val="0"/>
      <w:marRight w:val="0"/>
      <w:marTop w:val="0"/>
      <w:marBottom w:val="0"/>
      <w:divBdr>
        <w:top w:val="none" w:sz="0" w:space="0" w:color="auto"/>
        <w:left w:val="none" w:sz="0" w:space="0" w:color="auto"/>
        <w:bottom w:val="none" w:sz="0" w:space="0" w:color="auto"/>
        <w:right w:val="none" w:sz="0" w:space="0" w:color="auto"/>
      </w:divBdr>
    </w:div>
    <w:div w:id="1364012678">
      <w:bodyDiv w:val="1"/>
      <w:marLeft w:val="0"/>
      <w:marRight w:val="0"/>
      <w:marTop w:val="0"/>
      <w:marBottom w:val="0"/>
      <w:divBdr>
        <w:top w:val="none" w:sz="0" w:space="0" w:color="auto"/>
        <w:left w:val="none" w:sz="0" w:space="0" w:color="auto"/>
        <w:bottom w:val="none" w:sz="0" w:space="0" w:color="auto"/>
        <w:right w:val="none" w:sz="0" w:space="0" w:color="auto"/>
      </w:divBdr>
    </w:div>
    <w:div w:id="1364209819">
      <w:bodyDiv w:val="1"/>
      <w:marLeft w:val="0"/>
      <w:marRight w:val="0"/>
      <w:marTop w:val="0"/>
      <w:marBottom w:val="0"/>
      <w:divBdr>
        <w:top w:val="none" w:sz="0" w:space="0" w:color="auto"/>
        <w:left w:val="none" w:sz="0" w:space="0" w:color="auto"/>
        <w:bottom w:val="none" w:sz="0" w:space="0" w:color="auto"/>
        <w:right w:val="none" w:sz="0" w:space="0" w:color="auto"/>
      </w:divBdr>
    </w:div>
    <w:div w:id="1364210183">
      <w:bodyDiv w:val="1"/>
      <w:marLeft w:val="0"/>
      <w:marRight w:val="0"/>
      <w:marTop w:val="0"/>
      <w:marBottom w:val="0"/>
      <w:divBdr>
        <w:top w:val="none" w:sz="0" w:space="0" w:color="auto"/>
        <w:left w:val="none" w:sz="0" w:space="0" w:color="auto"/>
        <w:bottom w:val="none" w:sz="0" w:space="0" w:color="auto"/>
        <w:right w:val="none" w:sz="0" w:space="0" w:color="auto"/>
      </w:divBdr>
    </w:div>
    <w:div w:id="1364862969">
      <w:bodyDiv w:val="1"/>
      <w:marLeft w:val="0"/>
      <w:marRight w:val="0"/>
      <w:marTop w:val="0"/>
      <w:marBottom w:val="0"/>
      <w:divBdr>
        <w:top w:val="none" w:sz="0" w:space="0" w:color="auto"/>
        <w:left w:val="none" w:sz="0" w:space="0" w:color="auto"/>
        <w:bottom w:val="none" w:sz="0" w:space="0" w:color="auto"/>
        <w:right w:val="none" w:sz="0" w:space="0" w:color="auto"/>
      </w:divBdr>
    </w:div>
    <w:div w:id="1365784857">
      <w:bodyDiv w:val="1"/>
      <w:marLeft w:val="0"/>
      <w:marRight w:val="0"/>
      <w:marTop w:val="0"/>
      <w:marBottom w:val="0"/>
      <w:divBdr>
        <w:top w:val="none" w:sz="0" w:space="0" w:color="auto"/>
        <w:left w:val="none" w:sz="0" w:space="0" w:color="auto"/>
        <w:bottom w:val="none" w:sz="0" w:space="0" w:color="auto"/>
        <w:right w:val="none" w:sz="0" w:space="0" w:color="auto"/>
      </w:divBdr>
    </w:div>
    <w:div w:id="1366518713">
      <w:bodyDiv w:val="1"/>
      <w:marLeft w:val="0"/>
      <w:marRight w:val="0"/>
      <w:marTop w:val="0"/>
      <w:marBottom w:val="0"/>
      <w:divBdr>
        <w:top w:val="none" w:sz="0" w:space="0" w:color="auto"/>
        <w:left w:val="none" w:sz="0" w:space="0" w:color="auto"/>
        <w:bottom w:val="none" w:sz="0" w:space="0" w:color="auto"/>
        <w:right w:val="none" w:sz="0" w:space="0" w:color="auto"/>
      </w:divBdr>
    </w:div>
    <w:div w:id="1366714079">
      <w:bodyDiv w:val="1"/>
      <w:marLeft w:val="0"/>
      <w:marRight w:val="0"/>
      <w:marTop w:val="0"/>
      <w:marBottom w:val="0"/>
      <w:divBdr>
        <w:top w:val="none" w:sz="0" w:space="0" w:color="auto"/>
        <w:left w:val="none" w:sz="0" w:space="0" w:color="auto"/>
        <w:bottom w:val="none" w:sz="0" w:space="0" w:color="auto"/>
        <w:right w:val="none" w:sz="0" w:space="0" w:color="auto"/>
      </w:divBdr>
    </w:div>
    <w:div w:id="1366831035">
      <w:bodyDiv w:val="1"/>
      <w:marLeft w:val="0"/>
      <w:marRight w:val="0"/>
      <w:marTop w:val="0"/>
      <w:marBottom w:val="0"/>
      <w:divBdr>
        <w:top w:val="none" w:sz="0" w:space="0" w:color="auto"/>
        <w:left w:val="none" w:sz="0" w:space="0" w:color="auto"/>
        <w:bottom w:val="none" w:sz="0" w:space="0" w:color="auto"/>
        <w:right w:val="none" w:sz="0" w:space="0" w:color="auto"/>
      </w:divBdr>
    </w:div>
    <w:div w:id="1367096308">
      <w:bodyDiv w:val="1"/>
      <w:marLeft w:val="0"/>
      <w:marRight w:val="0"/>
      <w:marTop w:val="0"/>
      <w:marBottom w:val="0"/>
      <w:divBdr>
        <w:top w:val="none" w:sz="0" w:space="0" w:color="auto"/>
        <w:left w:val="none" w:sz="0" w:space="0" w:color="auto"/>
        <w:bottom w:val="none" w:sz="0" w:space="0" w:color="auto"/>
        <w:right w:val="none" w:sz="0" w:space="0" w:color="auto"/>
      </w:divBdr>
    </w:div>
    <w:div w:id="1367103089">
      <w:bodyDiv w:val="1"/>
      <w:marLeft w:val="0"/>
      <w:marRight w:val="0"/>
      <w:marTop w:val="0"/>
      <w:marBottom w:val="0"/>
      <w:divBdr>
        <w:top w:val="none" w:sz="0" w:space="0" w:color="auto"/>
        <w:left w:val="none" w:sz="0" w:space="0" w:color="auto"/>
        <w:bottom w:val="none" w:sz="0" w:space="0" w:color="auto"/>
        <w:right w:val="none" w:sz="0" w:space="0" w:color="auto"/>
      </w:divBdr>
    </w:div>
    <w:div w:id="1367869579">
      <w:bodyDiv w:val="1"/>
      <w:marLeft w:val="0"/>
      <w:marRight w:val="0"/>
      <w:marTop w:val="0"/>
      <w:marBottom w:val="0"/>
      <w:divBdr>
        <w:top w:val="none" w:sz="0" w:space="0" w:color="auto"/>
        <w:left w:val="none" w:sz="0" w:space="0" w:color="auto"/>
        <w:bottom w:val="none" w:sz="0" w:space="0" w:color="auto"/>
        <w:right w:val="none" w:sz="0" w:space="0" w:color="auto"/>
      </w:divBdr>
    </w:div>
    <w:div w:id="1368988277">
      <w:bodyDiv w:val="1"/>
      <w:marLeft w:val="0"/>
      <w:marRight w:val="0"/>
      <w:marTop w:val="0"/>
      <w:marBottom w:val="0"/>
      <w:divBdr>
        <w:top w:val="none" w:sz="0" w:space="0" w:color="auto"/>
        <w:left w:val="none" w:sz="0" w:space="0" w:color="auto"/>
        <w:bottom w:val="none" w:sz="0" w:space="0" w:color="auto"/>
        <w:right w:val="none" w:sz="0" w:space="0" w:color="auto"/>
      </w:divBdr>
    </w:div>
    <w:div w:id="1369572868">
      <w:bodyDiv w:val="1"/>
      <w:marLeft w:val="0"/>
      <w:marRight w:val="0"/>
      <w:marTop w:val="0"/>
      <w:marBottom w:val="0"/>
      <w:divBdr>
        <w:top w:val="none" w:sz="0" w:space="0" w:color="auto"/>
        <w:left w:val="none" w:sz="0" w:space="0" w:color="auto"/>
        <w:bottom w:val="none" w:sz="0" w:space="0" w:color="auto"/>
        <w:right w:val="none" w:sz="0" w:space="0" w:color="auto"/>
      </w:divBdr>
    </w:div>
    <w:div w:id="1370183410">
      <w:bodyDiv w:val="1"/>
      <w:marLeft w:val="0"/>
      <w:marRight w:val="0"/>
      <w:marTop w:val="0"/>
      <w:marBottom w:val="0"/>
      <w:divBdr>
        <w:top w:val="none" w:sz="0" w:space="0" w:color="auto"/>
        <w:left w:val="none" w:sz="0" w:space="0" w:color="auto"/>
        <w:bottom w:val="none" w:sz="0" w:space="0" w:color="auto"/>
        <w:right w:val="none" w:sz="0" w:space="0" w:color="auto"/>
      </w:divBdr>
    </w:div>
    <w:div w:id="1370378171">
      <w:bodyDiv w:val="1"/>
      <w:marLeft w:val="0"/>
      <w:marRight w:val="0"/>
      <w:marTop w:val="0"/>
      <w:marBottom w:val="0"/>
      <w:divBdr>
        <w:top w:val="none" w:sz="0" w:space="0" w:color="auto"/>
        <w:left w:val="none" w:sz="0" w:space="0" w:color="auto"/>
        <w:bottom w:val="none" w:sz="0" w:space="0" w:color="auto"/>
        <w:right w:val="none" w:sz="0" w:space="0" w:color="auto"/>
      </w:divBdr>
    </w:div>
    <w:div w:id="1370448599">
      <w:bodyDiv w:val="1"/>
      <w:marLeft w:val="0"/>
      <w:marRight w:val="0"/>
      <w:marTop w:val="0"/>
      <w:marBottom w:val="0"/>
      <w:divBdr>
        <w:top w:val="none" w:sz="0" w:space="0" w:color="auto"/>
        <w:left w:val="none" w:sz="0" w:space="0" w:color="auto"/>
        <w:bottom w:val="none" w:sz="0" w:space="0" w:color="auto"/>
        <w:right w:val="none" w:sz="0" w:space="0" w:color="auto"/>
      </w:divBdr>
    </w:div>
    <w:div w:id="1370494810">
      <w:bodyDiv w:val="1"/>
      <w:marLeft w:val="0"/>
      <w:marRight w:val="0"/>
      <w:marTop w:val="0"/>
      <w:marBottom w:val="0"/>
      <w:divBdr>
        <w:top w:val="none" w:sz="0" w:space="0" w:color="auto"/>
        <w:left w:val="none" w:sz="0" w:space="0" w:color="auto"/>
        <w:bottom w:val="none" w:sz="0" w:space="0" w:color="auto"/>
        <w:right w:val="none" w:sz="0" w:space="0" w:color="auto"/>
      </w:divBdr>
    </w:div>
    <w:div w:id="1370643294">
      <w:bodyDiv w:val="1"/>
      <w:marLeft w:val="0"/>
      <w:marRight w:val="0"/>
      <w:marTop w:val="0"/>
      <w:marBottom w:val="0"/>
      <w:divBdr>
        <w:top w:val="none" w:sz="0" w:space="0" w:color="auto"/>
        <w:left w:val="none" w:sz="0" w:space="0" w:color="auto"/>
        <w:bottom w:val="none" w:sz="0" w:space="0" w:color="auto"/>
        <w:right w:val="none" w:sz="0" w:space="0" w:color="auto"/>
      </w:divBdr>
    </w:div>
    <w:div w:id="1370685704">
      <w:bodyDiv w:val="1"/>
      <w:marLeft w:val="0"/>
      <w:marRight w:val="0"/>
      <w:marTop w:val="0"/>
      <w:marBottom w:val="0"/>
      <w:divBdr>
        <w:top w:val="none" w:sz="0" w:space="0" w:color="auto"/>
        <w:left w:val="none" w:sz="0" w:space="0" w:color="auto"/>
        <w:bottom w:val="none" w:sz="0" w:space="0" w:color="auto"/>
        <w:right w:val="none" w:sz="0" w:space="0" w:color="auto"/>
      </w:divBdr>
    </w:div>
    <w:div w:id="1370685829">
      <w:bodyDiv w:val="1"/>
      <w:marLeft w:val="0"/>
      <w:marRight w:val="0"/>
      <w:marTop w:val="0"/>
      <w:marBottom w:val="0"/>
      <w:divBdr>
        <w:top w:val="none" w:sz="0" w:space="0" w:color="auto"/>
        <w:left w:val="none" w:sz="0" w:space="0" w:color="auto"/>
        <w:bottom w:val="none" w:sz="0" w:space="0" w:color="auto"/>
        <w:right w:val="none" w:sz="0" w:space="0" w:color="auto"/>
      </w:divBdr>
    </w:div>
    <w:div w:id="1371761017">
      <w:bodyDiv w:val="1"/>
      <w:marLeft w:val="0"/>
      <w:marRight w:val="0"/>
      <w:marTop w:val="0"/>
      <w:marBottom w:val="0"/>
      <w:divBdr>
        <w:top w:val="none" w:sz="0" w:space="0" w:color="auto"/>
        <w:left w:val="none" w:sz="0" w:space="0" w:color="auto"/>
        <w:bottom w:val="none" w:sz="0" w:space="0" w:color="auto"/>
        <w:right w:val="none" w:sz="0" w:space="0" w:color="auto"/>
      </w:divBdr>
    </w:div>
    <w:div w:id="1372028611">
      <w:bodyDiv w:val="1"/>
      <w:marLeft w:val="0"/>
      <w:marRight w:val="0"/>
      <w:marTop w:val="0"/>
      <w:marBottom w:val="0"/>
      <w:divBdr>
        <w:top w:val="none" w:sz="0" w:space="0" w:color="auto"/>
        <w:left w:val="none" w:sz="0" w:space="0" w:color="auto"/>
        <w:bottom w:val="none" w:sz="0" w:space="0" w:color="auto"/>
        <w:right w:val="none" w:sz="0" w:space="0" w:color="auto"/>
      </w:divBdr>
    </w:div>
    <w:div w:id="1372149858">
      <w:bodyDiv w:val="1"/>
      <w:marLeft w:val="0"/>
      <w:marRight w:val="0"/>
      <w:marTop w:val="0"/>
      <w:marBottom w:val="0"/>
      <w:divBdr>
        <w:top w:val="none" w:sz="0" w:space="0" w:color="auto"/>
        <w:left w:val="none" w:sz="0" w:space="0" w:color="auto"/>
        <w:bottom w:val="none" w:sz="0" w:space="0" w:color="auto"/>
        <w:right w:val="none" w:sz="0" w:space="0" w:color="auto"/>
      </w:divBdr>
    </w:div>
    <w:div w:id="1372608317">
      <w:bodyDiv w:val="1"/>
      <w:marLeft w:val="0"/>
      <w:marRight w:val="0"/>
      <w:marTop w:val="0"/>
      <w:marBottom w:val="0"/>
      <w:divBdr>
        <w:top w:val="none" w:sz="0" w:space="0" w:color="auto"/>
        <w:left w:val="none" w:sz="0" w:space="0" w:color="auto"/>
        <w:bottom w:val="none" w:sz="0" w:space="0" w:color="auto"/>
        <w:right w:val="none" w:sz="0" w:space="0" w:color="auto"/>
      </w:divBdr>
    </w:div>
    <w:div w:id="1374696223">
      <w:bodyDiv w:val="1"/>
      <w:marLeft w:val="0"/>
      <w:marRight w:val="0"/>
      <w:marTop w:val="0"/>
      <w:marBottom w:val="0"/>
      <w:divBdr>
        <w:top w:val="none" w:sz="0" w:space="0" w:color="auto"/>
        <w:left w:val="none" w:sz="0" w:space="0" w:color="auto"/>
        <w:bottom w:val="none" w:sz="0" w:space="0" w:color="auto"/>
        <w:right w:val="none" w:sz="0" w:space="0" w:color="auto"/>
      </w:divBdr>
    </w:div>
    <w:div w:id="1376469920">
      <w:bodyDiv w:val="1"/>
      <w:marLeft w:val="0"/>
      <w:marRight w:val="0"/>
      <w:marTop w:val="0"/>
      <w:marBottom w:val="0"/>
      <w:divBdr>
        <w:top w:val="none" w:sz="0" w:space="0" w:color="auto"/>
        <w:left w:val="none" w:sz="0" w:space="0" w:color="auto"/>
        <w:bottom w:val="none" w:sz="0" w:space="0" w:color="auto"/>
        <w:right w:val="none" w:sz="0" w:space="0" w:color="auto"/>
      </w:divBdr>
    </w:div>
    <w:div w:id="1377394979">
      <w:bodyDiv w:val="1"/>
      <w:marLeft w:val="0"/>
      <w:marRight w:val="0"/>
      <w:marTop w:val="0"/>
      <w:marBottom w:val="0"/>
      <w:divBdr>
        <w:top w:val="none" w:sz="0" w:space="0" w:color="auto"/>
        <w:left w:val="none" w:sz="0" w:space="0" w:color="auto"/>
        <w:bottom w:val="none" w:sz="0" w:space="0" w:color="auto"/>
        <w:right w:val="none" w:sz="0" w:space="0" w:color="auto"/>
      </w:divBdr>
    </w:div>
    <w:div w:id="1377462438">
      <w:bodyDiv w:val="1"/>
      <w:marLeft w:val="0"/>
      <w:marRight w:val="0"/>
      <w:marTop w:val="0"/>
      <w:marBottom w:val="0"/>
      <w:divBdr>
        <w:top w:val="none" w:sz="0" w:space="0" w:color="auto"/>
        <w:left w:val="none" w:sz="0" w:space="0" w:color="auto"/>
        <w:bottom w:val="none" w:sz="0" w:space="0" w:color="auto"/>
        <w:right w:val="none" w:sz="0" w:space="0" w:color="auto"/>
      </w:divBdr>
    </w:div>
    <w:div w:id="1377730008">
      <w:bodyDiv w:val="1"/>
      <w:marLeft w:val="0"/>
      <w:marRight w:val="0"/>
      <w:marTop w:val="0"/>
      <w:marBottom w:val="0"/>
      <w:divBdr>
        <w:top w:val="none" w:sz="0" w:space="0" w:color="auto"/>
        <w:left w:val="none" w:sz="0" w:space="0" w:color="auto"/>
        <w:bottom w:val="none" w:sz="0" w:space="0" w:color="auto"/>
        <w:right w:val="none" w:sz="0" w:space="0" w:color="auto"/>
      </w:divBdr>
    </w:div>
    <w:div w:id="1378357684">
      <w:bodyDiv w:val="1"/>
      <w:marLeft w:val="0"/>
      <w:marRight w:val="0"/>
      <w:marTop w:val="0"/>
      <w:marBottom w:val="0"/>
      <w:divBdr>
        <w:top w:val="none" w:sz="0" w:space="0" w:color="auto"/>
        <w:left w:val="none" w:sz="0" w:space="0" w:color="auto"/>
        <w:bottom w:val="none" w:sz="0" w:space="0" w:color="auto"/>
        <w:right w:val="none" w:sz="0" w:space="0" w:color="auto"/>
      </w:divBdr>
    </w:div>
    <w:div w:id="1378427586">
      <w:bodyDiv w:val="1"/>
      <w:marLeft w:val="0"/>
      <w:marRight w:val="0"/>
      <w:marTop w:val="0"/>
      <w:marBottom w:val="0"/>
      <w:divBdr>
        <w:top w:val="none" w:sz="0" w:space="0" w:color="auto"/>
        <w:left w:val="none" w:sz="0" w:space="0" w:color="auto"/>
        <w:bottom w:val="none" w:sz="0" w:space="0" w:color="auto"/>
        <w:right w:val="none" w:sz="0" w:space="0" w:color="auto"/>
      </w:divBdr>
    </w:div>
    <w:div w:id="1381051315">
      <w:bodyDiv w:val="1"/>
      <w:marLeft w:val="0"/>
      <w:marRight w:val="0"/>
      <w:marTop w:val="0"/>
      <w:marBottom w:val="0"/>
      <w:divBdr>
        <w:top w:val="none" w:sz="0" w:space="0" w:color="auto"/>
        <w:left w:val="none" w:sz="0" w:space="0" w:color="auto"/>
        <w:bottom w:val="none" w:sz="0" w:space="0" w:color="auto"/>
        <w:right w:val="none" w:sz="0" w:space="0" w:color="auto"/>
      </w:divBdr>
    </w:div>
    <w:div w:id="1381200336">
      <w:bodyDiv w:val="1"/>
      <w:marLeft w:val="0"/>
      <w:marRight w:val="0"/>
      <w:marTop w:val="0"/>
      <w:marBottom w:val="0"/>
      <w:divBdr>
        <w:top w:val="none" w:sz="0" w:space="0" w:color="auto"/>
        <w:left w:val="none" w:sz="0" w:space="0" w:color="auto"/>
        <w:bottom w:val="none" w:sz="0" w:space="0" w:color="auto"/>
        <w:right w:val="none" w:sz="0" w:space="0" w:color="auto"/>
      </w:divBdr>
    </w:div>
    <w:div w:id="1381711535">
      <w:bodyDiv w:val="1"/>
      <w:marLeft w:val="0"/>
      <w:marRight w:val="0"/>
      <w:marTop w:val="0"/>
      <w:marBottom w:val="0"/>
      <w:divBdr>
        <w:top w:val="none" w:sz="0" w:space="0" w:color="auto"/>
        <w:left w:val="none" w:sz="0" w:space="0" w:color="auto"/>
        <w:bottom w:val="none" w:sz="0" w:space="0" w:color="auto"/>
        <w:right w:val="none" w:sz="0" w:space="0" w:color="auto"/>
      </w:divBdr>
    </w:div>
    <w:div w:id="1381828149">
      <w:bodyDiv w:val="1"/>
      <w:marLeft w:val="0"/>
      <w:marRight w:val="0"/>
      <w:marTop w:val="0"/>
      <w:marBottom w:val="0"/>
      <w:divBdr>
        <w:top w:val="none" w:sz="0" w:space="0" w:color="auto"/>
        <w:left w:val="none" w:sz="0" w:space="0" w:color="auto"/>
        <w:bottom w:val="none" w:sz="0" w:space="0" w:color="auto"/>
        <w:right w:val="none" w:sz="0" w:space="0" w:color="auto"/>
      </w:divBdr>
    </w:div>
    <w:div w:id="1382024594">
      <w:bodyDiv w:val="1"/>
      <w:marLeft w:val="0"/>
      <w:marRight w:val="0"/>
      <w:marTop w:val="0"/>
      <w:marBottom w:val="0"/>
      <w:divBdr>
        <w:top w:val="none" w:sz="0" w:space="0" w:color="auto"/>
        <w:left w:val="none" w:sz="0" w:space="0" w:color="auto"/>
        <w:bottom w:val="none" w:sz="0" w:space="0" w:color="auto"/>
        <w:right w:val="none" w:sz="0" w:space="0" w:color="auto"/>
      </w:divBdr>
    </w:div>
    <w:div w:id="1382366183">
      <w:bodyDiv w:val="1"/>
      <w:marLeft w:val="0"/>
      <w:marRight w:val="0"/>
      <w:marTop w:val="0"/>
      <w:marBottom w:val="0"/>
      <w:divBdr>
        <w:top w:val="none" w:sz="0" w:space="0" w:color="auto"/>
        <w:left w:val="none" w:sz="0" w:space="0" w:color="auto"/>
        <w:bottom w:val="none" w:sz="0" w:space="0" w:color="auto"/>
        <w:right w:val="none" w:sz="0" w:space="0" w:color="auto"/>
      </w:divBdr>
    </w:div>
    <w:div w:id="1382441468">
      <w:bodyDiv w:val="1"/>
      <w:marLeft w:val="0"/>
      <w:marRight w:val="0"/>
      <w:marTop w:val="0"/>
      <w:marBottom w:val="0"/>
      <w:divBdr>
        <w:top w:val="none" w:sz="0" w:space="0" w:color="auto"/>
        <w:left w:val="none" w:sz="0" w:space="0" w:color="auto"/>
        <w:bottom w:val="none" w:sz="0" w:space="0" w:color="auto"/>
        <w:right w:val="none" w:sz="0" w:space="0" w:color="auto"/>
      </w:divBdr>
    </w:div>
    <w:div w:id="1382944954">
      <w:bodyDiv w:val="1"/>
      <w:marLeft w:val="0"/>
      <w:marRight w:val="0"/>
      <w:marTop w:val="0"/>
      <w:marBottom w:val="0"/>
      <w:divBdr>
        <w:top w:val="none" w:sz="0" w:space="0" w:color="auto"/>
        <w:left w:val="none" w:sz="0" w:space="0" w:color="auto"/>
        <w:bottom w:val="none" w:sz="0" w:space="0" w:color="auto"/>
        <w:right w:val="none" w:sz="0" w:space="0" w:color="auto"/>
      </w:divBdr>
    </w:div>
    <w:div w:id="1383679193">
      <w:bodyDiv w:val="1"/>
      <w:marLeft w:val="0"/>
      <w:marRight w:val="0"/>
      <w:marTop w:val="0"/>
      <w:marBottom w:val="0"/>
      <w:divBdr>
        <w:top w:val="none" w:sz="0" w:space="0" w:color="auto"/>
        <w:left w:val="none" w:sz="0" w:space="0" w:color="auto"/>
        <w:bottom w:val="none" w:sz="0" w:space="0" w:color="auto"/>
        <w:right w:val="none" w:sz="0" w:space="0" w:color="auto"/>
      </w:divBdr>
    </w:div>
    <w:div w:id="1384216772">
      <w:bodyDiv w:val="1"/>
      <w:marLeft w:val="0"/>
      <w:marRight w:val="0"/>
      <w:marTop w:val="0"/>
      <w:marBottom w:val="0"/>
      <w:divBdr>
        <w:top w:val="none" w:sz="0" w:space="0" w:color="auto"/>
        <w:left w:val="none" w:sz="0" w:space="0" w:color="auto"/>
        <w:bottom w:val="none" w:sz="0" w:space="0" w:color="auto"/>
        <w:right w:val="none" w:sz="0" w:space="0" w:color="auto"/>
      </w:divBdr>
    </w:div>
    <w:div w:id="1384406653">
      <w:bodyDiv w:val="1"/>
      <w:marLeft w:val="0"/>
      <w:marRight w:val="0"/>
      <w:marTop w:val="0"/>
      <w:marBottom w:val="0"/>
      <w:divBdr>
        <w:top w:val="none" w:sz="0" w:space="0" w:color="auto"/>
        <w:left w:val="none" w:sz="0" w:space="0" w:color="auto"/>
        <w:bottom w:val="none" w:sz="0" w:space="0" w:color="auto"/>
        <w:right w:val="none" w:sz="0" w:space="0" w:color="auto"/>
      </w:divBdr>
    </w:div>
    <w:div w:id="1384449174">
      <w:bodyDiv w:val="1"/>
      <w:marLeft w:val="0"/>
      <w:marRight w:val="0"/>
      <w:marTop w:val="0"/>
      <w:marBottom w:val="0"/>
      <w:divBdr>
        <w:top w:val="none" w:sz="0" w:space="0" w:color="auto"/>
        <w:left w:val="none" w:sz="0" w:space="0" w:color="auto"/>
        <w:bottom w:val="none" w:sz="0" w:space="0" w:color="auto"/>
        <w:right w:val="none" w:sz="0" w:space="0" w:color="auto"/>
      </w:divBdr>
    </w:div>
    <w:div w:id="1385104284">
      <w:bodyDiv w:val="1"/>
      <w:marLeft w:val="0"/>
      <w:marRight w:val="0"/>
      <w:marTop w:val="0"/>
      <w:marBottom w:val="0"/>
      <w:divBdr>
        <w:top w:val="none" w:sz="0" w:space="0" w:color="auto"/>
        <w:left w:val="none" w:sz="0" w:space="0" w:color="auto"/>
        <w:bottom w:val="none" w:sz="0" w:space="0" w:color="auto"/>
        <w:right w:val="none" w:sz="0" w:space="0" w:color="auto"/>
      </w:divBdr>
    </w:div>
    <w:div w:id="1385133630">
      <w:bodyDiv w:val="1"/>
      <w:marLeft w:val="0"/>
      <w:marRight w:val="0"/>
      <w:marTop w:val="0"/>
      <w:marBottom w:val="0"/>
      <w:divBdr>
        <w:top w:val="none" w:sz="0" w:space="0" w:color="auto"/>
        <w:left w:val="none" w:sz="0" w:space="0" w:color="auto"/>
        <w:bottom w:val="none" w:sz="0" w:space="0" w:color="auto"/>
        <w:right w:val="none" w:sz="0" w:space="0" w:color="auto"/>
      </w:divBdr>
    </w:div>
    <w:div w:id="1385253452">
      <w:bodyDiv w:val="1"/>
      <w:marLeft w:val="0"/>
      <w:marRight w:val="0"/>
      <w:marTop w:val="0"/>
      <w:marBottom w:val="0"/>
      <w:divBdr>
        <w:top w:val="none" w:sz="0" w:space="0" w:color="auto"/>
        <w:left w:val="none" w:sz="0" w:space="0" w:color="auto"/>
        <w:bottom w:val="none" w:sz="0" w:space="0" w:color="auto"/>
        <w:right w:val="none" w:sz="0" w:space="0" w:color="auto"/>
      </w:divBdr>
    </w:div>
    <w:div w:id="1385301043">
      <w:bodyDiv w:val="1"/>
      <w:marLeft w:val="0"/>
      <w:marRight w:val="0"/>
      <w:marTop w:val="0"/>
      <w:marBottom w:val="0"/>
      <w:divBdr>
        <w:top w:val="none" w:sz="0" w:space="0" w:color="auto"/>
        <w:left w:val="none" w:sz="0" w:space="0" w:color="auto"/>
        <w:bottom w:val="none" w:sz="0" w:space="0" w:color="auto"/>
        <w:right w:val="none" w:sz="0" w:space="0" w:color="auto"/>
      </w:divBdr>
    </w:div>
    <w:div w:id="1385374337">
      <w:bodyDiv w:val="1"/>
      <w:marLeft w:val="0"/>
      <w:marRight w:val="0"/>
      <w:marTop w:val="0"/>
      <w:marBottom w:val="0"/>
      <w:divBdr>
        <w:top w:val="none" w:sz="0" w:space="0" w:color="auto"/>
        <w:left w:val="none" w:sz="0" w:space="0" w:color="auto"/>
        <w:bottom w:val="none" w:sz="0" w:space="0" w:color="auto"/>
        <w:right w:val="none" w:sz="0" w:space="0" w:color="auto"/>
      </w:divBdr>
    </w:div>
    <w:div w:id="1385829875">
      <w:bodyDiv w:val="1"/>
      <w:marLeft w:val="0"/>
      <w:marRight w:val="0"/>
      <w:marTop w:val="0"/>
      <w:marBottom w:val="0"/>
      <w:divBdr>
        <w:top w:val="none" w:sz="0" w:space="0" w:color="auto"/>
        <w:left w:val="none" w:sz="0" w:space="0" w:color="auto"/>
        <w:bottom w:val="none" w:sz="0" w:space="0" w:color="auto"/>
        <w:right w:val="none" w:sz="0" w:space="0" w:color="auto"/>
      </w:divBdr>
    </w:div>
    <w:div w:id="1386101647">
      <w:bodyDiv w:val="1"/>
      <w:marLeft w:val="0"/>
      <w:marRight w:val="0"/>
      <w:marTop w:val="0"/>
      <w:marBottom w:val="0"/>
      <w:divBdr>
        <w:top w:val="none" w:sz="0" w:space="0" w:color="auto"/>
        <w:left w:val="none" w:sz="0" w:space="0" w:color="auto"/>
        <w:bottom w:val="none" w:sz="0" w:space="0" w:color="auto"/>
        <w:right w:val="none" w:sz="0" w:space="0" w:color="auto"/>
      </w:divBdr>
    </w:div>
    <w:div w:id="1386417954">
      <w:bodyDiv w:val="1"/>
      <w:marLeft w:val="0"/>
      <w:marRight w:val="0"/>
      <w:marTop w:val="0"/>
      <w:marBottom w:val="0"/>
      <w:divBdr>
        <w:top w:val="none" w:sz="0" w:space="0" w:color="auto"/>
        <w:left w:val="none" w:sz="0" w:space="0" w:color="auto"/>
        <w:bottom w:val="none" w:sz="0" w:space="0" w:color="auto"/>
        <w:right w:val="none" w:sz="0" w:space="0" w:color="auto"/>
      </w:divBdr>
    </w:div>
    <w:div w:id="1386955187">
      <w:bodyDiv w:val="1"/>
      <w:marLeft w:val="0"/>
      <w:marRight w:val="0"/>
      <w:marTop w:val="0"/>
      <w:marBottom w:val="0"/>
      <w:divBdr>
        <w:top w:val="none" w:sz="0" w:space="0" w:color="auto"/>
        <w:left w:val="none" w:sz="0" w:space="0" w:color="auto"/>
        <w:bottom w:val="none" w:sz="0" w:space="0" w:color="auto"/>
        <w:right w:val="none" w:sz="0" w:space="0" w:color="auto"/>
      </w:divBdr>
    </w:div>
    <w:div w:id="1387679635">
      <w:bodyDiv w:val="1"/>
      <w:marLeft w:val="0"/>
      <w:marRight w:val="0"/>
      <w:marTop w:val="0"/>
      <w:marBottom w:val="0"/>
      <w:divBdr>
        <w:top w:val="none" w:sz="0" w:space="0" w:color="auto"/>
        <w:left w:val="none" w:sz="0" w:space="0" w:color="auto"/>
        <w:bottom w:val="none" w:sz="0" w:space="0" w:color="auto"/>
        <w:right w:val="none" w:sz="0" w:space="0" w:color="auto"/>
      </w:divBdr>
    </w:div>
    <w:div w:id="1388265156">
      <w:bodyDiv w:val="1"/>
      <w:marLeft w:val="0"/>
      <w:marRight w:val="0"/>
      <w:marTop w:val="0"/>
      <w:marBottom w:val="0"/>
      <w:divBdr>
        <w:top w:val="none" w:sz="0" w:space="0" w:color="auto"/>
        <w:left w:val="none" w:sz="0" w:space="0" w:color="auto"/>
        <w:bottom w:val="none" w:sz="0" w:space="0" w:color="auto"/>
        <w:right w:val="none" w:sz="0" w:space="0" w:color="auto"/>
      </w:divBdr>
    </w:div>
    <w:div w:id="1388843514">
      <w:bodyDiv w:val="1"/>
      <w:marLeft w:val="0"/>
      <w:marRight w:val="0"/>
      <w:marTop w:val="0"/>
      <w:marBottom w:val="0"/>
      <w:divBdr>
        <w:top w:val="none" w:sz="0" w:space="0" w:color="auto"/>
        <w:left w:val="none" w:sz="0" w:space="0" w:color="auto"/>
        <w:bottom w:val="none" w:sz="0" w:space="0" w:color="auto"/>
        <w:right w:val="none" w:sz="0" w:space="0" w:color="auto"/>
      </w:divBdr>
    </w:div>
    <w:div w:id="1389259908">
      <w:bodyDiv w:val="1"/>
      <w:marLeft w:val="0"/>
      <w:marRight w:val="0"/>
      <w:marTop w:val="0"/>
      <w:marBottom w:val="0"/>
      <w:divBdr>
        <w:top w:val="none" w:sz="0" w:space="0" w:color="auto"/>
        <w:left w:val="none" w:sz="0" w:space="0" w:color="auto"/>
        <w:bottom w:val="none" w:sz="0" w:space="0" w:color="auto"/>
        <w:right w:val="none" w:sz="0" w:space="0" w:color="auto"/>
      </w:divBdr>
    </w:div>
    <w:div w:id="1389452006">
      <w:bodyDiv w:val="1"/>
      <w:marLeft w:val="0"/>
      <w:marRight w:val="0"/>
      <w:marTop w:val="0"/>
      <w:marBottom w:val="0"/>
      <w:divBdr>
        <w:top w:val="none" w:sz="0" w:space="0" w:color="auto"/>
        <w:left w:val="none" w:sz="0" w:space="0" w:color="auto"/>
        <w:bottom w:val="none" w:sz="0" w:space="0" w:color="auto"/>
        <w:right w:val="none" w:sz="0" w:space="0" w:color="auto"/>
      </w:divBdr>
    </w:div>
    <w:div w:id="1390033170">
      <w:bodyDiv w:val="1"/>
      <w:marLeft w:val="0"/>
      <w:marRight w:val="0"/>
      <w:marTop w:val="0"/>
      <w:marBottom w:val="0"/>
      <w:divBdr>
        <w:top w:val="none" w:sz="0" w:space="0" w:color="auto"/>
        <w:left w:val="none" w:sz="0" w:space="0" w:color="auto"/>
        <w:bottom w:val="none" w:sz="0" w:space="0" w:color="auto"/>
        <w:right w:val="none" w:sz="0" w:space="0" w:color="auto"/>
      </w:divBdr>
    </w:div>
    <w:div w:id="1390374565">
      <w:bodyDiv w:val="1"/>
      <w:marLeft w:val="0"/>
      <w:marRight w:val="0"/>
      <w:marTop w:val="0"/>
      <w:marBottom w:val="0"/>
      <w:divBdr>
        <w:top w:val="none" w:sz="0" w:space="0" w:color="auto"/>
        <w:left w:val="none" w:sz="0" w:space="0" w:color="auto"/>
        <w:bottom w:val="none" w:sz="0" w:space="0" w:color="auto"/>
        <w:right w:val="none" w:sz="0" w:space="0" w:color="auto"/>
      </w:divBdr>
    </w:div>
    <w:div w:id="1390421215">
      <w:bodyDiv w:val="1"/>
      <w:marLeft w:val="0"/>
      <w:marRight w:val="0"/>
      <w:marTop w:val="0"/>
      <w:marBottom w:val="0"/>
      <w:divBdr>
        <w:top w:val="none" w:sz="0" w:space="0" w:color="auto"/>
        <w:left w:val="none" w:sz="0" w:space="0" w:color="auto"/>
        <w:bottom w:val="none" w:sz="0" w:space="0" w:color="auto"/>
        <w:right w:val="none" w:sz="0" w:space="0" w:color="auto"/>
      </w:divBdr>
    </w:div>
    <w:div w:id="1391658611">
      <w:bodyDiv w:val="1"/>
      <w:marLeft w:val="0"/>
      <w:marRight w:val="0"/>
      <w:marTop w:val="0"/>
      <w:marBottom w:val="0"/>
      <w:divBdr>
        <w:top w:val="none" w:sz="0" w:space="0" w:color="auto"/>
        <w:left w:val="none" w:sz="0" w:space="0" w:color="auto"/>
        <w:bottom w:val="none" w:sz="0" w:space="0" w:color="auto"/>
        <w:right w:val="none" w:sz="0" w:space="0" w:color="auto"/>
      </w:divBdr>
    </w:div>
    <w:div w:id="1391878632">
      <w:bodyDiv w:val="1"/>
      <w:marLeft w:val="0"/>
      <w:marRight w:val="0"/>
      <w:marTop w:val="0"/>
      <w:marBottom w:val="0"/>
      <w:divBdr>
        <w:top w:val="none" w:sz="0" w:space="0" w:color="auto"/>
        <w:left w:val="none" w:sz="0" w:space="0" w:color="auto"/>
        <w:bottom w:val="none" w:sz="0" w:space="0" w:color="auto"/>
        <w:right w:val="none" w:sz="0" w:space="0" w:color="auto"/>
      </w:divBdr>
    </w:div>
    <w:div w:id="1392118443">
      <w:bodyDiv w:val="1"/>
      <w:marLeft w:val="0"/>
      <w:marRight w:val="0"/>
      <w:marTop w:val="0"/>
      <w:marBottom w:val="0"/>
      <w:divBdr>
        <w:top w:val="none" w:sz="0" w:space="0" w:color="auto"/>
        <w:left w:val="none" w:sz="0" w:space="0" w:color="auto"/>
        <w:bottom w:val="none" w:sz="0" w:space="0" w:color="auto"/>
        <w:right w:val="none" w:sz="0" w:space="0" w:color="auto"/>
      </w:divBdr>
    </w:div>
    <w:div w:id="1392341965">
      <w:bodyDiv w:val="1"/>
      <w:marLeft w:val="0"/>
      <w:marRight w:val="0"/>
      <w:marTop w:val="0"/>
      <w:marBottom w:val="0"/>
      <w:divBdr>
        <w:top w:val="none" w:sz="0" w:space="0" w:color="auto"/>
        <w:left w:val="none" w:sz="0" w:space="0" w:color="auto"/>
        <w:bottom w:val="none" w:sz="0" w:space="0" w:color="auto"/>
        <w:right w:val="none" w:sz="0" w:space="0" w:color="auto"/>
      </w:divBdr>
    </w:div>
    <w:div w:id="1393044768">
      <w:bodyDiv w:val="1"/>
      <w:marLeft w:val="0"/>
      <w:marRight w:val="0"/>
      <w:marTop w:val="0"/>
      <w:marBottom w:val="0"/>
      <w:divBdr>
        <w:top w:val="none" w:sz="0" w:space="0" w:color="auto"/>
        <w:left w:val="none" w:sz="0" w:space="0" w:color="auto"/>
        <w:bottom w:val="none" w:sz="0" w:space="0" w:color="auto"/>
        <w:right w:val="none" w:sz="0" w:space="0" w:color="auto"/>
      </w:divBdr>
    </w:div>
    <w:div w:id="1393234010">
      <w:bodyDiv w:val="1"/>
      <w:marLeft w:val="0"/>
      <w:marRight w:val="0"/>
      <w:marTop w:val="0"/>
      <w:marBottom w:val="0"/>
      <w:divBdr>
        <w:top w:val="none" w:sz="0" w:space="0" w:color="auto"/>
        <w:left w:val="none" w:sz="0" w:space="0" w:color="auto"/>
        <w:bottom w:val="none" w:sz="0" w:space="0" w:color="auto"/>
        <w:right w:val="none" w:sz="0" w:space="0" w:color="auto"/>
      </w:divBdr>
    </w:div>
    <w:div w:id="1395005602">
      <w:bodyDiv w:val="1"/>
      <w:marLeft w:val="0"/>
      <w:marRight w:val="0"/>
      <w:marTop w:val="0"/>
      <w:marBottom w:val="0"/>
      <w:divBdr>
        <w:top w:val="none" w:sz="0" w:space="0" w:color="auto"/>
        <w:left w:val="none" w:sz="0" w:space="0" w:color="auto"/>
        <w:bottom w:val="none" w:sz="0" w:space="0" w:color="auto"/>
        <w:right w:val="none" w:sz="0" w:space="0" w:color="auto"/>
      </w:divBdr>
    </w:div>
    <w:div w:id="1395273873">
      <w:bodyDiv w:val="1"/>
      <w:marLeft w:val="0"/>
      <w:marRight w:val="0"/>
      <w:marTop w:val="0"/>
      <w:marBottom w:val="0"/>
      <w:divBdr>
        <w:top w:val="none" w:sz="0" w:space="0" w:color="auto"/>
        <w:left w:val="none" w:sz="0" w:space="0" w:color="auto"/>
        <w:bottom w:val="none" w:sz="0" w:space="0" w:color="auto"/>
        <w:right w:val="none" w:sz="0" w:space="0" w:color="auto"/>
      </w:divBdr>
    </w:div>
    <w:div w:id="1396200961">
      <w:bodyDiv w:val="1"/>
      <w:marLeft w:val="0"/>
      <w:marRight w:val="0"/>
      <w:marTop w:val="0"/>
      <w:marBottom w:val="0"/>
      <w:divBdr>
        <w:top w:val="none" w:sz="0" w:space="0" w:color="auto"/>
        <w:left w:val="none" w:sz="0" w:space="0" w:color="auto"/>
        <w:bottom w:val="none" w:sz="0" w:space="0" w:color="auto"/>
        <w:right w:val="none" w:sz="0" w:space="0" w:color="auto"/>
      </w:divBdr>
    </w:div>
    <w:div w:id="1396389260">
      <w:bodyDiv w:val="1"/>
      <w:marLeft w:val="0"/>
      <w:marRight w:val="0"/>
      <w:marTop w:val="0"/>
      <w:marBottom w:val="0"/>
      <w:divBdr>
        <w:top w:val="none" w:sz="0" w:space="0" w:color="auto"/>
        <w:left w:val="none" w:sz="0" w:space="0" w:color="auto"/>
        <w:bottom w:val="none" w:sz="0" w:space="0" w:color="auto"/>
        <w:right w:val="none" w:sz="0" w:space="0" w:color="auto"/>
      </w:divBdr>
    </w:div>
    <w:div w:id="1396854231">
      <w:bodyDiv w:val="1"/>
      <w:marLeft w:val="0"/>
      <w:marRight w:val="0"/>
      <w:marTop w:val="0"/>
      <w:marBottom w:val="0"/>
      <w:divBdr>
        <w:top w:val="none" w:sz="0" w:space="0" w:color="auto"/>
        <w:left w:val="none" w:sz="0" w:space="0" w:color="auto"/>
        <w:bottom w:val="none" w:sz="0" w:space="0" w:color="auto"/>
        <w:right w:val="none" w:sz="0" w:space="0" w:color="auto"/>
      </w:divBdr>
    </w:div>
    <w:div w:id="1396854576">
      <w:bodyDiv w:val="1"/>
      <w:marLeft w:val="0"/>
      <w:marRight w:val="0"/>
      <w:marTop w:val="0"/>
      <w:marBottom w:val="0"/>
      <w:divBdr>
        <w:top w:val="none" w:sz="0" w:space="0" w:color="auto"/>
        <w:left w:val="none" w:sz="0" w:space="0" w:color="auto"/>
        <w:bottom w:val="none" w:sz="0" w:space="0" w:color="auto"/>
        <w:right w:val="none" w:sz="0" w:space="0" w:color="auto"/>
      </w:divBdr>
    </w:div>
    <w:div w:id="1397119863">
      <w:bodyDiv w:val="1"/>
      <w:marLeft w:val="0"/>
      <w:marRight w:val="0"/>
      <w:marTop w:val="0"/>
      <w:marBottom w:val="0"/>
      <w:divBdr>
        <w:top w:val="none" w:sz="0" w:space="0" w:color="auto"/>
        <w:left w:val="none" w:sz="0" w:space="0" w:color="auto"/>
        <w:bottom w:val="none" w:sz="0" w:space="0" w:color="auto"/>
        <w:right w:val="none" w:sz="0" w:space="0" w:color="auto"/>
      </w:divBdr>
    </w:div>
    <w:div w:id="1397167387">
      <w:bodyDiv w:val="1"/>
      <w:marLeft w:val="0"/>
      <w:marRight w:val="0"/>
      <w:marTop w:val="0"/>
      <w:marBottom w:val="0"/>
      <w:divBdr>
        <w:top w:val="none" w:sz="0" w:space="0" w:color="auto"/>
        <w:left w:val="none" w:sz="0" w:space="0" w:color="auto"/>
        <w:bottom w:val="none" w:sz="0" w:space="0" w:color="auto"/>
        <w:right w:val="none" w:sz="0" w:space="0" w:color="auto"/>
      </w:divBdr>
    </w:div>
    <w:div w:id="1397558077">
      <w:bodyDiv w:val="1"/>
      <w:marLeft w:val="0"/>
      <w:marRight w:val="0"/>
      <w:marTop w:val="0"/>
      <w:marBottom w:val="0"/>
      <w:divBdr>
        <w:top w:val="none" w:sz="0" w:space="0" w:color="auto"/>
        <w:left w:val="none" w:sz="0" w:space="0" w:color="auto"/>
        <w:bottom w:val="none" w:sz="0" w:space="0" w:color="auto"/>
        <w:right w:val="none" w:sz="0" w:space="0" w:color="auto"/>
      </w:divBdr>
    </w:div>
    <w:div w:id="1397972644">
      <w:bodyDiv w:val="1"/>
      <w:marLeft w:val="0"/>
      <w:marRight w:val="0"/>
      <w:marTop w:val="0"/>
      <w:marBottom w:val="0"/>
      <w:divBdr>
        <w:top w:val="none" w:sz="0" w:space="0" w:color="auto"/>
        <w:left w:val="none" w:sz="0" w:space="0" w:color="auto"/>
        <w:bottom w:val="none" w:sz="0" w:space="0" w:color="auto"/>
        <w:right w:val="none" w:sz="0" w:space="0" w:color="auto"/>
      </w:divBdr>
    </w:div>
    <w:div w:id="1398044666">
      <w:bodyDiv w:val="1"/>
      <w:marLeft w:val="0"/>
      <w:marRight w:val="0"/>
      <w:marTop w:val="0"/>
      <w:marBottom w:val="0"/>
      <w:divBdr>
        <w:top w:val="none" w:sz="0" w:space="0" w:color="auto"/>
        <w:left w:val="none" w:sz="0" w:space="0" w:color="auto"/>
        <w:bottom w:val="none" w:sz="0" w:space="0" w:color="auto"/>
        <w:right w:val="none" w:sz="0" w:space="0" w:color="auto"/>
      </w:divBdr>
    </w:div>
    <w:div w:id="1399547011">
      <w:bodyDiv w:val="1"/>
      <w:marLeft w:val="0"/>
      <w:marRight w:val="0"/>
      <w:marTop w:val="0"/>
      <w:marBottom w:val="0"/>
      <w:divBdr>
        <w:top w:val="none" w:sz="0" w:space="0" w:color="auto"/>
        <w:left w:val="none" w:sz="0" w:space="0" w:color="auto"/>
        <w:bottom w:val="none" w:sz="0" w:space="0" w:color="auto"/>
        <w:right w:val="none" w:sz="0" w:space="0" w:color="auto"/>
      </w:divBdr>
    </w:div>
    <w:div w:id="1399865580">
      <w:bodyDiv w:val="1"/>
      <w:marLeft w:val="0"/>
      <w:marRight w:val="0"/>
      <w:marTop w:val="0"/>
      <w:marBottom w:val="0"/>
      <w:divBdr>
        <w:top w:val="none" w:sz="0" w:space="0" w:color="auto"/>
        <w:left w:val="none" w:sz="0" w:space="0" w:color="auto"/>
        <w:bottom w:val="none" w:sz="0" w:space="0" w:color="auto"/>
        <w:right w:val="none" w:sz="0" w:space="0" w:color="auto"/>
      </w:divBdr>
    </w:div>
    <w:div w:id="1400517323">
      <w:bodyDiv w:val="1"/>
      <w:marLeft w:val="0"/>
      <w:marRight w:val="0"/>
      <w:marTop w:val="0"/>
      <w:marBottom w:val="0"/>
      <w:divBdr>
        <w:top w:val="none" w:sz="0" w:space="0" w:color="auto"/>
        <w:left w:val="none" w:sz="0" w:space="0" w:color="auto"/>
        <w:bottom w:val="none" w:sz="0" w:space="0" w:color="auto"/>
        <w:right w:val="none" w:sz="0" w:space="0" w:color="auto"/>
      </w:divBdr>
    </w:div>
    <w:div w:id="1400980462">
      <w:bodyDiv w:val="1"/>
      <w:marLeft w:val="0"/>
      <w:marRight w:val="0"/>
      <w:marTop w:val="0"/>
      <w:marBottom w:val="0"/>
      <w:divBdr>
        <w:top w:val="none" w:sz="0" w:space="0" w:color="auto"/>
        <w:left w:val="none" w:sz="0" w:space="0" w:color="auto"/>
        <w:bottom w:val="none" w:sz="0" w:space="0" w:color="auto"/>
        <w:right w:val="none" w:sz="0" w:space="0" w:color="auto"/>
      </w:divBdr>
    </w:div>
    <w:div w:id="1401293868">
      <w:bodyDiv w:val="1"/>
      <w:marLeft w:val="0"/>
      <w:marRight w:val="0"/>
      <w:marTop w:val="0"/>
      <w:marBottom w:val="0"/>
      <w:divBdr>
        <w:top w:val="none" w:sz="0" w:space="0" w:color="auto"/>
        <w:left w:val="none" w:sz="0" w:space="0" w:color="auto"/>
        <w:bottom w:val="none" w:sz="0" w:space="0" w:color="auto"/>
        <w:right w:val="none" w:sz="0" w:space="0" w:color="auto"/>
      </w:divBdr>
    </w:div>
    <w:div w:id="1402413463">
      <w:bodyDiv w:val="1"/>
      <w:marLeft w:val="0"/>
      <w:marRight w:val="0"/>
      <w:marTop w:val="0"/>
      <w:marBottom w:val="0"/>
      <w:divBdr>
        <w:top w:val="none" w:sz="0" w:space="0" w:color="auto"/>
        <w:left w:val="none" w:sz="0" w:space="0" w:color="auto"/>
        <w:bottom w:val="none" w:sz="0" w:space="0" w:color="auto"/>
        <w:right w:val="none" w:sz="0" w:space="0" w:color="auto"/>
      </w:divBdr>
    </w:div>
    <w:div w:id="1403680568">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3989698">
      <w:bodyDiv w:val="1"/>
      <w:marLeft w:val="0"/>
      <w:marRight w:val="0"/>
      <w:marTop w:val="0"/>
      <w:marBottom w:val="0"/>
      <w:divBdr>
        <w:top w:val="none" w:sz="0" w:space="0" w:color="auto"/>
        <w:left w:val="none" w:sz="0" w:space="0" w:color="auto"/>
        <w:bottom w:val="none" w:sz="0" w:space="0" w:color="auto"/>
        <w:right w:val="none" w:sz="0" w:space="0" w:color="auto"/>
      </w:divBdr>
    </w:div>
    <w:div w:id="1404065040">
      <w:bodyDiv w:val="1"/>
      <w:marLeft w:val="0"/>
      <w:marRight w:val="0"/>
      <w:marTop w:val="0"/>
      <w:marBottom w:val="0"/>
      <w:divBdr>
        <w:top w:val="none" w:sz="0" w:space="0" w:color="auto"/>
        <w:left w:val="none" w:sz="0" w:space="0" w:color="auto"/>
        <w:bottom w:val="none" w:sz="0" w:space="0" w:color="auto"/>
        <w:right w:val="none" w:sz="0" w:space="0" w:color="auto"/>
      </w:divBdr>
    </w:div>
    <w:div w:id="1404447731">
      <w:bodyDiv w:val="1"/>
      <w:marLeft w:val="0"/>
      <w:marRight w:val="0"/>
      <w:marTop w:val="0"/>
      <w:marBottom w:val="0"/>
      <w:divBdr>
        <w:top w:val="none" w:sz="0" w:space="0" w:color="auto"/>
        <w:left w:val="none" w:sz="0" w:space="0" w:color="auto"/>
        <w:bottom w:val="none" w:sz="0" w:space="0" w:color="auto"/>
        <w:right w:val="none" w:sz="0" w:space="0" w:color="auto"/>
      </w:divBdr>
    </w:div>
    <w:div w:id="1406099955">
      <w:bodyDiv w:val="1"/>
      <w:marLeft w:val="0"/>
      <w:marRight w:val="0"/>
      <w:marTop w:val="0"/>
      <w:marBottom w:val="0"/>
      <w:divBdr>
        <w:top w:val="none" w:sz="0" w:space="0" w:color="auto"/>
        <w:left w:val="none" w:sz="0" w:space="0" w:color="auto"/>
        <w:bottom w:val="none" w:sz="0" w:space="0" w:color="auto"/>
        <w:right w:val="none" w:sz="0" w:space="0" w:color="auto"/>
      </w:divBdr>
    </w:div>
    <w:div w:id="1406225314">
      <w:bodyDiv w:val="1"/>
      <w:marLeft w:val="0"/>
      <w:marRight w:val="0"/>
      <w:marTop w:val="0"/>
      <w:marBottom w:val="0"/>
      <w:divBdr>
        <w:top w:val="none" w:sz="0" w:space="0" w:color="auto"/>
        <w:left w:val="none" w:sz="0" w:space="0" w:color="auto"/>
        <w:bottom w:val="none" w:sz="0" w:space="0" w:color="auto"/>
        <w:right w:val="none" w:sz="0" w:space="0" w:color="auto"/>
      </w:divBdr>
    </w:div>
    <w:div w:id="1407069494">
      <w:bodyDiv w:val="1"/>
      <w:marLeft w:val="0"/>
      <w:marRight w:val="0"/>
      <w:marTop w:val="0"/>
      <w:marBottom w:val="0"/>
      <w:divBdr>
        <w:top w:val="none" w:sz="0" w:space="0" w:color="auto"/>
        <w:left w:val="none" w:sz="0" w:space="0" w:color="auto"/>
        <w:bottom w:val="none" w:sz="0" w:space="0" w:color="auto"/>
        <w:right w:val="none" w:sz="0" w:space="0" w:color="auto"/>
      </w:divBdr>
    </w:div>
    <w:div w:id="1407264741">
      <w:bodyDiv w:val="1"/>
      <w:marLeft w:val="0"/>
      <w:marRight w:val="0"/>
      <w:marTop w:val="0"/>
      <w:marBottom w:val="0"/>
      <w:divBdr>
        <w:top w:val="none" w:sz="0" w:space="0" w:color="auto"/>
        <w:left w:val="none" w:sz="0" w:space="0" w:color="auto"/>
        <w:bottom w:val="none" w:sz="0" w:space="0" w:color="auto"/>
        <w:right w:val="none" w:sz="0" w:space="0" w:color="auto"/>
      </w:divBdr>
    </w:div>
    <w:div w:id="1407534037">
      <w:bodyDiv w:val="1"/>
      <w:marLeft w:val="0"/>
      <w:marRight w:val="0"/>
      <w:marTop w:val="0"/>
      <w:marBottom w:val="0"/>
      <w:divBdr>
        <w:top w:val="none" w:sz="0" w:space="0" w:color="auto"/>
        <w:left w:val="none" w:sz="0" w:space="0" w:color="auto"/>
        <w:bottom w:val="none" w:sz="0" w:space="0" w:color="auto"/>
        <w:right w:val="none" w:sz="0" w:space="0" w:color="auto"/>
      </w:divBdr>
    </w:div>
    <w:div w:id="1407612083">
      <w:bodyDiv w:val="1"/>
      <w:marLeft w:val="0"/>
      <w:marRight w:val="0"/>
      <w:marTop w:val="0"/>
      <w:marBottom w:val="0"/>
      <w:divBdr>
        <w:top w:val="none" w:sz="0" w:space="0" w:color="auto"/>
        <w:left w:val="none" w:sz="0" w:space="0" w:color="auto"/>
        <w:bottom w:val="none" w:sz="0" w:space="0" w:color="auto"/>
        <w:right w:val="none" w:sz="0" w:space="0" w:color="auto"/>
      </w:divBdr>
    </w:div>
    <w:div w:id="1407653924">
      <w:bodyDiv w:val="1"/>
      <w:marLeft w:val="0"/>
      <w:marRight w:val="0"/>
      <w:marTop w:val="0"/>
      <w:marBottom w:val="0"/>
      <w:divBdr>
        <w:top w:val="none" w:sz="0" w:space="0" w:color="auto"/>
        <w:left w:val="none" w:sz="0" w:space="0" w:color="auto"/>
        <w:bottom w:val="none" w:sz="0" w:space="0" w:color="auto"/>
        <w:right w:val="none" w:sz="0" w:space="0" w:color="auto"/>
      </w:divBdr>
    </w:div>
    <w:div w:id="1407654823">
      <w:bodyDiv w:val="1"/>
      <w:marLeft w:val="0"/>
      <w:marRight w:val="0"/>
      <w:marTop w:val="0"/>
      <w:marBottom w:val="0"/>
      <w:divBdr>
        <w:top w:val="none" w:sz="0" w:space="0" w:color="auto"/>
        <w:left w:val="none" w:sz="0" w:space="0" w:color="auto"/>
        <w:bottom w:val="none" w:sz="0" w:space="0" w:color="auto"/>
        <w:right w:val="none" w:sz="0" w:space="0" w:color="auto"/>
      </w:divBdr>
    </w:div>
    <w:div w:id="1407724922">
      <w:bodyDiv w:val="1"/>
      <w:marLeft w:val="0"/>
      <w:marRight w:val="0"/>
      <w:marTop w:val="0"/>
      <w:marBottom w:val="0"/>
      <w:divBdr>
        <w:top w:val="none" w:sz="0" w:space="0" w:color="auto"/>
        <w:left w:val="none" w:sz="0" w:space="0" w:color="auto"/>
        <w:bottom w:val="none" w:sz="0" w:space="0" w:color="auto"/>
        <w:right w:val="none" w:sz="0" w:space="0" w:color="auto"/>
      </w:divBdr>
    </w:div>
    <w:div w:id="1410081829">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410273979">
      <w:bodyDiv w:val="1"/>
      <w:marLeft w:val="0"/>
      <w:marRight w:val="0"/>
      <w:marTop w:val="0"/>
      <w:marBottom w:val="0"/>
      <w:divBdr>
        <w:top w:val="none" w:sz="0" w:space="0" w:color="auto"/>
        <w:left w:val="none" w:sz="0" w:space="0" w:color="auto"/>
        <w:bottom w:val="none" w:sz="0" w:space="0" w:color="auto"/>
        <w:right w:val="none" w:sz="0" w:space="0" w:color="auto"/>
      </w:divBdr>
    </w:div>
    <w:div w:id="1410425207">
      <w:bodyDiv w:val="1"/>
      <w:marLeft w:val="0"/>
      <w:marRight w:val="0"/>
      <w:marTop w:val="0"/>
      <w:marBottom w:val="0"/>
      <w:divBdr>
        <w:top w:val="none" w:sz="0" w:space="0" w:color="auto"/>
        <w:left w:val="none" w:sz="0" w:space="0" w:color="auto"/>
        <w:bottom w:val="none" w:sz="0" w:space="0" w:color="auto"/>
        <w:right w:val="none" w:sz="0" w:space="0" w:color="auto"/>
      </w:divBdr>
    </w:div>
    <w:div w:id="1411191763">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411273916">
      <w:bodyDiv w:val="1"/>
      <w:marLeft w:val="0"/>
      <w:marRight w:val="0"/>
      <w:marTop w:val="0"/>
      <w:marBottom w:val="0"/>
      <w:divBdr>
        <w:top w:val="none" w:sz="0" w:space="0" w:color="auto"/>
        <w:left w:val="none" w:sz="0" w:space="0" w:color="auto"/>
        <w:bottom w:val="none" w:sz="0" w:space="0" w:color="auto"/>
        <w:right w:val="none" w:sz="0" w:space="0" w:color="auto"/>
      </w:divBdr>
    </w:div>
    <w:div w:id="1411275381">
      <w:bodyDiv w:val="1"/>
      <w:marLeft w:val="0"/>
      <w:marRight w:val="0"/>
      <w:marTop w:val="0"/>
      <w:marBottom w:val="0"/>
      <w:divBdr>
        <w:top w:val="none" w:sz="0" w:space="0" w:color="auto"/>
        <w:left w:val="none" w:sz="0" w:space="0" w:color="auto"/>
        <w:bottom w:val="none" w:sz="0" w:space="0" w:color="auto"/>
        <w:right w:val="none" w:sz="0" w:space="0" w:color="auto"/>
      </w:divBdr>
    </w:div>
    <w:div w:id="1411612061">
      <w:bodyDiv w:val="1"/>
      <w:marLeft w:val="0"/>
      <w:marRight w:val="0"/>
      <w:marTop w:val="0"/>
      <w:marBottom w:val="0"/>
      <w:divBdr>
        <w:top w:val="none" w:sz="0" w:space="0" w:color="auto"/>
        <w:left w:val="none" w:sz="0" w:space="0" w:color="auto"/>
        <w:bottom w:val="none" w:sz="0" w:space="0" w:color="auto"/>
        <w:right w:val="none" w:sz="0" w:space="0" w:color="auto"/>
      </w:divBdr>
    </w:div>
    <w:div w:id="1411973850">
      <w:bodyDiv w:val="1"/>
      <w:marLeft w:val="0"/>
      <w:marRight w:val="0"/>
      <w:marTop w:val="0"/>
      <w:marBottom w:val="0"/>
      <w:divBdr>
        <w:top w:val="none" w:sz="0" w:space="0" w:color="auto"/>
        <w:left w:val="none" w:sz="0" w:space="0" w:color="auto"/>
        <w:bottom w:val="none" w:sz="0" w:space="0" w:color="auto"/>
        <w:right w:val="none" w:sz="0" w:space="0" w:color="auto"/>
      </w:divBdr>
    </w:div>
    <w:div w:id="1413043780">
      <w:bodyDiv w:val="1"/>
      <w:marLeft w:val="0"/>
      <w:marRight w:val="0"/>
      <w:marTop w:val="0"/>
      <w:marBottom w:val="0"/>
      <w:divBdr>
        <w:top w:val="none" w:sz="0" w:space="0" w:color="auto"/>
        <w:left w:val="none" w:sz="0" w:space="0" w:color="auto"/>
        <w:bottom w:val="none" w:sz="0" w:space="0" w:color="auto"/>
        <w:right w:val="none" w:sz="0" w:space="0" w:color="auto"/>
      </w:divBdr>
    </w:div>
    <w:div w:id="1413240530">
      <w:bodyDiv w:val="1"/>
      <w:marLeft w:val="0"/>
      <w:marRight w:val="0"/>
      <w:marTop w:val="0"/>
      <w:marBottom w:val="0"/>
      <w:divBdr>
        <w:top w:val="none" w:sz="0" w:space="0" w:color="auto"/>
        <w:left w:val="none" w:sz="0" w:space="0" w:color="auto"/>
        <w:bottom w:val="none" w:sz="0" w:space="0" w:color="auto"/>
        <w:right w:val="none" w:sz="0" w:space="0" w:color="auto"/>
      </w:divBdr>
    </w:div>
    <w:div w:id="1414203391">
      <w:bodyDiv w:val="1"/>
      <w:marLeft w:val="0"/>
      <w:marRight w:val="0"/>
      <w:marTop w:val="0"/>
      <w:marBottom w:val="0"/>
      <w:divBdr>
        <w:top w:val="none" w:sz="0" w:space="0" w:color="auto"/>
        <w:left w:val="none" w:sz="0" w:space="0" w:color="auto"/>
        <w:bottom w:val="none" w:sz="0" w:space="0" w:color="auto"/>
        <w:right w:val="none" w:sz="0" w:space="0" w:color="auto"/>
      </w:divBdr>
    </w:div>
    <w:div w:id="1414547888">
      <w:bodyDiv w:val="1"/>
      <w:marLeft w:val="0"/>
      <w:marRight w:val="0"/>
      <w:marTop w:val="0"/>
      <w:marBottom w:val="0"/>
      <w:divBdr>
        <w:top w:val="none" w:sz="0" w:space="0" w:color="auto"/>
        <w:left w:val="none" w:sz="0" w:space="0" w:color="auto"/>
        <w:bottom w:val="none" w:sz="0" w:space="0" w:color="auto"/>
        <w:right w:val="none" w:sz="0" w:space="0" w:color="auto"/>
      </w:divBdr>
    </w:div>
    <w:div w:id="1414623052">
      <w:bodyDiv w:val="1"/>
      <w:marLeft w:val="0"/>
      <w:marRight w:val="0"/>
      <w:marTop w:val="0"/>
      <w:marBottom w:val="0"/>
      <w:divBdr>
        <w:top w:val="none" w:sz="0" w:space="0" w:color="auto"/>
        <w:left w:val="none" w:sz="0" w:space="0" w:color="auto"/>
        <w:bottom w:val="none" w:sz="0" w:space="0" w:color="auto"/>
        <w:right w:val="none" w:sz="0" w:space="0" w:color="auto"/>
      </w:divBdr>
    </w:div>
    <w:div w:id="1415710724">
      <w:bodyDiv w:val="1"/>
      <w:marLeft w:val="0"/>
      <w:marRight w:val="0"/>
      <w:marTop w:val="0"/>
      <w:marBottom w:val="0"/>
      <w:divBdr>
        <w:top w:val="none" w:sz="0" w:space="0" w:color="auto"/>
        <w:left w:val="none" w:sz="0" w:space="0" w:color="auto"/>
        <w:bottom w:val="none" w:sz="0" w:space="0" w:color="auto"/>
        <w:right w:val="none" w:sz="0" w:space="0" w:color="auto"/>
      </w:divBdr>
    </w:div>
    <w:div w:id="1415779130">
      <w:bodyDiv w:val="1"/>
      <w:marLeft w:val="0"/>
      <w:marRight w:val="0"/>
      <w:marTop w:val="0"/>
      <w:marBottom w:val="0"/>
      <w:divBdr>
        <w:top w:val="none" w:sz="0" w:space="0" w:color="auto"/>
        <w:left w:val="none" w:sz="0" w:space="0" w:color="auto"/>
        <w:bottom w:val="none" w:sz="0" w:space="0" w:color="auto"/>
        <w:right w:val="none" w:sz="0" w:space="0" w:color="auto"/>
      </w:divBdr>
    </w:div>
    <w:div w:id="1415780246">
      <w:bodyDiv w:val="1"/>
      <w:marLeft w:val="0"/>
      <w:marRight w:val="0"/>
      <w:marTop w:val="0"/>
      <w:marBottom w:val="0"/>
      <w:divBdr>
        <w:top w:val="none" w:sz="0" w:space="0" w:color="auto"/>
        <w:left w:val="none" w:sz="0" w:space="0" w:color="auto"/>
        <w:bottom w:val="none" w:sz="0" w:space="0" w:color="auto"/>
        <w:right w:val="none" w:sz="0" w:space="0" w:color="auto"/>
      </w:divBdr>
    </w:div>
    <w:div w:id="1416171029">
      <w:bodyDiv w:val="1"/>
      <w:marLeft w:val="0"/>
      <w:marRight w:val="0"/>
      <w:marTop w:val="0"/>
      <w:marBottom w:val="0"/>
      <w:divBdr>
        <w:top w:val="none" w:sz="0" w:space="0" w:color="auto"/>
        <w:left w:val="none" w:sz="0" w:space="0" w:color="auto"/>
        <w:bottom w:val="none" w:sz="0" w:space="0" w:color="auto"/>
        <w:right w:val="none" w:sz="0" w:space="0" w:color="auto"/>
      </w:divBdr>
    </w:div>
    <w:div w:id="1416247470">
      <w:bodyDiv w:val="1"/>
      <w:marLeft w:val="0"/>
      <w:marRight w:val="0"/>
      <w:marTop w:val="0"/>
      <w:marBottom w:val="0"/>
      <w:divBdr>
        <w:top w:val="none" w:sz="0" w:space="0" w:color="auto"/>
        <w:left w:val="none" w:sz="0" w:space="0" w:color="auto"/>
        <w:bottom w:val="none" w:sz="0" w:space="0" w:color="auto"/>
        <w:right w:val="none" w:sz="0" w:space="0" w:color="auto"/>
      </w:divBdr>
    </w:div>
    <w:div w:id="1416515263">
      <w:bodyDiv w:val="1"/>
      <w:marLeft w:val="0"/>
      <w:marRight w:val="0"/>
      <w:marTop w:val="0"/>
      <w:marBottom w:val="0"/>
      <w:divBdr>
        <w:top w:val="none" w:sz="0" w:space="0" w:color="auto"/>
        <w:left w:val="none" w:sz="0" w:space="0" w:color="auto"/>
        <w:bottom w:val="none" w:sz="0" w:space="0" w:color="auto"/>
        <w:right w:val="none" w:sz="0" w:space="0" w:color="auto"/>
      </w:divBdr>
    </w:div>
    <w:div w:id="1416973634">
      <w:bodyDiv w:val="1"/>
      <w:marLeft w:val="0"/>
      <w:marRight w:val="0"/>
      <w:marTop w:val="0"/>
      <w:marBottom w:val="0"/>
      <w:divBdr>
        <w:top w:val="none" w:sz="0" w:space="0" w:color="auto"/>
        <w:left w:val="none" w:sz="0" w:space="0" w:color="auto"/>
        <w:bottom w:val="none" w:sz="0" w:space="0" w:color="auto"/>
        <w:right w:val="none" w:sz="0" w:space="0" w:color="auto"/>
      </w:divBdr>
    </w:div>
    <w:div w:id="1417021672">
      <w:bodyDiv w:val="1"/>
      <w:marLeft w:val="0"/>
      <w:marRight w:val="0"/>
      <w:marTop w:val="0"/>
      <w:marBottom w:val="0"/>
      <w:divBdr>
        <w:top w:val="none" w:sz="0" w:space="0" w:color="auto"/>
        <w:left w:val="none" w:sz="0" w:space="0" w:color="auto"/>
        <w:bottom w:val="none" w:sz="0" w:space="0" w:color="auto"/>
        <w:right w:val="none" w:sz="0" w:space="0" w:color="auto"/>
      </w:divBdr>
    </w:div>
    <w:div w:id="1417247350">
      <w:bodyDiv w:val="1"/>
      <w:marLeft w:val="0"/>
      <w:marRight w:val="0"/>
      <w:marTop w:val="0"/>
      <w:marBottom w:val="0"/>
      <w:divBdr>
        <w:top w:val="none" w:sz="0" w:space="0" w:color="auto"/>
        <w:left w:val="none" w:sz="0" w:space="0" w:color="auto"/>
        <w:bottom w:val="none" w:sz="0" w:space="0" w:color="auto"/>
        <w:right w:val="none" w:sz="0" w:space="0" w:color="auto"/>
      </w:divBdr>
    </w:div>
    <w:div w:id="1417628303">
      <w:bodyDiv w:val="1"/>
      <w:marLeft w:val="0"/>
      <w:marRight w:val="0"/>
      <w:marTop w:val="0"/>
      <w:marBottom w:val="0"/>
      <w:divBdr>
        <w:top w:val="none" w:sz="0" w:space="0" w:color="auto"/>
        <w:left w:val="none" w:sz="0" w:space="0" w:color="auto"/>
        <w:bottom w:val="none" w:sz="0" w:space="0" w:color="auto"/>
        <w:right w:val="none" w:sz="0" w:space="0" w:color="auto"/>
      </w:divBdr>
    </w:div>
    <w:div w:id="1417941198">
      <w:bodyDiv w:val="1"/>
      <w:marLeft w:val="0"/>
      <w:marRight w:val="0"/>
      <w:marTop w:val="0"/>
      <w:marBottom w:val="0"/>
      <w:divBdr>
        <w:top w:val="none" w:sz="0" w:space="0" w:color="auto"/>
        <w:left w:val="none" w:sz="0" w:space="0" w:color="auto"/>
        <w:bottom w:val="none" w:sz="0" w:space="0" w:color="auto"/>
        <w:right w:val="none" w:sz="0" w:space="0" w:color="auto"/>
      </w:divBdr>
    </w:div>
    <w:div w:id="1418206097">
      <w:bodyDiv w:val="1"/>
      <w:marLeft w:val="0"/>
      <w:marRight w:val="0"/>
      <w:marTop w:val="0"/>
      <w:marBottom w:val="0"/>
      <w:divBdr>
        <w:top w:val="none" w:sz="0" w:space="0" w:color="auto"/>
        <w:left w:val="none" w:sz="0" w:space="0" w:color="auto"/>
        <w:bottom w:val="none" w:sz="0" w:space="0" w:color="auto"/>
        <w:right w:val="none" w:sz="0" w:space="0" w:color="auto"/>
      </w:divBdr>
    </w:div>
    <w:div w:id="1418330364">
      <w:bodyDiv w:val="1"/>
      <w:marLeft w:val="0"/>
      <w:marRight w:val="0"/>
      <w:marTop w:val="0"/>
      <w:marBottom w:val="0"/>
      <w:divBdr>
        <w:top w:val="none" w:sz="0" w:space="0" w:color="auto"/>
        <w:left w:val="none" w:sz="0" w:space="0" w:color="auto"/>
        <w:bottom w:val="none" w:sz="0" w:space="0" w:color="auto"/>
        <w:right w:val="none" w:sz="0" w:space="0" w:color="auto"/>
      </w:divBdr>
    </w:div>
    <w:div w:id="1419789172">
      <w:bodyDiv w:val="1"/>
      <w:marLeft w:val="0"/>
      <w:marRight w:val="0"/>
      <w:marTop w:val="0"/>
      <w:marBottom w:val="0"/>
      <w:divBdr>
        <w:top w:val="none" w:sz="0" w:space="0" w:color="auto"/>
        <w:left w:val="none" w:sz="0" w:space="0" w:color="auto"/>
        <w:bottom w:val="none" w:sz="0" w:space="0" w:color="auto"/>
        <w:right w:val="none" w:sz="0" w:space="0" w:color="auto"/>
      </w:divBdr>
    </w:div>
    <w:div w:id="1419911396">
      <w:bodyDiv w:val="1"/>
      <w:marLeft w:val="0"/>
      <w:marRight w:val="0"/>
      <w:marTop w:val="0"/>
      <w:marBottom w:val="0"/>
      <w:divBdr>
        <w:top w:val="none" w:sz="0" w:space="0" w:color="auto"/>
        <w:left w:val="none" w:sz="0" w:space="0" w:color="auto"/>
        <w:bottom w:val="none" w:sz="0" w:space="0" w:color="auto"/>
        <w:right w:val="none" w:sz="0" w:space="0" w:color="auto"/>
      </w:divBdr>
    </w:div>
    <w:div w:id="1420296529">
      <w:bodyDiv w:val="1"/>
      <w:marLeft w:val="0"/>
      <w:marRight w:val="0"/>
      <w:marTop w:val="0"/>
      <w:marBottom w:val="0"/>
      <w:divBdr>
        <w:top w:val="none" w:sz="0" w:space="0" w:color="auto"/>
        <w:left w:val="none" w:sz="0" w:space="0" w:color="auto"/>
        <w:bottom w:val="none" w:sz="0" w:space="0" w:color="auto"/>
        <w:right w:val="none" w:sz="0" w:space="0" w:color="auto"/>
      </w:divBdr>
    </w:div>
    <w:div w:id="1420717194">
      <w:bodyDiv w:val="1"/>
      <w:marLeft w:val="0"/>
      <w:marRight w:val="0"/>
      <w:marTop w:val="0"/>
      <w:marBottom w:val="0"/>
      <w:divBdr>
        <w:top w:val="none" w:sz="0" w:space="0" w:color="auto"/>
        <w:left w:val="none" w:sz="0" w:space="0" w:color="auto"/>
        <w:bottom w:val="none" w:sz="0" w:space="0" w:color="auto"/>
        <w:right w:val="none" w:sz="0" w:space="0" w:color="auto"/>
      </w:divBdr>
    </w:div>
    <w:div w:id="1421368201">
      <w:bodyDiv w:val="1"/>
      <w:marLeft w:val="0"/>
      <w:marRight w:val="0"/>
      <w:marTop w:val="0"/>
      <w:marBottom w:val="0"/>
      <w:divBdr>
        <w:top w:val="none" w:sz="0" w:space="0" w:color="auto"/>
        <w:left w:val="none" w:sz="0" w:space="0" w:color="auto"/>
        <w:bottom w:val="none" w:sz="0" w:space="0" w:color="auto"/>
        <w:right w:val="none" w:sz="0" w:space="0" w:color="auto"/>
      </w:divBdr>
    </w:div>
    <w:div w:id="1422288126">
      <w:bodyDiv w:val="1"/>
      <w:marLeft w:val="0"/>
      <w:marRight w:val="0"/>
      <w:marTop w:val="0"/>
      <w:marBottom w:val="0"/>
      <w:divBdr>
        <w:top w:val="none" w:sz="0" w:space="0" w:color="auto"/>
        <w:left w:val="none" w:sz="0" w:space="0" w:color="auto"/>
        <w:bottom w:val="none" w:sz="0" w:space="0" w:color="auto"/>
        <w:right w:val="none" w:sz="0" w:space="0" w:color="auto"/>
      </w:divBdr>
    </w:div>
    <w:div w:id="1424256740">
      <w:bodyDiv w:val="1"/>
      <w:marLeft w:val="0"/>
      <w:marRight w:val="0"/>
      <w:marTop w:val="0"/>
      <w:marBottom w:val="0"/>
      <w:divBdr>
        <w:top w:val="none" w:sz="0" w:space="0" w:color="auto"/>
        <w:left w:val="none" w:sz="0" w:space="0" w:color="auto"/>
        <w:bottom w:val="none" w:sz="0" w:space="0" w:color="auto"/>
        <w:right w:val="none" w:sz="0" w:space="0" w:color="auto"/>
      </w:divBdr>
    </w:div>
    <w:div w:id="1425110077">
      <w:bodyDiv w:val="1"/>
      <w:marLeft w:val="0"/>
      <w:marRight w:val="0"/>
      <w:marTop w:val="0"/>
      <w:marBottom w:val="0"/>
      <w:divBdr>
        <w:top w:val="none" w:sz="0" w:space="0" w:color="auto"/>
        <w:left w:val="none" w:sz="0" w:space="0" w:color="auto"/>
        <w:bottom w:val="none" w:sz="0" w:space="0" w:color="auto"/>
        <w:right w:val="none" w:sz="0" w:space="0" w:color="auto"/>
      </w:divBdr>
    </w:div>
    <w:div w:id="1425228391">
      <w:bodyDiv w:val="1"/>
      <w:marLeft w:val="0"/>
      <w:marRight w:val="0"/>
      <w:marTop w:val="0"/>
      <w:marBottom w:val="0"/>
      <w:divBdr>
        <w:top w:val="none" w:sz="0" w:space="0" w:color="auto"/>
        <w:left w:val="none" w:sz="0" w:space="0" w:color="auto"/>
        <w:bottom w:val="none" w:sz="0" w:space="0" w:color="auto"/>
        <w:right w:val="none" w:sz="0" w:space="0" w:color="auto"/>
      </w:divBdr>
    </w:div>
    <w:div w:id="1425372148">
      <w:bodyDiv w:val="1"/>
      <w:marLeft w:val="0"/>
      <w:marRight w:val="0"/>
      <w:marTop w:val="0"/>
      <w:marBottom w:val="0"/>
      <w:divBdr>
        <w:top w:val="none" w:sz="0" w:space="0" w:color="auto"/>
        <w:left w:val="none" w:sz="0" w:space="0" w:color="auto"/>
        <w:bottom w:val="none" w:sz="0" w:space="0" w:color="auto"/>
        <w:right w:val="none" w:sz="0" w:space="0" w:color="auto"/>
      </w:divBdr>
    </w:div>
    <w:div w:id="1425570254">
      <w:bodyDiv w:val="1"/>
      <w:marLeft w:val="0"/>
      <w:marRight w:val="0"/>
      <w:marTop w:val="0"/>
      <w:marBottom w:val="0"/>
      <w:divBdr>
        <w:top w:val="none" w:sz="0" w:space="0" w:color="auto"/>
        <w:left w:val="none" w:sz="0" w:space="0" w:color="auto"/>
        <w:bottom w:val="none" w:sz="0" w:space="0" w:color="auto"/>
        <w:right w:val="none" w:sz="0" w:space="0" w:color="auto"/>
      </w:divBdr>
    </w:div>
    <w:div w:id="1425807546">
      <w:bodyDiv w:val="1"/>
      <w:marLeft w:val="0"/>
      <w:marRight w:val="0"/>
      <w:marTop w:val="0"/>
      <w:marBottom w:val="0"/>
      <w:divBdr>
        <w:top w:val="none" w:sz="0" w:space="0" w:color="auto"/>
        <w:left w:val="none" w:sz="0" w:space="0" w:color="auto"/>
        <w:bottom w:val="none" w:sz="0" w:space="0" w:color="auto"/>
        <w:right w:val="none" w:sz="0" w:space="0" w:color="auto"/>
      </w:divBdr>
    </w:div>
    <w:div w:id="1425879811">
      <w:bodyDiv w:val="1"/>
      <w:marLeft w:val="0"/>
      <w:marRight w:val="0"/>
      <w:marTop w:val="0"/>
      <w:marBottom w:val="0"/>
      <w:divBdr>
        <w:top w:val="none" w:sz="0" w:space="0" w:color="auto"/>
        <w:left w:val="none" w:sz="0" w:space="0" w:color="auto"/>
        <w:bottom w:val="none" w:sz="0" w:space="0" w:color="auto"/>
        <w:right w:val="none" w:sz="0" w:space="0" w:color="auto"/>
      </w:divBdr>
    </w:div>
    <w:div w:id="1426263461">
      <w:bodyDiv w:val="1"/>
      <w:marLeft w:val="0"/>
      <w:marRight w:val="0"/>
      <w:marTop w:val="0"/>
      <w:marBottom w:val="0"/>
      <w:divBdr>
        <w:top w:val="none" w:sz="0" w:space="0" w:color="auto"/>
        <w:left w:val="none" w:sz="0" w:space="0" w:color="auto"/>
        <w:bottom w:val="none" w:sz="0" w:space="0" w:color="auto"/>
        <w:right w:val="none" w:sz="0" w:space="0" w:color="auto"/>
      </w:divBdr>
    </w:div>
    <w:div w:id="1426267974">
      <w:bodyDiv w:val="1"/>
      <w:marLeft w:val="0"/>
      <w:marRight w:val="0"/>
      <w:marTop w:val="0"/>
      <w:marBottom w:val="0"/>
      <w:divBdr>
        <w:top w:val="none" w:sz="0" w:space="0" w:color="auto"/>
        <w:left w:val="none" w:sz="0" w:space="0" w:color="auto"/>
        <w:bottom w:val="none" w:sz="0" w:space="0" w:color="auto"/>
        <w:right w:val="none" w:sz="0" w:space="0" w:color="auto"/>
      </w:divBdr>
    </w:div>
    <w:div w:id="1426457910">
      <w:bodyDiv w:val="1"/>
      <w:marLeft w:val="0"/>
      <w:marRight w:val="0"/>
      <w:marTop w:val="0"/>
      <w:marBottom w:val="0"/>
      <w:divBdr>
        <w:top w:val="none" w:sz="0" w:space="0" w:color="auto"/>
        <w:left w:val="none" w:sz="0" w:space="0" w:color="auto"/>
        <w:bottom w:val="none" w:sz="0" w:space="0" w:color="auto"/>
        <w:right w:val="none" w:sz="0" w:space="0" w:color="auto"/>
      </w:divBdr>
    </w:div>
    <w:div w:id="1427071708">
      <w:bodyDiv w:val="1"/>
      <w:marLeft w:val="0"/>
      <w:marRight w:val="0"/>
      <w:marTop w:val="0"/>
      <w:marBottom w:val="0"/>
      <w:divBdr>
        <w:top w:val="none" w:sz="0" w:space="0" w:color="auto"/>
        <w:left w:val="none" w:sz="0" w:space="0" w:color="auto"/>
        <w:bottom w:val="none" w:sz="0" w:space="0" w:color="auto"/>
        <w:right w:val="none" w:sz="0" w:space="0" w:color="auto"/>
      </w:divBdr>
    </w:div>
    <w:div w:id="1427724599">
      <w:bodyDiv w:val="1"/>
      <w:marLeft w:val="0"/>
      <w:marRight w:val="0"/>
      <w:marTop w:val="0"/>
      <w:marBottom w:val="0"/>
      <w:divBdr>
        <w:top w:val="none" w:sz="0" w:space="0" w:color="auto"/>
        <w:left w:val="none" w:sz="0" w:space="0" w:color="auto"/>
        <w:bottom w:val="none" w:sz="0" w:space="0" w:color="auto"/>
        <w:right w:val="none" w:sz="0" w:space="0" w:color="auto"/>
      </w:divBdr>
    </w:div>
    <w:div w:id="1430615481">
      <w:bodyDiv w:val="1"/>
      <w:marLeft w:val="0"/>
      <w:marRight w:val="0"/>
      <w:marTop w:val="0"/>
      <w:marBottom w:val="0"/>
      <w:divBdr>
        <w:top w:val="none" w:sz="0" w:space="0" w:color="auto"/>
        <w:left w:val="none" w:sz="0" w:space="0" w:color="auto"/>
        <w:bottom w:val="none" w:sz="0" w:space="0" w:color="auto"/>
        <w:right w:val="none" w:sz="0" w:space="0" w:color="auto"/>
      </w:divBdr>
    </w:div>
    <w:div w:id="1431507431">
      <w:bodyDiv w:val="1"/>
      <w:marLeft w:val="0"/>
      <w:marRight w:val="0"/>
      <w:marTop w:val="0"/>
      <w:marBottom w:val="0"/>
      <w:divBdr>
        <w:top w:val="none" w:sz="0" w:space="0" w:color="auto"/>
        <w:left w:val="none" w:sz="0" w:space="0" w:color="auto"/>
        <w:bottom w:val="none" w:sz="0" w:space="0" w:color="auto"/>
        <w:right w:val="none" w:sz="0" w:space="0" w:color="auto"/>
      </w:divBdr>
    </w:div>
    <w:div w:id="1431656248">
      <w:bodyDiv w:val="1"/>
      <w:marLeft w:val="0"/>
      <w:marRight w:val="0"/>
      <w:marTop w:val="0"/>
      <w:marBottom w:val="0"/>
      <w:divBdr>
        <w:top w:val="none" w:sz="0" w:space="0" w:color="auto"/>
        <w:left w:val="none" w:sz="0" w:space="0" w:color="auto"/>
        <w:bottom w:val="none" w:sz="0" w:space="0" w:color="auto"/>
        <w:right w:val="none" w:sz="0" w:space="0" w:color="auto"/>
      </w:divBdr>
    </w:div>
    <w:div w:id="1432430178">
      <w:bodyDiv w:val="1"/>
      <w:marLeft w:val="0"/>
      <w:marRight w:val="0"/>
      <w:marTop w:val="0"/>
      <w:marBottom w:val="0"/>
      <w:divBdr>
        <w:top w:val="none" w:sz="0" w:space="0" w:color="auto"/>
        <w:left w:val="none" w:sz="0" w:space="0" w:color="auto"/>
        <w:bottom w:val="none" w:sz="0" w:space="0" w:color="auto"/>
        <w:right w:val="none" w:sz="0" w:space="0" w:color="auto"/>
      </w:divBdr>
    </w:div>
    <w:div w:id="1432773491">
      <w:bodyDiv w:val="1"/>
      <w:marLeft w:val="0"/>
      <w:marRight w:val="0"/>
      <w:marTop w:val="0"/>
      <w:marBottom w:val="0"/>
      <w:divBdr>
        <w:top w:val="none" w:sz="0" w:space="0" w:color="auto"/>
        <w:left w:val="none" w:sz="0" w:space="0" w:color="auto"/>
        <w:bottom w:val="none" w:sz="0" w:space="0" w:color="auto"/>
        <w:right w:val="none" w:sz="0" w:space="0" w:color="auto"/>
      </w:divBdr>
    </w:div>
    <w:div w:id="1433278378">
      <w:bodyDiv w:val="1"/>
      <w:marLeft w:val="0"/>
      <w:marRight w:val="0"/>
      <w:marTop w:val="0"/>
      <w:marBottom w:val="0"/>
      <w:divBdr>
        <w:top w:val="none" w:sz="0" w:space="0" w:color="auto"/>
        <w:left w:val="none" w:sz="0" w:space="0" w:color="auto"/>
        <w:bottom w:val="none" w:sz="0" w:space="0" w:color="auto"/>
        <w:right w:val="none" w:sz="0" w:space="0" w:color="auto"/>
      </w:divBdr>
    </w:div>
    <w:div w:id="1434547886">
      <w:bodyDiv w:val="1"/>
      <w:marLeft w:val="0"/>
      <w:marRight w:val="0"/>
      <w:marTop w:val="0"/>
      <w:marBottom w:val="0"/>
      <w:divBdr>
        <w:top w:val="none" w:sz="0" w:space="0" w:color="auto"/>
        <w:left w:val="none" w:sz="0" w:space="0" w:color="auto"/>
        <w:bottom w:val="none" w:sz="0" w:space="0" w:color="auto"/>
        <w:right w:val="none" w:sz="0" w:space="0" w:color="auto"/>
      </w:divBdr>
    </w:div>
    <w:div w:id="1435516611">
      <w:bodyDiv w:val="1"/>
      <w:marLeft w:val="0"/>
      <w:marRight w:val="0"/>
      <w:marTop w:val="0"/>
      <w:marBottom w:val="0"/>
      <w:divBdr>
        <w:top w:val="none" w:sz="0" w:space="0" w:color="auto"/>
        <w:left w:val="none" w:sz="0" w:space="0" w:color="auto"/>
        <w:bottom w:val="none" w:sz="0" w:space="0" w:color="auto"/>
        <w:right w:val="none" w:sz="0" w:space="0" w:color="auto"/>
      </w:divBdr>
    </w:div>
    <w:div w:id="1435975202">
      <w:bodyDiv w:val="1"/>
      <w:marLeft w:val="0"/>
      <w:marRight w:val="0"/>
      <w:marTop w:val="0"/>
      <w:marBottom w:val="0"/>
      <w:divBdr>
        <w:top w:val="none" w:sz="0" w:space="0" w:color="auto"/>
        <w:left w:val="none" w:sz="0" w:space="0" w:color="auto"/>
        <w:bottom w:val="none" w:sz="0" w:space="0" w:color="auto"/>
        <w:right w:val="none" w:sz="0" w:space="0" w:color="auto"/>
      </w:divBdr>
    </w:div>
    <w:div w:id="1436317378">
      <w:bodyDiv w:val="1"/>
      <w:marLeft w:val="0"/>
      <w:marRight w:val="0"/>
      <w:marTop w:val="0"/>
      <w:marBottom w:val="0"/>
      <w:divBdr>
        <w:top w:val="none" w:sz="0" w:space="0" w:color="auto"/>
        <w:left w:val="none" w:sz="0" w:space="0" w:color="auto"/>
        <w:bottom w:val="none" w:sz="0" w:space="0" w:color="auto"/>
        <w:right w:val="none" w:sz="0" w:space="0" w:color="auto"/>
      </w:divBdr>
    </w:div>
    <w:div w:id="1436636196">
      <w:bodyDiv w:val="1"/>
      <w:marLeft w:val="0"/>
      <w:marRight w:val="0"/>
      <w:marTop w:val="0"/>
      <w:marBottom w:val="0"/>
      <w:divBdr>
        <w:top w:val="none" w:sz="0" w:space="0" w:color="auto"/>
        <w:left w:val="none" w:sz="0" w:space="0" w:color="auto"/>
        <w:bottom w:val="none" w:sz="0" w:space="0" w:color="auto"/>
        <w:right w:val="none" w:sz="0" w:space="0" w:color="auto"/>
      </w:divBdr>
      <w:divsChild>
        <w:div w:id="1070730643">
          <w:marLeft w:val="0"/>
          <w:marRight w:val="0"/>
          <w:marTop w:val="0"/>
          <w:marBottom w:val="0"/>
          <w:divBdr>
            <w:top w:val="none" w:sz="0" w:space="0" w:color="auto"/>
            <w:left w:val="none" w:sz="0" w:space="0" w:color="auto"/>
            <w:bottom w:val="none" w:sz="0" w:space="0" w:color="auto"/>
            <w:right w:val="none" w:sz="0" w:space="0" w:color="auto"/>
          </w:divBdr>
        </w:div>
      </w:divsChild>
    </w:div>
    <w:div w:id="1437095478">
      <w:bodyDiv w:val="1"/>
      <w:marLeft w:val="0"/>
      <w:marRight w:val="0"/>
      <w:marTop w:val="0"/>
      <w:marBottom w:val="0"/>
      <w:divBdr>
        <w:top w:val="none" w:sz="0" w:space="0" w:color="auto"/>
        <w:left w:val="none" w:sz="0" w:space="0" w:color="auto"/>
        <w:bottom w:val="none" w:sz="0" w:space="0" w:color="auto"/>
        <w:right w:val="none" w:sz="0" w:space="0" w:color="auto"/>
      </w:divBdr>
    </w:div>
    <w:div w:id="1437871689">
      <w:bodyDiv w:val="1"/>
      <w:marLeft w:val="0"/>
      <w:marRight w:val="0"/>
      <w:marTop w:val="0"/>
      <w:marBottom w:val="0"/>
      <w:divBdr>
        <w:top w:val="none" w:sz="0" w:space="0" w:color="auto"/>
        <w:left w:val="none" w:sz="0" w:space="0" w:color="auto"/>
        <w:bottom w:val="none" w:sz="0" w:space="0" w:color="auto"/>
        <w:right w:val="none" w:sz="0" w:space="0" w:color="auto"/>
      </w:divBdr>
    </w:div>
    <w:div w:id="1438790387">
      <w:bodyDiv w:val="1"/>
      <w:marLeft w:val="0"/>
      <w:marRight w:val="0"/>
      <w:marTop w:val="0"/>
      <w:marBottom w:val="0"/>
      <w:divBdr>
        <w:top w:val="none" w:sz="0" w:space="0" w:color="auto"/>
        <w:left w:val="none" w:sz="0" w:space="0" w:color="auto"/>
        <w:bottom w:val="none" w:sz="0" w:space="0" w:color="auto"/>
        <w:right w:val="none" w:sz="0" w:space="0" w:color="auto"/>
      </w:divBdr>
    </w:div>
    <w:div w:id="1439519422">
      <w:bodyDiv w:val="1"/>
      <w:marLeft w:val="0"/>
      <w:marRight w:val="0"/>
      <w:marTop w:val="0"/>
      <w:marBottom w:val="0"/>
      <w:divBdr>
        <w:top w:val="none" w:sz="0" w:space="0" w:color="auto"/>
        <w:left w:val="none" w:sz="0" w:space="0" w:color="auto"/>
        <w:bottom w:val="none" w:sz="0" w:space="0" w:color="auto"/>
        <w:right w:val="none" w:sz="0" w:space="0" w:color="auto"/>
      </w:divBdr>
    </w:div>
    <w:div w:id="1439835877">
      <w:bodyDiv w:val="1"/>
      <w:marLeft w:val="0"/>
      <w:marRight w:val="0"/>
      <w:marTop w:val="0"/>
      <w:marBottom w:val="0"/>
      <w:divBdr>
        <w:top w:val="none" w:sz="0" w:space="0" w:color="auto"/>
        <w:left w:val="none" w:sz="0" w:space="0" w:color="auto"/>
        <w:bottom w:val="none" w:sz="0" w:space="0" w:color="auto"/>
        <w:right w:val="none" w:sz="0" w:space="0" w:color="auto"/>
      </w:divBdr>
    </w:div>
    <w:div w:id="1439986015">
      <w:bodyDiv w:val="1"/>
      <w:marLeft w:val="0"/>
      <w:marRight w:val="0"/>
      <w:marTop w:val="0"/>
      <w:marBottom w:val="0"/>
      <w:divBdr>
        <w:top w:val="none" w:sz="0" w:space="0" w:color="auto"/>
        <w:left w:val="none" w:sz="0" w:space="0" w:color="auto"/>
        <w:bottom w:val="none" w:sz="0" w:space="0" w:color="auto"/>
        <w:right w:val="none" w:sz="0" w:space="0" w:color="auto"/>
      </w:divBdr>
    </w:div>
    <w:div w:id="1440485848">
      <w:bodyDiv w:val="1"/>
      <w:marLeft w:val="0"/>
      <w:marRight w:val="0"/>
      <w:marTop w:val="0"/>
      <w:marBottom w:val="0"/>
      <w:divBdr>
        <w:top w:val="none" w:sz="0" w:space="0" w:color="auto"/>
        <w:left w:val="none" w:sz="0" w:space="0" w:color="auto"/>
        <w:bottom w:val="none" w:sz="0" w:space="0" w:color="auto"/>
        <w:right w:val="none" w:sz="0" w:space="0" w:color="auto"/>
      </w:divBdr>
    </w:div>
    <w:div w:id="1440948697">
      <w:bodyDiv w:val="1"/>
      <w:marLeft w:val="0"/>
      <w:marRight w:val="0"/>
      <w:marTop w:val="0"/>
      <w:marBottom w:val="0"/>
      <w:divBdr>
        <w:top w:val="none" w:sz="0" w:space="0" w:color="auto"/>
        <w:left w:val="none" w:sz="0" w:space="0" w:color="auto"/>
        <w:bottom w:val="none" w:sz="0" w:space="0" w:color="auto"/>
        <w:right w:val="none" w:sz="0" w:space="0" w:color="auto"/>
      </w:divBdr>
    </w:div>
    <w:div w:id="1441030933">
      <w:bodyDiv w:val="1"/>
      <w:marLeft w:val="0"/>
      <w:marRight w:val="0"/>
      <w:marTop w:val="0"/>
      <w:marBottom w:val="0"/>
      <w:divBdr>
        <w:top w:val="none" w:sz="0" w:space="0" w:color="auto"/>
        <w:left w:val="none" w:sz="0" w:space="0" w:color="auto"/>
        <w:bottom w:val="none" w:sz="0" w:space="0" w:color="auto"/>
        <w:right w:val="none" w:sz="0" w:space="0" w:color="auto"/>
      </w:divBdr>
    </w:div>
    <w:div w:id="1442601473">
      <w:bodyDiv w:val="1"/>
      <w:marLeft w:val="0"/>
      <w:marRight w:val="0"/>
      <w:marTop w:val="0"/>
      <w:marBottom w:val="0"/>
      <w:divBdr>
        <w:top w:val="none" w:sz="0" w:space="0" w:color="auto"/>
        <w:left w:val="none" w:sz="0" w:space="0" w:color="auto"/>
        <w:bottom w:val="none" w:sz="0" w:space="0" w:color="auto"/>
        <w:right w:val="none" w:sz="0" w:space="0" w:color="auto"/>
      </w:divBdr>
    </w:div>
    <w:div w:id="1442799587">
      <w:bodyDiv w:val="1"/>
      <w:marLeft w:val="0"/>
      <w:marRight w:val="0"/>
      <w:marTop w:val="0"/>
      <w:marBottom w:val="0"/>
      <w:divBdr>
        <w:top w:val="none" w:sz="0" w:space="0" w:color="auto"/>
        <w:left w:val="none" w:sz="0" w:space="0" w:color="auto"/>
        <w:bottom w:val="none" w:sz="0" w:space="0" w:color="auto"/>
        <w:right w:val="none" w:sz="0" w:space="0" w:color="auto"/>
      </w:divBdr>
    </w:div>
    <w:div w:id="1443497593">
      <w:bodyDiv w:val="1"/>
      <w:marLeft w:val="0"/>
      <w:marRight w:val="0"/>
      <w:marTop w:val="0"/>
      <w:marBottom w:val="0"/>
      <w:divBdr>
        <w:top w:val="none" w:sz="0" w:space="0" w:color="auto"/>
        <w:left w:val="none" w:sz="0" w:space="0" w:color="auto"/>
        <w:bottom w:val="none" w:sz="0" w:space="0" w:color="auto"/>
        <w:right w:val="none" w:sz="0" w:space="0" w:color="auto"/>
      </w:divBdr>
    </w:div>
    <w:div w:id="1443724819">
      <w:bodyDiv w:val="1"/>
      <w:marLeft w:val="0"/>
      <w:marRight w:val="0"/>
      <w:marTop w:val="0"/>
      <w:marBottom w:val="0"/>
      <w:divBdr>
        <w:top w:val="none" w:sz="0" w:space="0" w:color="auto"/>
        <w:left w:val="none" w:sz="0" w:space="0" w:color="auto"/>
        <w:bottom w:val="none" w:sz="0" w:space="0" w:color="auto"/>
        <w:right w:val="none" w:sz="0" w:space="0" w:color="auto"/>
      </w:divBdr>
    </w:div>
    <w:div w:id="1444032176">
      <w:bodyDiv w:val="1"/>
      <w:marLeft w:val="0"/>
      <w:marRight w:val="0"/>
      <w:marTop w:val="0"/>
      <w:marBottom w:val="0"/>
      <w:divBdr>
        <w:top w:val="none" w:sz="0" w:space="0" w:color="auto"/>
        <w:left w:val="none" w:sz="0" w:space="0" w:color="auto"/>
        <w:bottom w:val="none" w:sz="0" w:space="0" w:color="auto"/>
        <w:right w:val="none" w:sz="0" w:space="0" w:color="auto"/>
      </w:divBdr>
    </w:div>
    <w:div w:id="1444416887">
      <w:bodyDiv w:val="1"/>
      <w:marLeft w:val="0"/>
      <w:marRight w:val="0"/>
      <w:marTop w:val="0"/>
      <w:marBottom w:val="0"/>
      <w:divBdr>
        <w:top w:val="none" w:sz="0" w:space="0" w:color="auto"/>
        <w:left w:val="none" w:sz="0" w:space="0" w:color="auto"/>
        <w:bottom w:val="none" w:sz="0" w:space="0" w:color="auto"/>
        <w:right w:val="none" w:sz="0" w:space="0" w:color="auto"/>
      </w:divBdr>
    </w:div>
    <w:div w:id="1444426050">
      <w:bodyDiv w:val="1"/>
      <w:marLeft w:val="0"/>
      <w:marRight w:val="0"/>
      <w:marTop w:val="0"/>
      <w:marBottom w:val="0"/>
      <w:divBdr>
        <w:top w:val="none" w:sz="0" w:space="0" w:color="auto"/>
        <w:left w:val="none" w:sz="0" w:space="0" w:color="auto"/>
        <w:bottom w:val="none" w:sz="0" w:space="0" w:color="auto"/>
        <w:right w:val="none" w:sz="0" w:space="0" w:color="auto"/>
      </w:divBdr>
    </w:div>
    <w:div w:id="1444762309">
      <w:bodyDiv w:val="1"/>
      <w:marLeft w:val="0"/>
      <w:marRight w:val="0"/>
      <w:marTop w:val="0"/>
      <w:marBottom w:val="0"/>
      <w:divBdr>
        <w:top w:val="none" w:sz="0" w:space="0" w:color="auto"/>
        <w:left w:val="none" w:sz="0" w:space="0" w:color="auto"/>
        <w:bottom w:val="none" w:sz="0" w:space="0" w:color="auto"/>
        <w:right w:val="none" w:sz="0" w:space="0" w:color="auto"/>
      </w:divBdr>
    </w:div>
    <w:div w:id="1444812710">
      <w:bodyDiv w:val="1"/>
      <w:marLeft w:val="0"/>
      <w:marRight w:val="0"/>
      <w:marTop w:val="0"/>
      <w:marBottom w:val="0"/>
      <w:divBdr>
        <w:top w:val="none" w:sz="0" w:space="0" w:color="auto"/>
        <w:left w:val="none" w:sz="0" w:space="0" w:color="auto"/>
        <w:bottom w:val="none" w:sz="0" w:space="0" w:color="auto"/>
        <w:right w:val="none" w:sz="0" w:space="0" w:color="auto"/>
      </w:divBdr>
    </w:div>
    <w:div w:id="1445732108">
      <w:bodyDiv w:val="1"/>
      <w:marLeft w:val="0"/>
      <w:marRight w:val="0"/>
      <w:marTop w:val="0"/>
      <w:marBottom w:val="0"/>
      <w:divBdr>
        <w:top w:val="none" w:sz="0" w:space="0" w:color="auto"/>
        <w:left w:val="none" w:sz="0" w:space="0" w:color="auto"/>
        <w:bottom w:val="none" w:sz="0" w:space="0" w:color="auto"/>
        <w:right w:val="none" w:sz="0" w:space="0" w:color="auto"/>
      </w:divBdr>
    </w:div>
    <w:div w:id="1445734885">
      <w:bodyDiv w:val="1"/>
      <w:marLeft w:val="0"/>
      <w:marRight w:val="0"/>
      <w:marTop w:val="0"/>
      <w:marBottom w:val="0"/>
      <w:divBdr>
        <w:top w:val="none" w:sz="0" w:space="0" w:color="auto"/>
        <w:left w:val="none" w:sz="0" w:space="0" w:color="auto"/>
        <w:bottom w:val="none" w:sz="0" w:space="0" w:color="auto"/>
        <w:right w:val="none" w:sz="0" w:space="0" w:color="auto"/>
      </w:divBdr>
    </w:div>
    <w:div w:id="1445925196">
      <w:bodyDiv w:val="1"/>
      <w:marLeft w:val="0"/>
      <w:marRight w:val="0"/>
      <w:marTop w:val="0"/>
      <w:marBottom w:val="0"/>
      <w:divBdr>
        <w:top w:val="none" w:sz="0" w:space="0" w:color="auto"/>
        <w:left w:val="none" w:sz="0" w:space="0" w:color="auto"/>
        <w:bottom w:val="none" w:sz="0" w:space="0" w:color="auto"/>
        <w:right w:val="none" w:sz="0" w:space="0" w:color="auto"/>
      </w:divBdr>
    </w:div>
    <w:div w:id="1445928605">
      <w:bodyDiv w:val="1"/>
      <w:marLeft w:val="0"/>
      <w:marRight w:val="0"/>
      <w:marTop w:val="0"/>
      <w:marBottom w:val="0"/>
      <w:divBdr>
        <w:top w:val="none" w:sz="0" w:space="0" w:color="auto"/>
        <w:left w:val="none" w:sz="0" w:space="0" w:color="auto"/>
        <w:bottom w:val="none" w:sz="0" w:space="0" w:color="auto"/>
        <w:right w:val="none" w:sz="0" w:space="0" w:color="auto"/>
      </w:divBdr>
    </w:div>
    <w:div w:id="1446147700">
      <w:bodyDiv w:val="1"/>
      <w:marLeft w:val="0"/>
      <w:marRight w:val="0"/>
      <w:marTop w:val="0"/>
      <w:marBottom w:val="0"/>
      <w:divBdr>
        <w:top w:val="none" w:sz="0" w:space="0" w:color="auto"/>
        <w:left w:val="none" w:sz="0" w:space="0" w:color="auto"/>
        <w:bottom w:val="none" w:sz="0" w:space="0" w:color="auto"/>
        <w:right w:val="none" w:sz="0" w:space="0" w:color="auto"/>
      </w:divBdr>
    </w:div>
    <w:div w:id="1447189669">
      <w:bodyDiv w:val="1"/>
      <w:marLeft w:val="0"/>
      <w:marRight w:val="0"/>
      <w:marTop w:val="0"/>
      <w:marBottom w:val="0"/>
      <w:divBdr>
        <w:top w:val="none" w:sz="0" w:space="0" w:color="auto"/>
        <w:left w:val="none" w:sz="0" w:space="0" w:color="auto"/>
        <w:bottom w:val="none" w:sz="0" w:space="0" w:color="auto"/>
        <w:right w:val="none" w:sz="0" w:space="0" w:color="auto"/>
      </w:divBdr>
    </w:div>
    <w:div w:id="1447624778">
      <w:bodyDiv w:val="1"/>
      <w:marLeft w:val="0"/>
      <w:marRight w:val="0"/>
      <w:marTop w:val="0"/>
      <w:marBottom w:val="0"/>
      <w:divBdr>
        <w:top w:val="none" w:sz="0" w:space="0" w:color="auto"/>
        <w:left w:val="none" w:sz="0" w:space="0" w:color="auto"/>
        <w:bottom w:val="none" w:sz="0" w:space="0" w:color="auto"/>
        <w:right w:val="none" w:sz="0" w:space="0" w:color="auto"/>
      </w:divBdr>
    </w:div>
    <w:div w:id="1447963977">
      <w:bodyDiv w:val="1"/>
      <w:marLeft w:val="0"/>
      <w:marRight w:val="0"/>
      <w:marTop w:val="0"/>
      <w:marBottom w:val="0"/>
      <w:divBdr>
        <w:top w:val="none" w:sz="0" w:space="0" w:color="auto"/>
        <w:left w:val="none" w:sz="0" w:space="0" w:color="auto"/>
        <w:bottom w:val="none" w:sz="0" w:space="0" w:color="auto"/>
        <w:right w:val="none" w:sz="0" w:space="0" w:color="auto"/>
      </w:divBdr>
    </w:div>
    <w:div w:id="1448156870">
      <w:bodyDiv w:val="1"/>
      <w:marLeft w:val="0"/>
      <w:marRight w:val="0"/>
      <w:marTop w:val="0"/>
      <w:marBottom w:val="0"/>
      <w:divBdr>
        <w:top w:val="none" w:sz="0" w:space="0" w:color="auto"/>
        <w:left w:val="none" w:sz="0" w:space="0" w:color="auto"/>
        <w:bottom w:val="none" w:sz="0" w:space="0" w:color="auto"/>
        <w:right w:val="none" w:sz="0" w:space="0" w:color="auto"/>
      </w:divBdr>
    </w:div>
    <w:div w:id="1448700720">
      <w:bodyDiv w:val="1"/>
      <w:marLeft w:val="0"/>
      <w:marRight w:val="0"/>
      <w:marTop w:val="0"/>
      <w:marBottom w:val="0"/>
      <w:divBdr>
        <w:top w:val="none" w:sz="0" w:space="0" w:color="auto"/>
        <w:left w:val="none" w:sz="0" w:space="0" w:color="auto"/>
        <w:bottom w:val="none" w:sz="0" w:space="0" w:color="auto"/>
        <w:right w:val="none" w:sz="0" w:space="0" w:color="auto"/>
      </w:divBdr>
    </w:div>
    <w:div w:id="1450317664">
      <w:bodyDiv w:val="1"/>
      <w:marLeft w:val="0"/>
      <w:marRight w:val="0"/>
      <w:marTop w:val="0"/>
      <w:marBottom w:val="0"/>
      <w:divBdr>
        <w:top w:val="none" w:sz="0" w:space="0" w:color="auto"/>
        <w:left w:val="none" w:sz="0" w:space="0" w:color="auto"/>
        <w:bottom w:val="none" w:sz="0" w:space="0" w:color="auto"/>
        <w:right w:val="none" w:sz="0" w:space="0" w:color="auto"/>
      </w:divBdr>
    </w:div>
    <w:div w:id="1451822518">
      <w:bodyDiv w:val="1"/>
      <w:marLeft w:val="0"/>
      <w:marRight w:val="0"/>
      <w:marTop w:val="0"/>
      <w:marBottom w:val="0"/>
      <w:divBdr>
        <w:top w:val="none" w:sz="0" w:space="0" w:color="auto"/>
        <w:left w:val="none" w:sz="0" w:space="0" w:color="auto"/>
        <w:bottom w:val="none" w:sz="0" w:space="0" w:color="auto"/>
        <w:right w:val="none" w:sz="0" w:space="0" w:color="auto"/>
      </w:divBdr>
    </w:div>
    <w:div w:id="1451975519">
      <w:bodyDiv w:val="1"/>
      <w:marLeft w:val="0"/>
      <w:marRight w:val="0"/>
      <w:marTop w:val="0"/>
      <w:marBottom w:val="0"/>
      <w:divBdr>
        <w:top w:val="none" w:sz="0" w:space="0" w:color="auto"/>
        <w:left w:val="none" w:sz="0" w:space="0" w:color="auto"/>
        <w:bottom w:val="none" w:sz="0" w:space="0" w:color="auto"/>
        <w:right w:val="none" w:sz="0" w:space="0" w:color="auto"/>
      </w:divBdr>
    </w:div>
    <w:div w:id="1452548832">
      <w:bodyDiv w:val="1"/>
      <w:marLeft w:val="0"/>
      <w:marRight w:val="0"/>
      <w:marTop w:val="0"/>
      <w:marBottom w:val="0"/>
      <w:divBdr>
        <w:top w:val="none" w:sz="0" w:space="0" w:color="auto"/>
        <w:left w:val="none" w:sz="0" w:space="0" w:color="auto"/>
        <w:bottom w:val="none" w:sz="0" w:space="0" w:color="auto"/>
        <w:right w:val="none" w:sz="0" w:space="0" w:color="auto"/>
      </w:divBdr>
    </w:div>
    <w:div w:id="1452627361">
      <w:bodyDiv w:val="1"/>
      <w:marLeft w:val="0"/>
      <w:marRight w:val="0"/>
      <w:marTop w:val="0"/>
      <w:marBottom w:val="0"/>
      <w:divBdr>
        <w:top w:val="none" w:sz="0" w:space="0" w:color="auto"/>
        <w:left w:val="none" w:sz="0" w:space="0" w:color="auto"/>
        <w:bottom w:val="none" w:sz="0" w:space="0" w:color="auto"/>
        <w:right w:val="none" w:sz="0" w:space="0" w:color="auto"/>
      </w:divBdr>
    </w:div>
    <w:div w:id="1453816549">
      <w:bodyDiv w:val="1"/>
      <w:marLeft w:val="0"/>
      <w:marRight w:val="0"/>
      <w:marTop w:val="0"/>
      <w:marBottom w:val="0"/>
      <w:divBdr>
        <w:top w:val="none" w:sz="0" w:space="0" w:color="auto"/>
        <w:left w:val="none" w:sz="0" w:space="0" w:color="auto"/>
        <w:bottom w:val="none" w:sz="0" w:space="0" w:color="auto"/>
        <w:right w:val="none" w:sz="0" w:space="0" w:color="auto"/>
      </w:divBdr>
    </w:div>
    <w:div w:id="1453942479">
      <w:bodyDiv w:val="1"/>
      <w:marLeft w:val="0"/>
      <w:marRight w:val="0"/>
      <w:marTop w:val="0"/>
      <w:marBottom w:val="0"/>
      <w:divBdr>
        <w:top w:val="none" w:sz="0" w:space="0" w:color="auto"/>
        <w:left w:val="none" w:sz="0" w:space="0" w:color="auto"/>
        <w:bottom w:val="none" w:sz="0" w:space="0" w:color="auto"/>
        <w:right w:val="none" w:sz="0" w:space="0" w:color="auto"/>
      </w:divBdr>
    </w:div>
    <w:div w:id="1454246047">
      <w:bodyDiv w:val="1"/>
      <w:marLeft w:val="0"/>
      <w:marRight w:val="0"/>
      <w:marTop w:val="0"/>
      <w:marBottom w:val="0"/>
      <w:divBdr>
        <w:top w:val="none" w:sz="0" w:space="0" w:color="auto"/>
        <w:left w:val="none" w:sz="0" w:space="0" w:color="auto"/>
        <w:bottom w:val="none" w:sz="0" w:space="0" w:color="auto"/>
        <w:right w:val="none" w:sz="0" w:space="0" w:color="auto"/>
      </w:divBdr>
    </w:div>
    <w:div w:id="1455176213">
      <w:bodyDiv w:val="1"/>
      <w:marLeft w:val="0"/>
      <w:marRight w:val="0"/>
      <w:marTop w:val="0"/>
      <w:marBottom w:val="0"/>
      <w:divBdr>
        <w:top w:val="none" w:sz="0" w:space="0" w:color="auto"/>
        <w:left w:val="none" w:sz="0" w:space="0" w:color="auto"/>
        <w:bottom w:val="none" w:sz="0" w:space="0" w:color="auto"/>
        <w:right w:val="none" w:sz="0" w:space="0" w:color="auto"/>
      </w:divBdr>
    </w:div>
    <w:div w:id="1456098403">
      <w:bodyDiv w:val="1"/>
      <w:marLeft w:val="0"/>
      <w:marRight w:val="0"/>
      <w:marTop w:val="0"/>
      <w:marBottom w:val="0"/>
      <w:divBdr>
        <w:top w:val="none" w:sz="0" w:space="0" w:color="auto"/>
        <w:left w:val="none" w:sz="0" w:space="0" w:color="auto"/>
        <w:bottom w:val="none" w:sz="0" w:space="0" w:color="auto"/>
        <w:right w:val="none" w:sz="0" w:space="0" w:color="auto"/>
      </w:divBdr>
    </w:div>
    <w:div w:id="1456408006">
      <w:bodyDiv w:val="1"/>
      <w:marLeft w:val="0"/>
      <w:marRight w:val="0"/>
      <w:marTop w:val="0"/>
      <w:marBottom w:val="0"/>
      <w:divBdr>
        <w:top w:val="none" w:sz="0" w:space="0" w:color="auto"/>
        <w:left w:val="none" w:sz="0" w:space="0" w:color="auto"/>
        <w:bottom w:val="none" w:sz="0" w:space="0" w:color="auto"/>
        <w:right w:val="none" w:sz="0" w:space="0" w:color="auto"/>
      </w:divBdr>
    </w:div>
    <w:div w:id="1457412780">
      <w:bodyDiv w:val="1"/>
      <w:marLeft w:val="0"/>
      <w:marRight w:val="0"/>
      <w:marTop w:val="0"/>
      <w:marBottom w:val="0"/>
      <w:divBdr>
        <w:top w:val="none" w:sz="0" w:space="0" w:color="auto"/>
        <w:left w:val="none" w:sz="0" w:space="0" w:color="auto"/>
        <w:bottom w:val="none" w:sz="0" w:space="0" w:color="auto"/>
        <w:right w:val="none" w:sz="0" w:space="0" w:color="auto"/>
      </w:divBdr>
    </w:div>
    <w:div w:id="1458646907">
      <w:bodyDiv w:val="1"/>
      <w:marLeft w:val="0"/>
      <w:marRight w:val="0"/>
      <w:marTop w:val="0"/>
      <w:marBottom w:val="0"/>
      <w:divBdr>
        <w:top w:val="none" w:sz="0" w:space="0" w:color="auto"/>
        <w:left w:val="none" w:sz="0" w:space="0" w:color="auto"/>
        <w:bottom w:val="none" w:sz="0" w:space="0" w:color="auto"/>
        <w:right w:val="none" w:sz="0" w:space="0" w:color="auto"/>
      </w:divBdr>
    </w:div>
    <w:div w:id="1458837396">
      <w:bodyDiv w:val="1"/>
      <w:marLeft w:val="0"/>
      <w:marRight w:val="0"/>
      <w:marTop w:val="0"/>
      <w:marBottom w:val="0"/>
      <w:divBdr>
        <w:top w:val="none" w:sz="0" w:space="0" w:color="auto"/>
        <w:left w:val="none" w:sz="0" w:space="0" w:color="auto"/>
        <w:bottom w:val="none" w:sz="0" w:space="0" w:color="auto"/>
        <w:right w:val="none" w:sz="0" w:space="0" w:color="auto"/>
      </w:divBdr>
    </w:div>
    <w:div w:id="1458985624">
      <w:bodyDiv w:val="1"/>
      <w:marLeft w:val="0"/>
      <w:marRight w:val="0"/>
      <w:marTop w:val="0"/>
      <w:marBottom w:val="0"/>
      <w:divBdr>
        <w:top w:val="none" w:sz="0" w:space="0" w:color="auto"/>
        <w:left w:val="none" w:sz="0" w:space="0" w:color="auto"/>
        <w:bottom w:val="none" w:sz="0" w:space="0" w:color="auto"/>
        <w:right w:val="none" w:sz="0" w:space="0" w:color="auto"/>
      </w:divBdr>
    </w:div>
    <w:div w:id="1459645616">
      <w:bodyDiv w:val="1"/>
      <w:marLeft w:val="0"/>
      <w:marRight w:val="0"/>
      <w:marTop w:val="0"/>
      <w:marBottom w:val="0"/>
      <w:divBdr>
        <w:top w:val="none" w:sz="0" w:space="0" w:color="auto"/>
        <w:left w:val="none" w:sz="0" w:space="0" w:color="auto"/>
        <w:bottom w:val="none" w:sz="0" w:space="0" w:color="auto"/>
        <w:right w:val="none" w:sz="0" w:space="0" w:color="auto"/>
      </w:divBdr>
    </w:div>
    <w:div w:id="1460027507">
      <w:bodyDiv w:val="1"/>
      <w:marLeft w:val="0"/>
      <w:marRight w:val="0"/>
      <w:marTop w:val="0"/>
      <w:marBottom w:val="0"/>
      <w:divBdr>
        <w:top w:val="none" w:sz="0" w:space="0" w:color="auto"/>
        <w:left w:val="none" w:sz="0" w:space="0" w:color="auto"/>
        <w:bottom w:val="none" w:sz="0" w:space="0" w:color="auto"/>
        <w:right w:val="none" w:sz="0" w:space="0" w:color="auto"/>
      </w:divBdr>
    </w:div>
    <w:div w:id="1460300094">
      <w:bodyDiv w:val="1"/>
      <w:marLeft w:val="0"/>
      <w:marRight w:val="0"/>
      <w:marTop w:val="0"/>
      <w:marBottom w:val="0"/>
      <w:divBdr>
        <w:top w:val="none" w:sz="0" w:space="0" w:color="auto"/>
        <w:left w:val="none" w:sz="0" w:space="0" w:color="auto"/>
        <w:bottom w:val="none" w:sz="0" w:space="0" w:color="auto"/>
        <w:right w:val="none" w:sz="0" w:space="0" w:color="auto"/>
      </w:divBdr>
    </w:div>
    <w:div w:id="1460563989">
      <w:bodyDiv w:val="1"/>
      <w:marLeft w:val="0"/>
      <w:marRight w:val="0"/>
      <w:marTop w:val="0"/>
      <w:marBottom w:val="0"/>
      <w:divBdr>
        <w:top w:val="none" w:sz="0" w:space="0" w:color="auto"/>
        <w:left w:val="none" w:sz="0" w:space="0" w:color="auto"/>
        <w:bottom w:val="none" w:sz="0" w:space="0" w:color="auto"/>
        <w:right w:val="none" w:sz="0" w:space="0" w:color="auto"/>
      </w:divBdr>
    </w:div>
    <w:div w:id="1460757903">
      <w:bodyDiv w:val="1"/>
      <w:marLeft w:val="0"/>
      <w:marRight w:val="0"/>
      <w:marTop w:val="0"/>
      <w:marBottom w:val="0"/>
      <w:divBdr>
        <w:top w:val="none" w:sz="0" w:space="0" w:color="auto"/>
        <w:left w:val="none" w:sz="0" w:space="0" w:color="auto"/>
        <w:bottom w:val="none" w:sz="0" w:space="0" w:color="auto"/>
        <w:right w:val="none" w:sz="0" w:space="0" w:color="auto"/>
      </w:divBdr>
    </w:div>
    <w:div w:id="1461915555">
      <w:bodyDiv w:val="1"/>
      <w:marLeft w:val="0"/>
      <w:marRight w:val="0"/>
      <w:marTop w:val="0"/>
      <w:marBottom w:val="0"/>
      <w:divBdr>
        <w:top w:val="none" w:sz="0" w:space="0" w:color="auto"/>
        <w:left w:val="none" w:sz="0" w:space="0" w:color="auto"/>
        <w:bottom w:val="none" w:sz="0" w:space="0" w:color="auto"/>
        <w:right w:val="none" w:sz="0" w:space="0" w:color="auto"/>
      </w:divBdr>
    </w:div>
    <w:div w:id="1462072783">
      <w:bodyDiv w:val="1"/>
      <w:marLeft w:val="0"/>
      <w:marRight w:val="0"/>
      <w:marTop w:val="0"/>
      <w:marBottom w:val="0"/>
      <w:divBdr>
        <w:top w:val="none" w:sz="0" w:space="0" w:color="auto"/>
        <w:left w:val="none" w:sz="0" w:space="0" w:color="auto"/>
        <w:bottom w:val="none" w:sz="0" w:space="0" w:color="auto"/>
        <w:right w:val="none" w:sz="0" w:space="0" w:color="auto"/>
      </w:divBdr>
    </w:div>
    <w:div w:id="1462386951">
      <w:bodyDiv w:val="1"/>
      <w:marLeft w:val="0"/>
      <w:marRight w:val="0"/>
      <w:marTop w:val="0"/>
      <w:marBottom w:val="0"/>
      <w:divBdr>
        <w:top w:val="none" w:sz="0" w:space="0" w:color="auto"/>
        <w:left w:val="none" w:sz="0" w:space="0" w:color="auto"/>
        <w:bottom w:val="none" w:sz="0" w:space="0" w:color="auto"/>
        <w:right w:val="none" w:sz="0" w:space="0" w:color="auto"/>
      </w:divBdr>
    </w:div>
    <w:div w:id="1462576234">
      <w:bodyDiv w:val="1"/>
      <w:marLeft w:val="0"/>
      <w:marRight w:val="0"/>
      <w:marTop w:val="0"/>
      <w:marBottom w:val="0"/>
      <w:divBdr>
        <w:top w:val="none" w:sz="0" w:space="0" w:color="auto"/>
        <w:left w:val="none" w:sz="0" w:space="0" w:color="auto"/>
        <w:bottom w:val="none" w:sz="0" w:space="0" w:color="auto"/>
        <w:right w:val="none" w:sz="0" w:space="0" w:color="auto"/>
      </w:divBdr>
    </w:div>
    <w:div w:id="1462917293">
      <w:bodyDiv w:val="1"/>
      <w:marLeft w:val="0"/>
      <w:marRight w:val="0"/>
      <w:marTop w:val="0"/>
      <w:marBottom w:val="0"/>
      <w:divBdr>
        <w:top w:val="none" w:sz="0" w:space="0" w:color="auto"/>
        <w:left w:val="none" w:sz="0" w:space="0" w:color="auto"/>
        <w:bottom w:val="none" w:sz="0" w:space="0" w:color="auto"/>
        <w:right w:val="none" w:sz="0" w:space="0" w:color="auto"/>
      </w:divBdr>
    </w:div>
    <w:div w:id="1463158985">
      <w:bodyDiv w:val="1"/>
      <w:marLeft w:val="0"/>
      <w:marRight w:val="0"/>
      <w:marTop w:val="0"/>
      <w:marBottom w:val="0"/>
      <w:divBdr>
        <w:top w:val="none" w:sz="0" w:space="0" w:color="auto"/>
        <w:left w:val="none" w:sz="0" w:space="0" w:color="auto"/>
        <w:bottom w:val="none" w:sz="0" w:space="0" w:color="auto"/>
        <w:right w:val="none" w:sz="0" w:space="0" w:color="auto"/>
      </w:divBdr>
    </w:div>
    <w:div w:id="1463575526">
      <w:bodyDiv w:val="1"/>
      <w:marLeft w:val="0"/>
      <w:marRight w:val="0"/>
      <w:marTop w:val="0"/>
      <w:marBottom w:val="0"/>
      <w:divBdr>
        <w:top w:val="none" w:sz="0" w:space="0" w:color="auto"/>
        <w:left w:val="none" w:sz="0" w:space="0" w:color="auto"/>
        <w:bottom w:val="none" w:sz="0" w:space="0" w:color="auto"/>
        <w:right w:val="none" w:sz="0" w:space="0" w:color="auto"/>
      </w:divBdr>
    </w:div>
    <w:div w:id="1463617387">
      <w:bodyDiv w:val="1"/>
      <w:marLeft w:val="0"/>
      <w:marRight w:val="0"/>
      <w:marTop w:val="0"/>
      <w:marBottom w:val="0"/>
      <w:divBdr>
        <w:top w:val="none" w:sz="0" w:space="0" w:color="auto"/>
        <w:left w:val="none" w:sz="0" w:space="0" w:color="auto"/>
        <w:bottom w:val="none" w:sz="0" w:space="0" w:color="auto"/>
        <w:right w:val="none" w:sz="0" w:space="0" w:color="auto"/>
      </w:divBdr>
    </w:div>
    <w:div w:id="1463688037">
      <w:bodyDiv w:val="1"/>
      <w:marLeft w:val="0"/>
      <w:marRight w:val="0"/>
      <w:marTop w:val="0"/>
      <w:marBottom w:val="0"/>
      <w:divBdr>
        <w:top w:val="none" w:sz="0" w:space="0" w:color="auto"/>
        <w:left w:val="none" w:sz="0" w:space="0" w:color="auto"/>
        <w:bottom w:val="none" w:sz="0" w:space="0" w:color="auto"/>
        <w:right w:val="none" w:sz="0" w:space="0" w:color="auto"/>
      </w:divBdr>
    </w:div>
    <w:div w:id="1464889926">
      <w:bodyDiv w:val="1"/>
      <w:marLeft w:val="0"/>
      <w:marRight w:val="0"/>
      <w:marTop w:val="0"/>
      <w:marBottom w:val="0"/>
      <w:divBdr>
        <w:top w:val="none" w:sz="0" w:space="0" w:color="auto"/>
        <w:left w:val="none" w:sz="0" w:space="0" w:color="auto"/>
        <w:bottom w:val="none" w:sz="0" w:space="0" w:color="auto"/>
        <w:right w:val="none" w:sz="0" w:space="0" w:color="auto"/>
      </w:divBdr>
    </w:div>
    <w:div w:id="1465539936">
      <w:bodyDiv w:val="1"/>
      <w:marLeft w:val="0"/>
      <w:marRight w:val="0"/>
      <w:marTop w:val="0"/>
      <w:marBottom w:val="0"/>
      <w:divBdr>
        <w:top w:val="none" w:sz="0" w:space="0" w:color="auto"/>
        <w:left w:val="none" w:sz="0" w:space="0" w:color="auto"/>
        <w:bottom w:val="none" w:sz="0" w:space="0" w:color="auto"/>
        <w:right w:val="none" w:sz="0" w:space="0" w:color="auto"/>
      </w:divBdr>
    </w:div>
    <w:div w:id="1466434492">
      <w:bodyDiv w:val="1"/>
      <w:marLeft w:val="0"/>
      <w:marRight w:val="0"/>
      <w:marTop w:val="0"/>
      <w:marBottom w:val="0"/>
      <w:divBdr>
        <w:top w:val="none" w:sz="0" w:space="0" w:color="auto"/>
        <w:left w:val="none" w:sz="0" w:space="0" w:color="auto"/>
        <w:bottom w:val="none" w:sz="0" w:space="0" w:color="auto"/>
        <w:right w:val="none" w:sz="0" w:space="0" w:color="auto"/>
      </w:divBdr>
    </w:div>
    <w:div w:id="1467356771">
      <w:bodyDiv w:val="1"/>
      <w:marLeft w:val="0"/>
      <w:marRight w:val="0"/>
      <w:marTop w:val="0"/>
      <w:marBottom w:val="0"/>
      <w:divBdr>
        <w:top w:val="none" w:sz="0" w:space="0" w:color="auto"/>
        <w:left w:val="none" w:sz="0" w:space="0" w:color="auto"/>
        <w:bottom w:val="none" w:sz="0" w:space="0" w:color="auto"/>
        <w:right w:val="none" w:sz="0" w:space="0" w:color="auto"/>
      </w:divBdr>
    </w:div>
    <w:div w:id="1467628671">
      <w:bodyDiv w:val="1"/>
      <w:marLeft w:val="0"/>
      <w:marRight w:val="0"/>
      <w:marTop w:val="0"/>
      <w:marBottom w:val="0"/>
      <w:divBdr>
        <w:top w:val="none" w:sz="0" w:space="0" w:color="auto"/>
        <w:left w:val="none" w:sz="0" w:space="0" w:color="auto"/>
        <w:bottom w:val="none" w:sz="0" w:space="0" w:color="auto"/>
        <w:right w:val="none" w:sz="0" w:space="0" w:color="auto"/>
      </w:divBdr>
    </w:div>
    <w:div w:id="1467968947">
      <w:bodyDiv w:val="1"/>
      <w:marLeft w:val="0"/>
      <w:marRight w:val="0"/>
      <w:marTop w:val="0"/>
      <w:marBottom w:val="0"/>
      <w:divBdr>
        <w:top w:val="none" w:sz="0" w:space="0" w:color="auto"/>
        <w:left w:val="none" w:sz="0" w:space="0" w:color="auto"/>
        <w:bottom w:val="none" w:sz="0" w:space="0" w:color="auto"/>
        <w:right w:val="none" w:sz="0" w:space="0" w:color="auto"/>
      </w:divBdr>
    </w:div>
    <w:div w:id="1468006890">
      <w:bodyDiv w:val="1"/>
      <w:marLeft w:val="0"/>
      <w:marRight w:val="0"/>
      <w:marTop w:val="0"/>
      <w:marBottom w:val="0"/>
      <w:divBdr>
        <w:top w:val="none" w:sz="0" w:space="0" w:color="auto"/>
        <w:left w:val="none" w:sz="0" w:space="0" w:color="auto"/>
        <w:bottom w:val="none" w:sz="0" w:space="0" w:color="auto"/>
        <w:right w:val="none" w:sz="0" w:space="0" w:color="auto"/>
      </w:divBdr>
    </w:div>
    <w:div w:id="1468549578">
      <w:bodyDiv w:val="1"/>
      <w:marLeft w:val="0"/>
      <w:marRight w:val="0"/>
      <w:marTop w:val="0"/>
      <w:marBottom w:val="0"/>
      <w:divBdr>
        <w:top w:val="none" w:sz="0" w:space="0" w:color="auto"/>
        <w:left w:val="none" w:sz="0" w:space="0" w:color="auto"/>
        <w:bottom w:val="none" w:sz="0" w:space="0" w:color="auto"/>
        <w:right w:val="none" w:sz="0" w:space="0" w:color="auto"/>
      </w:divBdr>
    </w:div>
    <w:div w:id="1468737150">
      <w:bodyDiv w:val="1"/>
      <w:marLeft w:val="0"/>
      <w:marRight w:val="0"/>
      <w:marTop w:val="0"/>
      <w:marBottom w:val="0"/>
      <w:divBdr>
        <w:top w:val="none" w:sz="0" w:space="0" w:color="auto"/>
        <w:left w:val="none" w:sz="0" w:space="0" w:color="auto"/>
        <w:bottom w:val="none" w:sz="0" w:space="0" w:color="auto"/>
        <w:right w:val="none" w:sz="0" w:space="0" w:color="auto"/>
      </w:divBdr>
    </w:div>
    <w:div w:id="1468862046">
      <w:bodyDiv w:val="1"/>
      <w:marLeft w:val="0"/>
      <w:marRight w:val="0"/>
      <w:marTop w:val="0"/>
      <w:marBottom w:val="0"/>
      <w:divBdr>
        <w:top w:val="none" w:sz="0" w:space="0" w:color="auto"/>
        <w:left w:val="none" w:sz="0" w:space="0" w:color="auto"/>
        <w:bottom w:val="none" w:sz="0" w:space="0" w:color="auto"/>
        <w:right w:val="none" w:sz="0" w:space="0" w:color="auto"/>
      </w:divBdr>
    </w:div>
    <w:div w:id="1468934854">
      <w:bodyDiv w:val="1"/>
      <w:marLeft w:val="0"/>
      <w:marRight w:val="0"/>
      <w:marTop w:val="0"/>
      <w:marBottom w:val="0"/>
      <w:divBdr>
        <w:top w:val="none" w:sz="0" w:space="0" w:color="auto"/>
        <w:left w:val="none" w:sz="0" w:space="0" w:color="auto"/>
        <w:bottom w:val="none" w:sz="0" w:space="0" w:color="auto"/>
        <w:right w:val="none" w:sz="0" w:space="0" w:color="auto"/>
      </w:divBdr>
    </w:div>
    <w:div w:id="1469055680">
      <w:bodyDiv w:val="1"/>
      <w:marLeft w:val="0"/>
      <w:marRight w:val="0"/>
      <w:marTop w:val="0"/>
      <w:marBottom w:val="0"/>
      <w:divBdr>
        <w:top w:val="none" w:sz="0" w:space="0" w:color="auto"/>
        <w:left w:val="none" w:sz="0" w:space="0" w:color="auto"/>
        <w:bottom w:val="none" w:sz="0" w:space="0" w:color="auto"/>
        <w:right w:val="none" w:sz="0" w:space="0" w:color="auto"/>
      </w:divBdr>
    </w:div>
    <w:div w:id="1469083958">
      <w:bodyDiv w:val="1"/>
      <w:marLeft w:val="0"/>
      <w:marRight w:val="0"/>
      <w:marTop w:val="0"/>
      <w:marBottom w:val="0"/>
      <w:divBdr>
        <w:top w:val="none" w:sz="0" w:space="0" w:color="auto"/>
        <w:left w:val="none" w:sz="0" w:space="0" w:color="auto"/>
        <w:bottom w:val="none" w:sz="0" w:space="0" w:color="auto"/>
        <w:right w:val="none" w:sz="0" w:space="0" w:color="auto"/>
      </w:divBdr>
    </w:div>
    <w:div w:id="1469543085">
      <w:bodyDiv w:val="1"/>
      <w:marLeft w:val="0"/>
      <w:marRight w:val="0"/>
      <w:marTop w:val="0"/>
      <w:marBottom w:val="0"/>
      <w:divBdr>
        <w:top w:val="none" w:sz="0" w:space="0" w:color="auto"/>
        <w:left w:val="none" w:sz="0" w:space="0" w:color="auto"/>
        <w:bottom w:val="none" w:sz="0" w:space="0" w:color="auto"/>
        <w:right w:val="none" w:sz="0" w:space="0" w:color="auto"/>
      </w:divBdr>
    </w:div>
    <w:div w:id="1470169308">
      <w:bodyDiv w:val="1"/>
      <w:marLeft w:val="0"/>
      <w:marRight w:val="0"/>
      <w:marTop w:val="0"/>
      <w:marBottom w:val="0"/>
      <w:divBdr>
        <w:top w:val="none" w:sz="0" w:space="0" w:color="auto"/>
        <w:left w:val="none" w:sz="0" w:space="0" w:color="auto"/>
        <w:bottom w:val="none" w:sz="0" w:space="0" w:color="auto"/>
        <w:right w:val="none" w:sz="0" w:space="0" w:color="auto"/>
      </w:divBdr>
    </w:div>
    <w:div w:id="1470509936">
      <w:bodyDiv w:val="1"/>
      <w:marLeft w:val="0"/>
      <w:marRight w:val="0"/>
      <w:marTop w:val="0"/>
      <w:marBottom w:val="0"/>
      <w:divBdr>
        <w:top w:val="none" w:sz="0" w:space="0" w:color="auto"/>
        <w:left w:val="none" w:sz="0" w:space="0" w:color="auto"/>
        <w:bottom w:val="none" w:sz="0" w:space="0" w:color="auto"/>
        <w:right w:val="none" w:sz="0" w:space="0" w:color="auto"/>
      </w:divBdr>
    </w:div>
    <w:div w:id="1471358386">
      <w:bodyDiv w:val="1"/>
      <w:marLeft w:val="0"/>
      <w:marRight w:val="0"/>
      <w:marTop w:val="0"/>
      <w:marBottom w:val="0"/>
      <w:divBdr>
        <w:top w:val="none" w:sz="0" w:space="0" w:color="auto"/>
        <w:left w:val="none" w:sz="0" w:space="0" w:color="auto"/>
        <w:bottom w:val="none" w:sz="0" w:space="0" w:color="auto"/>
        <w:right w:val="none" w:sz="0" w:space="0" w:color="auto"/>
      </w:divBdr>
    </w:div>
    <w:div w:id="1471939840">
      <w:bodyDiv w:val="1"/>
      <w:marLeft w:val="0"/>
      <w:marRight w:val="0"/>
      <w:marTop w:val="0"/>
      <w:marBottom w:val="0"/>
      <w:divBdr>
        <w:top w:val="none" w:sz="0" w:space="0" w:color="auto"/>
        <w:left w:val="none" w:sz="0" w:space="0" w:color="auto"/>
        <w:bottom w:val="none" w:sz="0" w:space="0" w:color="auto"/>
        <w:right w:val="none" w:sz="0" w:space="0" w:color="auto"/>
      </w:divBdr>
    </w:div>
    <w:div w:id="1472013102">
      <w:bodyDiv w:val="1"/>
      <w:marLeft w:val="0"/>
      <w:marRight w:val="0"/>
      <w:marTop w:val="0"/>
      <w:marBottom w:val="0"/>
      <w:divBdr>
        <w:top w:val="none" w:sz="0" w:space="0" w:color="auto"/>
        <w:left w:val="none" w:sz="0" w:space="0" w:color="auto"/>
        <w:bottom w:val="none" w:sz="0" w:space="0" w:color="auto"/>
        <w:right w:val="none" w:sz="0" w:space="0" w:color="auto"/>
      </w:divBdr>
    </w:div>
    <w:div w:id="1472095956">
      <w:bodyDiv w:val="1"/>
      <w:marLeft w:val="0"/>
      <w:marRight w:val="0"/>
      <w:marTop w:val="0"/>
      <w:marBottom w:val="0"/>
      <w:divBdr>
        <w:top w:val="none" w:sz="0" w:space="0" w:color="auto"/>
        <w:left w:val="none" w:sz="0" w:space="0" w:color="auto"/>
        <w:bottom w:val="none" w:sz="0" w:space="0" w:color="auto"/>
        <w:right w:val="none" w:sz="0" w:space="0" w:color="auto"/>
      </w:divBdr>
    </w:div>
    <w:div w:id="1473670745">
      <w:bodyDiv w:val="1"/>
      <w:marLeft w:val="0"/>
      <w:marRight w:val="0"/>
      <w:marTop w:val="0"/>
      <w:marBottom w:val="0"/>
      <w:divBdr>
        <w:top w:val="none" w:sz="0" w:space="0" w:color="auto"/>
        <w:left w:val="none" w:sz="0" w:space="0" w:color="auto"/>
        <w:bottom w:val="none" w:sz="0" w:space="0" w:color="auto"/>
        <w:right w:val="none" w:sz="0" w:space="0" w:color="auto"/>
      </w:divBdr>
    </w:div>
    <w:div w:id="1474911882">
      <w:bodyDiv w:val="1"/>
      <w:marLeft w:val="0"/>
      <w:marRight w:val="0"/>
      <w:marTop w:val="0"/>
      <w:marBottom w:val="0"/>
      <w:divBdr>
        <w:top w:val="none" w:sz="0" w:space="0" w:color="auto"/>
        <w:left w:val="none" w:sz="0" w:space="0" w:color="auto"/>
        <w:bottom w:val="none" w:sz="0" w:space="0" w:color="auto"/>
        <w:right w:val="none" w:sz="0" w:space="0" w:color="auto"/>
      </w:divBdr>
    </w:div>
    <w:div w:id="1475217939">
      <w:bodyDiv w:val="1"/>
      <w:marLeft w:val="0"/>
      <w:marRight w:val="0"/>
      <w:marTop w:val="0"/>
      <w:marBottom w:val="0"/>
      <w:divBdr>
        <w:top w:val="none" w:sz="0" w:space="0" w:color="auto"/>
        <w:left w:val="none" w:sz="0" w:space="0" w:color="auto"/>
        <w:bottom w:val="none" w:sz="0" w:space="0" w:color="auto"/>
        <w:right w:val="none" w:sz="0" w:space="0" w:color="auto"/>
      </w:divBdr>
    </w:div>
    <w:div w:id="1475681443">
      <w:bodyDiv w:val="1"/>
      <w:marLeft w:val="0"/>
      <w:marRight w:val="0"/>
      <w:marTop w:val="0"/>
      <w:marBottom w:val="0"/>
      <w:divBdr>
        <w:top w:val="none" w:sz="0" w:space="0" w:color="auto"/>
        <w:left w:val="none" w:sz="0" w:space="0" w:color="auto"/>
        <w:bottom w:val="none" w:sz="0" w:space="0" w:color="auto"/>
        <w:right w:val="none" w:sz="0" w:space="0" w:color="auto"/>
      </w:divBdr>
    </w:div>
    <w:div w:id="1475682059">
      <w:bodyDiv w:val="1"/>
      <w:marLeft w:val="0"/>
      <w:marRight w:val="0"/>
      <w:marTop w:val="0"/>
      <w:marBottom w:val="0"/>
      <w:divBdr>
        <w:top w:val="none" w:sz="0" w:space="0" w:color="auto"/>
        <w:left w:val="none" w:sz="0" w:space="0" w:color="auto"/>
        <w:bottom w:val="none" w:sz="0" w:space="0" w:color="auto"/>
        <w:right w:val="none" w:sz="0" w:space="0" w:color="auto"/>
      </w:divBdr>
    </w:div>
    <w:div w:id="1476491306">
      <w:bodyDiv w:val="1"/>
      <w:marLeft w:val="0"/>
      <w:marRight w:val="0"/>
      <w:marTop w:val="0"/>
      <w:marBottom w:val="0"/>
      <w:divBdr>
        <w:top w:val="none" w:sz="0" w:space="0" w:color="auto"/>
        <w:left w:val="none" w:sz="0" w:space="0" w:color="auto"/>
        <w:bottom w:val="none" w:sz="0" w:space="0" w:color="auto"/>
        <w:right w:val="none" w:sz="0" w:space="0" w:color="auto"/>
      </w:divBdr>
    </w:div>
    <w:div w:id="1476608524">
      <w:bodyDiv w:val="1"/>
      <w:marLeft w:val="0"/>
      <w:marRight w:val="0"/>
      <w:marTop w:val="0"/>
      <w:marBottom w:val="0"/>
      <w:divBdr>
        <w:top w:val="none" w:sz="0" w:space="0" w:color="auto"/>
        <w:left w:val="none" w:sz="0" w:space="0" w:color="auto"/>
        <w:bottom w:val="none" w:sz="0" w:space="0" w:color="auto"/>
        <w:right w:val="none" w:sz="0" w:space="0" w:color="auto"/>
      </w:divBdr>
    </w:div>
    <w:div w:id="1477454258">
      <w:bodyDiv w:val="1"/>
      <w:marLeft w:val="0"/>
      <w:marRight w:val="0"/>
      <w:marTop w:val="0"/>
      <w:marBottom w:val="0"/>
      <w:divBdr>
        <w:top w:val="none" w:sz="0" w:space="0" w:color="auto"/>
        <w:left w:val="none" w:sz="0" w:space="0" w:color="auto"/>
        <w:bottom w:val="none" w:sz="0" w:space="0" w:color="auto"/>
        <w:right w:val="none" w:sz="0" w:space="0" w:color="auto"/>
      </w:divBdr>
    </w:div>
    <w:div w:id="1477454901">
      <w:bodyDiv w:val="1"/>
      <w:marLeft w:val="0"/>
      <w:marRight w:val="0"/>
      <w:marTop w:val="0"/>
      <w:marBottom w:val="0"/>
      <w:divBdr>
        <w:top w:val="none" w:sz="0" w:space="0" w:color="auto"/>
        <w:left w:val="none" w:sz="0" w:space="0" w:color="auto"/>
        <w:bottom w:val="none" w:sz="0" w:space="0" w:color="auto"/>
        <w:right w:val="none" w:sz="0" w:space="0" w:color="auto"/>
      </w:divBdr>
    </w:div>
    <w:div w:id="1477645364">
      <w:bodyDiv w:val="1"/>
      <w:marLeft w:val="0"/>
      <w:marRight w:val="0"/>
      <w:marTop w:val="0"/>
      <w:marBottom w:val="0"/>
      <w:divBdr>
        <w:top w:val="none" w:sz="0" w:space="0" w:color="auto"/>
        <w:left w:val="none" w:sz="0" w:space="0" w:color="auto"/>
        <w:bottom w:val="none" w:sz="0" w:space="0" w:color="auto"/>
        <w:right w:val="none" w:sz="0" w:space="0" w:color="auto"/>
      </w:divBdr>
    </w:div>
    <w:div w:id="1477990278">
      <w:bodyDiv w:val="1"/>
      <w:marLeft w:val="0"/>
      <w:marRight w:val="0"/>
      <w:marTop w:val="0"/>
      <w:marBottom w:val="0"/>
      <w:divBdr>
        <w:top w:val="none" w:sz="0" w:space="0" w:color="auto"/>
        <w:left w:val="none" w:sz="0" w:space="0" w:color="auto"/>
        <w:bottom w:val="none" w:sz="0" w:space="0" w:color="auto"/>
        <w:right w:val="none" w:sz="0" w:space="0" w:color="auto"/>
      </w:divBdr>
    </w:div>
    <w:div w:id="1478298887">
      <w:bodyDiv w:val="1"/>
      <w:marLeft w:val="0"/>
      <w:marRight w:val="0"/>
      <w:marTop w:val="0"/>
      <w:marBottom w:val="0"/>
      <w:divBdr>
        <w:top w:val="none" w:sz="0" w:space="0" w:color="auto"/>
        <w:left w:val="none" w:sz="0" w:space="0" w:color="auto"/>
        <w:bottom w:val="none" w:sz="0" w:space="0" w:color="auto"/>
        <w:right w:val="none" w:sz="0" w:space="0" w:color="auto"/>
      </w:divBdr>
    </w:div>
    <w:div w:id="1478381189">
      <w:bodyDiv w:val="1"/>
      <w:marLeft w:val="0"/>
      <w:marRight w:val="0"/>
      <w:marTop w:val="0"/>
      <w:marBottom w:val="0"/>
      <w:divBdr>
        <w:top w:val="none" w:sz="0" w:space="0" w:color="auto"/>
        <w:left w:val="none" w:sz="0" w:space="0" w:color="auto"/>
        <w:bottom w:val="none" w:sz="0" w:space="0" w:color="auto"/>
        <w:right w:val="none" w:sz="0" w:space="0" w:color="auto"/>
      </w:divBdr>
    </w:div>
    <w:div w:id="1479229589">
      <w:bodyDiv w:val="1"/>
      <w:marLeft w:val="0"/>
      <w:marRight w:val="0"/>
      <w:marTop w:val="0"/>
      <w:marBottom w:val="0"/>
      <w:divBdr>
        <w:top w:val="none" w:sz="0" w:space="0" w:color="auto"/>
        <w:left w:val="none" w:sz="0" w:space="0" w:color="auto"/>
        <w:bottom w:val="none" w:sz="0" w:space="0" w:color="auto"/>
        <w:right w:val="none" w:sz="0" w:space="0" w:color="auto"/>
      </w:divBdr>
    </w:div>
    <w:div w:id="1481652557">
      <w:bodyDiv w:val="1"/>
      <w:marLeft w:val="0"/>
      <w:marRight w:val="0"/>
      <w:marTop w:val="0"/>
      <w:marBottom w:val="0"/>
      <w:divBdr>
        <w:top w:val="none" w:sz="0" w:space="0" w:color="auto"/>
        <w:left w:val="none" w:sz="0" w:space="0" w:color="auto"/>
        <w:bottom w:val="none" w:sz="0" w:space="0" w:color="auto"/>
        <w:right w:val="none" w:sz="0" w:space="0" w:color="auto"/>
      </w:divBdr>
    </w:div>
    <w:div w:id="1481997061">
      <w:bodyDiv w:val="1"/>
      <w:marLeft w:val="0"/>
      <w:marRight w:val="0"/>
      <w:marTop w:val="0"/>
      <w:marBottom w:val="0"/>
      <w:divBdr>
        <w:top w:val="none" w:sz="0" w:space="0" w:color="auto"/>
        <w:left w:val="none" w:sz="0" w:space="0" w:color="auto"/>
        <w:bottom w:val="none" w:sz="0" w:space="0" w:color="auto"/>
        <w:right w:val="none" w:sz="0" w:space="0" w:color="auto"/>
      </w:divBdr>
    </w:div>
    <w:div w:id="1482306601">
      <w:bodyDiv w:val="1"/>
      <w:marLeft w:val="0"/>
      <w:marRight w:val="0"/>
      <w:marTop w:val="0"/>
      <w:marBottom w:val="0"/>
      <w:divBdr>
        <w:top w:val="none" w:sz="0" w:space="0" w:color="auto"/>
        <w:left w:val="none" w:sz="0" w:space="0" w:color="auto"/>
        <w:bottom w:val="none" w:sz="0" w:space="0" w:color="auto"/>
        <w:right w:val="none" w:sz="0" w:space="0" w:color="auto"/>
      </w:divBdr>
    </w:div>
    <w:div w:id="1482572874">
      <w:bodyDiv w:val="1"/>
      <w:marLeft w:val="0"/>
      <w:marRight w:val="0"/>
      <w:marTop w:val="0"/>
      <w:marBottom w:val="0"/>
      <w:divBdr>
        <w:top w:val="none" w:sz="0" w:space="0" w:color="auto"/>
        <w:left w:val="none" w:sz="0" w:space="0" w:color="auto"/>
        <w:bottom w:val="none" w:sz="0" w:space="0" w:color="auto"/>
        <w:right w:val="none" w:sz="0" w:space="0" w:color="auto"/>
      </w:divBdr>
    </w:div>
    <w:div w:id="1482888022">
      <w:bodyDiv w:val="1"/>
      <w:marLeft w:val="0"/>
      <w:marRight w:val="0"/>
      <w:marTop w:val="0"/>
      <w:marBottom w:val="0"/>
      <w:divBdr>
        <w:top w:val="none" w:sz="0" w:space="0" w:color="auto"/>
        <w:left w:val="none" w:sz="0" w:space="0" w:color="auto"/>
        <w:bottom w:val="none" w:sz="0" w:space="0" w:color="auto"/>
        <w:right w:val="none" w:sz="0" w:space="0" w:color="auto"/>
      </w:divBdr>
    </w:div>
    <w:div w:id="1482892021">
      <w:bodyDiv w:val="1"/>
      <w:marLeft w:val="0"/>
      <w:marRight w:val="0"/>
      <w:marTop w:val="0"/>
      <w:marBottom w:val="0"/>
      <w:divBdr>
        <w:top w:val="none" w:sz="0" w:space="0" w:color="auto"/>
        <w:left w:val="none" w:sz="0" w:space="0" w:color="auto"/>
        <w:bottom w:val="none" w:sz="0" w:space="0" w:color="auto"/>
        <w:right w:val="none" w:sz="0" w:space="0" w:color="auto"/>
      </w:divBdr>
    </w:div>
    <w:div w:id="1483038147">
      <w:bodyDiv w:val="1"/>
      <w:marLeft w:val="0"/>
      <w:marRight w:val="0"/>
      <w:marTop w:val="0"/>
      <w:marBottom w:val="0"/>
      <w:divBdr>
        <w:top w:val="none" w:sz="0" w:space="0" w:color="auto"/>
        <w:left w:val="none" w:sz="0" w:space="0" w:color="auto"/>
        <w:bottom w:val="none" w:sz="0" w:space="0" w:color="auto"/>
        <w:right w:val="none" w:sz="0" w:space="0" w:color="auto"/>
      </w:divBdr>
    </w:div>
    <w:div w:id="1483110986">
      <w:bodyDiv w:val="1"/>
      <w:marLeft w:val="0"/>
      <w:marRight w:val="0"/>
      <w:marTop w:val="0"/>
      <w:marBottom w:val="0"/>
      <w:divBdr>
        <w:top w:val="none" w:sz="0" w:space="0" w:color="auto"/>
        <w:left w:val="none" w:sz="0" w:space="0" w:color="auto"/>
        <w:bottom w:val="none" w:sz="0" w:space="0" w:color="auto"/>
        <w:right w:val="none" w:sz="0" w:space="0" w:color="auto"/>
      </w:divBdr>
    </w:div>
    <w:div w:id="1483161904">
      <w:bodyDiv w:val="1"/>
      <w:marLeft w:val="0"/>
      <w:marRight w:val="0"/>
      <w:marTop w:val="0"/>
      <w:marBottom w:val="0"/>
      <w:divBdr>
        <w:top w:val="none" w:sz="0" w:space="0" w:color="auto"/>
        <w:left w:val="none" w:sz="0" w:space="0" w:color="auto"/>
        <w:bottom w:val="none" w:sz="0" w:space="0" w:color="auto"/>
        <w:right w:val="none" w:sz="0" w:space="0" w:color="auto"/>
      </w:divBdr>
    </w:div>
    <w:div w:id="1483544913">
      <w:bodyDiv w:val="1"/>
      <w:marLeft w:val="0"/>
      <w:marRight w:val="0"/>
      <w:marTop w:val="0"/>
      <w:marBottom w:val="0"/>
      <w:divBdr>
        <w:top w:val="none" w:sz="0" w:space="0" w:color="auto"/>
        <w:left w:val="none" w:sz="0" w:space="0" w:color="auto"/>
        <w:bottom w:val="none" w:sz="0" w:space="0" w:color="auto"/>
        <w:right w:val="none" w:sz="0" w:space="0" w:color="auto"/>
      </w:divBdr>
    </w:div>
    <w:div w:id="1484200485">
      <w:bodyDiv w:val="1"/>
      <w:marLeft w:val="0"/>
      <w:marRight w:val="0"/>
      <w:marTop w:val="0"/>
      <w:marBottom w:val="0"/>
      <w:divBdr>
        <w:top w:val="none" w:sz="0" w:space="0" w:color="auto"/>
        <w:left w:val="none" w:sz="0" w:space="0" w:color="auto"/>
        <w:bottom w:val="none" w:sz="0" w:space="0" w:color="auto"/>
        <w:right w:val="none" w:sz="0" w:space="0" w:color="auto"/>
      </w:divBdr>
    </w:div>
    <w:div w:id="1484347660">
      <w:bodyDiv w:val="1"/>
      <w:marLeft w:val="0"/>
      <w:marRight w:val="0"/>
      <w:marTop w:val="0"/>
      <w:marBottom w:val="0"/>
      <w:divBdr>
        <w:top w:val="none" w:sz="0" w:space="0" w:color="auto"/>
        <w:left w:val="none" w:sz="0" w:space="0" w:color="auto"/>
        <w:bottom w:val="none" w:sz="0" w:space="0" w:color="auto"/>
        <w:right w:val="none" w:sz="0" w:space="0" w:color="auto"/>
      </w:divBdr>
    </w:div>
    <w:div w:id="1485662282">
      <w:bodyDiv w:val="1"/>
      <w:marLeft w:val="0"/>
      <w:marRight w:val="0"/>
      <w:marTop w:val="0"/>
      <w:marBottom w:val="0"/>
      <w:divBdr>
        <w:top w:val="none" w:sz="0" w:space="0" w:color="auto"/>
        <w:left w:val="none" w:sz="0" w:space="0" w:color="auto"/>
        <w:bottom w:val="none" w:sz="0" w:space="0" w:color="auto"/>
        <w:right w:val="none" w:sz="0" w:space="0" w:color="auto"/>
      </w:divBdr>
    </w:div>
    <w:div w:id="1485731285">
      <w:bodyDiv w:val="1"/>
      <w:marLeft w:val="0"/>
      <w:marRight w:val="0"/>
      <w:marTop w:val="0"/>
      <w:marBottom w:val="0"/>
      <w:divBdr>
        <w:top w:val="none" w:sz="0" w:space="0" w:color="auto"/>
        <w:left w:val="none" w:sz="0" w:space="0" w:color="auto"/>
        <w:bottom w:val="none" w:sz="0" w:space="0" w:color="auto"/>
        <w:right w:val="none" w:sz="0" w:space="0" w:color="auto"/>
      </w:divBdr>
    </w:div>
    <w:div w:id="1485783111">
      <w:bodyDiv w:val="1"/>
      <w:marLeft w:val="0"/>
      <w:marRight w:val="0"/>
      <w:marTop w:val="0"/>
      <w:marBottom w:val="0"/>
      <w:divBdr>
        <w:top w:val="none" w:sz="0" w:space="0" w:color="auto"/>
        <w:left w:val="none" w:sz="0" w:space="0" w:color="auto"/>
        <w:bottom w:val="none" w:sz="0" w:space="0" w:color="auto"/>
        <w:right w:val="none" w:sz="0" w:space="0" w:color="auto"/>
      </w:divBdr>
    </w:div>
    <w:div w:id="1486119196">
      <w:bodyDiv w:val="1"/>
      <w:marLeft w:val="0"/>
      <w:marRight w:val="0"/>
      <w:marTop w:val="0"/>
      <w:marBottom w:val="0"/>
      <w:divBdr>
        <w:top w:val="none" w:sz="0" w:space="0" w:color="auto"/>
        <w:left w:val="none" w:sz="0" w:space="0" w:color="auto"/>
        <w:bottom w:val="none" w:sz="0" w:space="0" w:color="auto"/>
        <w:right w:val="none" w:sz="0" w:space="0" w:color="auto"/>
      </w:divBdr>
    </w:div>
    <w:div w:id="1486161165">
      <w:bodyDiv w:val="1"/>
      <w:marLeft w:val="0"/>
      <w:marRight w:val="0"/>
      <w:marTop w:val="0"/>
      <w:marBottom w:val="0"/>
      <w:divBdr>
        <w:top w:val="none" w:sz="0" w:space="0" w:color="auto"/>
        <w:left w:val="none" w:sz="0" w:space="0" w:color="auto"/>
        <w:bottom w:val="none" w:sz="0" w:space="0" w:color="auto"/>
        <w:right w:val="none" w:sz="0" w:space="0" w:color="auto"/>
      </w:divBdr>
    </w:div>
    <w:div w:id="1486320735">
      <w:bodyDiv w:val="1"/>
      <w:marLeft w:val="0"/>
      <w:marRight w:val="0"/>
      <w:marTop w:val="0"/>
      <w:marBottom w:val="0"/>
      <w:divBdr>
        <w:top w:val="none" w:sz="0" w:space="0" w:color="auto"/>
        <w:left w:val="none" w:sz="0" w:space="0" w:color="auto"/>
        <w:bottom w:val="none" w:sz="0" w:space="0" w:color="auto"/>
        <w:right w:val="none" w:sz="0" w:space="0" w:color="auto"/>
      </w:divBdr>
    </w:div>
    <w:div w:id="1486553380">
      <w:bodyDiv w:val="1"/>
      <w:marLeft w:val="0"/>
      <w:marRight w:val="0"/>
      <w:marTop w:val="0"/>
      <w:marBottom w:val="0"/>
      <w:divBdr>
        <w:top w:val="none" w:sz="0" w:space="0" w:color="auto"/>
        <w:left w:val="none" w:sz="0" w:space="0" w:color="auto"/>
        <w:bottom w:val="none" w:sz="0" w:space="0" w:color="auto"/>
        <w:right w:val="none" w:sz="0" w:space="0" w:color="auto"/>
      </w:divBdr>
    </w:div>
    <w:div w:id="1486625112">
      <w:bodyDiv w:val="1"/>
      <w:marLeft w:val="0"/>
      <w:marRight w:val="0"/>
      <w:marTop w:val="0"/>
      <w:marBottom w:val="0"/>
      <w:divBdr>
        <w:top w:val="none" w:sz="0" w:space="0" w:color="auto"/>
        <w:left w:val="none" w:sz="0" w:space="0" w:color="auto"/>
        <w:bottom w:val="none" w:sz="0" w:space="0" w:color="auto"/>
        <w:right w:val="none" w:sz="0" w:space="0" w:color="auto"/>
      </w:divBdr>
    </w:div>
    <w:div w:id="1486819441">
      <w:bodyDiv w:val="1"/>
      <w:marLeft w:val="0"/>
      <w:marRight w:val="0"/>
      <w:marTop w:val="0"/>
      <w:marBottom w:val="0"/>
      <w:divBdr>
        <w:top w:val="none" w:sz="0" w:space="0" w:color="auto"/>
        <w:left w:val="none" w:sz="0" w:space="0" w:color="auto"/>
        <w:bottom w:val="none" w:sz="0" w:space="0" w:color="auto"/>
        <w:right w:val="none" w:sz="0" w:space="0" w:color="auto"/>
      </w:divBdr>
    </w:div>
    <w:div w:id="1488008738">
      <w:bodyDiv w:val="1"/>
      <w:marLeft w:val="0"/>
      <w:marRight w:val="0"/>
      <w:marTop w:val="0"/>
      <w:marBottom w:val="0"/>
      <w:divBdr>
        <w:top w:val="none" w:sz="0" w:space="0" w:color="auto"/>
        <w:left w:val="none" w:sz="0" w:space="0" w:color="auto"/>
        <w:bottom w:val="none" w:sz="0" w:space="0" w:color="auto"/>
        <w:right w:val="none" w:sz="0" w:space="0" w:color="auto"/>
      </w:divBdr>
    </w:div>
    <w:div w:id="1488747975">
      <w:bodyDiv w:val="1"/>
      <w:marLeft w:val="0"/>
      <w:marRight w:val="0"/>
      <w:marTop w:val="0"/>
      <w:marBottom w:val="0"/>
      <w:divBdr>
        <w:top w:val="none" w:sz="0" w:space="0" w:color="auto"/>
        <w:left w:val="none" w:sz="0" w:space="0" w:color="auto"/>
        <w:bottom w:val="none" w:sz="0" w:space="0" w:color="auto"/>
        <w:right w:val="none" w:sz="0" w:space="0" w:color="auto"/>
      </w:divBdr>
    </w:div>
    <w:div w:id="1489247056">
      <w:bodyDiv w:val="1"/>
      <w:marLeft w:val="0"/>
      <w:marRight w:val="0"/>
      <w:marTop w:val="0"/>
      <w:marBottom w:val="0"/>
      <w:divBdr>
        <w:top w:val="none" w:sz="0" w:space="0" w:color="auto"/>
        <w:left w:val="none" w:sz="0" w:space="0" w:color="auto"/>
        <w:bottom w:val="none" w:sz="0" w:space="0" w:color="auto"/>
        <w:right w:val="none" w:sz="0" w:space="0" w:color="auto"/>
      </w:divBdr>
    </w:div>
    <w:div w:id="1489663809">
      <w:bodyDiv w:val="1"/>
      <w:marLeft w:val="0"/>
      <w:marRight w:val="0"/>
      <w:marTop w:val="0"/>
      <w:marBottom w:val="0"/>
      <w:divBdr>
        <w:top w:val="none" w:sz="0" w:space="0" w:color="auto"/>
        <w:left w:val="none" w:sz="0" w:space="0" w:color="auto"/>
        <w:bottom w:val="none" w:sz="0" w:space="0" w:color="auto"/>
        <w:right w:val="none" w:sz="0" w:space="0" w:color="auto"/>
      </w:divBdr>
    </w:div>
    <w:div w:id="1490171781">
      <w:bodyDiv w:val="1"/>
      <w:marLeft w:val="0"/>
      <w:marRight w:val="0"/>
      <w:marTop w:val="0"/>
      <w:marBottom w:val="0"/>
      <w:divBdr>
        <w:top w:val="none" w:sz="0" w:space="0" w:color="auto"/>
        <w:left w:val="none" w:sz="0" w:space="0" w:color="auto"/>
        <w:bottom w:val="none" w:sz="0" w:space="0" w:color="auto"/>
        <w:right w:val="none" w:sz="0" w:space="0" w:color="auto"/>
      </w:divBdr>
    </w:div>
    <w:div w:id="1490176731">
      <w:bodyDiv w:val="1"/>
      <w:marLeft w:val="0"/>
      <w:marRight w:val="0"/>
      <w:marTop w:val="0"/>
      <w:marBottom w:val="0"/>
      <w:divBdr>
        <w:top w:val="none" w:sz="0" w:space="0" w:color="auto"/>
        <w:left w:val="none" w:sz="0" w:space="0" w:color="auto"/>
        <w:bottom w:val="none" w:sz="0" w:space="0" w:color="auto"/>
        <w:right w:val="none" w:sz="0" w:space="0" w:color="auto"/>
      </w:divBdr>
    </w:div>
    <w:div w:id="1490945162">
      <w:bodyDiv w:val="1"/>
      <w:marLeft w:val="0"/>
      <w:marRight w:val="0"/>
      <w:marTop w:val="0"/>
      <w:marBottom w:val="0"/>
      <w:divBdr>
        <w:top w:val="none" w:sz="0" w:space="0" w:color="auto"/>
        <w:left w:val="none" w:sz="0" w:space="0" w:color="auto"/>
        <w:bottom w:val="none" w:sz="0" w:space="0" w:color="auto"/>
        <w:right w:val="none" w:sz="0" w:space="0" w:color="auto"/>
      </w:divBdr>
    </w:div>
    <w:div w:id="1492526592">
      <w:bodyDiv w:val="1"/>
      <w:marLeft w:val="0"/>
      <w:marRight w:val="0"/>
      <w:marTop w:val="0"/>
      <w:marBottom w:val="0"/>
      <w:divBdr>
        <w:top w:val="none" w:sz="0" w:space="0" w:color="auto"/>
        <w:left w:val="none" w:sz="0" w:space="0" w:color="auto"/>
        <w:bottom w:val="none" w:sz="0" w:space="0" w:color="auto"/>
        <w:right w:val="none" w:sz="0" w:space="0" w:color="auto"/>
      </w:divBdr>
    </w:div>
    <w:div w:id="1492675490">
      <w:bodyDiv w:val="1"/>
      <w:marLeft w:val="0"/>
      <w:marRight w:val="0"/>
      <w:marTop w:val="0"/>
      <w:marBottom w:val="0"/>
      <w:divBdr>
        <w:top w:val="none" w:sz="0" w:space="0" w:color="auto"/>
        <w:left w:val="none" w:sz="0" w:space="0" w:color="auto"/>
        <w:bottom w:val="none" w:sz="0" w:space="0" w:color="auto"/>
        <w:right w:val="none" w:sz="0" w:space="0" w:color="auto"/>
      </w:divBdr>
    </w:div>
    <w:div w:id="1492716189">
      <w:bodyDiv w:val="1"/>
      <w:marLeft w:val="0"/>
      <w:marRight w:val="0"/>
      <w:marTop w:val="0"/>
      <w:marBottom w:val="0"/>
      <w:divBdr>
        <w:top w:val="none" w:sz="0" w:space="0" w:color="auto"/>
        <w:left w:val="none" w:sz="0" w:space="0" w:color="auto"/>
        <w:bottom w:val="none" w:sz="0" w:space="0" w:color="auto"/>
        <w:right w:val="none" w:sz="0" w:space="0" w:color="auto"/>
      </w:divBdr>
    </w:div>
    <w:div w:id="1493375983">
      <w:bodyDiv w:val="1"/>
      <w:marLeft w:val="0"/>
      <w:marRight w:val="0"/>
      <w:marTop w:val="0"/>
      <w:marBottom w:val="0"/>
      <w:divBdr>
        <w:top w:val="none" w:sz="0" w:space="0" w:color="auto"/>
        <w:left w:val="none" w:sz="0" w:space="0" w:color="auto"/>
        <w:bottom w:val="none" w:sz="0" w:space="0" w:color="auto"/>
        <w:right w:val="none" w:sz="0" w:space="0" w:color="auto"/>
      </w:divBdr>
    </w:div>
    <w:div w:id="1494031539">
      <w:bodyDiv w:val="1"/>
      <w:marLeft w:val="0"/>
      <w:marRight w:val="0"/>
      <w:marTop w:val="0"/>
      <w:marBottom w:val="0"/>
      <w:divBdr>
        <w:top w:val="none" w:sz="0" w:space="0" w:color="auto"/>
        <w:left w:val="none" w:sz="0" w:space="0" w:color="auto"/>
        <w:bottom w:val="none" w:sz="0" w:space="0" w:color="auto"/>
        <w:right w:val="none" w:sz="0" w:space="0" w:color="auto"/>
      </w:divBdr>
    </w:div>
    <w:div w:id="1494758874">
      <w:bodyDiv w:val="1"/>
      <w:marLeft w:val="0"/>
      <w:marRight w:val="0"/>
      <w:marTop w:val="0"/>
      <w:marBottom w:val="0"/>
      <w:divBdr>
        <w:top w:val="none" w:sz="0" w:space="0" w:color="auto"/>
        <w:left w:val="none" w:sz="0" w:space="0" w:color="auto"/>
        <w:bottom w:val="none" w:sz="0" w:space="0" w:color="auto"/>
        <w:right w:val="none" w:sz="0" w:space="0" w:color="auto"/>
      </w:divBdr>
    </w:div>
    <w:div w:id="1495150477">
      <w:bodyDiv w:val="1"/>
      <w:marLeft w:val="0"/>
      <w:marRight w:val="0"/>
      <w:marTop w:val="0"/>
      <w:marBottom w:val="0"/>
      <w:divBdr>
        <w:top w:val="none" w:sz="0" w:space="0" w:color="auto"/>
        <w:left w:val="none" w:sz="0" w:space="0" w:color="auto"/>
        <w:bottom w:val="none" w:sz="0" w:space="0" w:color="auto"/>
        <w:right w:val="none" w:sz="0" w:space="0" w:color="auto"/>
      </w:divBdr>
    </w:div>
    <w:div w:id="1495758019">
      <w:bodyDiv w:val="1"/>
      <w:marLeft w:val="0"/>
      <w:marRight w:val="0"/>
      <w:marTop w:val="0"/>
      <w:marBottom w:val="0"/>
      <w:divBdr>
        <w:top w:val="none" w:sz="0" w:space="0" w:color="auto"/>
        <w:left w:val="none" w:sz="0" w:space="0" w:color="auto"/>
        <w:bottom w:val="none" w:sz="0" w:space="0" w:color="auto"/>
        <w:right w:val="none" w:sz="0" w:space="0" w:color="auto"/>
      </w:divBdr>
    </w:div>
    <w:div w:id="1495998426">
      <w:bodyDiv w:val="1"/>
      <w:marLeft w:val="0"/>
      <w:marRight w:val="0"/>
      <w:marTop w:val="0"/>
      <w:marBottom w:val="0"/>
      <w:divBdr>
        <w:top w:val="none" w:sz="0" w:space="0" w:color="auto"/>
        <w:left w:val="none" w:sz="0" w:space="0" w:color="auto"/>
        <w:bottom w:val="none" w:sz="0" w:space="0" w:color="auto"/>
        <w:right w:val="none" w:sz="0" w:space="0" w:color="auto"/>
      </w:divBdr>
    </w:div>
    <w:div w:id="1497263273">
      <w:bodyDiv w:val="1"/>
      <w:marLeft w:val="0"/>
      <w:marRight w:val="0"/>
      <w:marTop w:val="0"/>
      <w:marBottom w:val="0"/>
      <w:divBdr>
        <w:top w:val="none" w:sz="0" w:space="0" w:color="auto"/>
        <w:left w:val="none" w:sz="0" w:space="0" w:color="auto"/>
        <w:bottom w:val="none" w:sz="0" w:space="0" w:color="auto"/>
        <w:right w:val="none" w:sz="0" w:space="0" w:color="auto"/>
      </w:divBdr>
    </w:div>
    <w:div w:id="1497648483">
      <w:bodyDiv w:val="1"/>
      <w:marLeft w:val="0"/>
      <w:marRight w:val="0"/>
      <w:marTop w:val="0"/>
      <w:marBottom w:val="0"/>
      <w:divBdr>
        <w:top w:val="none" w:sz="0" w:space="0" w:color="auto"/>
        <w:left w:val="none" w:sz="0" w:space="0" w:color="auto"/>
        <w:bottom w:val="none" w:sz="0" w:space="0" w:color="auto"/>
        <w:right w:val="none" w:sz="0" w:space="0" w:color="auto"/>
      </w:divBdr>
    </w:div>
    <w:div w:id="1497914147">
      <w:bodyDiv w:val="1"/>
      <w:marLeft w:val="0"/>
      <w:marRight w:val="0"/>
      <w:marTop w:val="0"/>
      <w:marBottom w:val="0"/>
      <w:divBdr>
        <w:top w:val="none" w:sz="0" w:space="0" w:color="auto"/>
        <w:left w:val="none" w:sz="0" w:space="0" w:color="auto"/>
        <w:bottom w:val="none" w:sz="0" w:space="0" w:color="auto"/>
        <w:right w:val="none" w:sz="0" w:space="0" w:color="auto"/>
      </w:divBdr>
    </w:div>
    <w:div w:id="1498886065">
      <w:bodyDiv w:val="1"/>
      <w:marLeft w:val="0"/>
      <w:marRight w:val="0"/>
      <w:marTop w:val="0"/>
      <w:marBottom w:val="0"/>
      <w:divBdr>
        <w:top w:val="none" w:sz="0" w:space="0" w:color="auto"/>
        <w:left w:val="none" w:sz="0" w:space="0" w:color="auto"/>
        <w:bottom w:val="none" w:sz="0" w:space="0" w:color="auto"/>
        <w:right w:val="none" w:sz="0" w:space="0" w:color="auto"/>
      </w:divBdr>
    </w:div>
    <w:div w:id="1499426046">
      <w:bodyDiv w:val="1"/>
      <w:marLeft w:val="0"/>
      <w:marRight w:val="0"/>
      <w:marTop w:val="0"/>
      <w:marBottom w:val="0"/>
      <w:divBdr>
        <w:top w:val="none" w:sz="0" w:space="0" w:color="auto"/>
        <w:left w:val="none" w:sz="0" w:space="0" w:color="auto"/>
        <w:bottom w:val="none" w:sz="0" w:space="0" w:color="auto"/>
        <w:right w:val="none" w:sz="0" w:space="0" w:color="auto"/>
      </w:divBdr>
    </w:div>
    <w:div w:id="1500537500">
      <w:bodyDiv w:val="1"/>
      <w:marLeft w:val="0"/>
      <w:marRight w:val="0"/>
      <w:marTop w:val="0"/>
      <w:marBottom w:val="0"/>
      <w:divBdr>
        <w:top w:val="none" w:sz="0" w:space="0" w:color="auto"/>
        <w:left w:val="none" w:sz="0" w:space="0" w:color="auto"/>
        <w:bottom w:val="none" w:sz="0" w:space="0" w:color="auto"/>
        <w:right w:val="none" w:sz="0" w:space="0" w:color="auto"/>
      </w:divBdr>
    </w:div>
    <w:div w:id="1501386893">
      <w:bodyDiv w:val="1"/>
      <w:marLeft w:val="0"/>
      <w:marRight w:val="0"/>
      <w:marTop w:val="0"/>
      <w:marBottom w:val="0"/>
      <w:divBdr>
        <w:top w:val="none" w:sz="0" w:space="0" w:color="auto"/>
        <w:left w:val="none" w:sz="0" w:space="0" w:color="auto"/>
        <w:bottom w:val="none" w:sz="0" w:space="0" w:color="auto"/>
        <w:right w:val="none" w:sz="0" w:space="0" w:color="auto"/>
      </w:divBdr>
    </w:div>
    <w:div w:id="1502618380">
      <w:bodyDiv w:val="1"/>
      <w:marLeft w:val="0"/>
      <w:marRight w:val="0"/>
      <w:marTop w:val="0"/>
      <w:marBottom w:val="0"/>
      <w:divBdr>
        <w:top w:val="none" w:sz="0" w:space="0" w:color="auto"/>
        <w:left w:val="none" w:sz="0" w:space="0" w:color="auto"/>
        <w:bottom w:val="none" w:sz="0" w:space="0" w:color="auto"/>
        <w:right w:val="none" w:sz="0" w:space="0" w:color="auto"/>
      </w:divBdr>
    </w:div>
    <w:div w:id="1503428072">
      <w:bodyDiv w:val="1"/>
      <w:marLeft w:val="0"/>
      <w:marRight w:val="0"/>
      <w:marTop w:val="0"/>
      <w:marBottom w:val="0"/>
      <w:divBdr>
        <w:top w:val="none" w:sz="0" w:space="0" w:color="auto"/>
        <w:left w:val="none" w:sz="0" w:space="0" w:color="auto"/>
        <w:bottom w:val="none" w:sz="0" w:space="0" w:color="auto"/>
        <w:right w:val="none" w:sz="0" w:space="0" w:color="auto"/>
      </w:divBdr>
    </w:div>
    <w:div w:id="1503550462">
      <w:bodyDiv w:val="1"/>
      <w:marLeft w:val="0"/>
      <w:marRight w:val="0"/>
      <w:marTop w:val="0"/>
      <w:marBottom w:val="0"/>
      <w:divBdr>
        <w:top w:val="none" w:sz="0" w:space="0" w:color="auto"/>
        <w:left w:val="none" w:sz="0" w:space="0" w:color="auto"/>
        <w:bottom w:val="none" w:sz="0" w:space="0" w:color="auto"/>
        <w:right w:val="none" w:sz="0" w:space="0" w:color="auto"/>
      </w:divBdr>
    </w:div>
    <w:div w:id="1504397267">
      <w:bodyDiv w:val="1"/>
      <w:marLeft w:val="0"/>
      <w:marRight w:val="0"/>
      <w:marTop w:val="0"/>
      <w:marBottom w:val="0"/>
      <w:divBdr>
        <w:top w:val="none" w:sz="0" w:space="0" w:color="auto"/>
        <w:left w:val="none" w:sz="0" w:space="0" w:color="auto"/>
        <w:bottom w:val="none" w:sz="0" w:space="0" w:color="auto"/>
        <w:right w:val="none" w:sz="0" w:space="0" w:color="auto"/>
      </w:divBdr>
    </w:div>
    <w:div w:id="1504587493">
      <w:bodyDiv w:val="1"/>
      <w:marLeft w:val="0"/>
      <w:marRight w:val="0"/>
      <w:marTop w:val="0"/>
      <w:marBottom w:val="0"/>
      <w:divBdr>
        <w:top w:val="none" w:sz="0" w:space="0" w:color="auto"/>
        <w:left w:val="none" w:sz="0" w:space="0" w:color="auto"/>
        <w:bottom w:val="none" w:sz="0" w:space="0" w:color="auto"/>
        <w:right w:val="none" w:sz="0" w:space="0" w:color="auto"/>
      </w:divBdr>
    </w:div>
    <w:div w:id="1505432710">
      <w:bodyDiv w:val="1"/>
      <w:marLeft w:val="0"/>
      <w:marRight w:val="0"/>
      <w:marTop w:val="0"/>
      <w:marBottom w:val="0"/>
      <w:divBdr>
        <w:top w:val="none" w:sz="0" w:space="0" w:color="auto"/>
        <w:left w:val="none" w:sz="0" w:space="0" w:color="auto"/>
        <w:bottom w:val="none" w:sz="0" w:space="0" w:color="auto"/>
        <w:right w:val="none" w:sz="0" w:space="0" w:color="auto"/>
      </w:divBdr>
    </w:div>
    <w:div w:id="1505779107">
      <w:bodyDiv w:val="1"/>
      <w:marLeft w:val="0"/>
      <w:marRight w:val="0"/>
      <w:marTop w:val="0"/>
      <w:marBottom w:val="0"/>
      <w:divBdr>
        <w:top w:val="none" w:sz="0" w:space="0" w:color="auto"/>
        <w:left w:val="none" w:sz="0" w:space="0" w:color="auto"/>
        <w:bottom w:val="none" w:sz="0" w:space="0" w:color="auto"/>
        <w:right w:val="none" w:sz="0" w:space="0" w:color="auto"/>
      </w:divBdr>
    </w:div>
    <w:div w:id="1505826689">
      <w:bodyDiv w:val="1"/>
      <w:marLeft w:val="0"/>
      <w:marRight w:val="0"/>
      <w:marTop w:val="0"/>
      <w:marBottom w:val="0"/>
      <w:divBdr>
        <w:top w:val="none" w:sz="0" w:space="0" w:color="auto"/>
        <w:left w:val="none" w:sz="0" w:space="0" w:color="auto"/>
        <w:bottom w:val="none" w:sz="0" w:space="0" w:color="auto"/>
        <w:right w:val="none" w:sz="0" w:space="0" w:color="auto"/>
      </w:divBdr>
    </w:div>
    <w:div w:id="1505901316">
      <w:bodyDiv w:val="1"/>
      <w:marLeft w:val="0"/>
      <w:marRight w:val="0"/>
      <w:marTop w:val="0"/>
      <w:marBottom w:val="0"/>
      <w:divBdr>
        <w:top w:val="none" w:sz="0" w:space="0" w:color="auto"/>
        <w:left w:val="none" w:sz="0" w:space="0" w:color="auto"/>
        <w:bottom w:val="none" w:sz="0" w:space="0" w:color="auto"/>
        <w:right w:val="none" w:sz="0" w:space="0" w:color="auto"/>
      </w:divBdr>
    </w:div>
    <w:div w:id="1506751295">
      <w:bodyDiv w:val="1"/>
      <w:marLeft w:val="0"/>
      <w:marRight w:val="0"/>
      <w:marTop w:val="0"/>
      <w:marBottom w:val="0"/>
      <w:divBdr>
        <w:top w:val="none" w:sz="0" w:space="0" w:color="auto"/>
        <w:left w:val="none" w:sz="0" w:space="0" w:color="auto"/>
        <w:bottom w:val="none" w:sz="0" w:space="0" w:color="auto"/>
        <w:right w:val="none" w:sz="0" w:space="0" w:color="auto"/>
      </w:divBdr>
    </w:div>
    <w:div w:id="1506752020">
      <w:bodyDiv w:val="1"/>
      <w:marLeft w:val="0"/>
      <w:marRight w:val="0"/>
      <w:marTop w:val="0"/>
      <w:marBottom w:val="0"/>
      <w:divBdr>
        <w:top w:val="none" w:sz="0" w:space="0" w:color="auto"/>
        <w:left w:val="none" w:sz="0" w:space="0" w:color="auto"/>
        <w:bottom w:val="none" w:sz="0" w:space="0" w:color="auto"/>
        <w:right w:val="none" w:sz="0" w:space="0" w:color="auto"/>
      </w:divBdr>
    </w:div>
    <w:div w:id="1508055411">
      <w:bodyDiv w:val="1"/>
      <w:marLeft w:val="0"/>
      <w:marRight w:val="0"/>
      <w:marTop w:val="0"/>
      <w:marBottom w:val="0"/>
      <w:divBdr>
        <w:top w:val="none" w:sz="0" w:space="0" w:color="auto"/>
        <w:left w:val="none" w:sz="0" w:space="0" w:color="auto"/>
        <w:bottom w:val="none" w:sz="0" w:space="0" w:color="auto"/>
        <w:right w:val="none" w:sz="0" w:space="0" w:color="auto"/>
      </w:divBdr>
    </w:div>
    <w:div w:id="1508250687">
      <w:bodyDiv w:val="1"/>
      <w:marLeft w:val="0"/>
      <w:marRight w:val="0"/>
      <w:marTop w:val="0"/>
      <w:marBottom w:val="0"/>
      <w:divBdr>
        <w:top w:val="none" w:sz="0" w:space="0" w:color="auto"/>
        <w:left w:val="none" w:sz="0" w:space="0" w:color="auto"/>
        <w:bottom w:val="none" w:sz="0" w:space="0" w:color="auto"/>
        <w:right w:val="none" w:sz="0" w:space="0" w:color="auto"/>
      </w:divBdr>
    </w:div>
    <w:div w:id="1509516424">
      <w:bodyDiv w:val="1"/>
      <w:marLeft w:val="0"/>
      <w:marRight w:val="0"/>
      <w:marTop w:val="0"/>
      <w:marBottom w:val="0"/>
      <w:divBdr>
        <w:top w:val="none" w:sz="0" w:space="0" w:color="auto"/>
        <w:left w:val="none" w:sz="0" w:space="0" w:color="auto"/>
        <w:bottom w:val="none" w:sz="0" w:space="0" w:color="auto"/>
        <w:right w:val="none" w:sz="0" w:space="0" w:color="auto"/>
      </w:divBdr>
    </w:div>
    <w:div w:id="1509710392">
      <w:bodyDiv w:val="1"/>
      <w:marLeft w:val="0"/>
      <w:marRight w:val="0"/>
      <w:marTop w:val="0"/>
      <w:marBottom w:val="0"/>
      <w:divBdr>
        <w:top w:val="none" w:sz="0" w:space="0" w:color="auto"/>
        <w:left w:val="none" w:sz="0" w:space="0" w:color="auto"/>
        <w:bottom w:val="none" w:sz="0" w:space="0" w:color="auto"/>
        <w:right w:val="none" w:sz="0" w:space="0" w:color="auto"/>
      </w:divBdr>
    </w:div>
    <w:div w:id="1510097005">
      <w:bodyDiv w:val="1"/>
      <w:marLeft w:val="0"/>
      <w:marRight w:val="0"/>
      <w:marTop w:val="0"/>
      <w:marBottom w:val="0"/>
      <w:divBdr>
        <w:top w:val="none" w:sz="0" w:space="0" w:color="auto"/>
        <w:left w:val="none" w:sz="0" w:space="0" w:color="auto"/>
        <w:bottom w:val="none" w:sz="0" w:space="0" w:color="auto"/>
        <w:right w:val="none" w:sz="0" w:space="0" w:color="auto"/>
      </w:divBdr>
    </w:div>
    <w:div w:id="1510484323">
      <w:bodyDiv w:val="1"/>
      <w:marLeft w:val="0"/>
      <w:marRight w:val="0"/>
      <w:marTop w:val="0"/>
      <w:marBottom w:val="0"/>
      <w:divBdr>
        <w:top w:val="none" w:sz="0" w:space="0" w:color="auto"/>
        <w:left w:val="none" w:sz="0" w:space="0" w:color="auto"/>
        <w:bottom w:val="none" w:sz="0" w:space="0" w:color="auto"/>
        <w:right w:val="none" w:sz="0" w:space="0" w:color="auto"/>
      </w:divBdr>
    </w:div>
    <w:div w:id="1511529186">
      <w:bodyDiv w:val="1"/>
      <w:marLeft w:val="0"/>
      <w:marRight w:val="0"/>
      <w:marTop w:val="0"/>
      <w:marBottom w:val="0"/>
      <w:divBdr>
        <w:top w:val="none" w:sz="0" w:space="0" w:color="auto"/>
        <w:left w:val="none" w:sz="0" w:space="0" w:color="auto"/>
        <w:bottom w:val="none" w:sz="0" w:space="0" w:color="auto"/>
        <w:right w:val="none" w:sz="0" w:space="0" w:color="auto"/>
      </w:divBdr>
    </w:div>
    <w:div w:id="1511679990">
      <w:bodyDiv w:val="1"/>
      <w:marLeft w:val="0"/>
      <w:marRight w:val="0"/>
      <w:marTop w:val="0"/>
      <w:marBottom w:val="0"/>
      <w:divBdr>
        <w:top w:val="none" w:sz="0" w:space="0" w:color="auto"/>
        <w:left w:val="none" w:sz="0" w:space="0" w:color="auto"/>
        <w:bottom w:val="none" w:sz="0" w:space="0" w:color="auto"/>
        <w:right w:val="none" w:sz="0" w:space="0" w:color="auto"/>
      </w:divBdr>
    </w:div>
    <w:div w:id="1512376288">
      <w:bodyDiv w:val="1"/>
      <w:marLeft w:val="0"/>
      <w:marRight w:val="0"/>
      <w:marTop w:val="0"/>
      <w:marBottom w:val="0"/>
      <w:divBdr>
        <w:top w:val="none" w:sz="0" w:space="0" w:color="auto"/>
        <w:left w:val="none" w:sz="0" w:space="0" w:color="auto"/>
        <w:bottom w:val="none" w:sz="0" w:space="0" w:color="auto"/>
        <w:right w:val="none" w:sz="0" w:space="0" w:color="auto"/>
      </w:divBdr>
    </w:div>
    <w:div w:id="1512404806">
      <w:bodyDiv w:val="1"/>
      <w:marLeft w:val="0"/>
      <w:marRight w:val="0"/>
      <w:marTop w:val="0"/>
      <w:marBottom w:val="0"/>
      <w:divBdr>
        <w:top w:val="none" w:sz="0" w:space="0" w:color="auto"/>
        <w:left w:val="none" w:sz="0" w:space="0" w:color="auto"/>
        <w:bottom w:val="none" w:sz="0" w:space="0" w:color="auto"/>
        <w:right w:val="none" w:sz="0" w:space="0" w:color="auto"/>
      </w:divBdr>
    </w:div>
    <w:div w:id="1512522983">
      <w:bodyDiv w:val="1"/>
      <w:marLeft w:val="0"/>
      <w:marRight w:val="0"/>
      <w:marTop w:val="0"/>
      <w:marBottom w:val="0"/>
      <w:divBdr>
        <w:top w:val="none" w:sz="0" w:space="0" w:color="auto"/>
        <w:left w:val="none" w:sz="0" w:space="0" w:color="auto"/>
        <w:bottom w:val="none" w:sz="0" w:space="0" w:color="auto"/>
        <w:right w:val="none" w:sz="0" w:space="0" w:color="auto"/>
      </w:divBdr>
    </w:div>
    <w:div w:id="1512527581">
      <w:bodyDiv w:val="1"/>
      <w:marLeft w:val="0"/>
      <w:marRight w:val="0"/>
      <w:marTop w:val="0"/>
      <w:marBottom w:val="0"/>
      <w:divBdr>
        <w:top w:val="none" w:sz="0" w:space="0" w:color="auto"/>
        <w:left w:val="none" w:sz="0" w:space="0" w:color="auto"/>
        <w:bottom w:val="none" w:sz="0" w:space="0" w:color="auto"/>
        <w:right w:val="none" w:sz="0" w:space="0" w:color="auto"/>
      </w:divBdr>
    </w:div>
    <w:div w:id="1512528932">
      <w:bodyDiv w:val="1"/>
      <w:marLeft w:val="0"/>
      <w:marRight w:val="0"/>
      <w:marTop w:val="0"/>
      <w:marBottom w:val="0"/>
      <w:divBdr>
        <w:top w:val="none" w:sz="0" w:space="0" w:color="auto"/>
        <w:left w:val="none" w:sz="0" w:space="0" w:color="auto"/>
        <w:bottom w:val="none" w:sz="0" w:space="0" w:color="auto"/>
        <w:right w:val="none" w:sz="0" w:space="0" w:color="auto"/>
      </w:divBdr>
    </w:div>
    <w:div w:id="1513032323">
      <w:bodyDiv w:val="1"/>
      <w:marLeft w:val="0"/>
      <w:marRight w:val="0"/>
      <w:marTop w:val="0"/>
      <w:marBottom w:val="0"/>
      <w:divBdr>
        <w:top w:val="none" w:sz="0" w:space="0" w:color="auto"/>
        <w:left w:val="none" w:sz="0" w:space="0" w:color="auto"/>
        <w:bottom w:val="none" w:sz="0" w:space="0" w:color="auto"/>
        <w:right w:val="none" w:sz="0" w:space="0" w:color="auto"/>
      </w:divBdr>
    </w:div>
    <w:div w:id="1513255896">
      <w:bodyDiv w:val="1"/>
      <w:marLeft w:val="0"/>
      <w:marRight w:val="0"/>
      <w:marTop w:val="0"/>
      <w:marBottom w:val="0"/>
      <w:divBdr>
        <w:top w:val="none" w:sz="0" w:space="0" w:color="auto"/>
        <w:left w:val="none" w:sz="0" w:space="0" w:color="auto"/>
        <w:bottom w:val="none" w:sz="0" w:space="0" w:color="auto"/>
        <w:right w:val="none" w:sz="0" w:space="0" w:color="auto"/>
      </w:divBdr>
    </w:div>
    <w:div w:id="1513302652">
      <w:bodyDiv w:val="1"/>
      <w:marLeft w:val="0"/>
      <w:marRight w:val="0"/>
      <w:marTop w:val="0"/>
      <w:marBottom w:val="0"/>
      <w:divBdr>
        <w:top w:val="none" w:sz="0" w:space="0" w:color="auto"/>
        <w:left w:val="none" w:sz="0" w:space="0" w:color="auto"/>
        <w:bottom w:val="none" w:sz="0" w:space="0" w:color="auto"/>
        <w:right w:val="none" w:sz="0" w:space="0" w:color="auto"/>
      </w:divBdr>
    </w:div>
    <w:div w:id="1513687673">
      <w:bodyDiv w:val="1"/>
      <w:marLeft w:val="0"/>
      <w:marRight w:val="0"/>
      <w:marTop w:val="0"/>
      <w:marBottom w:val="0"/>
      <w:divBdr>
        <w:top w:val="none" w:sz="0" w:space="0" w:color="auto"/>
        <w:left w:val="none" w:sz="0" w:space="0" w:color="auto"/>
        <w:bottom w:val="none" w:sz="0" w:space="0" w:color="auto"/>
        <w:right w:val="none" w:sz="0" w:space="0" w:color="auto"/>
      </w:divBdr>
    </w:div>
    <w:div w:id="1514152411">
      <w:bodyDiv w:val="1"/>
      <w:marLeft w:val="0"/>
      <w:marRight w:val="0"/>
      <w:marTop w:val="0"/>
      <w:marBottom w:val="0"/>
      <w:divBdr>
        <w:top w:val="none" w:sz="0" w:space="0" w:color="auto"/>
        <w:left w:val="none" w:sz="0" w:space="0" w:color="auto"/>
        <w:bottom w:val="none" w:sz="0" w:space="0" w:color="auto"/>
        <w:right w:val="none" w:sz="0" w:space="0" w:color="auto"/>
      </w:divBdr>
    </w:div>
    <w:div w:id="1514804088">
      <w:bodyDiv w:val="1"/>
      <w:marLeft w:val="0"/>
      <w:marRight w:val="0"/>
      <w:marTop w:val="0"/>
      <w:marBottom w:val="0"/>
      <w:divBdr>
        <w:top w:val="none" w:sz="0" w:space="0" w:color="auto"/>
        <w:left w:val="none" w:sz="0" w:space="0" w:color="auto"/>
        <w:bottom w:val="none" w:sz="0" w:space="0" w:color="auto"/>
        <w:right w:val="none" w:sz="0" w:space="0" w:color="auto"/>
      </w:divBdr>
    </w:div>
    <w:div w:id="1515068612">
      <w:bodyDiv w:val="1"/>
      <w:marLeft w:val="0"/>
      <w:marRight w:val="0"/>
      <w:marTop w:val="0"/>
      <w:marBottom w:val="0"/>
      <w:divBdr>
        <w:top w:val="none" w:sz="0" w:space="0" w:color="auto"/>
        <w:left w:val="none" w:sz="0" w:space="0" w:color="auto"/>
        <w:bottom w:val="none" w:sz="0" w:space="0" w:color="auto"/>
        <w:right w:val="none" w:sz="0" w:space="0" w:color="auto"/>
      </w:divBdr>
    </w:div>
    <w:div w:id="1515072962">
      <w:bodyDiv w:val="1"/>
      <w:marLeft w:val="0"/>
      <w:marRight w:val="0"/>
      <w:marTop w:val="0"/>
      <w:marBottom w:val="0"/>
      <w:divBdr>
        <w:top w:val="none" w:sz="0" w:space="0" w:color="auto"/>
        <w:left w:val="none" w:sz="0" w:space="0" w:color="auto"/>
        <w:bottom w:val="none" w:sz="0" w:space="0" w:color="auto"/>
        <w:right w:val="none" w:sz="0" w:space="0" w:color="auto"/>
      </w:divBdr>
    </w:div>
    <w:div w:id="1515219607">
      <w:bodyDiv w:val="1"/>
      <w:marLeft w:val="0"/>
      <w:marRight w:val="0"/>
      <w:marTop w:val="0"/>
      <w:marBottom w:val="0"/>
      <w:divBdr>
        <w:top w:val="none" w:sz="0" w:space="0" w:color="auto"/>
        <w:left w:val="none" w:sz="0" w:space="0" w:color="auto"/>
        <w:bottom w:val="none" w:sz="0" w:space="0" w:color="auto"/>
        <w:right w:val="none" w:sz="0" w:space="0" w:color="auto"/>
      </w:divBdr>
    </w:div>
    <w:div w:id="1516072201">
      <w:bodyDiv w:val="1"/>
      <w:marLeft w:val="0"/>
      <w:marRight w:val="0"/>
      <w:marTop w:val="0"/>
      <w:marBottom w:val="0"/>
      <w:divBdr>
        <w:top w:val="none" w:sz="0" w:space="0" w:color="auto"/>
        <w:left w:val="none" w:sz="0" w:space="0" w:color="auto"/>
        <w:bottom w:val="none" w:sz="0" w:space="0" w:color="auto"/>
        <w:right w:val="none" w:sz="0" w:space="0" w:color="auto"/>
      </w:divBdr>
    </w:div>
    <w:div w:id="1516571828">
      <w:bodyDiv w:val="1"/>
      <w:marLeft w:val="0"/>
      <w:marRight w:val="0"/>
      <w:marTop w:val="0"/>
      <w:marBottom w:val="0"/>
      <w:divBdr>
        <w:top w:val="none" w:sz="0" w:space="0" w:color="auto"/>
        <w:left w:val="none" w:sz="0" w:space="0" w:color="auto"/>
        <w:bottom w:val="none" w:sz="0" w:space="0" w:color="auto"/>
        <w:right w:val="none" w:sz="0" w:space="0" w:color="auto"/>
      </w:divBdr>
    </w:div>
    <w:div w:id="1516652819">
      <w:bodyDiv w:val="1"/>
      <w:marLeft w:val="0"/>
      <w:marRight w:val="0"/>
      <w:marTop w:val="0"/>
      <w:marBottom w:val="0"/>
      <w:divBdr>
        <w:top w:val="none" w:sz="0" w:space="0" w:color="auto"/>
        <w:left w:val="none" w:sz="0" w:space="0" w:color="auto"/>
        <w:bottom w:val="none" w:sz="0" w:space="0" w:color="auto"/>
        <w:right w:val="none" w:sz="0" w:space="0" w:color="auto"/>
      </w:divBdr>
    </w:div>
    <w:div w:id="1516730510">
      <w:bodyDiv w:val="1"/>
      <w:marLeft w:val="0"/>
      <w:marRight w:val="0"/>
      <w:marTop w:val="0"/>
      <w:marBottom w:val="0"/>
      <w:divBdr>
        <w:top w:val="none" w:sz="0" w:space="0" w:color="auto"/>
        <w:left w:val="none" w:sz="0" w:space="0" w:color="auto"/>
        <w:bottom w:val="none" w:sz="0" w:space="0" w:color="auto"/>
        <w:right w:val="none" w:sz="0" w:space="0" w:color="auto"/>
      </w:divBdr>
    </w:div>
    <w:div w:id="1517111538">
      <w:bodyDiv w:val="1"/>
      <w:marLeft w:val="0"/>
      <w:marRight w:val="0"/>
      <w:marTop w:val="0"/>
      <w:marBottom w:val="0"/>
      <w:divBdr>
        <w:top w:val="none" w:sz="0" w:space="0" w:color="auto"/>
        <w:left w:val="none" w:sz="0" w:space="0" w:color="auto"/>
        <w:bottom w:val="none" w:sz="0" w:space="0" w:color="auto"/>
        <w:right w:val="none" w:sz="0" w:space="0" w:color="auto"/>
      </w:divBdr>
    </w:div>
    <w:div w:id="1517309890">
      <w:bodyDiv w:val="1"/>
      <w:marLeft w:val="0"/>
      <w:marRight w:val="0"/>
      <w:marTop w:val="0"/>
      <w:marBottom w:val="0"/>
      <w:divBdr>
        <w:top w:val="none" w:sz="0" w:space="0" w:color="auto"/>
        <w:left w:val="none" w:sz="0" w:space="0" w:color="auto"/>
        <w:bottom w:val="none" w:sz="0" w:space="0" w:color="auto"/>
        <w:right w:val="none" w:sz="0" w:space="0" w:color="auto"/>
      </w:divBdr>
    </w:div>
    <w:div w:id="1517503538">
      <w:bodyDiv w:val="1"/>
      <w:marLeft w:val="0"/>
      <w:marRight w:val="0"/>
      <w:marTop w:val="0"/>
      <w:marBottom w:val="0"/>
      <w:divBdr>
        <w:top w:val="none" w:sz="0" w:space="0" w:color="auto"/>
        <w:left w:val="none" w:sz="0" w:space="0" w:color="auto"/>
        <w:bottom w:val="none" w:sz="0" w:space="0" w:color="auto"/>
        <w:right w:val="none" w:sz="0" w:space="0" w:color="auto"/>
      </w:divBdr>
    </w:div>
    <w:div w:id="1518928211">
      <w:bodyDiv w:val="1"/>
      <w:marLeft w:val="0"/>
      <w:marRight w:val="0"/>
      <w:marTop w:val="0"/>
      <w:marBottom w:val="0"/>
      <w:divBdr>
        <w:top w:val="none" w:sz="0" w:space="0" w:color="auto"/>
        <w:left w:val="none" w:sz="0" w:space="0" w:color="auto"/>
        <w:bottom w:val="none" w:sz="0" w:space="0" w:color="auto"/>
        <w:right w:val="none" w:sz="0" w:space="0" w:color="auto"/>
      </w:divBdr>
    </w:div>
    <w:div w:id="1519462490">
      <w:bodyDiv w:val="1"/>
      <w:marLeft w:val="0"/>
      <w:marRight w:val="0"/>
      <w:marTop w:val="0"/>
      <w:marBottom w:val="0"/>
      <w:divBdr>
        <w:top w:val="none" w:sz="0" w:space="0" w:color="auto"/>
        <w:left w:val="none" w:sz="0" w:space="0" w:color="auto"/>
        <w:bottom w:val="none" w:sz="0" w:space="0" w:color="auto"/>
        <w:right w:val="none" w:sz="0" w:space="0" w:color="auto"/>
      </w:divBdr>
    </w:div>
    <w:div w:id="1520269463">
      <w:bodyDiv w:val="1"/>
      <w:marLeft w:val="0"/>
      <w:marRight w:val="0"/>
      <w:marTop w:val="0"/>
      <w:marBottom w:val="0"/>
      <w:divBdr>
        <w:top w:val="none" w:sz="0" w:space="0" w:color="auto"/>
        <w:left w:val="none" w:sz="0" w:space="0" w:color="auto"/>
        <w:bottom w:val="none" w:sz="0" w:space="0" w:color="auto"/>
        <w:right w:val="none" w:sz="0" w:space="0" w:color="auto"/>
      </w:divBdr>
    </w:div>
    <w:div w:id="1520313335">
      <w:bodyDiv w:val="1"/>
      <w:marLeft w:val="0"/>
      <w:marRight w:val="0"/>
      <w:marTop w:val="0"/>
      <w:marBottom w:val="0"/>
      <w:divBdr>
        <w:top w:val="none" w:sz="0" w:space="0" w:color="auto"/>
        <w:left w:val="none" w:sz="0" w:space="0" w:color="auto"/>
        <w:bottom w:val="none" w:sz="0" w:space="0" w:color="auto"/>
        <w:right w:val="none" w:sz="0" w:space="0" w:color="auto"/>
      </w:divBdr>
    </w:div>
    <w:div w:id="1520578829">
      <w:bodyDiv w:val="1"/>
      <w:marLeft w:val="0"/>
      <w:marRight w:val="0"/>
      <w:marTop w:val="0"/>
      <w:marBottom w:val="0"/>
      <w:divBdr>
        <w:top w:val="none" w:sz="0" w:space="0" w:color="auto"/>
        <w:left w:val="none" w:sz="0" w:space="0" w:color="auto"/>
        <w:bottom w:val="none" w:sz="0" w:space="0" w:color="auto"/>
        <w:right w:val="none" w:sz="0" w:space="0" w:color="auto"/>
      </w:divBdr>
    </w:div>
    <w:div w:id="1521092022">
      <w:bodyDiv w:val="1"/>
      <w:marLeft w:val="0"/>
      <w:marRight w:val="0"/>
      <w:marTop w:val="0"/>
      <w:marBottom w:val="0"/>
      <w:divBdr>
        <w:top w:val="none" w:sz="0" w:space="0" w:color="auto"/>
        <w:left w:val="none" w:sz="0" w:space="0" w:color="auto"/>
        <w:bottom w:val="none" w:sz="0" w:space="0" w:color="auto"/>
        <w:right w:val="none" w:sz="0" w:space="0" w:color="auto"/>
      </w:divBdr>
    </w:div>
    <w:div w:id="1521117923">
      <w:bodyDiv w:val="1"/>
      <w:marLeft w:val="0"/>
      <w:marRight w:val="0"/>
      <w:marTop w:val="0"/>
      <w:marBottom w:val="0"/>
      <w:divBdr>
        <w:top w:val="none" w:sz="0" w:space="0" w:color="auto"/>
        <w:left w:val="none" w:sz="0" w:space="0" w:color="auto"/>
        <w:bottom w:val="none" w:sz="0" w:space="0" w:color="auto"/>
        <w:right w:val="none" w:sz="0" w:space="0" w:color="auto"/>
      </w:divBdr>
    </w:div>
    <w:div w:id="1521315566">
      <w:bodyDiv w:val="1"/>
      <w:marLeft w:val="0"/>
      <w:marRight w:val="0"/>
      <w:marTop w:val="0"/>
      <w:marBottom w:val="0"/>
      <w:divBdr>
        <w:top w:val="none" w:sz="0" w:space="0" w:color="auto"/>
        <w:left w:val="none" w:sz="0" w:space="0" w:color="auto"/>
        <w:bottom w:val="none" w:sz="0" w:space="0" w:color="auto"/>
        <w:right w:val="none" w:sz="0" w:space="0" w:color="auto"/>
      </w:divBdr>
    </w:div>
    <w:div w:id="1521502708">
      <w:bodyDiv w:val="1"/>
      <w:marLeft w:val="0"/>
      <w:marRight w:val="0"/>
      <w:marTop w:val="0"/>
      <w:marBottom w:val="0"/>
      <w:divBdr>
        <w:top w:val="none" w:sz="0" w:space="0" w:color="auto"/>
        <w:left w:val="none" w:sz="0" w:space="0" w:color="auto"/>
        <w:bottom w:val="none" w:sz="0" w:space="0" w:color="auto"/>
        <w:right w:val="none" w:sz="0" w:space="0" w:color="auto"/>
      </w:divBdr>
    </w:div>
    <w:div w:id="1521505263">
      <w:bodyDiv w:val="1"/>
      <w:marLeft w:val="0"/>
      <w:marRight w:val="0"/>
      <w:marTop w:val="0"/>
      <w:marBottom w:val="0"/>
      <w:divBdr>
        <w:top w:val="none" w:sz="0" w:space="0" w:color="auto"/>
        <w:left w:val="none" w:sz="0" w:space="0" w:color="auto"/>
        <w:bottom w:val="none" w:sz="0" w:space="0" w:color="auto"/>
        <w:right w:val="none" w:sz="0" w:space="0" w:color="auto"/>
      </w:divBdr>
    </w:div>
    <w:div w:id="1521696826">
      <w:bodyDiv w:val="1"/>
      <w:marLeft w:val="0"/>
      <w:marRight w:val="0"/>
      <w:marTop w:val="0"/>
      <w:marBottom w:val="0"/>
      <w:divBdr>
        <w:top w:val="none" w:sz="0" w:space="0" w:color="auto"/>
        <w:left w:val="none" w:sz="0" w:space="0" w:color="auto"/>
        <w:bottom w:val="none" w:sz="0" w:space="0" w:color="auto"/>
        <w:right w:val="none" w:sz="0" w:space="0" w:color="auto"/>
      </w:divBdr>
    </w:div>
    <w:div w:id="1522039995">
      <w:bodyDiv w:val="1"/>
      <w:marLeft w:val="0"/>
      <w:marRight w:val="0"/>
      <w:marTop w:val="0"/>
      <w:marBottom w:val="0"/>
      <w:divBdr>
        <w:top w:val="none" w:sz="0" w:space="0" w:color="auto"/>
        <w:left w:val="none" w:sz="0" w:space="0" w:color="auto"/>
        <w:bottom w:val="none" w:sz="0" w:space="0" w:color="auto"/>
        <w:right w:val="none" w:sz="0" w:space="0" w:color="auto"/>
      </w:divBdr>
    </w:div>
    <w:div w:id="1522236170">
      <w:bodyDiv w:val="1"/>
      <w:marLeft w:val="0"/>
      <w:marRight w:val="0"/>
      <w:marTop w:val="0"/>
      <w:marBottom w:val="0"/>
      <w:divBdr>
        <w:top w:val="none" w:sz="0" w:space="0" w:color="auto"/>
        <w:left w:val="none" w:sz="0" w:space="0" w:color="auto"/>
        <w:bottom w:val="none" w:sz="0" w:space="0" w:color="auto"/>
        <w:right w:val="none" w:sz="0" w:space="0" w:color="auto"/>
      </w:divBdr>
    </w:div>
    <w:div w:id="1522471241">
      <w:bodyDiv w:val="1"/>
      <w:marLeft w:val="0"/>
      <w:marRight w:val="0"/>
      <w:marTop w:val="0"/>
      <w:marBottom w:val="0"/>
      <w:divBdr>
        <w:top w:val="none" w:sz="0" w:space="0" w:color="auto"/>
        <w:left w:val="none" w:sz="0" w:space="0" w:color="auto"/>
        <w:bottom w:val="none" w:sz="0" w:space="0" w:color="auto"/>
        <w:right w:val="none" w:sz="0" w:space="0" w:color="auto"/>
      </w:divBdr>
    </w:div>
    <w:div w:id="1522861788">
      <w:bodyDiv w:val="1"/>
      <w:marLeft w:val="0"/>
      <w:marRight w:val="0"/>
      <w:marTop w:val="0"/>
      <w:marBottom w:val="0"/>
      <w:divBdr>
        <w:top w:val="none" w:sz="0" w:space="0" w:color="auto"/>
        <w:left w:val="none" w:sz="0" w:space="0" w:color="auto"/>
        <w:bottom w:val="none" w:sz="0" w:space="0" w:color="auto"/>
        <w:right w:val="none" w:sz="0" w:space="0" w:color="auto"/>
      </w:divBdr>
    </w:div>
    <w:div w:id="1522932603">
      <w:bodyDiv w:val="1"/>
      <w:marLeft w:val="0"/>
      <w:marRight w:val="0"/>
      <w:marTop w:val="0"/>
      <w:marBottom w:val="0"/>
      <w:divBdr>
        <w:top w:val="none" w:sz="0" w:space="0" w:color="auto"/>
        <w:left w:val="none" w:sz="0" w:space="0" w:color="auto"/>
        <w:bottom w:val="none" w:sz="0" w:space="0" w:color="auto"/>
        <w:right w:val="none" w:sz="0" w:space="0" w:color="auto"/>
      </w:divBdr>
    </w:div>
    <w:div w:id="1524244160">
      <w:bodyDiv w:val="1"/>
      <w:marLeft w:val="0"/>
      <w:marRight w:val="0"/>
      <w:marTop w:val="0"/>
      <w:marBottom w:val="0"/>
      <w:divBdr>
        <w:top w:val="none" w:sz="0" w:space="0" w:color="auto"/>
        <w:left w:val="none" w:sz="0" w:space="0" w:color="auto"/>
        <w:bottom w:val="none" w:sz="0" w:space="0" w:color="auto"/>
        <w:right w:val="none" w:sz="0" w:space="0" w:color="auto"/>
      </w:divBdr>
    </w:div>
    <w:div w:id="1524858007">
      <w:bodyDiv w:val="1"/>
      <w:marLeft w:val="0"/>
      <w:marRight w:val="0"/>
      <w:marTop w:val="0"/>
      <w:marBottom w:val="0"/>
      <w:divBdr>
        <w:top w:val="none" w:sz="0" w:space="0" w:color="auto"/>
        <w:left w:val="none" w:sz="0" w:space="0" w:color="auto"/>
        <w:bottom w:val="none" w:sz="0" w:space="0" w:color="auto"/>
        <w:right w:val="none" w:sz="0" w:space="0" w:color="auto"/>
      </w:divBdr>
    </w:div>
    <w:div w:id="1525053905">
      <w:bodyDiv w:val="1"/>
      <w:marLeft w:val="0"/>
      <w:marRight w:val="0"/>
      <w:marTop w:val="0"/>
      <w:marBottom w:val="0"/>
      <w:divBdr>
        <w:top w:val="none" w:sz="0" w:space="0" w:color="auto"/>
        <w:left w:val="none" w:sz="0" w:space="0" w:color="auto"/>
        <w:bottom w:val="none" w:sz="0" w:space="0" w:color="auto"/>
        <w:right w:val="none" w:sz="0" w:space="0" w:color="auto"/>
      </w:divBdr>
    </w:div>
    <w:div w:id="1526749653">
      <w:bodyDiv w:val="1"/>
      <w:marLeft w:val="0"/>
      <w:marRight w:val="0"/>
      <w:marTop w:val="0"/>
      <w:marBottom w:val="0"/>
      <w:divBdr>
        <w:top w:val="none" w:sz="0" w:space="0" w:color="auto"/>
        <w:left w:val="none" w:sz="0" w:space="0" w:color="auto"/>
        <w:bottom w:val="none" w:sz="0" w:space="0" w:color="auto"/>
        <w:right w:val="none" w:sz="0" w:space="0" w:color="auto"/>
      </w:divBdr>
    </w:div>
    <w:div w:id="1527401674">
      <w:bodyDiv w:val="1"/>
      <w:marLeft w:val="0"/>
      <w:marRight w:val="0"/>
      <w:marTop w:val="0"/>
      <w:marBottom w:val="0"/>
      <w:divBdr>
        <w:top w:val="none" w:sz="0" w:space="0" w:color="auto"/>
        <w:left w:val="none" w:sz="0" w:space="0" w:color="auto"/>
        <w:bottom w:val="none" w:sz="0" w:space="0" w:color="auto"/>
        <w:right w:val="none" w:sz="0" w:space="0" w:color="auto"/>
      </w:divBdr>
    </w:div>
    <w:div w:id="1527672195">
      <w:bodyDiv w:val="1"/>
      <w:marLeft w:val="0"/>
      <w:marRight w:val="0"/>
      <w:marTop w:val="0"/>
      <w:marBottom w:val="0"/>
      <w:divBdr>
        <w:top w:val="none" w:sz="0" w:space="0" w:color="auto"/>
        <w:left w:val="none" w:sz="0" w:space="0" w:color="auto"/>
        <w:bottom w:val="none" w:sz="0" w:space="0" w:color="auto"/>
        <w:right w:val="none" w:sz="0" w:space="0" w:color="auto"/>
      </w:divBdr>
    </w:div>
    <w:div w:id="1527864139">
      <w:bodyDiv w:val="1"/>
      <w:marLeft w:val="0"/>
      <w:marRight w:val="0"/>
      <w:marTop w:val="0"/>
      <w:marBottom w:val="0"/>
      <w:divBdr>
        <w:top w:val="none" w:sz="0" w:space="0" w:color="auto"/>
        <w:left w:val="none" w:sz="0" w:space="0" w:color="auto"/>
        <w:bottom w:val="none" w:sz="0" w:space="0" w:color="auto"/>
        <w:right w:val="none" w:sz="0" w:space="0" w:color="auto"/>
      </w:divBdr>
    </w:div>
    <w:div w:id="1528330757">
      <w:bodyDiv w:val="1"/>
      <w:marLeft w:val="0"/>
      <w:marRight w:val="0"/>
      <w:marTop w:val="0"/>
      <w:marBottom w:val="0"/>
      <w:divBdr>
        <w:top w:val="none" w:sz="0" w:space="0" w:color="auto"/>
        <w:left w:val="none" w:sz="0" w:space="0" w:color="auto"/>
        <w:bottom w:val="none" w:sz="0" w:space="0" w:color="auto"/>
        <w:right w:val="none" w:sz="0" w:space="0" w:color="auto"/>
      </w:divBdr>
    </w:div>
    <w:div w:id="1529490005">
      <w:bodyDiv w:val="1"/>
      <w:marLeft w:val="0"/>
      <w:marRight w:val="0"/>
      <w:marTop w:val="0"/>
      <w:marBottom w:val="0"/>
      <w:divBdr>
        <w:top w:val="none" w:sz="0" w:space="0" w:color="auto"/>
        <w:left w:val="none" w:sz="0" w:space="0" w:color="auto"/>
        <w:bottom w:val="none" w:sz="0" w:space="0" w:color="auto"/>
        <w:right w:val="none" w:sz="0" w:space="0" w:color="auto"/>
      </w:divBdr>
    </w:div>
    <w:div w:id="1530408873">
      <w:bodyDiv w:val="1"/>
      <w:marLeft w:val="0"/>
      <w:marRight w:val="0"/>
      <w:marTop w:val="0"/>
      <w:marBottom w:val="0"/>
      <w:divBdr>
        <w:top w:val="none" w:sz="0" w:space="0" w:color="auto"/>
        <w:left w:val="none" w:sz="0" w:space="0" w:color="auto"/>
        <w:bottom w:val="none" w:sz="0" w:space="0" w:color="auto"/>
        <w:right w:val="none" w:sz="0" w:space="0" w:color="auto"/>
      </w:divBdr>
    </w:div>
    <w:div w:id="1530946563">
      <w:bodyDiv w:val="1"/>
      <w:marLeft w:val="0"/>
      <w:marRight w:val="0"/>
      <w:marTop w:val="0"/>
      <w:marBottom w:val="0"/>
      <w:divBdr>
        <w:top w:val="none" w:sz="0" w:space="0" w:color="auto"/>
        <w:left w:val="none" w:sz="0" w:space="0" w:color="auto"/>
        <w:bottom w:val="none" w:sz="0" w:space="0" w:color="auto"/>
        <w:right w:val="none" w:sz="0" w:space="0" w:color="auto"/>
      </w:divBdr>
    </w:div>
    <w:div w:id="1531069624">
      <w:bodyDiv w:val="1"/>
      <w:marLeft w:val="0"/>
      <w:marRight w:val="0"/>
      <w:marTop w:val="0"/>
      <w:marBottom w:val="0"/>
      <w:divBdr>
        <w:top w:val="none" w:sz="0" w:space="0" w:color="auto"/>
        <w:left w:val="none" w:sz="0" w:space="0" w:color="auto"/>
        <w:bottom w:val="none" w:sz="0" w:space="0" w:color="auto"/>
        <w:right w:val="none" w:sz="0" w:space="0" w:color="auto"/>
      </w:divBdr>
    </w:div>
    <w:div w:id="1531407585">
      <w:bodyDiv w:val="1"/>
      <w:marLeft w:val="0"/>
      <w:marRight w:val="0"/>
      <w:marTop w:val="0"/>
      <w:marBottom w:val="0"/>
      <w:divBdr>
        <w:top w:val="none" w:sz="0" w:space="0" w:color="auto"/>
        <w:left w:val="none" w:sz="0" w:space="0" w:color="auto"/>
        <w:bottom w:val="none" w:sz="0" w:space="0" w:color="auto"/>
        <w:right w:val="none" w:sz="0" w:space="0" w:color="auto"/>
      </w:divBdr>
    </w:div>
    <w:div w:id="1532451799">
      <w:bodyDiv w:val="1"/>
      <w:marLeft w:val="0"/>
      <w:marRight w:val="0"/>
      <w:marTop w:val="0"/>
      <w:marBottom w:val="0"/>
      <w:divBdr>
        <w:top w:val="none" w:sz="0" w:space="0" w:color="auto"/>
        <w:left w:val="none" w:sz="0" w:space="0" w:color="auto"/>
        <w:bottom w:val="none" w:sz="0" w:space="0" w:color="auto"/>
        <w:right w:val="none" w:sz="0" w:space="0" w:color="auto"/>
      </w:divBdr>
    </w:div>
    <w:div w:id="1533761350">
      <w:bodyDiv w:val="1"/>
      <w:marLeft w:val="0"/>
      <w:marRight w:val="0"/>
      <w:marTop w:val="0"/>
      <w:marBottom w:val="0"/>
      <w:divBdr>
        <w:top w:val="none" w:sz="0" w:space="0" w:color="auto"/>
        <w:left w:val="none" w:sz="0" w:space="0" w:color="auto"/>
        <w:bottom w:val="none" w:sz="0" w:space="0" w:color="auto"/>
        <w:right w:val="none" w:sz="0" w:space="0" w:color="auto"/>
      </w:divBdr>
    </w:div>
    <w:div w:id="1534348376">
      <w:bodyDiv w:val="1"/>
      <w:marLeft w:val="0"/>
      <w:marRight w:val="0"/>
      <w:marTop w:val="0"/>
      <w:marBottom w:val="0"/>
      <w:divBdr>
        <w:top w:val="none" w:sz="0" w:space="0" w:color="auto"/>
        <w:left w:val="none" w:sz="0" w:space="0" w:color="auto"/>
        <w:bottom w:val="none" w:sz="0" w:space="0" w:color="auto"/>
        <w:right w:val="none" w:sz="0" w:space="0" w:color="auto"/>
      </w:divBdr>
    </w:div>
    <w:div w:id="1534998776">
      <w:bodyDiv w:val="1"/>
      <w:marLeft w:val="0"/>
      <w:marRight w:val="0"/>
      <w:marTop w:val="0"/>
      <w:marBottom w:val="0"/>
      <w:divBdr>
        <w:top w:val="none" w:sz="0" w:space="0" w:color="auto"/>
        <w:left w:val="none" w:sz="0" w:space="0" w:color="auto"/>
        <w:bottom w:val="none" w:sz="0" w:space="0" w:color="auto"/>
        <w:right w:val="none" w:sz="0" w:space="0" w:color="auto"/>
      </w:divBdr>
    </w:div>
    <w:div w:id="1536313465">
      <w:bodyDiv w:val="1"/>
      <w:marLeft w:val="0"/>
      <w:marRight w:val="0"/>
      <w:marTop w:val="0"/>
      <w:marBottom w:val="0"/>
      <w:divBdr>
        <w:top w:val="none" w:sz="0" w:space="0" w:color="auto"/>
        <w:left w:val="none" w:sz="0" w:space="0" w:color="auto"/>
        <w:bottom w:val="none" w:sz="0" w:space="0" w:color="auto"/>
        <w:right w:val="none" w:sz="0" w:space="0" w:color="auto"/>
      </w:divBdr>
    </w:div>
    <w:div w:id="1536500661">
      <w:bodyDiv w:val="1"/>
      <w:marLeft w:val="0"/>
      <w:marRight w:val="0"/>
      <w:marTop w:val="0"/>
      <w:marBottom w:val="0"/>
      <w:divBdr>
        <w:top w:val="none" w:sz="0" w:space="0" w:color="auto"/>
        <w:left w:val="none" w:sz="0" w:space="0" w:color="auto"/>
        <w:bottom w:val="none" w:sz="0" w:space="0" w:color="auto"/>
        <w:right w:val="none" w:sz="0" w:space="0" w:color="auto"/>
      </w:divBdr>
    </w:div>
    <w:div w:id="1537502610">
      <w:bodyDiv w:val="1"/>
      <w:marLeft w:val="0"/>
      <w:marRight w:val="0"/>
      <w:marTop w:val="0"/>
      <w:marBottom w:val="0"/>
      <w:divBdr>
        <w:top w:val="none" w:sz="0" w:space="0" w:color="auto"/>
        <w:left w:val="none" w:sz="0" w:space="0" w:color="auto"/>
        <w:bottom w:val="none" w:sz="0" w:space="0" w:color="auto"/>
        <w:right w:val="none" w:sz="0" w:space="0" w:color="auto"/>
      </w:divBdr>
    </w:div>
    <w:div w:id="1537742886">
      <w:bodyDiv w:val="1"/>
      <w:marLeft w:val="0"/>
      <w:marRight w:val="0"/>
      <w:marTop w:val="0"/>
      <w:marBottom w:val="0"/>
      <w:divBdr>
        <w:top w:val="none" w:sz="0" w:space="0" w:color="auto"/>
        <w:left w:val="none" w:sz="0" w:space="0" w:color="auto"/>
        <w:bottom w:val="none" w:sz="0" w:space="0" w:color="auto"/>
        <w:right w:val="none" w:sz="0" w:space="0" w:color="auto"/>
      </w:divBdr>
    </w:div>
    <w:div w:id="1537961704">
      <w:bodyDiv w:val="1"/>
      <w:marLeft w:val="0"/>
      <w:marRight w:val="0"/>
      <w:marTop w:val="0"/>
      <w:marBottom w:val="0"/>
      <w:divBdr>
        <w:top w:val="none" w:sz="0" w:space="0" w:color="auto"/>
        <w:left w:val="none" w:sz="0" w:space="0" w:color="auto"/>
        <w:bottom w:val="none" w:sz="0" w:space="0" w:color="auto"/>
        <w:right w:val="none" w:sz="0" w:space="0" w:color="auto"/>
      </w:divBdr>
    </w:div>
    <w:div w:id="1538348833">
      <w:bodyDiv w:val="1"/>
      <w:marLeft w:val="0"/>
      <w:marRight w:val="0"/>
      <w:marTop w:val="0"/>
      <w:marBottom w:val="0"/>
      <w:divBdr>
        <w:top w:val="none" w:sz="0" w:space="0" w:color="auto"/>
        <w:left w:val="none" w:sz="0" w:space="0" w:color="auto"/>
        <w:bottom w:val="none" w:sz="0" w:space="0" w:color="auto"/>
        <w:right w:val="none" w:sz="0" w:space="0" w:color="auto"/>
      </w:divBdr>
    </w:div>
    <w:div w:id="1539664702">
      <w:bodyDiv w:val="1"/>
      <w:marLeft w:val="0"/>
      <w:marRight w:val="0"/>
      <w:marTop w:val="0"/>
      <w:marBottom w:val="0"/>
      <w:divBdr>
        <w:top w:val="none" w:sz="0" w:space="0" w:color="auto"/>
        <w:left w:val="none" w:sz="0" w:space="0" w:color="auto"/>
        <w:bottom w:val="none" w:sz="0" w:space="0" w:color="auto"/>
        <w:right w:val="none" w:sz="0" w:space="0" w:color="auto"/>
      </w:divBdr>
    </w:div>
    <w:div w:id="1542356673">
      <w:bodyDiv w:val="1"/>
      <w:marLeft w:val="0"/>
      <w:marRight w:val="0"/>
      <w:marTop w:val="0"/>
      <w:marBottom w:val="0"/>
      <w:divBdr>
        <w:top w:val="none" w:sz="0" w:space="0" w:color="auto"/>
        <w:left w:val="none" w:sz="0" w:space="0" w:color="auto"/>
        <w:bottom w:val="none" w:sz="0" w:space="0" w:color="auto"/>
        <w:right w:val="none" w:sz="0" w:space="0" w:color="auto"/>
      </w:divBdr>
    </w:div>
    <w:div w:id="1542471032">
      <w:bodyDiv w:val="1"/>
      <w:marLeft w:val="0"/>
      <w:marRight w:val="0"/>
      <w:marTop w:val="0"/>
      <w:marBottom w:val="0"/>
      <w:divBdr>
        <w:top w:val="none" w:sz="0" w:space="0" w:color="auto"/>
        <w:left w:val="none" w:sz="0" w:space="0" w:color="auto"/>
        <w:bottom w:val="none" w:sz="0" w:space="0" w:color="auto"/>
        <w:right w:val="none" w:sz="0" w:space="0" w:color="auto"/>
      </w:divBdr>
    </w:div>
    <w:div w:id="1542476195">
      <w:bodyDiv w:val="1"/>
      <w:marLeft w:val="0"/>
      <w:marRight w:val="0"/>
      <w:marTop w:val="0"/>
      <w:marBottom w:val="0"/>
      <w:divBdr>
        <w:top w:val="none" w:sz="0" w:space="0" w:color="auto"/>
        <w:left w:val="none" w:sz="0" w:space="0" w:color="auto"/>
        <w:bottom w:val="none" w:sz="0" w:space="0" w:color="auto"/>
        <w:right w:val="none" w:sz="0" w:space="0" w:color="auto"/>
      </w:divBdr>
    </w:div>
    <w:div w:id="1543789613">
      <w:bodyDiv w:val="1"/>
      <w:marLeft w:val="0"/>
      <w:marRight w:val="0"/>
      <w:marTop w:val="0"/>
      <w:marBottom w:val="0"/>
      <w:divBdr>
        <w:top w:val="none" w:sz="0" w:space="0" w:color="auto"/>
        <w:left w:val="none" w:sz="0" w:space="0" w:color="auto"/>
        <w:bottom w:val="none" w:sz="0" w:space="0" w:color="auto"/>
        <w:right w:val="none" w:sz="0" w:space="0" w:color="auto"/>
      </w:divBdr>
    </w:div>
    <w:div w:id="1543907844">
      <w:bodyDiv w:val="1"/>
      <w:marLeft w:val="0"/>
      <w:marRight w:val="0"/>
      <w:marTop w:val="0"/>
      <w:marBottom w:val="0"/>
      <w:divBdr>
        <w:top w:val="none" w:sz="0" w:space="0" w:color="auto"/>
        <w:left w:val="none" w:sz="0" w:space="0" w:color="auto"/>
        <w:bottom w:val="none" w:sz="0" w:space="0" w:color="auto"/>
        <w:right w:val="none" w:sz="0" w:space="0" w:color="auto"/>
      </w:divBdr>
    </w:div>
    <w:div w:id="1543976544">
      <w:bodyDiv w:val="1"/>
      <w:marLeft w:val="0"/>
      <w:marRight w:val="0"/>
      <w:marTop w:val="0"/>
      <w:marBottom w:val="0"/>
      <w:divBdr>
        <w:top w:val="none" w:sz="0" w:space="0" w:color="auto"/>
        <w:left w:val="none" w:sz="0" w:space="0" w:color="auto"/>
        <w:bottom w:val="none" w:sz="0" w:space="0" w:color="auto"/>
        <w:right w:val="none" w:sz="0" w:space="0" w:color="auto"/>
      </w:divBdr>
    </w:div>
    <w:div w:id="1544752543">
      <w:bodyDiv w:val="1"/>
      <w:marLeft w:val="0"/>
      <w:marRight w:val="0"/>
      <w:marTop w:val="0"/>
      <w:marBottom w:val="0"/>
      <w:divBdr>
        <w:top w:val="none" w:sz="0" w:space="0" w:color="auto"/>
        <w:left w:val="none" w:sz="0" w:space="0" w:color="auto"/>
        <w:bottom w:val="none" w:sz="0" w:space="0" w:color="auto"/>
        <w:right w:val="none" w:sz="0" w:space="0" w:color="auto"/>
      </w:divBdr>
    </w:div>
    <w:div w:id="1545167590">
      <w:bodyDiv w:val="1"/>
      <w:marLeft w:val="0"/>
      <w:marRight w:val="0"/>
      <w:marTop w:val="0"/>
      <w:marBottom w:val="0"/>
      <w:divBdr>
        <w:top w:val="none" w:sz="0" w:space="0" w:color="auto"/>
        <w:left w:val="none" w:sz="0" w:space="0" w:color="auto"/>
        <w:bottom w:val="none" w:sz="0" w:space="0" w:color="auto"/>
        <w:right w:val="none" w:sz="0" w:space="0" w:color="auto"/>
      </w:divBdr>
    </w:div>
    <w:div w:id="1545363022">
      <w:bodyDiv w:val="1"/>
      <w:marLeft w:val="0"/>
      <w:marRight w:val="0"/>
      <w:marTop w:val="0"/>
      <w:marBottom w:val="0"/>
      <w:divBdr>
        <w:top w:val="none" w:sz="0" w:space="0" w:color="auto"/>
        <w:left w:val="none" w:sz="0" w:space="0" w:color="auto"/>
        <w:bottom w:val="none" w:sz="0" w:space="0" w:color="auto"/>
        <w:right w:val="none" w:sz="0" w:space="0" w:color="auto"/>
      </w:divBdr>
    </w:div>
    <w:div w:id="1545411913">
      <w:bodyDiv w:val="1"/>
      <w:marLeft w:val="0"/>
      <w:marRight w:val="0"/>
      <w:marTop w:val="0"/>
      <w:marBottom w:val="0"/>
      <w:divBdr>
        <w:top w:val="none" w:sz="0" w:space="0" w:color="auto"/>
        <w:left w:val="none" w:sz="0" w:space="0" w:color="auto"/>
        <w:bottom w:val="none" w:sz="0" w:space="0" w:color="auto"/>
        <w:right w:val="none" w:sz="0" w:space="0" w:color="auto"/>
      </w:divBdr>
    </w:div>
    <w:div w:id="1545752632">
      <w:bodyDiv w:val="1"/>
      <w:marLeft w:val="0"/>
      <w:marRight w:val="0"/>
      <w:marTop w:val="0"/>
      <w:marBottom w:val="0"/>
      <w:divBdr>
        <w:top w:val="none" w:sz="0" w:space="0" w:color="auto"/>
        <w:left w:val="none" w:sz="0" w:space="0" w:color="auto"/>
        <w:bottom w:val="none" w:sz="0" w:space="0" w:color="auto"/>
        <w:right w:val="none" w:sz="0" w:space="0" w:color="auto"/>
      </w:divBdr>
    </w:div>
    <w:div w:id="1546258782">
      <w:bodyDiv w:val="1"/>
      <w:marLeft w:val="0"/>
      <w:marRight w:val="0"/>
      <w:marTop w:val="0"/>
      <w:marBottom w:val="0"/>
      <w:divBdr>
        <w:top w:val="none" w:sz="0" w:space="0" w:color="auto"/>
        <w:left w:val="none" w:sz="0" w:space="0" w:color="auto"/>
        <w:bottom w:val="none" w:sz="0" w:space="0" w:color="auto"/>
        <w:right w:val="none" w:sz="0" w:space="0" w:color="auto"/>
      </w:divBdr>
    </w:div>
    <w:div w:id="1546676697">
      <w:bodyDiv w:val="1"/>
      <w:marLeft w:val="0"/>
      <w:marRight w:val="0"/>
      <w:marTop w:val="0"/>
      <w:marBottom w:val="0"/>
      <w:divBdr>
        <w:top w:val="none" w:sz="0" w:space="0" w:color="auto"/>
        <w:left w:val="none" w:sz="0" w:space="0" w:color="auto"/>
        <w:bottom w:val="none" w:sz="0" w:space="0" w:color="auto"/>
        <w:right w:val="none" w:sz="0" w:space="0" w:color="auto"/>
      </w:divBdr>
    </w:div>
    <w:div w:id="1546715401">
      <w:bodyDiv w:val="1"/>
      <w:marLeft w:val="0"/>
      <w:marRight w:val="0"/>
      <w:marTop w:val="0"/>
      <w:marBottom w:val="0"/>
      <w:divBdr>
        <w:top w:val="none" w:sz="0" w:space="0" w:color="auto"/>
        <w:left w:val="none" w:sz="0" w:space="0" w:color="auto"/>
        <w:bottom w:val="none" w:sz="0" w:space="0" w:color="auto"/>
        <w:right w:val="none" w:sz="0" w:space="0" w:color="auto"/>
      </w:divBdr>
    </w:div>
    <w:div w:id="1546793595">
      <w:bodyDiv w:val="1"/>
      <w:marLeft w:val="0"/>
      <w:marRight w:val="0"/>
      <w:marTop w:val="0"/>
      <w:marBottom w:val="0"/>
      <w:divBdr>
        <w:top w:val="none" w:sz="0" w:space="0" w:color="auto"/>
        <w:left w:val="none" w:sz="0" w:space="0" w:color="auto"/>
        <w:bottom w:val="none" w:sz="0" w:space="0" w:color="auto"/>
        <w:right w:val="none" w:sz="0" w:space="0" w:color="auto"/>
      </w:divBdr>
    </w:div>
    <w:div w:id="1546988739">
      <w:bodyDiv w:val="1"/>
      <w:marLeft w:val="0"/>
      <w:marRight w:val="0"/>
      <w:marTop w:val="0"/>
      <w:marBottom w:val="0"/>
      <w:divBdr>
        <w:top w:val="none" w:sz="0" w:space="0" w:color="auto"/>
        <w:left w:val="none" w:sz="0" w:space="0" w:color="auto"/>
        <w:bottom w:val="none" w:sz="0" w:space="0" w:color="auto"/>
        <w:right w:val="none" w:sz="0" w:space="0" w:color="auto"/>
      </w:divBdr>
    </w:div>
    <w:div w:id="1546991449">
      <w:bodyDiv w:val="1"/>
      <w:marLeft w:val="0"/>
      <w:marRight w:val="0"/>
      <w:marTop w:val="0"/>
      <w:marBottom w:val="0"/>
      <w:divBdr>
        <w:top w:val="none" w:sz="0" w:space="0" w:color="auto"/>
        <w:left w:val="none" w:sz="0" w:space="0" w:color="auto"/>
        <w:bottom w:val="none" w:sz="0" w:space="0" w:color="auto"/>
        <w:right w:val="none" w:sz="0" w:space="0" w:color="auto"/>
      </w:divBdr>
    </w:div>
    <w:div w:id="1547764093">
      <w:bodyDiv w:val="1"/>
      <w:marLeft w:val="0"/>
      <w:marRight w:val="0"/>
      <w:marTop w:val="0"/>
      <w:marBottom w:val="0"/>
      <w:divBdr>
        <w:top w:val="none" w:sz="0" w:space="0" w:color="auto"/>
        <w:left w:val="none" w:sz="0" w:space="0" w:color="auto"/>
        <w:bottom w:val="none" w:sz="0" w:space="0" w:color="auto"/>
        <w:right w:val="none" w:sz="0" w:space="0" w:color="auto"/>
      </w:divBdr>
    </w:div>
    <w:div w:id="1548253922">
      <w:bodyDiv w:val="1"/>
      <w:marLeft w:val="0"/>
      <w:marRight w:val="0"/>
      <w:marTop w:val="0"/>
      <w:marBottom w:val="0"/>
      <w:divBdr>
        <w:top w:val="none" w:sz="0" w:space="0" w:color="auto"/>
        <w:left w:val="none" w:sz="0" w:space="0" w:color="auto"/>
        <w:bottom w:val="none" w:sz="0" w:space="0" w:color="auto"/>
        <w:right w:val="none" w:sz="0" w:space="0" w:color="auto"/>
      </w:divBdr>
    </w:div>
    <w:div w:id="1548295937">
      <w:bodyDiv w:val="1"/>
      <w:marLeft w:val="0"/>
      <w:marRight w:val="0"/>
      <w:marTop w:val="0"/>
      <w:marBottom w:val="0"/>
      <w:divBdr>
        <w:top w:val="none" w:sz="0" w:space="0" w:color="auto"/>
        <w:left w:val="none" w:sz="0" w:space="0" w:color="auto"/>
        <w:bottom w:val="none" w:sz="0" w:space="0" w:color="auto"/>
        <w:right w:val="none" w:sz="0" w:space="0" w:color="auto"/>
      </w:divBdr>
    </w:div>
    <w:div w:id="1548908395">
      <w:bodyDiv w:val="1"/>
      <w:marLeft w:val="0"/>
      <w:marRight w:val="0"/>
      <w:marTop w:val="0"/>
      <w:marBottom w:val="0"/>
      <w:divBdr>
        <w:top w:val="none" w:sz="0" w:space="0" w:color="auto"/>
        <w:left w:val="none" w:sz="0" w:space="0" w:color="auto"/>
        <w:bottom w:val="none" w:sz="0" w:space="0" w:color="auto"/>
        <w:right w:val="none" w:sz="0" w:space="0" w:color="auto"/>
      </w:divBdr>
    </w:div>
    <w:div w:id="1549757636">
      <w:bodyDiv w:val="1"/>
      <w:marLeft w:val="0"/>
      <w:marRight w:val="0"/>
      <w:marTop w:val="0"/>
      <w:marBottom w:val="0"/>
      <w:divBdr>
        <w:top w:val="none" w:sz="0" w:space="0" w:color="auto"/>
        <w:left w:val="none" w:sz="0" w:space="0" w:color="auto"/>
        <w:bottom w:val="none" w:sz="0" w:space="0" w:color="auto"/>
        <w:right w:val="none" w:sz="0" w:space="0" w:color="auto"/>
      </w:divBdr>
    </w:div>
    <w:div w:id="1549803304">
      <w:bodyDiv w:val="1"/>
      <w:marLeft w:val="0"/>
      <w:marRight w:val="0"/>
      <w:marTop w:val="0"/>
      <w:marBottom w:val="0"/>
      <w:divBdr>
        <w:top w:val="none" w:sz="0" w:space="0" w:color="auto"/>
        <w:left w:val="none" w:sz="0" w:space="0" w:color="auto"/>
        <w:bottom w:val="none" w:sz="0" w:space="0" w:color="auto"/>
        <w:right w:val="none" w:sz="0" w:space="0" w:color="auto"/>
      </w:divBdr>
    </w:div>
    <w:div w:id="1549949619">
      <w:bodyDiv w:val="1"/>
      <w:marLeft w:val="0"/>
      <w:marRight w:val="0"/>
      <w:marTop w:val="0"/>
      <w:marBottom w:val="0"/>
      <w:divBdr>
        <w:top w:val="none" w:sz="0" w:space="0" w:color="auto"/>
        <w:left w:val="none" w:sz="0" w:space="0" w:color="auto"/>
        <w:bottom w:val="none" w:sz="0" w:space="0" w:color="auto"/>
        <w:right w:val="none" w:sz="0" w:space="0" w:color="auto"/>
      </w:divBdr>
    </w:div>
    <w:div w:id="1551838420">
      <w:bodyDiv w:val="1"/>
      <w:marLeft w:val="0"/>
      <w:marRight w:val="0"/>
      <w:marTop w:val="0"/>
      <w:marBottom w:val="0"/>
      <w:divBdr>
        <w:top w:val="none" w:sz="0" w:space="0" w:color="auto"/>
        <w:left w:val="none" w:sz="0" w:space="0" w:color="auto"/>
        <w:bottom w:val="none" w:sz="0" w:space="0" w:color="auto"/>
        <w:right w:val="none" w:sz="0" w:space="0" w:color="auto"/>
      </w:divBdr>
    </w:div>
    <w:div w:id="1552107341">
      <w:bodyDiv w:val="1"/>
      <w:marLeft w:val="0"/>
      <w:marRight w:val="0"/>
      <w:marTop w:val="0"/>
      <w:marBottom w:val="0"/>
      <w:divBdr>
        <w:top w:val="none" w:sz="0" w:space="0" w:color="auto"/>
        <w:left w:val="none" w:sz="0" w:space="0" w:color="auto"/>
        <w:bottom w:val="none" w:sz="0" w:space="0" w:color="auto"/>
        <w:right w:val="none" w:sz="0" w:space="0" w:color="auto"/>
      </w:divBdr>
    </w:div>
    <w:div w:id="1552229710">
      <w:bodyDiv w:val="1"/>
      <w:marLeft w:val="0"/>
      <w:marRight w:val="0"/>
      <w:marTop w:val="0"/>
      <w:marBottom w:val="0"/>
      <w:divBdr>
        <w:top w:val="none" w:sz="0" w:space="0" w:color="auto"/>
        <w:left w:val="none" w:sz="0" w:space="0" w:color="auto"/>
        <w:bottom w:val="none" w:sz="0" w:space="0" w:color="auto"/>
        <w:right w:val="none" w:sz="0" w:space="0" w:color="auto"/>
      </w:divBdr>
    </w:div>
    <w:div w:id="1552308133">
      <w:bodyDiv w:val="1"/>
      <w:marLeft w:val="0"/>
      <w:marRight w:val="0"/>
      <w:marTop w:val="0"/>
      <w:marBottom w:val="0"/>
      <w:divBdr>
        <w:top w:val="none" w:sz="0" w:space="0" w:color="auto"/>
        <w:left w:val="none" w:sz="0" w:space="0" w:color="auto"/>
        <w:bottom w:val="none" w:sz="0" w:space="0" w:color="auto"/>
        <w:right w:val="none" w:sz="0" w:space="0" w:color="auto"/>
      </w:divBdr>
    </w:div>
    <w:div w:id="1552421964">
      <w:bodyDiv w:val="1"/>
      <w:marLeft w:val="0"/>
      <w:marRight w:val="0"/>
      <w:marTop w:val="0"/>
      <w:marBottom w:val="0"/>
      <w:divBdr>
        <w:top w:val="none" w:sz="0" w:space="0" w:color="auto"/>
        <w:left w:val="none" w:sz="0" w:space="0" w:color="auto"/>
        <w:bottom w:val="none" w:sz="0" w:space="0" w:color="auto"/>
        <w:right w:val="none" w:sz="0" w:space="0" w:color="auto"/>
      </w:divBdr>
    </w:div>
    <w:div w:id="1552571553">
      <w:bodyDiv w:val="1"/>
      <w:marLeft w:val="0"/>
      <w:marRight w:val="0"/>
      <w:marTop w:val="0"/>
      <w:marBottom w:val="0"/>
      <w:divBdr>
        <w:top w:val="none" w:sz="0" w:space="0" w:color="auto"/>
        <w:left w:val="none" w:sz="0" w:space="0" w:color="auto"/>
        <w:bottom w:val="none" w:sz="0" w:space="0" w:color="auto"/>
        <w:right w:val="none" w:sz="0" w:space="0" w:color="auto"/>
      </w:divBdr>
    </w:div>
    <w:div w:id="1552813916">
      <w:bodyDiv w:val="1"/>
      <w:marLeft w:val="0"/>
      <w:marRight w:val="0"/>
      <w:marTop w:val="0"/>
      <w:marBottom w:val="0"/>
      <w:divBdr>
        <w:top w:val="none" w:sz="0" w:space="0" w:color="auto"/>
        <w:left w:val="none" w:sz="0" w:space="0" w:color="auto"/>
        <w:bottom w:val="none" w:sz="0" w:space="0" w:color="auto"/>
        <w:right w:val="none" w:sz="0" w:space="0" w:color="auto"/>
      </w:divBdr>
    </w:div>
    <w:div w:id="1553226570">
      <w:bodyDiv w:val="1"/>
      <w:marLeft w:val="0"/>
      <w:marRight w:val="0"/>
      <w:marTop w:val="0"/>
      <w:marBottom w:val="0"/>
      <w:divBdr>
        <w:top w:val="none" w:sz="0" w:space="0" w:color="auto"/>
        <w:left w:val="none" w:sz="0" w:space="0" w:color="auto"/>
        <w:bottom w:val="none" w:sz="0" w:space="0" w:color="auto"/>
        <w:right w:val="none" w:sz="0" w:space="0" w:color="auto"/>
      </w:divBdr>
    </w:div>
    <w:div w:id="1554269083">
      <w:bodyDiv w:val="1"/>
      <w:marLeft w:val="0"/>
      <w:marRight w:val="0"/>
      <w:marTop w:val="0"/>
      <w:marBottom w:val="0"/>
      <w:divBdr>
        <w:top w:val="none" w:sz="0" w:space="0" w:color="auto"/>
        <w:left w:val="none" w:sz="0" w:space="0" w:color="auto"/>
        <w:bottom w:val="none" w:sz="0" w:space="0" w:color="auto"/>
        <w:right w:val="none" w:sz="0" w:space="0" w:color="auto"/>
      </w:divBdr>
    </w:div>
    <w:div w:id="1554465923">
      <w:bodyDiv w:val="1"/>
      <w:marLeft w:val="0"/>
      <w:marRight w:val="0"/>
      <w:marTop w:val="0"/>
      <w:marBottom w:val="0"/>
      <w:divBdr>
        <w:top w:val="none" w:sz="0" w:space="0" w:color="auto"/>
        <w:left w:val="none" w:sz="0" w:space="0" w:color="auto"/>
        <w:bottom w:val="none" w:sz="0" w:space="0" w:color="auto"/>
        <w:right w:val="none" w:sz="0" w:space="0" w:color="auto"/>
      </w:divBdr>
    </w:div>
    <w:div w:id="1555432148">
      <w:bodyDiv w:val="1"/>
      <w:marLeft w:val="0"/>
      <w:marRight w:val="0"/>
      <w:marTop w:val="0"/>
      <w:marBottom w:val="0"/>
      <w:divBdr>
        <w:top w:val="none" w:sz="0" w:space="0" w:color="auto"/>
        <w:left w:val="none" w:sz="0" w:space="0" w:color="auto"/>
        <w:bottom w:val="none" w:sz="0" w:space="0" w:color="auto"/>
        <w:right w:val="none" w:sz="0" w:space="0" w:color="auto"/>
      </w:divBdr>
    </w:div>
    <w:div w:id="1555847524">
      <w:bodyDiv w:val="1"/>
      <w:marLeft w:val="0"/>
      <w:marRight w:val="0"/>
      <w:marTop w:val="0"/>
      <w:marBottom w:val="0"/>
      <w:divBdr>
        <w:top w:val="none" w:sz="0" w:space="0" w:color="auto"/>
        <w:left w:val="none" w:sz="0" w:space="0" w:color="auto"/>
        <w:bottom w:val="none" w:sz="0" w:space="0" w:color="auto"/>
        <w:right w:val="none" w:sz="0" w:space="0" w:color="auto"/>
      </w:divBdr>
    </w:div>
    <w:div w:id="1556042683">
      <w:bodyDiv w:val="1"/>
      <w:marLeft w:val="0"/>
      <w:marRight w:val="0"/>
      <w:marTop w:val="0"/>
      <w:marBottom w:val="0"/>
      <w:divBdr>
        <w:top w:val="none" w:sz="0" w:space="0" w:color="auto"/>
        <w:left w:val="none" w:sz="0" w:space="0" w:color="auto"/>
        <w:bottom w:val="none" w:sz="0" w:space="0" w:color="auto"/>
        <w:right w:val="none" w:sz="0" w:space="0" w:color="auto"/>
      </w:divBdr>
    </w:div>
    <w:div w:id="1556161997">
      <w:bodyDiv w:val="1"/>
      <w:marLeft w:val="0"/>
      <w:marRight w:val="0"/>
      <w:marTop w:val="0"/>
      <w:marBottom w:val="0"/>
      <w:divBdr>
        <w:top w:val="none" w:sz="0" w:space="0" w:color="auto"/>
        <w:left w:val="none" w:sz="0" w:space="0" w:color="auto"/>
        <w:bottom w:val="none" w:sz="0" w:space="0" w:color="auto"/>
        <w:right w:val="none" w:sz="0" w:space="0" w:color="auto"/>
      </w:divBdr>
    </w:div>
    <w:div w:id="1556236167">
      <w:bodyDiv w:val="1"/>
      <w:marLeft w:val="0"/>
      <w:marRight w:val="0"/>
      <w:marTop w:val="0"/>
      <w:marBottom w:val="0"/>
      <w:divBdr>
        <w:top w:val="none" w:sz="0" w:space="0" w:color="auto"/>
        <w:left w:val="none" w:sz="0" w:space="0" w:color="auto"/>
        <w:bottom w:val="none" w:sz="0" w:space="0" w:color="auto"/>
        <w:right w:val="none" w:sz="0" w:space="0" w:color="auto"/>
      </w:divBdr>
    </w:div>
    <w:div w:id="1556314795">
      <w:bodyDiv w:val="1"/>
      <w:marLeft w:val="0"/>
      <w:marRight w:val="0"/>
      <w:marTop w:val="0"/>
      <w:marBottom w:val="0"/>
      <w:divBdr>
        <w:top w:val="none" w:sz="0" w:space="0" w:color="auto"/>
        <w:left w:val="none" w:sz="0" w:space="0" w:color="auto"/>
        <w:bottom w:val="none" w:sz="0" w:space="0" w:color="auto"/>
        <w:right w:val="none" w:sz="0" w:space="0" w:color="auto"/>
      </w:divBdr>
    </w:div>
    <w:div w:id="1556890785">
      <w:bodyDiv w:val="1"/>
      <w:marLeft w:val="0"/>
      <w:marRight w:val="0"/>
      <w:marTop w:val="0"/>
      <w:marBottom w:val="0"/>
      <w:divBdr>
        <w:top w:val="none" w:sz="0" w:space="0" w:color="auto"/>
        <w:left w:val="none" w:sz="0" w:space="0" w:color="auto"/>
        <w:bottom w:val="none" w:sz="0" w:space="0" w:color="auto"/>
        <w:right w:val="none" w:sz="0" w:space="0" w:color="auto"/>
      </w:divBdr>
    </w:div>
    <w:div w:id="1557008970">
      <w:bodyDiv w:val="1"/>
      <w:marLeft w:val="0"/>
      <w:marRight w:val="0"/>
      <w:marTop w:val="0"/>
      <w:marBottom w:val="0"/>
      <w:divBdr>
        <w:top w:val="none" w:sz="0" w:space="0" w:color="auto"/>
        <w:left w:val="none" w:sz="0" w:space="0" w:color="auto"/>
        <w:bottom w:val="none" w:sz="0" w:space="0" w:color="auto"/>
        <w:right w:val="none" w:sz="0" w:space="0" w:color="auto"/>
      </w:divBdr>
    </w:div>
    <w:div w:id="1557862649">
      <w:bodyDiv w:val="1"/>
      <w:marLeft w:val="0"/>
      <w:marRight w:val="0"/>
      <w:marTop w:val="0"/>
      <w:marBottom w:val="0"/>
      <w:divBdr>
        <w:top w:val="none" w:sz="0" w:space="0" w:color="auto"/>
        <w:left w:val="none" w:sz="0" w:space="0" w:color="auto"/>
        <w:bottom w:val="none" w:sz="0" w:space="0" w:color="auto"/>
        <w:right w:val="none" w:sz="0" w:space="0" w:color="auto"/>
      </w:divBdr>
    </w:div>
    <w:div w:id="1558662979">
      <w:bodyDiv w:val="1"/>
      <w:marLeft w:val="0"/>
      <w:marRight w:val="0"/>
      <w:marTop w:val="0"/>
      <w:marBottom w:val="0"/>
      <w:divBdr>
        <w:top w:val="none" w:sz="0" w:space="0" w:color="auto"/>
        <w:left w:val="none" w:sz="0" w:space="0" w:color="auto"/>
        <w:bottom w:val="none" w:sz="0" w:space="0" w:color="auto"/>
        <w:right w:val="none" w:sz="0" w:space="0" w:color="auto"/>
      </w:divBdr>
    </w:div>
    <w:div w:id="1558668672">
      <w:bodyDiv w:val="1"/>
      <w:marLeft w:val="0"/>
      <w:marRight w:val="0"/>
      <w:marTop w:val="0"/>
      <w:marBottom w:val="0"/>
      <w:divBdr>
        <w:top w:val="none" w:sz="0" w:space="0" w:color="auto"/>
        <w:left w:val="none" w:sz="0" w:space="0" w:color="auto"/>
        <w:bottom w:val="none" w:sz="0" w:space="0" w:color="auto"/>
        <w:right w:val="none" w:sz="0" w:space="0" w:color="auto"/>
      </w:divBdr>
    </w:div>
    <w:div w:id="1559240535">
      <w:bodyDiv w:val="1"/>
      <w:marLeft w:val="0"/>
      <w:marRight w:val="0"/>
      <w:marTop w:val="0"/>
      <w:marBottom w:val="0"/>
      <w:divBdr>
        <w:top w:val="none" w:sz="0" w:space="0" w:color="auto"/>
        <w:left w:val="none" w:sz="0" w:space="0" w:color="auto"/>
        <w:bottom w:val="none" w:sz="0" w:space="0" w:color="auto"/>
        <w:right w:val="none" w:sz="0" w:space="0" w:color="auto"/>
      </w:divBdr>
    </w:div>
    <w:div w:id="1559898766">
      <w:bodyDiv w:val="1"/>
      <w:marLeft w:val="0"/>
      <w:marRight w:val="0"/>
      <w:marTop w:val="0"/>
      <w:marBottom w:val="0"/>
      <w:divBdr>
        <w:top w:val="none" w:sz="0" w:space="0" w:color="auto"/>
        <w:left w:val="none" w:sz="0" w:space="0" w:color="auto"/>
        <w:bottom w:val="none" w:sz="0" w:space="0" w:color="auto"/>
        <w:right w:val="none" w:sz="0" w:space="0" w:color="auto"/>
      </w:divBdr>
    </w:div>
    <w:div w:id="1560557678">
      <w:bodyDiv w:val="1"/>
      <w:marLeft w:val="0"/>
      <w:marRight w:val="0"/>
      <w:marTop w:val="0"/>
      <w:marBottom w:val="0"/>
      <w:divBdr>
        <w:top w:val="none" w:sz="0" w:space="0" w:color="auto"/>
        <w:left w:val="none" w:sz="0" w:space="0" w:color="auto"/>
        <w:bottom w:val="none" w:sz="0" w:space="0" w:color="auto"/>
        <w:right w:val="none" w:sz="0" w:space="0" w:color="auto"/>
      </w:divBdr>
    </w:div>
    <w:div w:id="1560897603">
      <w:bodyDiv w:val="1"/>
      <w:marLeft w:val="0"/>
      <w:marRight w:val="0"/>
      <w:marTop w:val="0"/>
      <w:marBottom w:val="0"/>
      <w:divBdr>
        <w:top w:val="none" w:sz="0" w:space="0" w:color="auto"/>
        <w:left w:val="none" w:sz="0" w:space="0" w:color="auto"/>
        <w:bottom w:val="none" w:sz="0" w:space="0" w:color="auto"/>
        <w:right w:val="none" w:sz="0" w:space="0" w:color="auto"/>
      </w:divBdr>
    </w:div>
    <w:div w:id="1561213515">
      <w:bodyDiv w:val="1"/>
      <w:marLeft w:val="0"/>
      <w:marRight w:val="0"/>
      <w:marTop w:val="0"/>
      <w:marBottom w:val="0"/>
      <w:divBdr>
        <w:top w:val="none" w:sz="0" w:space="0" w:color="auto"/>
        <w:left w:val="none" w:sz="0" w:space="0" w:color="auto"/>
        <w:bottom w:val="none" w:sz="0" w:space="0" w:color="auto"/>
        <w:right w:val="none" w:sz="0" w:space="0" w:color="auto"/>
      </w:divBdr>
    </w:div>
    <w:div w:id="1561281286">
      <w:bodyDiv w:val="1"/>
      <w:marLeft w:val="0"/>
      <w:marRight w:val="0"/>
      <w:marTop w:val="0"/>
      <w:marBottom w:val="0"/>
      <w:divBdr>
        <w:top w:val="none" w:sz="0" w:space="0" w:color="auto"/>
        <w:left w:val="none" w:sz="0" w:space="0" w:color="auto"/>
        <w:bottom w:val="none" w:sz="0" w:space="0" w:color="auto"/>
        <w:right w:val="none" w:sz="0" w:space="0" w:color="auto"/>
      </w:divBdr>
    </w:div>
    <w:div w:id="1561789166">
      <w:bodyDiv w:val="1"/>
      <w:marLeft w:val="0"/>
      <w:marRight w:val="0"/>
      <w:marTop w:val="0"/>
      <w:marBottom w:val="0"/>
      <w:divBdr>
        <w:top w:val="none" w:sz="0" w:space="0" w:color="auto"/>
        <w:left w:val="none" w:sz="0" w:space="0" w:color="auto"/>
        <w:bottom w:val="none" w:sz="0" w:space="0" w:color="auto"/>
        <w:right w:val="none" w:sz="0" w:space="0" w:color="auto"/>
      </w:divBdr>
    </w:div>
    <w:div w:id="1561792917">
      <w:bodyDiv w:val="1"/>
      <w:marLeft w:val="0"/>
      <w:marRight w:val="0"/>
      <w:marTop w:val="0"/>
      <w:marBottom w:val="0"/>
      <w:divBdr>
        <w:top w:val="none" w:sz="0" w:space="0" w:color="auto"/>
        <w:left w:val="none" w:sz="0" w:space="0" w:color="auto"/>
        <w:bottom w:val="none" w:sz="0" w:space="0" w:color="auto"/>
        <w:right w:val="none" w:sz="0" w:space="0" w:color="auto"/>
      </w:divBdr>
    </w:div>
    <w:div w:id="1562132278">
      <w:bodyDiv w:val="1"/>
      <w:marLeft w:val="0"/>
      <w:marRight w:val="0"/>
      <w:marTop w:val="0"/>
      <w:marBottom w:val="0"/>
      <w:divBdr>
        <w:top w:val="none" w:sz="0" w:space="0" w:color="auto"/>
        <w:left w:val="none" w:sz="0" w:space="0" w:color="auto"/>
        <w:bottom w:val="none" w:sz="0" w:space="0" w:color="auto"/>
        <w:right w:val="none" w:sz="0" w:space="0" w:color="auto"/>
      </w:divBdr>
    </w:div>
    <w:div w:id="1562398402">
      <w:bodyDiv w:val="1"/>
      <w:marLeft w:val="0"/>
      <w:marRight w:val="0"/>
      <w:marTop w:val="0"/>
      <w:marBottom w:val="0"/>
      <w:divBdr>
        <w:top w:val="none" w:sz="0" w:space="0" w:color="auto"/>
        <w:left w:val="none" w:sz="0" w:space="0" w:color="auto"/>
        <w:bottom w:val="none" w:sz="0" w:space="0" w:color="auto"/>
        <w:right w:val="none" w:sz="0" w:space="0" w:color="auto"/>
      </w:divBdr>
    </w:div>
    <w:div w:id="1562594662">
      <w:bodyDiv w:val="1"/>
      <w:marLeft w:val="0"/>
      <w:marRight w:val="0"/>
      <w:marTop w:val="0"/>
      <w:marBottom w:val="0"/>
      <w:divBdr>
        <w:top w:val="none" w:sz="0" w:space="0" w:color="auto"/>
        <w:left w:val="none" w:sz="0" w:space="0" w:color="auto"/>
        <w:bottom w:val="none" w:sz="0" w:space="0" w:color="auto"/>
        <w:right w:val="none" w:sz="0" w:space="0" w:color="auto"/>
      </w:divBdr>
    </w:div>
    <w:div w:id="1562906471">
      <w:bodyDiv w:val="1"/>
      <w:marLeft w:val="0"/>
      <w:marRight w:val="0"/>
      <w:marTop w:val="0"/>
      <w:marBottom w:val="0"/>
      <w:divBdr>
        <w:top w:val="none" w:sz="0" w:space="0" w:color="auto"/>
        <w:left w:val="none" w:sz="0" w:space="0" w:color="auto"/>
        <w:bottom w:val="none" w:sz="0" w:space="0" w:color="auto"/>
        <w:right w:val="none" w:sz="0" w:space="0" w:color="auto"/>
      </w:divBdr>
    </w:div>
    <w:div w:id="1563057571">
      <w:bodyDiv w:val="1"/>
      <w:marLeft w:val="0"/>
      <w:marRight w:val="0"/>
      <w:marTop w:val="0"/>
      <w:marBottom w:val="0"/>
      <w:divBdr>
        <w:top w:val="none" w:sz="0" w:space="0" w:color="auto"/>
        <w:left w:val="none" w:sz="0" w:space="0" w:color="auto"/>
        <w:bottom w:val="none" w:sz="0" w:space="0" w:color="auto"/>
        <w:right w:val="none" w:sz="0" w:space="0" w:color="auto"/>
      </w:divBdr>
    </w:div>
    <w:div w:id="1563171056">
      <w:bodyDiv w:val="1"/>
      <w:marLeft w:val="0"/>
      <w:marRight w:val="0"/>
      <w:marTop w:val="0"/>
      <w:marBottom w:val="0"/>
      <w:divBdr>
        <w:top w:val="none" w:sz="0" w:space="0" w:color="auto"/>
        <w:left w:val="none" w:sz="0" w:space="0" w:color="auto"/>
        <w:bottom w:val="none" w:sz="0" w:space="0" w:color="auto"/>
        <w:right w:val="none" w:sz="0" w:space="0" w:color="auto"/>
      </w:divBdr>
    </w:div>
    <w:div w:id="1563442499">
      <w:bodyDiv w:val="1"/>
      <w:marLeft w:val="0"/>
      <w:marRight w:val="0"/>
      <w:marTop w:val="0"/>
      <w:marBottom w:val="0"/>
      <w:divBdr>
        <w:top w:val="none" w:sz="0" w:space="0" w:color="auto"/>
        <w:left w:val="none" w:sz="0" w:space="0" w:color="auto"/>
        <w:bottom w:val="none" w:sz="0" w:space="0" w:color="auto"/>
        <w:right w:val="none" w:sz="0" w:space="0" w:color="auto"/>
      </w:divBdr>
    </w:div>
    <w:div w:id="1563635156">
      <w:bodyDiv w:val="1"/>
      <w:marLeft w:val="0"/>
      <w:marRight w:val="0"/>
      <w:marTop w:val="0"/>
      <w:marBottom w:val="0"/>
      <w:divBdr>
        <w:top w:val="none" w:sz="0" w:space="0" w:color="auto"/>
        <w:left w:val="none" w:sz="0" w:space="0" w:color="auto"/>
        <w:bottom w:val="none" w:sz="0" w:space="0" w:color="auto"/>
        <w:right w:val="none" w:sz="0" w:space="0" w:color="auto"/>
      </w:divBdr>
    </w:div>
    <w:div w:id="1565212462">
      <w:bodyDiv w:val="1"/>
      <w:marLeft w:val="0"/>
      <w:marRight w:val="0"/>
      <w:marTop w:val="0"/>
      <w:marBottom w:val="0"/>
      <w:divBdr>
        <w:top w:val="none" w:sz="0" w:space="0" w:color="auto"/>
        <w:left w:val="none" w:sz="0" w:space="0" w:color="auto"/>
        <w:bottom w:val="none" w:sz="0" w:space="0" w:color="auto"/>
        <w:right w:val="none" w:sz="0" w:space="0" w:color="auto"/>
      </w:divBdr>
    </w:div>
    <w:div w:id="1565525785">
      <w:bodyDiv w:val="1"/>
      <w:marLeft w:val="0"/>
      <w:marRight w:val="0"/>
      <w:marTop w:val="0"/>
      <w:marBottom w:val="0"/>
      <w:divBdr>
        <w:top w:val="none" w:sz="0" w:space="0" w:color="auto"/>
        <w:left w:val="none" w:sz="0" w:space="0" w:color="auto"/>
        <w:bottom w:val="none" w:sz="0" w:space="0" w:color="auto"/>
        <w:right w:val="none" w:sz="0" w:space="0" w:color="auto"/>
      </w:divBdr>
    </w:div>
    <w:div w:id="1565873402">
      <w:bodyDiv w:val="1"/>
      <w:marLeft w:val="0"/>
      <w:marRight w:val="0"/>
      <w:marTop w:val="0"/>
      <w:marBottom w:val="0"/>
      <w:divBdr>
        <w:top w:val="none" w:sz="0" w:space="0" w:color="auto"/>
        <w:left w:val="none" w:sz="0" w:space="0" w:color="auto"/>
        <w:bottom w:val="none" w:sz="0" w:space="0" w:color="auto"/>
        <w:right w:val="none" w:sz="0" w:space="0" w:color="auto"/>
      </w:divBdr>
    </w:div>
    <w:div w:id="1566525829">
      <w:bodyDiv w:val="1"/>
      <w:marLeft w:val="0"/>
      <w:marRight w:val="0"/>
      <w:marTop w:val="0"/>
      <w:marBottom w:val="0"/>
      <w:divBdr>
        <w:top w:val="none" w:sz="0" w:space="0" w:color="auto"/>
        <w:left w:val="none" w:sz="0" w:space="0" w:color="auto"/>
        <w:bottom w:val="none" w:sz="0" w:space="0" w:color="auto"/>
        <w:right w:val="none" w:sz="0" w:space="0" w:color="auto"/>
      </w:divBdr>
    </w:div>
    <w:div w:id="1568026611">
      <w:bodyDiv w:val="1"/>
      <w:marLeft w:val="0"/>
      <w:marRight w:val="0"/>
      <w:marTop w:val="0"/>
      <w:marBottom w:val="0"/>
      <w:divBdr>
        <w:top w:val="none" w:sz="0" w:space="0" w:color="auto"/>
        <w:left w:val="none" w:sz="0" w:space="0" w:color="auto"/>
        <w:bottom w:val="none" w:sz="0" w:space="0" w:color="auto"/>
        <w:right w:val="none" w:sz="0" w:space="0" w:color="auto"/>
      </w:divBdr>
    </w:div>
    <w:div w:id="1568303782">
      <w:bodyDiv w:val="1"/>
      <w:marLeft w:val="0"/>
      <w:marRight w:val="0"/>
      <w:marTop w:val="0"/>
      <w:marBottom w:val="0"/>
      <w:divBdr>
        <w:top w:val="none" w:sz="0" w:space="0" w:color="auto"/>
        <w:left w:val="none" w:sz="0" w:space="0" w:color="auto"/>
        <w:bottom w:val="none" w:sz="0" w:space="0" w:color="auto"/>
        <w:right w:val="none" w:sz="0" w:space="0" w:color="auto"/>
      </w:divBdr>
    </w:div>
    <w:div w:id="1568489499">
      <w:bodyDiv w:val="1"/>
      <w:marLeft w:val="0"/>
      <w:marRight w:val="0"/>
      <w:marTop w:val="0"/>
      <w:marBottom w:val="0"/>
      <w:divBdr>
        <w:top w:val="none" w:sz="0" w:space="0" w:color="auto"/>
        <w:left w:val="none" w:sz="0" w:space="0" w:color="auto"/>
        <w:bottom w:val="none" w:sz="0" w:space="0" w:color="auto"/>
        <w:right w:val="none" w:sz="0" w:space="0" w:color="auto"/>
      </w:divBdr>
    </w:div>
    <w:div w:id="1568685084">
      <w:bodyDiv w:val="1"/>
      <w:marLeft w:val="0"/>
      <w:marRight w:val="0"/>
      <w:marTop w:val="0"/>
      <w:marBottom w:val="0"/>
      <w:divBdr>
        <w:top w:val="none" w:sz="0" w:space="0" w:color="auto"/>
        <w:left w:val="none" w:sz="0" w:space="0" w:color="auto"/>
        <w:bottom w:val="none" w:sz="0" w:space="0" w:color="auto"/>
        <w:right w:val="none" w:sz="0" w:space="0" w:color="auto"/>
      </w:divBdr>
    </w:div>
    <w:div w:id="1569069639">
      <w:bodyDiv w:val="1"/>
      <w:marLeft w:val="0"/>
      <w:marRight w:val="0"/>
      <w:marTop w:val="0"/>
      <w:marBottom w:val="0"/>
      <w:divBdr>
        <w:top w:val="none" w:sz="0" w:space="0" w:color="auto"/>
        <w:left w:val="none" w:sz="0" w:space="0" w:color="auto"/>
        <w:bottom w:val="none" w:sz="0" w:space="0" w:color="auto"/>
        <w:right w:val="none" w:sz="0" w:space="0" w:color="auto"/>
      </w:divBdr>
    </w:div>
    <w:div w:id="1569148378">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570655255">
      <w:bodyDiv w:val="1"/>
      <w:marLeft w:val="0"/>
      <w:marRight w:val="0"/>
      <w:marTop w:val="0"/>
      <w:marBottom w:val="0"/>
      <w:divBdr>
        <w:top w:val="none" w:sz="0" w:space="0" w:color="auto"/>
        <w:left w:val="none" w:sz="0" w:space="0" w:color="auto"/>
        <w:bottom w:val="none" w:sz="0" w:space="0" w:color="auto"/>
        <w:right w:val="none" w:sz="0" w:space="0" w:color="auto"/>
      </w:divBdr>
    </w:div>
    <w:div w:id="1570841163">
      <w:bodyDiv w:val="1"/>
      <w:marLeft w:val="0"/>
      <w:marRight w:val="0"/>
      <w:marTop w:val="0"/>
      <w:marBottom w:val="0"/>
      <w:divBdr>
        <w:top w:val="none" w:sz="0" w:space="0" w:color="auto"/>
        <w:left w:val="none" w:sz="0" w:space="0" w:color="auto"/>
        <w:bottom w:val="none" w:sz="0" w:space="0" w:color="auto"/>
        <w:right w:val="none" w:sz="0" w:space="0" w:color="auto"/>
      </w:divBdr>
    </w:div>
    <w:div w:id="1572345460">
      <w:bodyDiv w:val="1"/>
      <w:marLeft w:val="0"/>
      <w:marRight w:val="0"/>
      <w:marTop w:val="0"/>
      <w:marBottom w:val="0"/>
      <w:divBdr>
        <w:top w:val="none" w:sz="0" w:space="0" w:color="auto"/>
        <w:left w:val="none" w:sz="0" w:space="0" w:color="auto"/>
        <w:bottom w:val="none" w:sz="0" w:space="0" w:color="auto"/>
        <w:right w:val="none" w:sz="0" w:space="0" w:color="auto"/>
      </w:divBdr>
    </w:div>
    <w:div w:id="1572429677">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73155141">
      <w:bodyDiv w:val="1"/>
      <w:marLeft w:val="0"/>
      <w:marRight w:val="0"/>
      <w:marTop w:val="0"/>
      <w:marBottom w:val="0"/>
      <w:divBdr>
        <w:top w:val="none" w:sz="0" w:space="0" w:color="auto"/>
        <w:left w:val="none" w:sz="0" w:space="0" w:color="auto"/>
        <w:bottom w:val="none" w:sz="0" w:space="0" w:color="auto"/>
        <w:right w:val="none" w:sz="0" w:space="0" w:color="auto"/>
      </w:divBdr>
    </w:div>
    <w:div w:id="1573345584">
      <w:bodyDiv w:val="1"/>
      <w:marLeft w:val="0"/>
      <w:marRight w:val="0"/>
      <w:marTop w:val="0"/>
      <w:marBottom w:val="0"/>
      <w:divBdr>
        <w:top w:val="none" w:sz="0" w:space="0" w:color="auto"/>
        <w:left w:val="none" w:sz="0" w:space="0" w:color="auto"/>
        <w:bottom w:val="none" w:sz="0" w:space="0" w:color="auto"/>
        <w:right w:val="none" w:sz="0" w:space="0" w:color="auto"/>
      </w:divBdr>
    </w:div>
    <w:div w:id="1573470929">
      <w:bodyDiv w:val="1"/>
      <w:marLeft w:val="0"/>
      <w:marRight w:val="0"/>
      <w:marTop w:val="0"/>
      <w:marBottom w:val="0"/>
      <w:divBdr>
        <w:top w:val="none" w:sz="0" w:space="0" w:color="auto"/>
        <w:left w:val="none" w:sz="0" w:space="0" w:color="auto"/>
        <w:bottom w:val="none" w:sz="0" w:space="0" w:color="auto"/>
        <w:right w:val="none" w:sz="0" w:space="0" w:color="auto"/>
      </w:divBdr>
    </w:div>
    <w:div w:id="1573541756">
      <w:bodyDiv w:val="1"/>
      <w:marLeft w:val="0"/>
      <w:marRight w:val="0"/>
      <w:marTop w:val="0"/>
      <w:marBottom w:val="0"/>
      <w:divBdr>
        <w:top w:val="none" w:sz="0" w:space="0" w:color="auto"/>
        <w:left w:val="none" w:sz="0" w:space="0" w:color="auto"/>
        <w:bottom w:val="none" w:sz="0" w:space="0" w:color="auto"/>
        <w:right w:val="none" w:sz="0" w:space="0" w:color="auto"/>
      </w:divBdr>
    </w:div>
    <w:div w:id="1573585853">
      <w:bodyDiv w:val="1"/>
      <w:marLeft w:val="0"/>
      <w:marRight w:val="0"/>
      <w:marTop w:val="0"/>
      <w:marBottom w:val="0"/>
      <w:divBdr>
        <w:top w:val="none" w:sz="0" w:space="0" w:color="auto"/>
        <w:left w:val="none" w:sz="0" w:space="0" w:color="auto"/>
        <w:bottom w:val="none" w:sz="0" w:space="0" w:color="auto"/>
        <w:right w:val="none" w:sz="0" w:space="0" w:color="auto"/>
      </w:divBdr>
    </w:div>
    <w:div w:id="1573615793">
      <w:bodyDiv w:val="1"/>
      <w:marLeft w:val="0"/>
      <w:marRight w:val="0"/>
      <w:marTop w:val="0"/>
      <w:marBottom w:val="0"/>
      <w:divBdr>
        <w:top w:val="none" w:sz="0" w:space="0" w:color="auto"/>
        <w:left w:val="none" w:sz="0" w:space="0" w:color="auto"/>
        <w:bottom w:val="none" w:sz="0" w:space="0" w:color="auto"/>
        <w:right w:val="none" w:sz="0" w:space="0" w:color="auto"/>
      </w:divBdr>
    </w:div>
    <w:div w:id="1573812353">
      <w:bodyDiv w:val="1"/>
      <w:marLeft w:val="0"/>
      <w:marRight w:val="0"/>
      <w:marTop w:val="0"/>
      <w:marBottom w:val="0"/>
      <w:divBdr>
        <w:top w:val="none" w:sz="0" w:space="0" w:color="auto"/>
        <w:left w:val="none" w:sz="0" w:space="0" w:color="auto"/>
        <w:bottom w:val="none" w:sz="0" w:space="0" w:color="auto"/>
        <w:right w:val="none" w:sz="0" w:space="0" w:color="auto"/>
      </w:divBdr>
    </w:div>
    <w:div w:id="1574700758">
      <w:bodyDiv w:val="1"/>
      <w:marLeft w:val="0"/>
      <w:marRight w:val="0"/>
      <w:marTop w:val="0"/>
      <w:marBottom w:val="0"/>
      <w:divBdr>
        <w:top w:val="none" w:sz="0" w:space="0" w:color="auto"/>
        <w:left w:val="none" w:sz="0" w:space="0" w:color="auto"/>
        <w:bottom w:val="none" w:sz="0" w:space="0" w:color="auto"/>
        <w:right w:val="none" w:sz="0" w:space="0" w:color="auto"/>
      </w:divBdr>
    </w:div>
    <w:div w:id="1574773370">
      <w:bodyDiv w:val="1"/>
      <w:marLeft w:val="0"/>
      <w:marRight w:val="0"/>
      <w:marTop w:val="0"/>
      <w:marBottom w:val="0"/>
      <w:divBdr>
        <w:top w:val="none" w:sz="0" w:space="0" w:color="auto"/>
        <w:left w:val="none" w:sz="0" w:space="0" w:color="auto"/>
        <w:bottom w:val="none" w:sz="0" w:space="0" w:color="auto"/>
        <w:right w:val="none" w:sz="0" w:space="0" w:color="auto"/>
      </w:divBdr>
    </w:div>
    <w:div w:id="1574779321">
      <w:bodyDiv w:val="1"/>
      <w:marLeft w:val="0"/>
      <w:marRight w:val="0"/>
      <w:marTop w:val="0"/>
      <w:marBottom w:val="0"/>
      <w:divBdr>
        <w:top w:val="none" w:sz="0" w:space="0" w:color="auto"/>
        <w:left w:val="none" w:sz="0" w:space="0" w:color="auto"/>
        <w:bottom w:val="none" w:sz="0" w:space="0" w:color="auto"/>
        <w:right w:val="none" w:sz="0" w:space="0" w:color="auto"/>
      </w:divBdr>
    </w:div>
    <w:div w:id="1575357597">
      <w:bodyDiv w:val="1"/>
      <w:marLeft w:val="0"/>
      <w:marRight w:val="0"/>
      <w:marTop w:val="0"/>
      <w:marBottom w:val="0"/>
      <w:divBdr>
        <w:top w:val="none" w:sz="0" w:space="0" w:color="auto"/>
        <w:left w:val="none" w:sz="0" w:space="0" w:color="auto"/>
        <w:bottom w:val="none" w:sz="0" w:space="0" w:color="auto"/>
        <w:right w:val="none" w:sz="0" w:space="0" w:color="auto"/>
      </w:divBdr>
    </w:div>
    <w:div w:id="1575974230">
      <w:bodyDiv w:val="1"/>
      <w:marLeft w:val="0"/>
      <w:marRight w:val="0"/>
      <w:marTop w:val="0"/>
      <w:marBottom w:val="0"/>
      <w:divBdr>
        <w:top w:val="none" w:sz="0" w:space="0" w:color="auto"/>
        <w:left w:val="none" w:sz="0" w:space="0" w:color="auto"/>
        <w:bottom w:val="none" w:sz="0" w:space="0" w:color="auto"/>
        <w:right w:val="none" w:sz="0" w:space="0" w:color="auto"/>
      </w:divBdr>
    </w:div>
    <w:div w:id="1577469113">
      <w:bodyDiv w:val="1"/>
      <w:marLeft w:val="0"/>
      <w:marRight w:val="0"/>
      <w:marTop w:val="0"/>
      <w:marBottom w:val="0"/>
      <w:divBdr>
        <w:top w:val="none" w:sz="0" w:space="0" w:color="auto"/>
        <w:left w:val="none" w:sz="0" w:space="0" w:color="auto"/>
        <w:bottom w:val="none" w:sz="0" w:space="0" w:color="auto"/>
        <w:right w:val="none" w:sz="0" w:space="0" w:color="auto"/>
      </w:divBdr>
    </w:div>
    <w:div w:id="1578006274">
      <w:bodyDiv w:val="1"/>
      <w:marLeft w:val="0"/>
      <w:marRight w:val="0"/>
      <w:marTop w:val="0"/>
      <w:marBottom w:val="0"/>
      <w:divBdr>
        <w:top w:val="none" w:sz="0" w:space="0" w:color="auto"/>
        <w:left w:val="none" w:sz="0" w:space="0" w:color="auto"/>
        <w:bottom w:val="none" w:sz="0" w:space="0" w:color="auto"/>
        <w:right w:val="none" w:sz="0" w:space="0" w:color="auto"/>
      </w:divBdr>
    </w:div>
    <w:div w:id="1578132706">
      <w:bodyDiv w:val="1"/>
      <w:marLeft w:val="0"/>
      <w:marRight w:val="0"/>
      <w:marTop w:val="0"/>
      <w:marBottom w:val="0"/>
      <w:divBdr>
        <w:top w:val="none" w:sz="0" w:space="0" w:color="auto"/>
        <w:left w:val="none" w:sz="0" w:space="0" w:color="auto"/>
        <w:bottom w:val="none" w:sz="0" w:space="0" w:color="auto"/>
        <w:right w:val="none" w:sz="0" w:space="0" w:color="auto"/>
      </w:divBdr>
    </w:div>
    <w:div w:id="1578200174">
      <w:bodyDiv w:val="1"/>
      <w:marLeft w:val="0"/>
      <w:marRight w:val="0"/>
      <w:marTop w:val="0"/>
      <w:marBottom w:val="0"/>
      <w:divBdr>
        <w:top w:val="none" w:sz="0" w:space="0" w:color="auto"/>
        <w:left w:val="none" w:sz="0" w:space="0" w:color="auto"/>
        <w:bottom w:val="none" w:sz="0" w:space="0" w:color="auto"/>
        <w:right w:val="none" w:sz="0" w:space="0" w:color="auto"/>
      </w:divBdr>
    </w:div>
    <w:div w:id="1578317384">
      <w:bodyDiv w:val="1"/>
      <w:marLeft w:val="0"/>
      <w:marRight w:val="0"/>
      <w:marTop w:val="0"/>
      <w:marBottom w:val="0"/>
      <w:divBdr>
        <w:top w:val="none" w:sz="0" w:space="0" w:color="auto"/>
        <w:left w:val="none" w:sz="0" w:space="0" w:color="auto"/>
        <w:bottom w:val="none" w:sz="0" w:space="0" w:color="auto"/>
        <w:right w:val="none" w:sz="0" w:space="0" w:color="auto"/>
      </w:divBdr>
    </w:div>
    <w:div w:id="1578437159">
      <w:bodyDiv w:val="1"/>
      <w:marLeft w:val="0"/>
      <w:marRight w:val="0"/>
      <w:marTop w:val="0"/>
      <w:marBottom w:val="0"/>
      <w:divBdr>
        <w:top w:val="none" w:sz="0" w:space="0" w:color="auto"/>
        <w:left w:val="none" w:sz="0" w:space="0" w:color="auto"/>
        <w:bottom w:val="none" w:sz="0" w:space="0" w:color="auto"/>
        <w:right w:val="none" w:sz="0" w:space="0" w:color="auto"/>
      </w:divBdr>
    </w:div>
    <w:div w:id="1578594002">
      <w:bodyDiv w:val="1"/>
      <w:marLeft w:val="0"/>
      <w:marRight w:val="0"/>
      <w:marTop w:val="0"/>
      <w:marBottom w:val="0"/>
      <w:divBdr>
        <w:top w:val="none" w:sz="0" w:space="0" w:color="auto"/>
        <w:left w:val="none" w:sz="0" w:space="0" w:color="auto"/>
        <w:bottom w:val="none" w:sz="0" w:space="0" w:color="auto"/>
        <w:right w:val="none" w:sz="0" w:space="0" w:color="auto"/>
      </w:divBdr>
    </w:div>
    <w:div w:id="1578905110">
      <w:bodyDiv w:val="1"/>
      <w:marLeft w:val="0"/>
      <w:marRight w:val="0"/>
      <w:marTop w:val="0"/>
      <w:marBottom w:val="0"/>
      <w:divBdr>
        <w:top w:val="none" w:sz="0" w:space="0" w:color="auto"/>
        <w:left w:val="none" w:sz="0" w:space="0" w:color="auto"/>
        <w:bottom w:val="none" w:sz="0" w:space="0" w:color="auto"/>
        <w:right w:val="none" w:sz="0" w:space="0" w:color="auto"/>
      </w:divBdr>
    </w:div>
    <w:div w:id="1578979454">
      <w:bodyDiv w:val="1"/>
      <w:marLeft w:val="0"/>
      <w:marRight w:val="0"/>
      <w:marTop w:val="0"/>
      <w:marBottom w:val="0"/>
      <w:divBdr>
        <w:top w:val="none" w:sz="0" w:space="0" w:color="auto"/>
        <w:left w:val="none" w:sz="0" w:space="0" w:color="auto"/>
        <w:bottom w:val="none" w:sz="0" w:space="0" w:color="auto"/>
        <w:right w:val="none" w:sz="0" w:space="0" w:color="auto"/>
      </w:divBdr>
    </w:div>
    <w:div w:id="1579168816">
      <w:bodyDiv w:val="1"/>
      <w:marLeft w:val="0"/>
      <w:marRight w:val="0"/>
      <w:marTop w:val="0"/>
      <w:marBottom w:val="0"/>
      <w:divBdr>
        <w:top w:val="none" w:sz="0" w:space="0" w:color="auto"/>
        <w:left w:val="none" w:sz="0" w:space="0" w:color="auto"/>
        <w:bottom w:val="none" w:sz="0" w:space="0" w:color="auto"/>
        <w:right w:val="none" w:sz="0" w:space="0" w:color="auto"/>
      </w:divBdr>
    </w:div>
    <w:div w:id="1580287445">
      <w:bodyDiv w:val="1"/>
      <w:marLeft w:val="0"/>
      <w:marRight w:val="0"/>
      <w:marTop w:val="0"/>
      <w:marBottom w:val="0"/>
      <w:divBdr>
        <w:top w:val="none" w:sz="0" w:space="0" w:color="auto"/>
        <w:left w:val="none" w:sz="0" w:space="0" w:color="auto"/>
        <w:bottom w:val="none" w:sz="0" w:space="0" w:color="auto"/>
        <w:right w:val="none" w:sz="0" w:space="0" w:color="auto"/>
      </w:divBdr>
    </w:div>
    <w:div w:id="1580670754">
      <w:bodyDiv w:val="1"/>
      <w:marLeft w:val="0"/>
      <w:marRight w:val="0"/>
      <w:marTop w:val="0"/>
      <w:marBottom w:val="0"/>
      <w:divBdr>
        <w:top w:val="none" w:sz="0" w:space="0" w:color="auto"/>
        <w:left w:val="none" w:sz="0" w:space="0" w:color="auto"/>
        <w:bottom w:val="none" w:sz="0" w:space="0" w:color="auto"/>
        <w:right w:val="none" w:sz="0" w:space="0" w:color="auto"/>
      </w:divBdr>
    </w:div>
    <w:div w:id="1580867772">
      <w:bodyDiv w:val="1"/>
      <w:marLeft w:val="0"/>
      <w:marRight w:val="0"/>
      <w:marTop w:val="0"/>
      <w:marBottom w:val="0"/>
      <w:divBdr>
        <w:top w:val="none" w:sz="0" w:space="0" w:color="auto"/>
        <w:left w:val="none" w:sz="0" w:space="0" w:color="auto"/>
        <w:bottom w:val="none" w:sz="0" w:space="0" w:color="auto"/>
        <w:right w:val="none" w:sz="0" w:space="0" w:color="auto"/>
      </w:divBdr>
    </w:div>
    <w:div w:id="1580872599">
      <w:bodyDiv w:val="1"/>
      <w:marLeft w:val="0"/>
      <w:marRight w:val="0"/>
      <w:marTop w:val="0"/>
      <w:marBottom w:val="0"/>
      <w:divBdr>
        <w:top w:val="none" w:sz="0" w:space="0" w:color="auto"/>
        <w:left w:val="none" w:sz="0" w:space="0" w:color="auto"/>
        <w:bottom w:val="none" w:sz="0" w:space="0" w:color="auto"/>
        <w:right w:val="none" w:sz="0" w:space="0" w:color="auto"/>
      </w:divBdr>
    </w:div>
    <w:div w:id="1581016869">
      <w:bodyDiv w:val="1"/>
      <w:marLeft w:val="0"/>
      <w:marRight w:val="0"/>
      <w:marTop w:val="0"/>
      <w:marBottom w:val="0"/>
      <w:divBdr>
        <w:top w:val="none" w:sz="0" w:space="0" w:color="auto"/>
        <w:left w:val="none" w:sz="0" w:space="0" w:color="auto"/>
        <w:bottom w:val="none" w:sz="0" w:space="0" w:color="auto"/>
        <w:right w:val="none" w:sz="0" w:space="0" w:color="auto"/>
      </w:divBdr>
    </w:div>
    <w:div w:id="1581213690">
      <w:bodyDiv w:val="1"/>
      <w:marLeft w:val="0"/>
      <w:marRight w:val="0"/>
      <w:marTop w:val="0"/>
      <w:marBottom w:val="0"/>
      <w:divBdr>
        <w:top w:val="none" w:sz="0" w:space="0" w:color="auto"/>
        <w:left w:val="none" w:sz="0" w:space="0" w:color="auto"/>
        <w:bottom w:val="none" w:sz="0" w:space="0" w:color="auto"/>
        <w:right w:val="none" w:sz="0" w:space="0" w:color="auto"/>
      </w:divBdr>
    </w:div>
    <w:div w:id="1581870526">
      <w:bodyDiv w:val="1"/>
      <w:marLeft w:val="0"/>
      <w:marRight w:val="0"/>
      <w:marTop w:val="0"/>
      <w:marBottom w:val="0"/>
      <w:divBdr>
        <w:top w:val="none" w:sz="0" w:space="0" w:color="auto"/>
        <w:left w:val="none" w:sz="0" w:space="0" w:color="auto"/>
        <w:bottom w:val="none" w:sz="0" w:space="0" w:color="auto"/>
        <w:right w:val="none" w:sz="0" w:space="0" w:color="auto"/>
      </w:divBdr>
    </w:div>
    <w:div w:id="1583443747">
      <w:bodyDiv w:val="1"/>
      <w:marLeft w:val="0"/>
      <w:marRight w:val="0"/>
      <w:marTop w:val="0"/>
      <w:marBottom w:val="0"/>
      <w:divBdr>
        <w:top w:val="none" w:sz="0" w:space="0" w:color="auto"/>
        <w:left w:val="none" w:sz="0" w:space="0" w:color="auto"/>
        <w:bottom w:val="none" w:sz="0" w:space="0" w:color="auto"/>
        <w:right w:val="none" w:sz="0" w:space="0" w:color="auto"/>
      </w:divBdr>
    </w:div>
    <w:div w:id="1583681919">
      <w:bodyDiv w:val="1"/>
      <w:marLeft w:val="0"/>
      <w:marRight w:val="0"/>
      <w:marTop w:val="0"/>
      <w:marBottom w:val="0"/>
      <w:divBdr>
        <w:top w:val="none" w:sz="0" w:space="0" w:color="auto"/>
        <w:left w:val="none" w:sz="0" w:space="0" w:color="auto"/>
        <w:bottom w:val="none" w:sz="0" w:space="0" w:color="auto"/>
        <w:right w:val="none" w:sz="0" w:space="0" w:color="auto"/>
      </w:divBdr>
    </w:div>
    <w:div w:id="1584295865">
      <w:bodyDiv w:val="1"/>
      <w:marLeft w:val="0"/>
      <w:marRight w:val="0"/>
      <w:marTop w:val="0"/>
      <w:marBottom w:val="0"/>
      <w:divBdr>
        <w:top w:val="none" w:sz="0" w:space="0" w:color="auto"/>
        <w:left w:val="none" w:sz="0" w:space="0" w:color="auto"/>
        <w:bottom w:val="none" w:sz="0" w:space="0" w:color="auto"/>
        <w:right w:val="none" w:sz="0" w:space="0" w:color="auto"/>
      </w:divBdr>
    </w:div>
    <w:div w:id="1584727704">
      <w:bodyDiv w:val="1"/>
      <w:marLeft w:val="0"/>
      <w:marRight w:val="0"/>
      <w:marTop w:val="0"/>
      <w:marBottom w:val="0"/>
      <w:divBdr>
        <w:top w:val="none" w:sz="0" w:space="0" w:color="auto"/>
        <w:left w:val="none" w:sz="0" w:space="0" w:color="auto"/>
        <w:bottom w:val="none" w:sz="0" w:space="0" w:color="auto"/>
        <w:right w:val="none" w:sz="0" w:space="0" w:color="auto"/>
      </w:divBdr>
    </w:div>
    <w:div w:id="1587759835">
      <w:bodyDiv w:val="1"/>
      <w:marLeft w:val="0"/>
      <w:marRight w:val="0"/>
      <w:marTop w:val="0"/>
      <w:marBottom w:val="0"/>
      <w:divBdr>
        <w:top w:val="none" w:sz="0" w:space="0" w:color="auto"/>
        <w:left w:val="none" w:sz="0" w:space="0" w:color="auto"/>
        <w:bottom w:val="none" w:sz="0" w:space="0" w:color="auto"/>
        <w:right w:val="none" w:sz="0" w:space="0" w:color="auto"/>
      </w:divBdr>
    </w:div>
    <w:div w:id="1587884622">
      <w:bodyDiv w:val="1"/>
      <w:marLeft w:val="0"/>
      <w:marRight w:val="0"/>
      <w:marTop w:val="0"/>
      <w:marBottom w:val="0"/>
      <w:divBdr>
        <w:top w:val="none" w:sz="0" w:space="0" w:color="auto"/>
        <w:left w:val="none" w:sz="0" w:space="0" w:color="auto"/>
        <w:bottom w:val="none" w:sz="0" w:space="0" w:color="auto"/>
        <w:right w:val="none" w:sz="0" w:space="0" w:color="auto"/>
      </w:divBdr>
    </w:div>
    <w:div w:id="1587957932">
      <w:bodyDiv w:val="1"/>
      <w:marLeft w:val="0"/>
      <w:marRight w:val="0"/>
      <w:marTop w:val="0"/>
      <w:marBottom w:val="0"/>
      <w:divBdr>
        <w:top w:val="none" w:sz="0" w:space="0" w:color="auto"/>
        <w:left w:val="none" w:sz="0" w:space="0" w:color="auto"/>
        <w:bottom w:val="none" w:sz="0" w:space="0" w:color="auto"/>
        <w:right w:val="none" w:sz="0" w:space="0" w:color="auto"/>
      </w:divBdr>
    </w:div>
    <w:div w:id="1588072830">
      <w:bodyDiv w:val="1"/>
      <w:marLeft w:val="0"/>
      <w:marRight w:val="0"/>
      <w:marTop w:val="0"/>
      <w:marBottom w:val="0"/>
      <w:divBdr>
        <w:top w:val="none" w:sz="0" w:space="0" w:color="auto"/>
        <w:left w:val="none" w:sz="0" w:space="0" w:color="auto"/>
        <w:bottom w:val="none" w:sz="0" w:space="0" w:color="auto"/>
        <w:right w:val="none" w:sz="0" w:space="0" w:color="auto"/>
      </w:divBdr>
    </w:div>
    <w:div w:id="1588339795">
      <w:bodyDiv w:val="1"/>
      <w:marLeft w:val="0"/>
      <w:marRight w:val="0"/>
      <w:marTop w:val="0"/>
      <w:marBottom w:val="0"/>
      <w:divBdr>
        <w:top w:val="none" w:sz="0" w:space="0" w:color="auto"/>
        <w:left w:val="none" w:sz="0" w:space="0" w:color="auto"/>
        <w:bottom w:val="none" w:sz="0" w:space="0" w:color="auto"/>
        <w:right w:val="none" w:sz="0" w:space="0" w:color="auto"/>
      </w:divBdr>
    </w:div>
    <w:div w:id="1588416139">
      <w:bodyDiv w:val="1"/>
      <w:marLeft w:val="0"/>
      <w:marRight w:val="0"/>
      <w:marTop w:val="0"/>
      <w:marBottom w:val="0"/>
      <w:divBdr>
        <w:top w:val="none" w:sz="0" w:space="0" w:color="auto"/>
        <w:left w:val="none" w:sz="0" w:space="0" w:color="auto"/>
        <w:bottom w:val="none" w:sz="0" w:space="0" w:color="auto"/>
        <w:right w:val="none" w:sz="0" w:space="0" w:color="auto"/>
      </w:divBdr>
    </w:div>
    <w:div w:id="1588423732">
      <w:bodyDiv w:val="1"/>
      <w:marLeft w:val="0"/>
      <w:marRight w:val="0"/>
      <w:marTop w:val="0"/>
      <w:marBottom w:val="0"/>
      <w:divBdr>
        <w:top w:val="none" w:sz="0" w:space="0" w:color="auto"/>
        <w:left w:val="none" w:sz="0" w:space="0" w:color="auto"/>
        <w:bottom w:val="none" w:sz="0" w:space="0" w:color="auto"/>
        <w:right w:val="none" w:sz="0" w:space="0" w:color="auto"/>
      </w:divBdr>
    </w:div>
    <w:div w:id="1589268985">
      <w:bodyDiv w:val="1"/>
      <w:marLeft w:val="0"/>
      <w:marRight w:val="0"/>
      <w:marTop w:val="0"/>
      <w:marBottom w:val="0"/>
      <w:divBdr>
        <w:top w:val="none" w:sz="0" w:space="0" w:color="auto"/>
        <w:left w:val="none" w:sz="0" w:space="0" w:color="auto"/>
        <w:bottom w:val="none" w:sz="0" w:space="0" w:color="auto"/>
        <w:right w:val="none" w:sz="0" w:space="0" w:color="auto"/>
      </w:divBdr>
    </w:div>
    <w:div w:id="1590119794">
      <w:bodyDiv w:val="1"/>
      <w:marLeft w:val="0"/>
      <w:marRight w:val="0"/>
      <w:marTop w:val="0"/>
      <w:marBottom w:val="0"/>
      <w:divBdr>
        <w:top w:val="none" w:sz="0" w:space="0" w:color="auto"/>
        <w:left w:val="none" w:sz="0" w:space="0" w:color="auto"/>
        <w:bottom w:val="none" w:sz="0" w:space="0" w:color="auto"/>
        <w:right w:val="none" w:sz="0" w:space="0" w:color="auto"/>
      </w:divBdr>
    </w:div>
    <w:div w:id="1590575946">
      <w:bodyDiv w:val="1"/>
      <w:marLeft w:val="0"/>
      <w:marRight w:val="0"/>
      <w:marTop w:val="0"/>
      <w:marBottom w:val="0"/>
      <w:divBdr>
        <w:top w:val="none" w:sz="0" w:space="0" w:color="auto"/>
        <w:left w:val="none" w:sz="0" w:space="0" w:color="auto"/>
        <w:bottom w:val="none" w:sz="0" w:space="0" w:color="auto"/>
        <w:right w:val="none" w:sz="0" w:space="0" w:color="auto"/>
      </w:divBdr>
    </w:div>
    <w:div w:id="1591739956">
      <w:bodyDiv w:val="1"/>
      <w:marLeft w:val="0"/>
      <w:marRight w:val="0"/>
      <w:marTop w:val="0"/>
      <w:marBottom w:val="0"/>
      <w:divBdr>
        <w:top w:val="none" w:sz="0" w:space="0" w:color="auto"/>
        <w:left w:val="none" w:sz="0" w:space="0" w:color="auto"/>
        <w:bottom w:val="none" w:sz="0" w:space="0" w:color="auto"/>
        <w:right w:val="none" w:sz="0" w:space="0" w:color="auto"/>
      </w:divBdr>
    </w:div>
    <w:div w:id="1592159556">
      <w:bodyDiv w:val="1"/>
      <w:marLeft w:val="0"/>
      <w:marRight w:val="0"/>
      <w:marTop w:val="0"/>
      <w:marBottom w:val="0"/>
      <w:divBdr>
        <w:top w:val="none" w:sz="0" w:space="0" w:color="auto"/>
        <w:left w:val="none" w:sz="0" w:space="0" w:color="auto"/>
        <w:bottom w:val="none" w:sz="0" w:space="0" w:color="auto"/>
        <w:right w:val="none" w:sz="0" w:space="0" w:color="auto"/>
      </w:divBdr>
    </w:div>
    <w:div w:id="1592203615">
      <w:bodyDiv w:val="1"/>
      <w:marLeft w:val="0"/>
      <w:marRight w:val="0"/>
      <w:marTop w:val="0"/>
      <w:marBottom w:val="0"/>
      <w:divBdr>
        <w:top w:val="none" w:sz="0" w:space="0" w:color="auto"/>
        <w:left w:val="none" w:sz="0" w:space="0" w:color="auto"/>
        <w:bottom w:val="none" w:sz="0" w:space="0" w:color="auto"/>
        <w:right w:val="none" w:sz="0" w:space="0" w:color="auto"/>
      </w:divBdr>
    </w:div>
    <w:div w:id="1593662618">
      <w:bodyDiv w:val="1"/>
      <w:marLeft w:val="0"/>
      <w:marRight w:val="0"/>
      <w:marTop w:val="0"/>
      <w:marBottom w:val="0"/>
      <w:divBdr>
        <w:top w:val="none" w:sz="0" w:space="0" w:color="auto"/>
        <w:left w:val="none" w:sz="0" w:space="0" w:color="auto"/>
        <w:bottom w:val="none" w:sz="0" w:space="0" w:color="auto"/>
        <w:right w:val="none" w:sz="0" w:space="0" w:color="auto"/>
      </w:divBdr>
    </w:div>
    <w:div w:id="1594169050">
      <w:bodyDiv w:val="1"/>
      <w:marLeft w:val="0"/>
      <w:marRight w:val="0"/>
      <w:marTop w:val="0"/>
      <w:marBottom w:val="0"/>
      <w:divBdr>
        <w:top w:val="none" w:sz="0" w:space="0" w:color="auto"/>
        <w:left w:val="none" w:sz="0" w:space="0" w:color="auto"/>
        <w:bottom w:val="none" w:sz="0" w:space="0" w:color="auto"/>
        <w:right w:val="none" w:sz="0" w:space="0" w:color="auto"/>
      </w:divBdr>
    </w:div>
    <w:div w:id="1594313383">
      <w:bodyDiv w:val="1"/>
      <w:marLeft w:val="0"/>
      <w:marRight w:val="0"/>
      <w:marTop w:val="0"/>
      <w:marBottom w:val="0"/>
      <w:divBdr>
        <w:top w:val="none" w:sz="0" w:space="0" w:color="auto"/>
        <w:left w:val="none" w:sz="0" w:space="0" w:color="auto"/>
        <w:bottom w:val="none" w:sz="0" w:space="0" w:color="auto"/>
        <w:right w:val="none" w:sz="0" w:space="0" w:color="auto"/>
      </w:divBdr>
    </w:div>
    <w:div w:id="1594970329">
      <w:bodyDiv w:val="1"/>
      <w:marLeft w:val="0"/>
      <w:marRight w:val="0"/>
      <w:marTop w:val="0"/>
      <w:marBottom w:val="0"/>
      <w:divBdr>
        <w:top w:val="none" w:sz="0" w:space="0" w:color="auto"/>
        <w:left w:val="none" w:sz="0" w:space="0" w:color="auto"/>
        <w:bottom w:val="none" w:sz="0" w:space="0" w:color="auto"/>
        <w:right w:val="none" w:sz="0" w:space="0" w:color="auto"/>
      </w:divBdr>
    </w:div>
    <w:div w:id="1595356482">
      <w:bodyDiv w:val="1"/>
      <w:marLeft w:val="0"/>
      <w:marRight w:val="0"/>
      <w:marTop w:val="0"/>
      <w:marBottom w:val="0"/>
      <w:divBdr>
        <w:top w:val="none" w:sz="0" w:space="0" w:color="auto"/>
        <w:left w:val="none" w:sz="0" w:space="0" w:color="auto"/>
        <w:bottom w:val="none" w:sz="0" w:space="0" w:color="auto"/>
        <w:right w:val="none" w:sz="0" w:space="0" w:color="auto"/>
      </w:divBdr>
    </w:div>
    <w:div w:id="1596405087">
      <w:bodyDiv w:val="1"/>
      <w:marLeft w:val="0"/>
      <w:marRight w:val="0"/>
      <w:marTop w:val="0"/>
      <w:marBottom w:val="0"/>
      <w:divBdr>
        <w:top w:val="none" w:sz="0" w:space="0" w:color="auto"/>
        <w:left w:val="none" w:sz="0" w:space="0" w:color="auto"/>
        <w:bottom w:val="none" w:sz="0" w:space="0" w:color="auto"/>
        <w:right w:val="none" w:sz="0" w:space="0" w:color="auto"/>
      </w:divBdr>
    </w:div>
    <w:div w:id="1597135986">
      <w:bodyDiv w:val="1"/>
      <w:marLeft w:val="0"/>
      <w:marRight w:val="0"/>
      <w:marTop w:val="0"/>
      <w:marBottom w:val="0"/>
      <w:divBdr>
        <w:top w:val="none" w:sz="0" w:space="0" w:color="auto"/>
        <w:left w:val="none" w:sz="0" w:space="0" w:color="auto"/>
        <w:bottom w:val="none" w:sz="0" w:space="0" w:color="auto"/>
        <w:right w:val="none" w:sz="0" w:space="0" w:color="auto"/>
      </w:divBdr>
    </w:div>
    <w:div w:id="1597640557">
      <w:bodyDiv w:val="1"/>
      <w:marLeft w:val="0"/>
      <w:marRight w:val="0"/>
      <w:marTop w:val="0"/>
      <w:marBottom w:val="0"/>
      <w:divBdr>
        <w:top w:val="none" w:sz="0" w:space="0" w:color="auto"/>
        <w:left w:val="none" w:sz="0" w:space="0" w:color="auto"/>
        <w:bottom w:val="none" w:sz="0" w:space="0" w:color="auto"/>
        <w:right w:val="none" w:sz="0" w:space="0" w:color="auto"/>
      </w:divBdr>
    </w:div>
    <w:div w:id="1597714053">
      <w:bodyDiv w:val="1"/>
      <w:marLeft w:val="0"/>
      <w:marRight w:val="0"/>
      <w:marTop w:val="0"/>
      <w:marBottom w:val="0"/>
      <w:divBdr>
        <w:top w:val="none" w:sz="0" w:space="0" w:color="auto"/>
        <w:left w:val="none" w:sz="0" w:space="0" w:color="auto"/>
        <w:bottom w:val="none" w:sz="0" w:space="0" w:color="auto"/>
        <w:right w:val="none" w:sz="0" w:space="0" w:color="auto"/>
      </w:divBdr>
    </w:div>
    <w:div w:id="1598633630">
      <w:bodyDiv w:val="1"/>
      <w:marLeft w:val="0"/>
      <w:marRight w:val="0"/>
      <w:marTop w:val="0"/>
      <w:marBottom w:val="0"/>
      <w:divBdr>
        <w:top w:val="none" w:sz="0" w:space="0" w:color="auto"/>
        <w:left w:val="none" w:sz="0" w:space="0" w:color="auto"/>
        <w:bottom w:val="none" w:sz="0" w:space="0" w:color="auto"/>
        <w:right w:val="none" w:sz="0" w:space="0" w:color="auto"/>
      </w:divBdr>
    </w:div>
    <w:div w:id="1599173332">
      <w:bodyDiv w:val="1"/>
      <w:marLeft w:val="0"/>
      <w:marRight w:val="0"/>
      <w:marTop w:val="0"/>
      <w:marBottom w:val="0"/>
      <w:divBdr>
        <w:top w:val="none" w:sz="0" w:space="0" w:color="auto"/>
        <w:left w:val="none" w:sz="0" w:space="0" w:color="auto"/>
        <w:bottom w:val="none" w:sz="0" w:space="0" w:color="auto"/>
        <w:right w:val="none" w:sz="0" w:space="0" w:color="auto"/>
      </w:divBdr>
    </w:div>
    <w:div w:id="1599293644">
      <w:bodyDiv w:val="1"/>
      <w:marLeft w:val="0"/>
      <w:marRight w:val="0"/>
      <w:marTop w:val="0"/>
      <w:marBottom w:val="0"/>
      <w:divBdr>
        <w:top w:val="none" w:sz="0" w:space="0" w:color="auto"/>
        <w:left w:val="none" w:sz="0" w:space="0" w:color="auto"/>
        <w:bottom w:val="none" w:sz="0" w:space="0" w:color="auto"/>
        <w:right w:val="none" w:sz="0" w:space="0" w:color="auto"/>
      </w:divBdr>
    </w:div>
    <w:div w:id="1599875612">
      <w:bodyDiv w:val="1"/>
      <w:marLeft w:val="0"/>
      <w:marRight w:val="0"/>
      <w:marTop w:val="0"/>
      <w:marBottom w:val="0"/>
      <w:divBdr>
        <w:top w:val="none" w:sz="0" w:space="0" w:color="auto"/>
        <w:left w:val="none" w:sz="0" w:space="0" w:color="auto"/>
        <w:bottom w:val="none" w:sz="0" w:space="0" w:color="auto"/>
        <w:right w:val="none" w:sz="0" w:space="0" w:color="auto"/>
      </w:divBdr>
    </w:div>
    <w:div w:id="1600140161">
      <w:bodyDiv w:val="1"/>
      <w:marLeft w:val="0"/>
      <w:marRight w:val="0"/>
      <w:marTop w:val="0"/>
      <w:marBottom w:val="0"/>
      <w:divBdr>
        <w:top w:val="none" w:sz="0" w:space="0" w:color="auto"/>
        <w:left w:val="none" w:sz="0" w:space="0" w:color="auto"/>
        <w:bottom w:val="none" w:sz="0" w:space="0" w:color="auto"/>
        <w:right w:val="none" w:sz="0" w:space="0" w:color="auto"/>
      </w:divBdr>
    </w:div>
    <w:div w:id="1600796945">
      <w:bodyDiv w:val="1"/>
      <w:marLeft w:val="0"/>
      <w:marRight w:val="0"/>
      <w:marTop w:val="0"/>
      <w:marBottom w:val="0"/>
      <w:divBdr>
        <w:top w:val="none" w:sz="0" w:space="0" w:color="auto"/>
        <w:left w:val="none" w:sz="0" w:space="0" w:color="auto"/>
        <w:bottom w:val="none" w:sz="0" w:space="0" w:color="auto"/>
        <w:right w:val="none" w:sz="0" w:space="0" w:color="auto"/>
      </w:divBdr>
    </w:div>
    <w:div w:id="1601989136">
      <w:bodyDiv w:val="1"/>
      <w:marLeft w:val="0"/>
      <w:marRight w:val="0"/>
      <w:marTop w:val="0"/>
      <w:marBottom w:val="0"/>
      <w:divBdr>
        <w:top w:val="none" w:sz="0" w:space="0" w:color="auto"/>
        <w:left w:val="none" w:sz="0" w:space="0" w:color="auto"/>
        <w:bottom w:val="none" w:sz="0" w:space="0" w:color="auto"/>
        <w:right w:val="none" w:sz="0" w:space="0" w:color="auto"/>
      </w:divBdr>
    </w:div>
    <w:div w:id="1602108601">
      <w:bodyDiv w:val="1"/>
      <w:marLeft w:val="0"/>
      <w:marRight w:val="0"/>
      <w:marTop w:val="0"/>
      <w:marBottom w:val="0"/>
      <w:divBdr>
        <w:top w:val="none" w:sz="0" w:space="0" w:color="auto"/>
        <w:left w:val="none" w:sz="0" w:space="0" w:color="auto"/>
        <w:bottom w:val="none" w:sz="0" w:space="0" w:color="auto"/>
        <w:right w:val="none" w:sz="0" w:space="0" w:color="auto"/>
      </w:divBdr>
    </w:div>
    <w:div w:id="1602252570">
      <w:bodyDiv w:val="1"/>
      <w:marLeft w:val="0"/>
      <w:marRight w:val="0"/>
      <w:marTop w:val="0"/>
      <w:marBottom w:val="0"/>
      <w:divBdr>
        <w:top w:val="none" w:sz="0" w:space="0" w:color="auto"/>
        <w:left w:val="none" w:sz="0" w:space="0" w:color="auto"/>
        <w:bottom w:val="none" w:sz="0" w:space="0" w:color="auto"/>
        <w:right w:val="none" w:sz="0" w:space="0" w:color="auto"/>
      </w:divBdr>
    </w:div>
    <w:div w:id="1602714160">
      <w:bodyDiv w:val="1"/>
      <w:marLeft w:val="0"/>
      <w:marRight w:val="0"/>
      <w:marTop w:val="0"/>
      <w:marBottom w:val="0"/>
      <w:divBdr>
        <w:top w:val="none" w:sz="0" w:space="0" w:color="auto"/>
        <w:left w:val="none" w:sz="0" w:space="0" w:color="auto"/>
        <w:bottom w:val="none" w:sz="0" w:space="0" w:color="auto"/>
        <w:right w:val="none" w:sz="0" w:space="0" w:color="auto"/>
      </w:divBdr>
    </w:div>
    <w:div w:id="1602882472">
      <w:bodyDiv w:val="1"/>
      <w:marLeft w:val="0"/>
      <w:marRight w:val="0"/>
      <w:marTop w:val="0"/>
      <w:marBottom w:val="0"/>
      <w:divBdr>
        <w:top w:val="none" w:sz="0" w:space="0" w:color="auto"/>
        <w:left w:val="none" w:sz="0" w:space="0" w:color="auto"/>
        <w:bottom w:val="none" w:sz="0" w:space="0" w:color="auto"/>
        <w:right w:val="none" w:sz="0" w:space="0" w:color="auto"/>
      </w:divBdr>
    </w:div>
    <w:div w:id="1603609077">
      <w:bodyDiv w:val="1"/>
      <w:marLeft w:val="0"/>
      <w:marRight w:val="0"/>
      <w:marTop w:val="0"/>
      <w:marBottom w:val="0"/>
      <w:divBdr>
        <w:top w:val="none" w:sz="0" w:space="0" w:color="auto"/>
        <w:left w:val="none" w:sz="0" w:space="0" w:color="auto"/>
        <w:bottom w:val="none" w:sz="0" w:space="0" w:color="auto"/>
        <w:right w:val="none" w:sz="0" w:space="0" w:color="auto"/>
      </w:divBdr>
    </w:div>
    <w:div w:id="1604072820">
      <w:bodyDiv w:val="1"/>
      <w:marLeft w:val="0"/>
      <w:marRight w:val="0"/>
      <w:marTop w:val="0"/>
      <w:marBottom w:val="0"/>
      <w:divBdr>
        <w:top w:val="none" w:sz="0" w:space="0" w:color="auto"/>
        <w:left w:val="none" w:sz="0" w:space="0" w:color="auto"/>
        <w:bottom w:val="none" w:sz="0" w:space="0" w:color="auto"/>
        <w:right w:val="none" w:sz="0" w:space="0" w:color="auto"/>
      </w:divBdr>
    </w:div>
    <w:div w:id="1604146621">
      <w:bodyDiv w:val="1"/>
      <w:marLeft w:val="0"/>
      <w:marRight w:val="0"/>
      <w:marTop w:val="0"/>
      <w:marBottom w:val="0"/>
      <w:divBdr>
        <w:top w:val="none" w:sz="0" w:space="0" w:color="auto"/>
        <w:left w:val="none" w:sz="0" w:space="0" w:color="auto"/>
        <w:bottom w:val="none" w:sz="0" w:space="0" w:color="auto"/>
        <w:right w:val="none" w:sz="0" w:space="0" w:color="auto"/>
      </w:divBdr>
    </w:div>
    <w:div w:id="1604605274">
      <w:bodyDiv w:val="1"/>
      <w:marLeft w:val="0"/>
      <w:marRight w:val="0"/>
      <w:marTop w:val="0"/>
      <w:marBottom w:val="0"/>
      <w:divBdr>
        <w:top w:val="none" w:sz="0" w:space="0" w:color="auto"/>
        <w:left w:val="none" w:sz="0" w:space="0" w:color="auto"/>
        <w:bottom w:val="none" w:sz="0" w:space="0" w:color="auto"/>
        <w:right w:val="none" w:sz="0" w:space="0" w:color="auto"/>
      </w:divBdr>
    </w:div>
    <w:div w:id="1604918958">
      <w:bodyDiv w:val="1"/>
      <w:marLeft w:val="0"/>
      <w:marRight w:val="0"/>
      <w:marTop w:val="0"/>
      <w:marBottom w:val="0"/>
      <w:divBdr>
        <w:top w:val="none" w:sz="0" w:space="0" w:color="auto"/>
        <w:left w:val="none" w:sz="0" w:space="0" w:color="auto"/>
        <w:bottom w:val="none" w:sz="0" w:space="0" w:color="auto"/>
        <w:right w:val="none" w:sz="0" w:space="0" w:color="auto"/>
      </w:divBdr>
    </w:div>
    <w:div w:id="1605111507">
      <w:bodyDiv w:val="1"/>
      <w:marLeft w:val="0"/>
      <w:marRight w:val="0"/>
      <w:marTop w:val="0"/>
      <w:marBottom w:val="0"/>
      <w:divBdr>
        <w:top w:val="none" w:sz="0" w:space="0" w:color="auto"/>
        <w:left w:val="none" w:sz="0" w:space="0" w:color="auto"/>
        <w:bottom w:val="none" w:sz="0" w:space="0" w:color="auto"/>
        <w:right w:val="none" w:sz="0" w:space="0" w:color="auto"/>
      </w:divBdr>
    </w:div>
    <w:div w:id="1606421954">
      <w:bodyDiv w:val="1"/>
      <w:marLeft w:val="0"/>
      <w:marRight w:val="0"/>
      <w:marTop w:val="0"/>
      <w:marBottom w:val="0"/>
      <w:divBdr>
        <w:top w:val="none" w:sz="0" w:space="0" w:color="auto"/>
        <w:left w:val="none" w:sz="0" w:space="0" w:color="auto"/>
        <w:bottom w:val="none" w:sz="0" w:space="0" w:color="auto"/>
        <w:right w:val="none" w:sz="0" w:space="0" w:color="auto"/>
      </w:divBdr>
    </w:div>
    <w:div w:id="1608000863">
      <w:bodyDiv w:val="1"/>
      <w:marLeft w:val="0"/>
      <w:marRight w:val="0"/>
      <w:marTop w:val="0"/>
      <w:marBottom w:val="0"/>
      <w:divBdr>
        <w:top w:val="none" w:sz="0" w:space="0" w:color="auto"/>
        <w:left w:val="none" w:sz="0" w:space="0" w:color="auto"/>
        <w:bottom w:val="none" w:sz="0" w:space="0" w:color="auto"/>
        <w:right w:val="none" w:sz="0" w:space="0" w:color="auto"/>
      </w:divBdr>
    </w:div>
    <w:div w:id="1608586327">
      <w:bodyDiv w:val="1"/>
      <w:marLeft w:val="0"/>
      <w:marRight w:val="0"/>
      <w:marTop w:val="0"/>
      <w:marBottom w:val="0"/>
      <w:divBdr>
        <w:top w:val="none" w:sz="0" w:space="0" w:color="auto"/>
        <w:left w:val="none" w:sz="0" w:space="0" w:color="auto"/>
        <w:bottom w:val="none" w:sz="0" w:space="0" w:color="auto"/>
        <w:right w:val="none" w:sz="0" w:space="0" w:color="auto"/>
      </w:divBdr>
    </w:div>
    <w:div w:id="1608846430">
      <w:bodyDiv w:val="1"/>
      <w:marLeft w:val="0"/>
      <w:marRight w:val="0"/>
      <w:marTop w:val="0"/>
      <w:marBottom w:val="0"/>
      <w:divBdr>
        <w:top w:val="none" w:sz="0" w:space="0" w:color="auto"/>
        <w:left w:val="none" w:sz="0" w:space="0" w:color="auto"/>
        <w:bottom w:val="none" w:sz="0" w:space="0" w:color="auto"/>
        <w:right w:val="none" w:sz="0" w:space="0" w:color="auto"/>
      </w:divBdr>
    </w:div>
    <w:div w:id="1609045647">
      <w:bodyDiv w:val="1"/>
      <w:marLeft w:val="0"/>
      <w:marRight w:val="0"/>
      <w:marTop w:val="0"/>
      <w:marBottom w:val="0"/>
      <w:divBdr>
        <w:top w:val="none" w:sz="0" w:space="0" w:color="auto"/>
        <w:left w:val="none" w:sz="0" w:space="0" w:color="auto"/>
        <w:bottom w:val="none" w:sz="0" w:space="0" w:color="auto"/>
        <w:right w:val="none" w:sz="0" w:space="0" w:color="auto"/>
      </w:divBdr>
    </w:div>
    <w:div w:id="1609435804">
      <w:bodyDiv w:val="1"/>
      <w:marLeft w:val="0"/>
      <w:marRight w:val="0"/>
      <w:marTop w:val="0"/>
      <w:marBottom w:val="0"/>
      <w:divBdr>
        <w:top w:val="none" w:sz="0" w:space="0" w:color="auto"/>
        <w:left w:val="none" w:sz="0" w:space="0" w:color="auto"/>
        <w:bottom w:val="none" w:sz="0" w:space="0" w:color="auto"/>
        <w:right w:val="none" w:sz="0" w:space="0" w:color="auto"/>
      </w:divBdr>
    </w:div>
    <w:div w:id="1609701625">
      <w:bodyDiv w:val="1"/>
      <w:marLeft w:val="0"/>
      <w:marRight w:val="0"/>
      <w:marTop w:val="0"/>
      <w:marBottom w:val="0"/>
      <w:divBdr>
        <w:top w:val="none" w:sz="0" w:space="0" w:color="auto"/>
        <w:left w:val="none" w:sz="0" w:space="0" w:color="auto"/>
        <w:bottom w:val="none" w:sz="0" w:space="0" w:color="auto"/>
        <w:right w:val="none" w:sz="0" w:space="0" w:color="auto"/>
      </w:divBdr>
    </w:div>
    <w:div w:id="1609774987">
      <w:bodyDiv w:val="1"/>
      <w:marLeft w:val="0"/>
      <w:marRight w:val="0"/>
      <w:marTop w:val="0"/>
      <w:marBottom w:val="0"/>
      <w:divBdr>
        <w:top w:val="none" w:sz="0" w:space="0" w:color="auto"/>
        <w:left w:val="none" w:sz="0" w:space="0" w:color="auto"/>
        <w:bottom w:val="none" w:sz="0" w:space="0" w:color="auto"/>
        <w:right w:val="none" w:sz="0" w:space="0" w:color="auto"/>
      </w:divBdr>
    </w:div>
    <w:div w:id="1609846057">
      <w:bodyDiv w:val="1"/>
      <w:marLeft w:val="0"/>
      <w:marRight w:val="0"/>
      <w:marTop w:val="0"/>
      <w:marBottom w:val="0"/>
      <w:divBdr>
        <w:top w:val="none" w:sz="0" w:space="0" w:color="auto"/>
        <w:left w:val="none" w:sz="0" w:space="0" w:color="auto"/>
        <w:bottom w:val="none" w:sz="0" w:space="0" w:color="auto"/>
        <w:right w:val="none" w:sz="0" w:space="0" w:color="auto"/>
      </w:divBdr>
    </w:div>
    <w:div w:id="1610241549">
      <w:bodyDiv w:val="1"/>
      <w:marLeft w:val="0"/>
      <w:marRight w:val="0"/>
      <w:marTop w:val="0"/>
      <w:marBottom w:val="0"/>
      <w:divBdr>
        <w:top w:val="none" w:sz="0" w:space="0" w:color="auto"/>
        <w:left w:val="none" w:sz="0" w:space="0" w:color="auto"/>
        <w:bottom w:val="none" w:sz="0" w:space="0" w:color="auto"/>
        <w:right w:val="none" w:sz="0" w:space="0" w:color="auto"/>
      </w:divBdr>
    </w:div>
    <w:div w:id="1610426202">
      <w:bodyDiv w:val="1"/>
      <w:marLeft w:val="0"/>
      <w:marRight w:val="0"/>
      <w:marTop w:val="0"/>
      <w:marBottom w:val="0"/>
      <w:divBdr>
        <w:top w:val="none" w:sz="0" w:space="0" w:color="auto"/>
        <w:left w:val="none" w:sz="0" w:space="0" w:color="auto"/>
        <w:bottom w:val="none" w:sz="0" w:space="0" w:color="auto"/>
        <w:right w:val="none" w:sz="0" w:space="0" w:color="auto"/>
      </w:divBdr>
    </w:div>
    <w:div w:id="1610429602">
      <w:bodyDiv w:val="1"/>
      <w:marLeft w:val="0"/>
      <w:marRight w:val="0"/>
      <w:marTop w:val="0"/>
      <w:marBottom w:val="0"/>
      <w:divBdr>
        <w:top w:val="none" w:sz="0" w:space="0" w:color="auto"/>
        <w:left w:val="none" w:sz="0" w:space="0" w:color="auto"/>
        <w:bottom w:val="none" w:sz="0" w:space="0" w:color="auto"/>
        <w:right w:val="none" w:sz="0" w:space="0" w:color="auto"/>
      </w:divBdr>
    </w:div>
    <w:div w:id="1610504787">
      <w:bodyDiv w:val="1"/>
      <w:marLeft w:val="0"/>
      <w:marRight w:val="0"/>
      <w:marTop w:val="0"/>
      <w:marBottom w:val="0"/>
      <w:divBdr>
        <w:top w:val="none" w:sz="0" w:space="0" w:color="auto"/>
        <w:left w:val="none" w:sz="0" w:space="0" w:color="auto"/>
        <w:bottom w:val="none" w:sz="0" w:space="0" w:color="auto"/>
        <w:right w:val="none" w:sz="0" w:space="0" w:color="auto"/>
      </w:divBdr>
    </w:div>
    <w:div w:id="1611009834">
      <w:bodyDiv w:val="1"/>
      <w:marLeft w:val="0"/>
      <w:marRight w:val="0"/>
      <w:marTop w:val="0"/>
      <w:marBottom w:val="0"/>
      <w:divBdr>
        <w:top w:val="none" w:sz="0" w:space="0" w:color="auto"/>
        <w:left w:val="none" w:sz="0" w:space="0" w:color="auto"/>
        <w:bottom w:val="none" w:sz="0" w:space="0" w:color="auto"/>
        <w:right w:val="none" w:sz="0" w:space="0" w:color="auto"/>
      </w:divBdr>
    </w:div>
    <w:div w:id="1612128136">
      <w:bodyDiv w:val="1"/>
      <w:marLeft w:val="0"/>
      <w:marRight w:val="0"/>
      <w:marTop w:val="0"/>
      <w:marBottom w:val="0"/>
      <w:divBdr>
        <w:top w:val="none" w:sz="0" w:space="0" w:color="auto"/>
        <w:left w:val="none" w:sz="0" w:space="0" w:color="auto"/>
        <w:bottom w:val="none" w:sz="0" w:space="0" w:color="auto"/>
        <w:right w:val="none" w:sz="0" w:space="0" w:color="auto"/>
      </w:divBdr>
    </w:div>
    <w:div w:id="1612545536">
      <w:bodyDiv w:val="1"/>
      <w:marLeft w:val="0"/>
      <w:marRight w:val="0"/>
      <w:marTop w:val="0"/>
      <w:marBottom w:val="0"/>
      <w:divBdr>
        <w:top w:val="none" w:sz="0" w:space="0" w:color="auto"/>
        <w:left w:val="none" w:sz="0" w:space="0" w:color="auto"/>
        <w:bottom w:val="none" w:sz="0" w:space="0" w:color="auto"/>
        <w:right w:val="none" w:sz="0" w:space="0" w:color="auto"/>
      </w:divBdr>
    </w:div>
    <w:div w:id="1613051477">
      <w:bodyDiv w:val="1"/>
      <w:marLeft w:val="0"/>
      <w:marRight w:val="0"/>
      <w:marTop w:val="0"/>
      <w:marBottom w:val="0"/>
      <w:divBdr>
        <w:top w:val="none" w:sz="0" w:space="0" w:color="auto"/>
        <w:left w:val="none" w:sz="0" w:space="0" w:color="auto"/>
        <w:bottom w:val="none" w:sz="0" w:space="0" w:color="auto"/>
        <w:right w:val="none" w:sz="0" w:space="0" w:color="auto"/>
      </w:divBdr>
      <w:divsChild>
        <w:div w:id="338239196">
          <w:marLeft w:val="0"/>
          <w:marRight w:val="0"/>
          <w:marTop w:val="0"/>
          <w:marBottom w:val="0"/>
          <w:divBdr>
            <w:top w:val="none" w:sz="0" w:space="0" w:color="auto"/>
            <w:left w:val="none" w:sz="0" w:space="0" w:color="auto"/>
            <w:bottom w:val="none" w:sz="0" w:space="0" w:color="auto"/>
            <w:right w:val="none" w:sz="0" w:space="0" w:color="auto"/>
          </w:divBdr>
        </w:div>
      </w:divsChild>
    </w:div>
    <w:div w:id="1613895556">
      <w:bodyDiv w:val="1"/>
      <w:marLeft w:val="0"/>
      <w:marRight w:val="0"/>
      <w:marTop w:val="0"/>
      <w:marBottom w:val="0"/>
      <w:divBdr>
        <w:top w:val="none" w:sz="0" w:space="0" w:color="auto"/>
        <w:left w:val="none" w:sz="0" w:space="0" w:color="auto"/>
        <w:bottom w:val="none" w:sz="0" w:space="0" w:color="auto"/>
        <w:right w:val="none" w:sz="0" w:space="0" w:color="auto"/>
      </w:divBdr>
    </w:div>
    <w:div w:id="1613900382">
      <w:bodyDiv w:val="1"/>
      <w:marLeft w:val="0"/>
      <w:marRight w:val="0"/>
      <w:marTop w:val="0"/>
      <w:marBottom w:val="0"/>
      <w:divBdr>
        <w:top w:val="none" w:sz="0" w:space="0" w:color="auto"/>
        <w:left w:val="none" w:sz="0" w:space="0" w:color="auto"/>
        <w:bottom w:val="none" w:sz="0" w:space="0" w:color="auto"/>
        <w:right w:val="none" w:sz="0" w:space="0" w:color="auto"/>
      </w:divBdr>
    </w:div>
    <w:div w:id="1614366495">
      <w:bodyDiv w:val="1"/>
      <w:marLeft w:val="0"/>
      <w:marRight w:val="0"/>
      <w:marTop w:val="0"/>
      <w:marBottom w:val="0"/>
      <w:divBdr>
        <w:top w:val="none" w:sz="0" w:space="0" w:color="auto"/>
        <w:left w:val="none" w:sz="0" w:space="0" w:color="auto"/>
        <w:bottom w:val="none" w:sz="0" w:space="0" w:color="auto"/>
        <w:right w:val="none" w:sz="0" w:space="0" w:color="auto"/>
      </w:divBdr>
    </w:div>
    <w:div w:id="1614632960">
      <w:bodyDiv w:val="1"/>
      <w:marLeft w:val="0"/>
      <w:marRight w:val="0"/>
      <w:marTop w:val="0"/>
      <w:marBottom w:val="0"/>
      <w:divBdr>
        <w:top w:val="none" w:sz="0" w:space="0" w:color="auto"/>
        <w:left w:val="none" w:sz="0" w:space="0" w:color="auto"/>
        <w:bottom w:val="none" w:sz="0" w:space="0" w:color="auto"/>
        <w:right w:val="none" w:sz="0" w:space="0" w:color="auto"/>
      </w:divBdr>
    </w:div>
    <w:div w:id="1614898409">
      <w:bodyDiv w:val="1"/>
      <w:marLeft w:val="0"/>
      <w:marRight w:val="0"/>
      <w:marTop w:val="0"/>
      <w:marBottom w:val="0"/>
      <w:divBdr>
        <w:top w:val="none" w:sz="0" w:space="0" w:color="auto"/>
        <w:left w:val="none" w:sz="0" w:space="0" w:color="auto"/>
        <w:bottom w:val="none" w:sz="0" w:space="0" w:color="auto"/>
        <w:right w:val="none" w:sz="0" w:space="0" w:color="auto"/>
      </w:divBdr>
    </w:div>
    <w:div w:id="1615361728">
      <w:bodyDiv w:val="1"/>
      <w:marLeft w:val="0"/>
      <w:marRight w:val="0"/>
      <w:marTop w:val="0"/>
      <w:marBottom w:val="0"/>
      <w:divBdr>
        <w:top w:val="none" w:sz="0" w:space="0" w:color="auto"/>
        <w:left w:val="none" w:sz="0" w:space="0" w:color="auto"/>
        <w:bottom w:val="none" w:sz="0" w:space="0" w:color="auto"/>
        <w:right w:val="none" w:sz="0" w:space="0" w:color="auto"/>
      </w:divBdr>
    </w:div>
    <w:div w:id="1615944048">
      <w:bodyDiv w:val="1"/>
      <w:marLeft w:val="0"/>
      <w:marRight w:val="0"/>
      <w:marTop w:val="0"/>
      <w:marBottom w:val="0"/>
      <w:divBdr>
        <w:top w:val="none" w:sz="0" w:space="0" w:color="auto"/>
        <w:left w:val="none" w:sz="0" w:space="0" w:color="auto"/>
        <w:bottom w:val="none" w:sz="0" w:space="0" w:color="auto"/>
        <w:right w:val="none" w:sz="0" w:space="0" w:color="auto"/>
      </w:divBdr>
    </w:div>
    <w:div w:id="1616013660">
      <w:bodyDiv w:val="1"/>
      <w:marLeft w:val="0"/>
      <w:marRight w:val="0"/>
      <w:marTop w:val="0"/>
      <w:marBottom w:val="0"/>
      <w:divBdr>
        <w:top w:val="none" w:sz="0" w:space="0" w:color="auto"/>
        <w:left w:val="none" w:sz="0" w:space="0" w:color="auto"/>
        <w:bottom w:val="none" w:sz="0" w:space="0" w:color="auto"/>
        <w:right w:val="none" w:sz="0" w:space="0" w:color="auto"/>
      </w:divBdr>
    </w:div>
    <w:div w:id="1616522076">
      <w:bodyDiv w:val="1"/>
      <w:marLeft w:val="0"/>
      <w:marRight w:val="0"/>
      <w:marTop w:val="0"/>
      <w:marBottom w:val="0"/>
      <w:divBdr>
        <w:top w:val="none" w:sz="0" w:space="0" w:color="auto"/>
        <w:left w:val="none" w:sz="0" w:space="0" w:color="auto"/>
        <w:bottom w:val="none" w:sz="0" w:space="0" w:color="auto"/>
        <w:right w:val="none" w:sz="0" w:space="0" w:color="auto"/>
      </w:divBdr>
    </w:div>
    <w:div w:id="1617566450">
      <w:bodyDiv w:val="1"/>
      <w:marLeft w:val="0"/>
      <w:marRight w:val="0"/>
      <w:marTop w:val="0"/>
      <w:marBottom w:val="0"/>
      <w:divBdr>
        <w:top w:val="none" w:sz="0" w:space="0" w:color="auto"/>
        <w:left w:val="none" w:sz="0" w:space="0" w:color="auto"/>
        <w:bottom w:val="none" w:sz="0" w:space="0" w:color="auto"/>
        <w:right w:val="none" w:sz="0" w:space="0" w:color="auto"/>
      </w:divBdr>
    </w:div>
    <w:div w:id="1617827468">
      <w:bodyDiv w:val="1"/>
      <w:marLeft w:val="0"/>
      <w:marRight w:val="0"/>
      <w:marTop w:val="0"/>
      <w:marBottom w:val="0"/>
      <w:divBdr>
        <w:top w:val="none" w:sz="0" w:space="0" w:color="auto"/>
        <w:left w:val="none" w:sz="0" w:space="0" w:color="auto"/>
        <w:bottom w:val="none" w:sz="0" w:space="0" w:color="auto"/>
        <w:right w:val="none" w:sz="0" w:space="0" w:color="auto"/>
      </w:divBdr>
    </w:div>
    <w:div w:id="1618021353">
      <w:bodyDiv w:val="1"/>
      <w:marLeft w:val="0"/>
      <w:marRight w:val="0"/>
      <w:marTop w:val="0"/>
      <w:marBottom w:val="0"/>
      <w:divBdr>
        <w:top w:val="none" w:sz="0" w:space="0" w:color="auto"/>
        <w:left w:val="none" w:sz="0" w:space="0" w:color="auto"/>
        <w:bottom w:val="none" w:sz="0" w:space="0" w:color="auto"/>
        <w:right w:val="none" w:sz="0" w:space="0" w:color="auto"/>
      </w:divBdr>
    </w:div>
    <w:div w:id="1618826837">
      <w:bodyDiv w:val="1"/>
      <w:marLeft w:val="0"/>
      <w:marRight w:val="0"/>
      <w:marTop w:val="0"/>
      <w:marBottom w:val="0"/>
      <w:divBdr>
        <w:top w:val="none" w:sz="0" w:space="0" w:color="auto"/>
        <w:left w:val="none" w:sz="0" w:space="0" w:color="auto"/>
        <w:bottom w:val="none" w:sz="0" w:space="0" w:color="auto"/>
        <w:right w:val="none" w:sz="0" w:space="0" w:color="auto"/>
      </w:divBdr>
    </w:div>
    <w:div w:id="1619137560">
      <w:bodyDiv w:val="1"/>
      <w:marLeft w:val="0"/>
      <w:marRight w:val="0"/>
      <w:marTop w:val="0"/>
      <w:marBottom w:val="0"/>
      <w:divBdr>
        <w:top w:val="none" w:sz="0" w:space="0" w:color="auto"/>
        <w:left w:val="none" w:sz="0" w:space="0" w:color="auto"/>
        <w:bottom w:val="none" w:sz="0" w:space="0" w:color="auto"/>
        <w:right w:val="none" w:sz="0" w:space="0" w:color="auto"/>
      </w:divBdr>
    </w:div>
    <w:div w:id="1619216229">
      <w:bodyDiv w:val="1"/>
      <w:marLeft w:val="0"/>
      <w:marRight w:val="0"/>
      <w:marTop w:val="0"/>
      <w:marBottom w:val="0"/>
      <w:divBdr>
        <w:top w:val="none" w:sz="0" w:space="0" w:color="auto"/>
        <w:left w:val="none" w:sz="0" w:space="0" w:color="auto"/>
        <w:bottom w:val="none" w:sz="0" w:space="0" w:color="auto"/>
        <w:right w:val="none" w:sz="0" w:space="0" w:color="auto"/>
      </w:divBdr>
    </w:div>
    <w:div w:id="1619529011">
      <w:bodyDiv w:val="1"/>
      <w:marLeft w:val="0"/>
      <w:marRight w:val="0"/>
      <w:marTop w:val="0"/>
      <w:marBottom w:val="0"/>
      <w:divBdr>
        <w:top w:val="none" w:sz="0" w:space="0" w:color="auto"/>
        <w:left w:val="none" w:sz="0" w:space="0" w:color="auto"/>
        <w:bottom w:val="none" w:sz="0" w:space="0" w:color="auto"/>
        <w:right w:val="none" w:sz="0" w:space="0" w:color="auto"/>
      </w:divBdr>
    </w:div>
    <w:div w:id="1619558288">
      <w:bodyDiv w:val="1"/>
      <w:marLeft w:val="0"/>
      <w:marRight w:val="0"/>
      <w:marTop w:val="0"/>
      <w:marBottom w:val="0"/>
      <w:divBdr>
        <w:top w:val="none" w:sz="0" w:space="0" w:color="auto"/>
        <w:left w:val="none" w:sz="0" w:space="0" w:color="auto"/>
        <w:bottom w:val="none" w:sz="0" w:space="0" w:color="auto"/>
        <w:right w:val="none" w:sz="0" w:space="0" w:color="auto"/>
      </w:divBdr>
    </w:div>
    <w:div w:id="1620334559">
      <w:bodyDiv w:val="1"/>
      <w:marLeft w:val="0"/>
      <w:marRight w:val="0"/>
      <w:marTop w:val="0"/>
      <w:marBottom w:val="0"/>
      <w:divBdr>
        <w:top w:val="none" w:sz="0" w:space="0" w:color="auto"/>
        <w:left w:val="none" w:sz="0" w:space="0" w:color="auto"/>
        <w:bottom w:val="none" w:sz="0" w:space="0" w:color="auto"/>
        <w:right w:val="none" w:sz="0" w:space="0" w:color="auto"/>
      </w:divBdr>
    </w:div>
    <w:div w:id="1620454932">
      <w:bodyDiv w:val="1"/>
      <w:marLeft w:val="0"/>
      <w:marRight w:val="0"/>
      <w:marTop w:val="0"/>
      <w:marBottom w:val="0"/>
      <w:divBdr>
        <w:top w:val="none" w:sz="0" w:space="0" w:color="auto"/>
        <w:left w:val="none" w:sz="0" w:space="0" w:color="auto"/>
        <w:bottom w:val="none" w:sz="0" w:space="0" w:color="auto"/>
        <w:right w:val="none" w:sz="0" w:space="0" w:color="auto"/>
      </w:divBdr>
    </w:div>
    <w:div w:id="1620725449">
      <w:bodyDiv w:val="1"/>
      <w:marLeft w:val="0"/>
      <w:marRight w:val="0"/>
      <w:marTop w:val="0"/>
      <w:marBottom w:val="0"/>
      <w:divBdr>
        <w:top w:val="none" w:sz="0" w:space="0" w:color="auto"/>
        <w:left w:val="none" w:sz="0" w:space="0" w:color="auto"/>
        <w:bottom w:val="none" w:sz="0" w:space="0" w:color="auto"/>
        <w:right w:val="none" w:sz="0" w:space="0" w:color="auto"/>
      </w:divBdr>
    </w:div>
    <w:div w:id="1621499527">
      <w:bodyDiv w:val="1"/>
      <w:marLeft w:val="0"/>
      <w:marRight w:val="0"/>
      <w:marTop w:val="0"/>
      <w:marBottom w:val="0"/>
      <w:divBdr>
        <w:top w:val="none" w:sz="0" w:space="0" w:color="auto"/>
        <w:left w:val="none" w:sz="0" w:space="0" w:color="auto"/>
        <w:bottom w:val="none" w:sz="0" w:space="0" w:color="auto"/>
        <w:right w:val="none" w:sz="0" w:space="0" w:color="auto"/>
      </w:divBdr>
    </w:div>
    <w:div w:id="1622421616">
      <w:bodyDiv w:val="1"/>
      <w:marLeft w:val="0"/>
      <w:marRight w:val="0"/>
      <w:marTop w:val="0"/>
      <w:marBottom w:val="0"/>
      <w:divBdr>
        <w:top w:val="none" w:sz="0" w:space="0" w:color="auto"/>
        <w:left w:val="none" w:sz="0" w:space="0" w:color="auto"/>
        <w:bottom w:val="none" w:sz="0" w:space="0" w:color="auto"/>
        <w:right w:val="none" w:sz="0" w:space="0" w:color="auto"/>
      </w:divBdr>
    </w:div>
    <w:div w:id="1623271174">
      <w:bodyDiv w:val="1"/>
      <w:marLeft w:val="0"/>
      <w:marRight w:val="0"/>
      <w:marTop w:val="0"/>
      <w:marBottom w:val="0"/>
      <w:divBdr>
        <w:top w:val="none" w:sz="0" w:space="0" w:color="auto"/>
        <w:left w:val="none" w:sz="0" w:space="0" w:color="auto"/>
        <w:bottom w:val="none" w:sz="0" w:space="0" w:color="auto"/>
        <w:right w:val="none" w:sz="0" w:space="0" w:color="auto"/>
      </w:divBdr>
    </w:div>
    <w:div w:id="1623338343">
      <w:bodyDiv w:val="1"/>
      <w:marLeft w:val="0"/>
      <w:marRight w:val="0"/>
      <w:marTop w:val="0"/>
      <w:marBottom w:val="0"/>
      <w:divBdr>
        <w:top w:val="none" w:sz="0" w:space="0" w:color="auto"/>
        <w:left w:val="none" w:sz="0" w:space="0" w:color="auto"/>
        <w:bottom w:val="none" w:sz="0" w:space="0" w:color="auto"/>
        <w:right w:val="none" w:sz="0" w:space="0" w:color="auto"/>
      </w:divBdr>
    </w:div>
    <w:div w:id="1623996553">
      <w:bodyDiv w:val="1"/>
      <w:marLeft w:val="0"/>
      <w:marRight w:val="0"/>
      <w:marTop w:val="0"/>
      <w:marBottom w:val="0"/>
      <w:divBdr>
        <w:top w:val="none" w:sz="0" w:space="0" w:color="auto"/>
        <w:left w:val="none" w:sz="0" w:space="0" w:color="auto"/>
        <w:bottom w:val="none" w:sz="0" w:space="0" w:color="auto"/>
        <w:right w:val="none" w:sz="0" w:space="0" w:color="auto"/>
      </w:divBdr>
    </w:div>
    <w:div w:id="1624773225">
      <w:bodyDiv w:val="1"/>
      <w:marLeft w:val="0"/>
      <w:marRight w:val="0"/>
      <w:marTop w:val="0"/>
      <w:marBottom w:val="0"/>
      <w:divBdr>
        <w:top w:val="none" w:sz="0" w:space="0" w:color="auto"/>
        <w:left w:val="none" w:sz="0" w:space="0" w:color="auto"/>
        <w:bottom w:val="none" w:sz="0" w:space="0" w:color="auto"/>
        <w:right w:val="none" w:sz="0" w:space="0" w:color="auto"/>
      </w:divBdr>
    </w:div>
    <w:div w:id="1624926178">
      <w:bodyDiv w:val="1"/>
      <w:marLeft w:val="0"/>
      <w:marRight w:val="0"/>
      <w:marTop w:val="0"/>
      <w:marBottom w:val="0"/>
      <w:divBdr>
        <w:top w:val="none" w:sz="0" w:space="0" w:color="auto"/>
        <w:left w:val="none" w:sz="0" w:space="0" w:color="auto"/>
        <w:bottom w:val="none" w:sz="0" w:space="0" w:color="auto"/>
        <w:right w:val="none" w:sz="0" w:space="0" w:color="auto"/>
      </w:divBdr>
    </w:div>
    <w:div w:id="1625162487">
      <w:bodyDiv w:val="1"/>
      <w:marLeft w:val="0"/>
      <w:marRight w:val="0"/>
      <w:marTop w:val="0"/>
      <w:marBottom w:val="0"/>
      <w:divBdr>
        <w:top w:val="none" w:sz="0" w:space="0" w:color="auto"/>
        <w:left w:val="none" w:sz="0" w:space="0" w:color="auto"/>
        <w:bottom w:val="none" w:sz="0" w:space="0" w:color="auto"/>
        <w:right w:val="none" w:sz="0" w:space="0" w:color="auto"/>
      </w:divBdr>
    </w:div>
    <w:div w:id="1626228151">
      <w:bodyDiv w:val="1"/>
      <w:marLeft w:val="0"/>
      <w:marRight w:val="0"/>
      <w:marTop w:val="0"/>
      <w:marBottom w:val="0"/>
      <w:divBdr>
        <w:top w:val="none" w:sz="0" w:space="0" w:color="auto"/>
        <w:left w:val="none" w:sz="0" w:space="0" w:color="auto"/>
        <w:bottom w:val="none" w:sz="0" w:space="0" w:color="auto"/>
        <w:right w:val="none" w:sz="0" w:space="0" w:color="auto"/>
      </w:divBdr>
    </w:div>
    <w:div w:id="1626739527">
      <w:bodyDiv w:val="1"/>
      <w:marLeft w:val="0"/>
      <w:marRight w:val="0"/>
      <w:marTop w:val="0"/>
      <w:marBottom w:val="0"/>
      <w:divBdr>
        <w:top w:val="none" w:sz="0" w:space="0" w:color="auto"/>
        <w:left w:val="none" w:sz="0" w:space="0" w:color="auto"/>
        <w:bottom w:val="none" w:sz="0" w:space="0" w:color="auto"/>
        <w:right w:val="none" w:sz="0" w:space="0" w:color="auto"/>
      </w:divBdr>
    </w:div>
    <w:div w:id="1626931381">
      <w:bodyDiv w:val="1"/>
      <w:marLeft w:val="0"/>
      <w:marRight w:val="0"/>
      <w:marTop w:val="0"/>
      <w:marBottom w:val="0"/>
      <w:divBdr>
        <w:top w:val="none" w:sz="0" w:space="0" w:color="auto"/>
        <w:left w:val="none" w:sz="0" w:space="0" w:color="auto"/>
        <w:bottom w:val="none" w:sz="0" w:space="0" w:color="auto"/>
        <w:right w:val="none" w:sz="0" w:space="0" w:color="auto"/>
      </w:divBdr>
    </w:div>
    <w:div w:id="1627004395">
      <w:bodyDiv w:val="1"/>
      <w:marLeft w:val="0"/>
      <w:marRight w:val="0"/>
      <w:marTop w:val="0"/>
      <w:marBottom w:val="0"/>
      <w:divBdr>
        <w:top w:val="none" w:sz="0" w:space="0" w:color="auto"/>
        <w:left w:val="none" w:sz="0" w:space="0" w:color="auto"/>
        <w:bottom w:val="none" w:sz="0" w:space="0" w:color="auto"/>
        <w:right w:val="none" w:sz="0" w:space="0" w:color="auto"/>
      </w:divBdr>
    </w:div>
    <w:div w:id="1627081017">
      <w:bodyDiv w:val="1"/>
      <w:marLeft w:val="0"/>
      <w:marRight w:val="0"/>
      <w:marTop w:val="0"/>
      <w:marBottom w:val="0"/>
      <w:divBdr>
        <w:top w:val="none" w:sz="0" w:space="0" w:color="auto"/>
        <w:left w:val="none" w:sz="0" w:space="0" w:color="auto"/>
        <w:bottom w:val="none" w:sz="0" w:space="0" w:color="auto"/>
        <w:right w:val="none" w:sz="0" w:space="0" w:color="auto"/>
      </w:divBdr>
    </w:div>
    <w:div w:id="1627740236">
      <w:bodyDiv w:val="1"/>
      <w:marLeft w:val="0"/>
      <w:marRight w:val="0"/>
      <w:marTop w:val="0"/>
      <w:marBottom w:val="0"/>
      <w:divBdr>
        <w:top w:val="none" w:sz="0" w:space="0" w:color="auto"/>
        <w:left w:val="none" w:sz="0" w:space="0" w:color="auto"/>
        <w:bottom w:val="none" w:sz="0" w:space="0" w:color="auto"/>
        <w:right w:val="none" w:sz="0" w:space="0" w:color="auto"/>
      </w:divBdr>
    </w:div>
    <w:div w:id="1628049706">
      <w:bodyDiv w:val="1"/>
      <w:marLeft w:val="0"/>
      <w:marRight w:val="0"/>
      <w:marTop w:val="0"/>
      <w:marBottom w:val="0"/>
      <w:divBdr>
        <w:top w:val="none" w:sz="0" w:space="0" w:color="auto"/>
        <w:left w:val="none" w:sz="0" w:space="0" w:color="auto"/>
        <w:bottom w:val="none" w:sz="0" w:space="0" w:color="auto"/>
        <w:right w:val="none" w:sz="0" w:space="0" w:color="auto"/>
      </w:divBdr>
    </w:div>
    <w:div w:id="1628195141">
      <w:bodyDiv w:val="1"/>
      <w:marLeft w:val="0"/>
      <w:marRight w:val="0"/>
      <w:marTop w:val="0"/>
      <w:marBottom w:val="0"/>
      <w:divBdr>
        <w:top w:val="none" w:sz="0" w:space="0" w:color="auto"/>
        <w:left w:val="none" w:sz="0" w:space="0" w:color="auto"/>
        <w:bottom w:val="none" w:sz="0" w:space="0" w:color="auto"/>
        <w:right w:val="none" w:sz="0" w:space="0" w:color="auto"/>
      </w:divBdr>
    </w:div>
    <w:div w:id="1628199319">
      <w:bodyDiv w:val="1"/>
      <w:marLeft w:val="0"/>
      <w:marRight w:val="0"/>
      <w:marTop w:val="0"/>
      <w:marBottom w:val="0"/>
      <w:divBdr>
        <w:top w:val="none" w:sz="0" w:space="0" w:color="auto"/>
        <w:left w:val="none" w:sz="0" w:space="0" w:color="auto"/>
        <w:bottom w:val="none" w:sz="0" w:space="0" w:color="auto"/>
        <w:right w:val="none" w:sz="0" w:space="0" w:color="auto"/>
      </w:divBdr>
    </w:div>
    <w:div w:id="1628318197">
      <w:bodyDiv w:val="1"/>
      <w:marLeft w:val="0"/>
      <w:marRight w:val="0"/>
      <w:marTop w:val="0"/>
      <w:marBottom w:val="0"/>
      <w:divBdr>
        <w:top w:val="none" w:sz="0" w:space="0" w:color="auto"/>
        <w:left w:val="none" w:sz="0" w:space="0" w:color="auto"/>
        <w:bottom w:val="none" w:sz="0" w:space="0" w:color="auto"/>
        <w:right w:val="none" w:sz="0" w:space="0" w:color="auto"/>
      </w:divBdr>
    </w:div>
    <w:div w:id="1628975561">
      <w:bodyDiv w:val="1"/>
      <w:marLeft w:val="0"/>
      <w:marRight w:val="0"/>
      <w:marTop w:val="0"/>
      <w:marBottom w:val="0"/>
      <w:divBdr>
        <w:top w:val="none" w:sz="0" w:space="0" w:color="auto"/>
        <w:left w:val="none" w:sz="0" w:space="0" w:color="auto"/>
        <w:bottom w:val="none" w:sz="0" w:space="0" w:color="auto"/>
        <w:right w:val="none" w:sz="0" w:space="0" w:color="auto"/>
      </w:divBdr>
    </w:div>
    <w:div w:id="1629118595">
      <w:bodyDiv w:val="1"/>
      <w:marLeft w:val="0"/>
      <w:marRight w:val="0"/>
      <w:marTop w:val="0"/>
      <w:marBottom w:val="0"/>
      <w:divBdr>
        <w:top w:val="none" w:sz="0" w:space="0" w:color="auto"/>
        <w:left w:val="none" w:sz="0" w:space="0" w:color="auto"/>
        <w:bottom w:val="none" w:sz="0" w:space="0" w:color="auto"/>
        <w:right w:val="none" w:sz="0" w:space="0" w:color="auto"/>
      </w:divBdr>
    </w:div>
    <w:div w:id="1629504276">
      <w:bodyDiv w:val="1"/>
      <w:marLeft w:val="0"/>
      <w:marRight w:val="0"/>
      <w:marTop w:val="0"/>
      <w:marBottom w:val="0"/>
      <w:divBdr>
        <w:top w:val="none" w:sz="0" w:space="0" w:color="auto"/>
        <w:left w:val="none" w:sz="0" w:space="0" w:color="auto"/>
        <w:bottom w:val="none" w:sz="0" w:space="0" w:color="auto"/>
        <w:right w:val="none" w:sz="0" w:space="0" w:color="auto"/>
      </w:divBdr>
    </w:div>
    <w:div w:id="1629581594">
      <w:bodyDiv w:val="1"/>
      <w:marLeft w:val="0"/>
      <w:marRight w:val="0"/>
      <w:marTop w:val="0"/>
      <w:marBottom w:val="0"/>
      <w:divBdr>
        <w:top w:val="none" w:sz="0" w:space="0" w:color="auto"/>
        <w:left w:val="none" w:sz="0" w:space="0" w:color="auto"/>
        <w:bottom w:val="none" w:sz="0" w:space="0" w:color="auto"/>
        <w:right w:val="none" w:sz="0" w:space="0" w:color="auto"/>
      </w:divBdr>
    </w:div>
    <w:div w:id="1630621177">
      <w:bodyDiv w:val="1"/>
      <w:marLeft w:val="0"/>
      <w:marRight w:val="0"/>
      <w:marTop w:val="0"/>
      <w:marBottom w:val="0"/>
      <w:divBdr>
        <w:top w:val="none" w:sz="0" w:space="0" w:color="auto"/>
        <w:left w:val="none" w:sz="0" w:space="0" w:color="auto"/>
        <w:bottom w:val="none" w:sz="0" w:space="0" w:color="auto"/>
        <w:right w:val="none" w:sz="0" w:space="0" w:color="auto"/>
      </w:divBdr>
    </w:div>
    <w:div w:id="1631471432">
      <w:bodyDiv w:val="1"/>
      <w:marLeft w:val="0"/>
      <w:marRight w:val="0"/>
      <w:marTop w:val="0"/>
      <w:marBottom w:val="0"/>
      <w:divBdr>
        <w:top w:val="none" w:sz="0" w:space="0" w:color="auto"/>
        <w:left w:val="none" w:sz="0" w:space="0" w:color="auto"/>
        <w:bottom w:val="none" w:sz="0" w:space="0" w:color="auto"/>
        <w:right w:val="none" w:sz="0" w:space="0" w:color="auto"/>
      </w:divBdr>
    </w:div>
    <w:div w:id="1632133628">
      <w:bodyDiv w:val="1"/>
      <w:marLeft w:val="0"/>
      <w:marRight w:val="0"/>
      <w:marTop w:val="0"/>
      <w:marBottom w:val="0"/>
      <w:divBdr>
        <w:top w:val="none" w:sz="0" w:space="0" w:color="auto"/>
        <w:left w:val="none" w:sz="0" w:space="0" w:color="auto"/>
        <w:bottom w:val="none" w:sz="0" w:space="0" w:color="auto"/>
        <w:right w:val="none" w:sz="0" w:space="0" w:color="auto"/>
      </w:divBdr>
    </w:div>
    <w:div w:id="1632206396">
      <w:bodyDiv w:val="1"/>
      <w:marLeft w:val="0"/>
      <w:marRight w:val="0"/>
      <w:marTop w:val="0"/>
      <w:marBottom w:val="0"/>
      <w:divBdr>
        <w:top w:val="none" w:sz="0" w:space="0" w:color="auto"/>
        <w:left w:val="none" w:sz="0" w:space="0" w:color="auto"/>
        <w:bottom w:val="none" w:sz="0" w:space="0" w:color="auto"/>
        <w:right w:val="none" w:sz="0" w:space="0" w:color="auto"/>
      </w:divBdr>
    </w:div>
    <w:div w:id="1632396044">
      <w:bodyDiv w:val="1"/>
      <w:marLeft w:val="0"/>
      <w:marRight w:val="0"/>
      <w:marTop w:val="0"/>
      <w:marBottom w:val="0"/>
      <w:divBdr>
        <w:top w:val="none" w:sz="0" w:space="0" w:color="auto"/>
        <w:left w:val="none" w:sz="0" w:space="0" w:color="auto"/>
        <w:bottom w:val="none" w:sz="0" w:space="0" w:color="auto"/>
        <w:right w:val="none" w:sz="0" w:space="0" w:color="auto"/>
      </w:divBdr>
    </w:div>
    <w:div w:id="1633050507">
      <w:bodyDiv w:val="1"/>
      <w:marLeft w:val="0"/>
      <w:marRight w:val="0"/>
      <w:marTop w:val="0"/>
      <w:marBottom w:val="0"/>
      <w:divBdr>
        <w:top w:val="none" w:sz="0" w:space="0" w:color="auto"/>
        <w:left w:val="none" w:sz="0" w:space="0" w:color="auto"/>
        <w:bottom w:val="none" w:sz="0" w:space="0" w:color="auto"/>
        <w:right w:val="none" w:sz="0" w:space="0" w:color="auto"/>
      </w:divBdr>
    </w:div>
    <w:div w:id="1633167951">
      <w:bodyDiv w:val="1"/>
      <w:marLeft w:val="0"/>
      <w:marRight w:val="0"/>
      <w:marTop w:val="0"/>
      <w:marBottom w:val="0"/>
      <w:divBdr>
        <w:top w:val="none" w:sz="0" w:space="0" w:color="auto"/>
        <w:left w:val="none" w:sz="0" w:space="0" w:color="auto"/>
        <w:bottom w:val="none" w:sz="0" w:space="0" w:color="auto"/>
        <w:right w:val="none" w:sz="0" w:space="0" w:color="auto"/>
      </w:divBdr>
    </w:div>
    <w:div w:id="1633439333">
      <w:bodyDiv w:val="1"/>
      <w:marLeft w:val="0"/>
      <w:marRight w:val="0"/>
      <w:marTop w:val="0"/>
      <w:marBottom w:val="0"/>
      <w:divBdr>
        <w:top w:val="none" w:sz="0" w:space="0" w:color="auto"/>
        <w:left w:val="none" w:sz="0" w:space="0" w:color="auto"/>
        <w:bottom w:val="none" w:sz="0" w:space="0" w:color="auto"/>
        <w:right w:val="none" w:sz="0" w:space="0" w:color="auto"/>
      </w:divBdr>
    </w:div>
    <w:div w:id="1634099644">
      <w:bodyDiv w:val="1"/>
      <w:marLeft w:val="0"/>
      <w:marRight w:val="0"/>
      <w:marTop w:val="0"/>
      <w:marBottom w:val="0"/>
      <w:divBdr>
        <w:top w:val="none" w:sz="0" w:space="0" w:color="auto"/>
        <w:left w:val="none" w:sz="0" w:space="0" w:color="auto"/>
        <w:bottom w:val="none" w:sz="0" w:space="0" w:color="auto"/>
        <w:right w:val="none" w:sz="0" w:space="0" w:color="auto"/>
      </w:divBdr>
    </w:div>
    <w:div w:id="1634141302">
      <w:bodyDiv w:val="1"/>
      <w:marLeft w:val="0"/>
      <w:marRight w:val="0"/>
      <w:marTop w:val="0"/>
      <w:marBottom w:val="0"/>
      <w:divBdr>
        <w:top w:val="none" w:sz="0" w:space="0" w:color="auto"/>
        <w:left w:val="none" w:sz="0" w:space="0" w:color="auto"/>
        <w:bottom w:val="none" w:sz="0" w:space="0" w:color="auto"/>
        <w:right w:val="none" w:sz="0" w:space="0" w:color="auto"/>
      </w:divBdr>
    </w:div>
    <w:div w:id="1634478643">
      <w:bodyDiv w:val="1"/>
      <w:marLeft w:val="0"/>
      <w:marRight w:val="0"/>
      <w:marTop w:val="0"/>
      <w:marBottom w:val="0"/>
      <w:divBdr>
        <w:top w:val="none" w:sz="0" w:space="0" w:color="auto"/>
        <w:left w:val="none" w:sz="0" w:space="0" w:color="auto"/>
        <w:bottom w:val="none" w:sz="0" w:space="0" w:color="auto"/>
        <w:right w:val="none" w:sz="0" w:space="0" w:color="auto"/>
      </w:divBdr>
    </w:div>
    <w:div w:id="1634602084">
      <w:bodyDiv w:val="1"/>
      <w:marLeft w:val="0"/>
      <w:marRight w:val="0"/>
      <w:marTop w:val="0"/>
      <w:marBottom w:val="0"/>
      <w:divBdr>
        <w:top w:val="none" w:sz="0" w:space="0" w:color="auto"/>
        <w:left w:val="none" w:sz="0" w:space="0" w:color="auto"/>
        <w:bottom w:val="none" w:sz="0" w:space="0" w:color="auto"/>
        <w:right w:val="none" w:sz="0" w:space="0" w:color="auto"/>
      </w:divBdr>
    </w:div>
    <w:div w:id="1635403506">
      <w:bodyDiv w:val="1"/>
      <w:marLeft w:val="0"/>
      <w:marRight w:val="0"/>
      <w:marTop w:val="0"/>
      <w:marBottom w:val="0"/>
      <w:divBdr>
        <w:top w:val="none" w:sz="0" w:space="0" w:color="auto"/>
        <w:left w:val="none" w:sz="0" w:space="0" w:color="auto"/>
        <w:bottom w:val="none" w:sz="0" w:space="0" w:color="auto"/>
        <w:right w:val="none" w:sz="0" w:space="0" w:color="auto"/>
      </w:divBdr>
    </w:div>
    <w:div w:id="1636984046">
      <w:bodyDiv w:val="1"/>
      <w:marLeft w:val="0"/>
      <w:marRight w:val="0"/>
      <w:marTop w:val="0"/>
      <w:marBottom w:val="0"/>
      <w:divBdr>
        <w:top w:val="none" w:sz="0" w:space="0" w:color="auto"/>
        <w:left w:val="none" w:sz="0" w:space="0" w:color="auto"/>
        <w:bottom w:val="none" w:sz="0" w:space="0" w:color="auto"/>
        <w:right w:val="none" w:sz="0" w:space="0" w:color="auto"/>
      </w:divBdr>
    </w:div>
    <w:div w:id="1637949707">
      <w:bodyDiv w:val="1"/>
      <w:marLeft w:val="0"/>
      <w:marRight w:val="0"/>
      <w:marTop w:val="0"/>
      <w:marBottom w:val="0"/>
      <w:divBdr>
        <w:top w:val="none" w:sz="0" w:space="0" w:color="auto"/>
        <w:left w:val="none" w:sz="0" w:space="0" w:color="auto"/>
        <w:bottom w:val="none" w:sz="0" w:space="0" w:color="auto"/>
        <w:right w:val="none" w:sz="0" w:space="0" w:color="auto"/>
      </w:divBdr>
    </w:div>
    <w:div w:id="1639188946">
      <w:bodyDiv w:val="1"/>
      <w:marLeft w:val="0"/>
      <w:marRight w:val="0"/>
      <w:marTop w:val="0"/>
      <w:marBottom w:val="0"/>
      <w:divBdr>
        <w:top w:val="none" w:sz="0" w:space="0" w:color="auto"/>
        <w:left w:val="none" w:sz="0" w:space="0" w:color="auto"/>
        <w:bottom w:val="none" w:sz="0" w:space="0" w:color="auto"/>
        <w:right w:val="none" w:sz="0" w:space="0" w:color="auto"/>
      </w:divBdr>
    </w:div>
    <w:div w:id="1639413519">
      <w:bodyDiv w:val="1"/>
      <w:marLeft w:val="0"/>
      <w:marRight w:val="0"/>
      <w:marTop w:val="0"/>
      <w:marBottom w:val="0"/>
      <w:divBdr>
        <w:top w:val="none" w:sz="0" w:space="0" w:color="auto"/>
        <w:left w:val="none" w:sz="0" w:space="0" w:color="auto"/>
        <w:bottom w:val="none" w:sz="0" w:space="0" w:color="auto"/>
        <w:right w:val="none" w:sz="0" w:space="0" w:color="auto"/>
      </w:divBdr>
    </w:div>
    <w:div w:id="1639722862">
      <w:bodyDiv w:val="1"/>
      <w:marLeft w:val="0"/>
      <w:marRight w:val="0"/>
      <w:marTop w:val="0"/>
      <w:marBottom w:val="0"/>
      <w:divBdr>
        <w:top w:val="none" w:sz="0" w:space="0" w:color="auto"/>
        <w:left w:val="none" w:sz="0" w:space="0" w:color="auto"/>
        <w:bottom w:val="none" w:sz="0" w:space="0" w:color="auto"/>
        <w:right w:val="none" w:sz="0" w:space="0" w:color="auto"/>
      </w:divBdr>
    </w:div>
    <w:div w:id="1640107878">
      <w:bodyDiv w:val="1"/>
      <w:marLeft w:val="0"/>
      <w:marRight w:val="0"/>
      <w:marTop w:val="0"/>
      <w:marBottom w:val="0"/>
      <w:divBdr>
        <w:top w:val="none" w:sz="0" w:space="0" w:color="auto"/>
        <w:left w:val="none" w:sz="0" w:space="0" w:color="auto"/>
        <w:bottom w:val="none" w:sz="0" w:space="0" w:color="auto"/>
        <w:right w:val="none" w:sz="0" w:space="0" w:color="auto"/>
      </w:divBdr>
    </w:div>
    <w:div w:id="1640377066">
      <w:bodyDiv w:val="1"/>
      <w:marLeft w:val="0"/>
      <w:marRight w:val="0"/>
      <w:marTop w:val="0"/>
      <w:marBottom w:val="0"/>
      <w:divBdr>
        <w:top w:val="none" w:sz="0" w:space="0" w:color="auto"/>
        <w:left w:val="none" w:sz="0" w:space="0" w:color="auto"/>
        <w:bottom w:val="none" w:sz="0" w:space="0" w:color="auto"/>
        <w:right w:val="none" w:sz="0" w:space="0" w:color="auto"/>
      </w:divBdr>
    </w:div>
    <w:div w:id="1640450843">
      <w:bodyDiv w:val="1"/>
      <w:marLeft w:val="0"/>
      <w:marRight w:val="0"/>
      <w:marTop w:val="0"/>
      <w:marBottom w:val="0"/>
      <w:divBdr>
        <w:top w:val="none" w:sz="0" w:space="0" w:color="auto"/>
        <w:left w:val="none" w:sz="0" w:space="0" w:color="auto"/>
        <w:bottom w:val="none" w:sz="0" w:space="0" w:color="auto"/>
        <w:right w:val="none" w:sz="0" w:space="0" w:color="auto"/>
      </w:divBdr>
    </w:div>
    <w:div w:id="1640500470">
      <w:bodyDiv w:val="1"/>
      <w:marLeft w:val="0"/>
      <w:marRight w:val="0"/>
      <w:marTop w:val="0"/>
      <w:marBottom w:val="0"/>
      <w:divBdr>
        <w:top w:val="none" w:sz="0" w:space="0" w:color="auto"/>
        <w:left w:val="none" w:sz="0" w:space="0" w:color="auto"/>
        <w:bottom w:val="none" w:sz="0" w:space="0" w:color="auto"/>
        <w:right w:val="none" w:sz="0" w:space="0" w:color="auto"/>
      </w:divBdr>
    </w:div>
    <w:div w:id="1640646729">
      <w:bodyDiv w:val="1"/>
      <w:marLeft w:val="0"/>
      <w:marRight w:val="0"/>
      <w:marTop w:val="0"/>
      <w:marBottom w:val="0"/>
      <w:divBdr>
        <w:top w:val="none" w:sz="0" w:space="0" w:color="auto"/>
        <w:left w:val="none" w:sz="0" w:space="0" w:color="auto"/>
        <w:bottom w:val="none" w:sz="0" w:space="0" w:color="auto"/>
        <w:right w:val="none" w:sz="0" w:space="0" w:color="auto"/>
      </w:divBdr>
    </w:div>
    <w:div w:id="1641839743">
      <w:bodyDiv w:val="1"/>
      <w:marLeft w:val="0"/>
      <w:marRight w:val="0"/>
      <w:marTop w:val="0"/>
      <w:marBottom w:val="0"/>
      <w:divBdr>
        <w:top w:val="none" w:sz="0" w:space="0" w:color="auto"/>
        <w:left w:val="none" w:sz="0" w:space="0" w:color="auto"/>
        <w:bottom w:val="none" w:sz="0" w:space="0" w:color="auto"/>
        <w:right w:val="none" w:sz="0" w:space="0" w:color="auto"/>
      </w:divBdr>
    </w:div>
    <w:div w:id="1641885957">
      <w:bodyDiv w:val="1"/>
      <w:marLeft w:val="0"/>
      <w:marRight w:val="0"/>
      <w:marTop w:val="0"/>
      <w:marBottom w:val="0"/>
      <w:divBdr>
        <w:top w:val="none" w:sz="0" w:space="0" w:color="auto"/>
        <w:left w:val="none" w:sz="0" w:space="0" w:color="auto"/>
        <w:bottom w:val="none" w:sz="0" w:space="0" w:color="auto"/>
        <w:right w:val="none" w:sz="0" w:space="0" w:color="auto"/>
      </w:divBdr>
    </w:div>
    <w:div w:id="1642727125">
      <w:bodyDiv w:val="1"/>
      <w:marLeft w:val="0"/>
      <w:marRight w:val="0"/>
      <w:marTop w:val="0"/>
      <w:marBottom w:val="0"/>
      <w:divBdr>
        <w:top w:val="none" w:sz="0" w:space="0" w:color="auto"/>
        <w:left w:val="none" w:sz="0" w:space="0" w:color="auto"/>
        <w:bottom w:val="none" w:sz="0" w:space="0" w:color="auto"/>
        <w:right w:val="none" w:sz="0" w:space="0" w:color="auto"/>
      </w:divBdr>
    </w:div>
    <w:div w:id="1642730388">
      <w:bodyDiv w:val="1"/>
      <w:marLeft w:val="0"/>
      <w:marRight w:val="0"/>
      <w:marTop w:val="0"/>
      <w:marBottom w:val="0"/>
      <w:divBdr>
        <w:top w:val="none" w:sz="0" w:space="0" w:color="auto"/>
        <w:left w:val="none" w:sz="0" w:space="0" w:color="auto"/>
        <w:bottom w:val="none" w:sz="0" w:space="0" w:color="auto"/>
        <w:right w:val="none" w:sz="0" w:space="0" w:color="auto"/>
      </w:divBdr>
    </w:div>
    <w:div w:id="1643147675">
      <w:bodyDiv w:val="1"/>
      <w:marLeft w:val="0"/>
      <w:marRight w:val="0"/>
      <w:marTop w:val="0"/>
      <w:marBottom w:val="0"/>
      <w:divBdr>
        <w:top w:val="none" w:sz="0" w:space="0" w:color="auto"/>
        <w:left w:val="none" w:sz="0" w:space="0" w:color="auto"/>
        <w:bottom w:val="none" w:sz="0" w:space="0" w:color="auto"/>
        <w:right w:val="none" w:sz="0" w:space="0" w:color="auto"/>
      </w:divBdr>
    </w:div>
    <w:div w:id="1644192035">
      <w:bodyDiv w:val="1"/>
      <w:marLeft w:val="0"/>
      <w:marRight w:val="0"/>
      <w:marTop w:val="0"/>
      <w:marBottom w:val="0"/>
      <w:divBdr>
        <w:top w:val="none" w:sz="0" w:space="0" w:color="auto"/>
        <w:left w:val="none" w:sz="0" w:space="0" w:color="auto"/>
        <w:bottom w:val="none" w:sz="0" w:space="0" w:color="auto"/>
        <w:right w:val="none" w:sz="0" w:space="0" w:color="auto"/>
      </w:divBdr>
    </w:div>
    <w:div w:id="1644576843">
      <w:bodyDiv w:val="1"/>
      <w:marLeft w:val="0"/>
      <w:marRight w:val="0"/>
      <w:marTop w:val="0"/>
      <w:marBottom w:val="0"/>
      <w:divBdr>
        <w:top w:val="none" w:sz="0" w:space="0" w:color="auto"/>
        <w:left w:val="none" w:sz="0" w:space="0" w:color="auto"/>
        <w:bottom w:val="none" w:sz="0" w:space="0" w:color="auto"/>
        <w:right w:val="none" w:sz="0" w:space="0" w:color="auto"/>
      </w:divBdr>
      <w:divsChild>
        <w:div w:id="970942924">
          <w:marLeft w:val="0"/>
          <w:marRight w:val="0"/>
          <w:marTop w:val="0"/>
          <w:marBottom w:val="0"/>
          <w:divBdr>
            <w:top w:val="none" w:sz="0" w:space="0" w:color="auto"/>
            <w:left w:val="none" w:sz="0" w:space="0" w:color="auto"/>
            <w:bottom w:val="none" w:sz="0" w:space="0" w:color="auto"/>
            <w:right w:val="none" w:sz="0" w:space="0" w:color="auto"/>
          </w:divBdr>
        </w:div>
      </w:divsChild>
    </w:div>
    <w:div w:id="1644656418">
      <w:bodyDiv w:val="1"/>
      <w:marLeft w:val="0"/>
      <w:marRight w:val="0"/>
      <w:marTop w:val="0"/>
      <w:marBottom w:val="0"/>
      <w:divBdr>
        <w:top w:val="none" w:sz="0" w:space="0" w:color="auto"/>
        <w:left w:val="none" w:sz="0" w:space="0" w:color="auto"/>
        <w:bottom w:val="none" w:sz="0" w:space="0" w:color="auto"/>
        <w:right w:val="none" w:sz="0" w:space="0" w:color="auto"/>
      </w:divBdr>
    </w:div>
    <w:div w:id="1644768717">
      <w:bodyDiv w:val="1"/>
      <w:marLeft w:val="0"/>
      <w:marRight w:val="0"/>
      <w:marTop w:val="0"/>
      <w:marBottom w:val="0"/>
      <w:divBdr>
        <w:top w:val="none" w:sz="0" w:space="0" w:color="auto"/>
        <w:left w:val="none" w:sz="0" w:space="0" w:color="auto"/>
        <w:bottom w:val="none" w:sz="0" w:space="0" w:color="auto"/>
        <w:right w:val="none" w:sz="0" w:space="0" w:color="auto"/>
      </w:divBdr>
    </w:div>
    <w:div w:id="1644888323">
      <w:bodyDiv w:val="1"/>
      <w:marLeft w:val="0"/>
      <w:marRight w:val="0"/>
      <w:marTop w:val="0"/>
      <w:marBottom w:val="0"/>
      <w:divBdr>
        <w:top w:val="none" w:sz="0" w:space="0" w:color="auto"/>
        <w:left w:val="none" w:sz="0" w:space="0" w:color="auto"/>
        <w:bottom w:val="none" w:sz="0" w:space="0" w:color="auto"/>
        <w:right w:val="none" w:sz="0" w:space="0" w:color="auto"/>
      </w:divBdr>
    </w:div>
    <w:div w:id="1644894312">
      <w:bodyDiv w:val="1"/>
      <w:marLeft w:val="0"/>
      <w:marRight w:val="0"/>
      <w:marTop w:val="0"/>
      <w:marBottom w:val="0"/>
      <w:divBdr>
        <w:top w:val="none" w:sz="0" w:space="0" w:color="auto"/>
        <w:left w:val="none" w:sz="0" w:space="0" w:color="auto"/>
        <w:bottom w:val="none" w:sz="0" w:space="0" w:color="auto"/>
        <w:right w:val="none" w:sz="0" w:space="0" w:color="auto"/>
      </w:divBdr>
    </w:div>
    <w:div w:id="1645431081">
      <w:bodyDiv w:val="1"/>
      <w:marLeft w:val="0"/>
      <w:marRight w:val="0"/>
      <w:marTop w:val="0"/>
      <w:marBottom w:val="0"/>
      <w:divBdr>
        <w:top w:val="none" w:sz="0" w:space="0" w:color="auto"/>
        <w:left w:val="none" w:sz="0" w:space="0" w:color="auto"/>
        <w:bottom w:val="none" w:sz="0" w:space="0" w:color="auto"/>
        <w:right w:val="none" w:sz="0" w:space="0" w:color="auto"/>
      </w:divBdr>
    </w:div>
    <w:div w:id="1645505648">
      <w:bodyDiv w:val="1"/>
      <w:marLeft w:val="0"/>
      <w:marRight w:val="0"/>
      <w:marTop w:val="0"/>
      <w:marBottom w:val="0"/>
      <w:divBdr>
        <w:top w:val="none" w:sz="0" w:space="0" w:color="auto"/>
        <w:left w:val="none" w:sz="0" w:space="0" w:color="auto"/>
        <w:bottom w:val="none" w:sz="0" w:space="0" w:color="auto"/>
        <w:right w:val="none" w:sz="0" w:space="0" w:color="auto"/>
      </w:divBdr>
    </w:div>
    <w:div w:id="1646005471">
      <w:bodyDiv w:val="1"/>
      <w:marLeft w:val="0"/>
      <w:marRight w:val="0"/>
      <w:marTop w:val="0"/>
      <w:marBottom w:val="0"/>
      <w:divBdr>
        <w:top w:val="none" w:sz="0" w:space="0" w:color="auto"/>
        <w:left w:val="none" w:sz="0" w:space="0" w:color="auto"/>
        <w:bottom w:val="none" w:sz="0" w:space="0" w:color="auto"/>
        <w:right w:val="none" w:sz="0" w:space="0" w:color="auto"/>
      </w:divBdr>
    </w:div>
    <w:div w:id="1646355891">
      <w:bodyDiv w:val="1"/>
      <w:marLeft w:val="0"/>
      <w:marRight w:val="0"/>
      <w:marTop w:val="0"/>
      <w:marBottom w:val="0"/>
      <w:divBdr>
        <w:top w:val="none" w:sz="0" w:space="0" w:color="auto"/>
        <w:left w:val="none" w:sz="0" w:space="0" w:color="auto"/>
        <w:bottom w:val="none" w:sz="0" w:space="0" w:color="auto"/>
        <w:right w:val="none" w:sz="0" w:space="0" w:color="auto"/>
      </w:divBdr>
    </w:div>
    <w:div w:id="1647664510">
      <w:bodyDiv w:val="1"/>
      <w:marLeft w:val="0"/>
      <w:marRight w:val="0"/>
      <w:marTop w:val="0"/>
      <w:marBottom w:val="0"/>
      <w:divBdr>
        <w:top w:val="none" w:sz="0" w:space="0" w:color="auto"/>
        <w:left w:val="none" w:sz="0" w:space="0" w:color="auto"/>
        <w:bottom w:val="none" w:sz="0" w:space="0" w:color="auto"/>
        <w:right w:val="none" w:sz="0" w:space="0" w:color="auto"/>
      </w:divBdr>
    </w:div>
    <w:div w:id="1647783462">
      <w:bodyDiv w:val="1"/>
      <w:marLeft w:val="0"/>
      <w:marRight w:val="0"/>
      <w:marTop w:val="0"/>
      <w:marBottom w:val="0"/>
      <w:divBdr>
        <w:top w:val="none" w:sz="0" w:space="0" w:color="auto"/>
        <w:left w:val="none" w:sz="0" w:space="0" w:color="auto"/>
        <w:bottom w:val="none" w:sz="0" w:space="0" w:color="auto"/>
        <w:right w:val="none" w:sz="0" w:space="0" w:color="auto"/>
      </w:divBdr>
    </w:div>
    <w:div w:id="1648124552">
      <w:bodyDiv w:val="1"/>
      <w:marLeft w:val="0"/>
      <w:marRight w:val="0"/>
      <w:marTop w:val="0"/>
      <w:marBottom w:val="0"/>
      <w:divBdr>
        <w:top w:val="none" w:sz="0" w:space="0" w:color="auto"/>
        <w:left w:val="none" w:sz="0" w:space="0" w:color="auto"/>
        <w:bottom w:val="none" w:sz="0" w:space="0" w:color="auto"/>
        <w:right w:val="none" w:sz="0" w:space="0" w:color="auto"/>
      </w:divBdr>
    </w:div>
    <w:div w:id="1648700256">
      <w:bodyDiv w:val="1"/>
      <w:marLeft w:val="0"/>
      <w:marRight w:val="0"/>
      <w:marTop w:val="0"/>
      <w:marBottom w:val="0"/>
      <w:divBdr>
        <w:top w:val="none" w:sz="0" w:space="0" w:color="auto"/>
        <w:left w:val="none" w:sz="0" w:space="0" w:color="auto"/>
        <w:bottom w:val="none" w:sz="0" w:space="0" w:color="auto"/>
        <w:right w:val="none" w:sz="0" w:space="0" w:color="auto"/>
      </w:divBdr>
    </w:div>
    <w:div w:id="1649087986">
      <w:bodyDiv w:val="1"/>
      <w:marLeft w:val="0"/>
      <w:marRight w:val="0"/>
      <w:marTop w:val="0"/>
      <w:marBottom w:val="0"/>
      <w:divBdr>
        <w:top w:val="none" w:sz="0" w:space="0" w:color="auto"/>
        <w:left w:val="none" w:sz="0" w:space="0" w:color="auto"/>
        <w:bottom w:val="none" w:sz="0" w:space="0" w:color="auto"/>
        <w:right w:val="none" w:sz="0" w:space="0" w:color="auto"/>
      </w:divBdr>
    </w:div>
    <w:div w:id="1649359411">
      <w:bodyDiv w:val="1"/>
      <w:marLeft w:val="0"/>
      <w:marRight w:val="0"/>
      <w:marTop w:val="0"/>
      <w:marBottom w:val="0"/>
      <w:divBdr>
        <w:top w:val="none" w:sz="0" w:space="0" w:color="auto"/>
        <w:left w:val="none" w:sz="0" w:space="0" w:color="auto"/>
        <w:bottom w:val="none" w:sz="0" w:space="0" w:color="auto"/>
        <w:right w:val="none" w:sz="0" w:space="0" w:color="auto"/>
      </w:divBdr>
    </w:div>
    <w:div w:id="1650088255">
      <w:bodyDiv w:val="1"/>
      <w:marLeft w:val="0"/>
      <w:marRight w:val="0"/>
      <w:marTop w:val="0"/>
      <w:marBottom w:val="0"/>
      <w:divBdr>
        <w:top w:val="none" w:sz="0" w:space="0" w:color="auto"/>
        <w:left w:val="none" w:sz="0" w:space="0" w:color="auto"/>
        <w:bottom w:val="none" w:sz="0" w:space="0" w:color="auto"/>
        <w:right w:val="none" w:sz="0" w:space="0" w:color="auto"/>
      </w:divBdr>
    </w:div>
    <w:div w:id="1650479326">
      <w:bodyDiv w:val="1"/>
      <w:marLeft w:val="0"/>
      <w:marRight w:val="0"/>
      <w:marTop w:val="0"/>
      <w:marBottom w:val="0"/>
      <w:divBdr>
        <w:top w:val="none" w:sz="0" w:space="0" w:color="auto"/>
        <w:left w:val="none" w:sz="0" w:space="0" w:color="auto"/>
        <w:bottom w:val="none" w:sz="0" w:space="0" w:color="auto"/>
        <w:right w:val="none" w:sz="0" w:space="0" w:color="auto"/>
      </w:divBdr>
    </w:div>
    <w:div w:id="1650666635">
      <w:bodyDiv w:val="1"/>
      <w:marLeft w:val="0"/>
      <w:marRight w:val="0"/>
      <w:marTop w:val="0"/>
      <w:marBottom w:val="0"/>
      <w:divBdr>
        <w:top w:val="none" w:sz="0" w:space="0" w:color="auto"/>
        <w:left w:val="none" w:sz="0" w:space="0" w:color="auto"/>
        <w:bottom w:val="none" w:sz="0" w:space="0" w:color="auto"/>
        <w:right w:val="none" w:sz="0" w:space="0" w:color="auto"/>
      </w:divBdr>
    </w:div>
    <w:div w:id="1651593859">
      <w:bodyDiv w:val="1"/>
      <w:marLeft w:val="0"/>
      <w:marRight w:val="0"/>
      <w:marTop w:val="0"/>
      <w:marBottom w:val="0"/>
      <w:divBdr>
        <w:top w:val="none" w:sz="0" w:space="0" w:color="auto"/>
        <w:left w:val="none" w:sz="0" w:space="0" w:color="auto"/>
        <w:bottom w:val="none" w:sz="0" w:space="0" w:color="auto"/>
        <w:right w:val="none" w:sz="0" w:space="0" w:color="auto"/>
      </w:divBdr>
    </w:div>
    <w:div w:id="1651715228">
      <w:bodyDiv w:val="1"/>
      <w:marLeft w:val="0"/>
      <w:marRight w:val="0"/>
      <w:marTop w:val="0"/>
      <w:marBottom w:val="0"/>
      <w:divBdr>
        <w:top w:val="none" w:sz="0" w:space="0" w:color="auto"/>
        <w:left w:val="none" w:sz="0" w:space="0" w:color="auto"/>
        <w:bottom w:val="none" w:sz="0" w:space="0" w:color="auto"/>
        <w:right w:val="none" w:sz="0" w:space="0" w:color="auto"/>
      </w:divBdr>
    </w:div>
    <w:div w:id="1651984135">
      <w:bodyDiv w:val="1"/>
      <w:marLeft w:val="0"/>
      <w:marRight w:val="0"/>
      <w:marTop w:val="0"/>
      <w:marBottom w:val="0"/>
      <w:divBdr>
        <w:top w:val="none" w:sz="0" w:space="0" w:color="auto"/>
        <w:left w:val="none" w:sz="0" w:space="0" w:color="auto"/>
        <w:bottom w:val="none" w:sz="0" w:space="0" w:color="auto"/>
        <w:right w:val="none" w:sz="0" w:space="0" w:color="auto"/>
      </w:divBdr>
    </w:div>
    <w:div w:id="1652172640">
      <w:bodyDiv w:val="1"/>
      <w:marLeft w:val="0"/>
      <w:marRight w:val="0"/>
      <w:marTop w:val="0"/>
      <w:marBottom w:val="0"/>
      <w:divBdr>
        <w:top w:val="none" w:sz="0" w:space="0" w:color="auto"/>
        <w:left w:val="none" w:sz="0" w:space="0" w:color="auto"/>
        <w:bottom w:val="none" w:sz="0" w:space="0" w:color="auto"/>
        <w:right w:val="none" w:sz="0" w:space="0" w:color="auto"/>
      </w:divBdr>
    </w:div>
    <w:div w:id="1652295729">
      <w:bodyDiv w:val="1"/>
      <w:marLeft w:val="0"/>
      <w:marRight w:val="0"/>
      <w:marTop w:val="0"/>
      <w:marBottom w:val="0"/>
      <w:divBdr>
        <w:top w:val="none" w:sz="0" w:space="0" w:color="auto"/>
        <w:left w:val="none" w:sz="0" w:space="0" w:color="auto"/>
        <w:bottom w:val="none" w:sz="0" w:space="0" w:color="auto"/>
        <w:right w:val="none" w:sz="0" w:space="0" w:color="auto"/>
      </w:divBdr>
    </w:div>
    <w:div w:id="1654094134">
      <w:bodyDiv w:val="1"/>
      <w:marLeft w:val="0"/>
      <w:marRight w:val="0"/>
      <w:marTop w:val="0"/>
      <w:marBottom w:val="0"/>
      <w:divBdr>
        <w:top w:val="none" w:sz="0" w:space="0" w:color="auto"/>
        <w:left w:val="none" w:sz="0" w:space="0" w:color="auto"/>
        <w:bottom w:val="none" w:sz="0" w:space="0" w:color="auto"/>
        <w:right w:val="none" w:sz="0" w:space="0" w:color="auto"/>
      </w:divBdr>
    </w:div>
    <w:div w:id="1655335149">
      <w:bodyDiv w:val="1"/>
      <w:marLeft w:val="0"/>
      <w:marRight w:val="0"/>
      <w:marTop w:val="0"/>
      <w:marBottom w:val="0"/>
      <w:divBdr>
        <w:top w:val="none" w:sz="0" w:space="0" w:color="auto"/>
        <w:left w:val="none" w:sz="0" w:space="0" w:color="auto"/>
        <w:bottom w:val="none" w:sz="0" w:space="0" w:color="auto"/>
        <w:right w:val="none" w:sz="0" w:space="0" w:color="auto"/>
      </w:divBdr>
    </w:div>
    <w:div w:id="1656639869">
      <w:bodyDiv w:val="1"/>
      <w:marLeft w:val="0"/>
      <w:marRight w:val="0"/>
      <w:marTop w:val="0"/>
      <w:marBottom w:val="0"/>
      <w:divBdr>
        <w:top w:val="none" w:sz="0" w:space="0" w:color="auto"/>
        <w:left w:val="none" w:sz="0" w:space="0" w:color="auto"/>
        <w:bottom w:val="none" w:sz="0" w:space="0" w:color="auto"/>
        <w:right w:val="none" w:sz="0" w:space="0" w:color="auto"/>
      </w:divBdr>
    </w:div>
    <w:div w:id="1657755983">
      <w:bodyDiv w:val="1"/>
      <w:marLeft w:val="0"/>
      <w:marRight w:val="0"/>
      <w:marTop w:val="0"/>
      <w:marBottom w:val="0"/>
      <w:divBdr>
        <w:top w:val="none" w:sz="0" w:space="0" w:color="auto"/>
        <w:left w:val="none" w:sz="0" w:space="0" w:color="auto"/>
        <w:bottom w:val="none" w:sz="0" w:space="0" w:color="auto"/>
        <w:right w:val="none" w:sz="0" w:space="0" w:color="auto"/>
      </w:divBdr>
    </w:div>
    <w:div w:id="1657874495">
      <w:bodyDiv w:val="1"/>
      <w:marLeft w:val="0"/>
      <w:marRight w:val="0"/>
      <w:marTop w:val="0"/>
      <w:marBottom w:val="0"/>
      <w:divBdr>
        <w:top w:val="none" w:sz="0" w:space="0" w:color="auto"/>
        <w:left w:val="none" w:sz="0" w:space="0" w:color="auto"/>
        <w:bottom w:val="none" w:sz="0" w:space="0" w:color="auto"/>
        <w:right w:val="none" w:sz="0" w:space="0" w:color="auto"/>
      </w:divBdr>
    </w:div>
    <w:div w:id="1657995656">
      <w:bodyDiv w:val="1"/>
      <w:marLeft w:val="0"/>
      <w:marRight w:val="0"/>
      <w:marTop w:val="0"/>
      <w:marBottom w:val="0"/>
      <w:divBdr>
        <w:top w:val="none" w:sz="0" w:space="0" w:color="auto"/>
        <w:left w:val="none" w:sz="0" w:space="0" w:color="auto"/>
        <w:bottom w:val="none" w:sz="0" w:space="0" w:color="auto"/>
        <w:right w:val="none" w:sz="0" w:space="0" w:color="auto"/>
      </w:divBdr>
    </w:div>
    <w:div w:id="1658727261">
      <w:bodyDiv w:val="1"/>
      <w:marLeft w:val="0"/>
      <w:marRight w:val="0"/>
      <w:marTop w:val="0"/>
      <w:marBottom w:val="0"/>
      <w:divBdr>
        <w:top w:val="none" w:sz="0" w:space="0" w:color="auto"/>
        <w:left w:val="none" w:sz="0" w:space="0" w:color="auto"/>
        <w:bottom w:val="none" w:sz="0" w:space="0" w:color="auto"/>
        <w:right w:val="none" w:sz="0" w:space="0" w:color="auto"/>
      </w:divBdr>
    </w:div>
    <w:div w:id="1659188968">
      <w:bodyDiv w:val="1"/>
      <w:marLeft w:val="0"/>
      <w:marRight w:val="0"/>
      <w:marTop w:val="0"/>
      <w:marBottom w:val="0"/>
      <w:divBdr>
        <w:top w:val="none" w:sz="0" w:space="0" w:color="auto"/>
        <w:left w:val="none" w:sz="0" w:space="0" w:color="auto"/>
        <w:bottom w:val="none" w:sz="0" w:space="0" w:color="auto"/>
        <w:right w:val="none" w:sz="0" w:space="0" w:color="auto"/>
      </w:divBdr>
    </w:div>
    <w:div w:id="1659190510">
      <w:bodyDiv w:val="1"/>
      <w:marLeft w:val="0"/>
      <w:marRight w:val="0"/>
      <w:marTop w:val="0"/>
      <w:marBottom w:val="0"/>
      <w:divBdr>
        <w:top w:val="none" w:sz="0" w:space="0" w:color="auto"/>
        <w:left w:val="none" w:sz="0" w:space="0" w:color="auto"/>
        <w:bottom w:val="none" w:sz="0" w:space="0" w:color="auto"/>
        <w:right w:val="none" w:sz="0" w:space="0" w:color="auto"/>
      </w:divBdr>
    </w:div>
    <w:div w:id="1660183690">
      <w:bodyDiv w:val="1"/>
      <w:marLeft w:val="0"/>
      <w:marRight w:val="0"/>
      <w:marTop w:val="0"/>
      <w:marBottom w:val="0"/>
      <w:divBdr>
        <w:top w:val="none" w:sz="0" w:space="0" w:color="auto"/>
        <w:left w:val="none" w:sz="0" w:space="0" w:color="auto"/>
        <w:bottom w:val="none" w:sz="0" w:space="0" w:color="auto"/>
        <w:right w:val="none" w:sz="0" w:space="0" w:color="auto"/>
      </w:divBdr>
    </w:div>
    <w:div w:id="1661229178">
      <w:bodyDiv w:val="1"/>
      <w:marLeft w:val="0"/>
      <w:marRight w:val="0"/>
      <w:marTop w:val="0"/>
      <w:marBottom w:val="0"/>
      <w:divBdr>
        <w:top w:val="none" w:sz="0" w:space="0" w:color="auto"/>
        <w:left w:val="none" w:sz="0" w:space="0" w:color="auto"/>
        <w:bottom w:val="none" w:sz="0" w:space="0" w:color="auto"/>
        <w:right w:val="none" w:sz="0" w:space="0" w:color="auto"/>
      </w:divBdr>
    </w:div>
    <w:div w:id="1661229825">
      <w:bodyDiv w:val="1"/>
      <w:marLeft w:val="0"/>
      <w:marRight w:val="0"/>
      <w:marTop w:val="0"/>
      <w:marBottom w:val="0"/>
      <w:divBdr>
        <w:top w:val="none" w:sz="0" w:space="0" w:color="auto"/>
        <w:left w:val="none" w:sz="0" w:space="0" w:color="auto"/>
        <w:bottom w:val="none" w:sz="0" w:space="0" w:color="auto"/>
        <w:right w:val="none" w:sz="0" w:space="0" w:color="auto"/>
      </w:divBdr>
    </w:div>
    <w:div w:id="1661737418">
      <w:bodyDiv w:val="1"/>
      <w:marLeft w:val="0"/>
      <w:marRight w:val="0"/>
      <w:marTop w:val="0"/>
      <w:marBottom w:val="0"/>
      <w:divBdr>
        <w:top w:val="none" w:sz="0" w:space="0" w:color="auto"/>
        <w:left w:val="none" w:sz="0" w:space="0" w:color="auto"/>
        <w:bottom w:val="none" w:sz="0" w:space="0" w:color="auto"/>
        <w:right w:val="none" w:sz="0" w:space="0" w:color="auto"/>
      </w:divBdr>
    </w:div>
    <w:div w:id="1662465833">
      <w:bodyDiv w:val="1"/>
      <w:marLeft w:val="0"/>
      <w:marRight w:val="0"/>
      <w:marTop w:val="0"/>
      <w:marBottom w:val="0"/>
      <w:divBdr>
        <w:top w:val="none" w:sz="0" w:space="0" w:color="auto"/>
        <w:left w:val="none" w:sz="0" w:space="0" w:color="auto"/>
        <w:bottom w:val="none" w:sz="0" w:space="0" w:color="auto"/>
        <w:right w:val="none" w:sz="0" w:space="0" w:color="auto"/>
      </w:divBdr>
    </w:div>
    <w:div w:id="1662658607">
      <w:bodyDiv w:val="1"/>
      <w:marLeft w:val="0"/>
      <w:marRight w:val="0"/>
      <w:marTop w:val="0"/>
      <w:marBottom w:val="0"/>
      <w:divBdr>
        <w:top w:val="none" w:sz="0" w:space="0" w:color="auto"/>
        <w:left w:val="none" w:sz="0" w:space="0" w:color="auto"/>
        <w:bottom w:val="none" w:sz="0" w:space="0" w:color="auto"/>
        <w:right w:val="none" w:sz="0" w:space="0" w:color="auto"/>
      </w:divBdr>
    </w:div>
    <w:div w:id="1662811397">
      <w:bodyDiv w:val="1"/>
      <w:marLeft w:val="0"/>
      <w:marRight w:val="0"/>
      <w:marTop w:val="0"/>
      <w:marBottom w:val="0"/>
      <w:divBdr>
        <w:top w:val="none" w:sz="0" w:space="0" w:color="auto"/>
        <w:left w:val="none" w:sz="0" w:space="0" w:color="auto"/>
        <w:bottom w:val="none" w:sz="0" w:space="0" w:color="auto"/>
        <w:right w:val="none" w:sz="0" w:space="0" w:color="auto"/>
      </w:divBdr>
    </w:div>
    <w:div w:id="1662999876">
      <w:bodyDiv w:val="1"/>
      <w:marLeft w:val="0"/>
      <w:marRight w:val="0"/>
      <w:marTop w:val="0"/>
      <w:marBottom w:val="0"/>
      <w:divBdr>
        <w:top w:val="none" w:sz="0" w:space="0" w:color="auto"/>
        <w:left w:val="none" w:sz="0" w:space="0" w:color="auto"/>
        <w:bottom w:val="none" w:sz="0" w:space="0" w:color="auto"/>
        <w:right w:val="none" w:sz="0" w:space="0" w:color="auto"/>
      </w:divBdr>
    </w:div>
    <w:div w:id="1663776470">
      <w:bodyDiv w:val="1"/>
      <w:marLeft w:val="0"/>
      <w:marRight w:val="0"/>
      <w:marTop w:val="0"/>
      <w:marBottom w:val="0"/>
      <w:divBdr>
        <w:top w:val="none" w:sz="0" w:space="0" w:color="auto"/>
        <w:left w:val="none" w:sz="0" w:space="0" w:color="auto"/>
        <w:bottom w:val="none" w:sz="0" w:space="0" w:color="auto"/>
        <w:right w:val="none" w:sz="0" w:space="0" w:color="auto"/>
      </w:divBdr>
    </w:div>
    <w:div w:id="1664161451">
      <w:bodyDiv w:val="1"/>
      <w:marLeft w:val="0"/>
      <w:marRight w:val="0"/>
      <w:marTop w:val="0"/>
      <w:marBottom w:val="0"/>
      <w:divBdr>
        <w:top w:val="none" w:sz="0" w:space="0" w:color="auto"/>
        <w:left w:val="none" w:sz="0" w:space="0" w:color="auto"/>
        <w:bottom w:val="none" w:sz="0" w:space="0" w:color="auto"/>
        <w:right w:val="none" w:sz="0" w:space="0" w:color="auto"/>
      </w:divBdr>
    </w:div>
    <w:div w:id="1664353869">
      <w:bodyDiv w:val="1"/>
      <w:marLeft w:val="0"/>
      <w:marRight w:val="0"/>
      <w:marTop w:val="0"/>
      <w:marBottom w:val="0"/>
      <w:divBdr>
        <w:top w:val="none" w:sz="0" w:space="0" w:color="auto"/>
        <w:left w:val="none" w:sz="0" w:space="0" w:color="auto"/>
        <w:bottom w:val="none" w:sz="0" w:space="0" w:color="auto"/>
        <w:right w:val="none" w:sz="0" w:space="0" w:color="auto"/>
      </w:divBdr>
    </w:div>
    <w:div w:id="1664432856">
      <w:bodyDiv w:val="1"/>
      <w:marLeft w:val="0"/>
      <w:marRight w:val="0"/>
      <w:marTop w:val="0"/>
      <w:marBottom w:val="0"/>
      <w:divBdr>
        <w:top w:val="none" w:sz="0" w:space="0" w:color="auto"/>
        <w:left w:val="none" w:sz="0" w:space="0" w:color="auto"/>
        <w:bottom w:val="none" w:sz="0" w:space="0" w:color="auto"/>
        <w:right w:val="none" w:sz="0" w:space="0" w:color="auto"/>
      </w:divBdr>
    </w:div>
    <w:div w:id="1665473354">
      <w:bodyDiv w:val="1"/>
      <w:marLeft w:val="0"/>
      <w:marRight w:val="0"/>
      <w:marTop w:val="0"/>
      <w:marBottom w:val="0"/>
      <w:divBdr>
        <w:top w:val="none" w:sz="0" w:space="0" w:color="auto"/>
        <w:left w:val="none" w:sz="0" w:space="0" w:color="auto"/>
        <w:bottom w:val="none" w:sz="0" w:space="0" w:color="auto"/>
        <w:right w:val="none" w:sz="0" w:space="0" w:color="auto"/>
      </w:divBdr>
    </w:div>
    <w:div w:id="1665863500">
      <w:bodyDiv w:val="1"/>
      <w:marLeft w:val="0"/>
      <w:marRight w:val="0"/>
      <w:marTop w:val="0"/>
      <w:marBottom w:val="0"/>
      <w:divBdr>
        <w:top w:val="none" w:sz="0" w:space="0" w:color="auto"/>
        <w:left w:val="none" w:sz="0" w:space="0" w:color="auto"/>
        <w:bottom w:val="none" w:sz="0" w:space="0" w:color="auto"/>
        <w:right w:val="none" w:sz="0" w:space="0" w:color="auto"/>
      </w:divBdr>
    </w:div>
    <w:div w:id="1666081353">
      <w:bodyDiv w:val="1"/>
      <w:marLeft w:val="0"/>
      <w:marRight w:val="0"/>
      <w:marTop w:val="0"/>
      <w:marBottom w:val="0"/>
      <w:divBdr>
        <w:top w:val="none" w:sz="0" w:space="0" w:color="auto"/>
        <w:left w:val="none" w:sz="0" w:space="0" w:color="auto"/>
        <w:bottom w:val="none" w:sz="0" w:space="0" w:color="auto"/>
        <w:right w:val="none" w:sz="0" w:space="0" w:color="auto"/>
      </w:divBdr>
    </w:div>
    <w:div w:id="1666474970">
      <w:bodyDiv w:val="1"/>
      <w:marLeft w:val="0"/>
      <w:marRight w:val="0"/>
      <w:marTop w:val="0"/>
      <w:marBottom w:val="0"/>
      <w:divBdr>
        <w:top w:val="none" w:sz="0" w:space="0" w:color="auto"/>
        <w:left w:val="none" w:sz="0" w:space="0" w:color="auto"/>
        <w:bottom w:val="none" w:sz="0" w:space="0" w:color="auto"/>
        <w:right w:val="none" w:sz="0" w:space="0" w:color="auto"/>
      </w:divBdr>
    </w:div>
    <w:div w:id="1667973874">
      <w:bodyDiv w:val="1"/>
      <w:marLeft w:val="0"/>
      <w:marRight w:val="0"/>
      <w:marTop w:val="0"/>
      <w:marBottom w:val="0"/>
      <w:divBdr>
        <w:top w:val="none" w:sz="0" w:space="0" w:color="auto"/>
        <w:left w:val="none" w:sz="0" w:space="0" w:color="auto"/>
        <w:bottom w:val="none" w:sz="0" w:space="0" w:color="auto"/>
        <w:right w:val="none" w:sz="0" w:space="0" w:color="auto"/>
      </w:divBdr>
    </w:div>
    <w:div w:id="1668746272">
      <w:bodyDiv w:val="1"/>
      <w:marLeft w:val="0"/>
      <w:marRight w:val="0"/>
      <w:marTop w:val="0"/>
      <w:marBottom w:val="0"/>
      <w:divBdr>
        <w:top w:val="none" w:sz="0" w:space="0" w:color="auto"/>
        <w:left w:val="none" w:sz="0" w:space="0" w:color="auto"/>
        <w:bottom w:val="none" w:sz="0" w:space="0" w:color="auto"/>
        <w:right w:val="none" w:sz="0" w:space="0" w:color="auto"/>
      </w:divBdr>
    </w:div>
    <w:div w:id="1668896661">
      <w:bodyDiv w:val="1"/>
      <w:marLeft w:val="0"/>
      <w:marRight w:val="0"/>
      <w:marTop w:val="0"/>
      <w:marBottom w:val="0"/>
      <w:divBdr>
        <w:top w:val="none" w:sz="0" w:space="0" w:color="auto"/>
        <w:left w:val="none" w:sz="0" w:space="0" w:color="auto"/>
        <w:bottom w:val="none" w:sz="0" w:space="0" w:color="auto"/>
        <w:right w:val="none" w:sz="0" w:space="0" w:color="auto"/>
      </w:divBdr>
    </w:div>
    <w:div w:id="1668971724">
      <w:bodyDiv w:val="1"/>
      <w:marLeft w:val="0"/>
      <w:marRight w:val="0"/>
      <w:marTop w:val="0"/>
      <w:marBottom w:val="0"/>
      <w:divBdr>
        <w:top w:val="none" w:sz="0" w:space="0" w:color="auto"/>
        <w:left w:val="none" w:sz="0" w:space="0" w:color="auto"/>
        <w:bottom w:val="none" w:sz="0" w:space="0" w:color="auto"/>
        <w:right w:val="none" w:sz="0" w:space="0" w:color="auto"/>
      </w:divBdr>
    </w:div>
    <w:div w:id="1669358600">
      <w:bodyDiv w:val="1"/>
      <w:marLeft w:val="0"/>
      <w:marRight w:val="0"/>
      <w:marTop w:val="0"/>
      <w:marBottom w:val="0"/>
      <w:divBdr>
        <w:top w:val="none" w:sz="0" w:space="0" w:color="auto"/>
        <w:left w:val="none" w:sz="0" w:space="0" w:color="auto"/>
        <w:bottom w:val="none" w:sz="0" w:space="0" w:color="auto"/>
        <w:right w:val="none" w:sz="0" w:space="0" w:color="auto"/>
      </w:divBdr>
    </w:div>
    <w:div w:id="1669404334">
      <w:bodyDiv w:val="1"/>
      <w:marLeft w:val="0"/>
      <w:marRight w:val="0"/>
      <w:marTop w:val="0"/>
      <w:marBottom w:val="0"/>
      <w:divBdr>
        <w:top w:val="none" w:sz="0" w:space="0" w:color="auto"/>
        <w:left w:val="none" w:sz="0" w:space="0" w:color="auto"/>
        <w:bottom w:val="none" w:sz="0" w:space="0" w:color="auto"/>
        <w:right w:val="none" w:sz="0" w:space="0" w:color="auto"/>
      </w:divBdr>
    </w:div>
    <w:div w:id="1671327224">
      <w:bodyDiv w:val="1"/>
      <w:marLeft w:val="0"/>
      <w:marRight w:val="0"/>
      <w:marTop w:val="0"/>
      <w:marBottom w:val="0"/>
      <w:divBdr>
        <w:top w:val="none" w:sz="0" w:space="0" w:color="auto"/>
        <w:left w:val="none" w:sz="0" w:space="0" w:color="auto"/>
        <w:bottom w:val="none" w:sz="0" w:space="0" w:color="auto"/>
        <w:right w:val="none" w:sz="0" w:space="0" w:color="auto"/>
      </w:divBdr>
    </w:div>
    <w:div w:id="1671593508">
      <w:bodyDiv w:val="1"/>
      <w:marLeft w:val="0"/>
      <w:marRight w:val="0"/>
      <w:marTop w:val="0"/>
      <w:marBottom w:val="0"/>
      <w:divBdr>
        <w:top w:val="none" w:sz="0" w:space="0" w:color="auto"/>
        <w:left w:val="none" w:sz="0" w:space="0" w:color="auto"/>
        <w:bottom w:val="none" w:sz="0" w:space="0" w:color="auto"/>
        <w:right w:val="none" w:sz="0" w:space="0" w:color="auto"/>
      </w:divBdr>
    </w:div>
    <w:div w:id="1671714389">
      <w:bodyDiv w:val="1"/>
      <w:marLeft w:val="0"/>
      <w:marRight w:val="0"/>
      <w:marTop w:val="0"/>
      <w:marBottom w:val="0"/>
      <w:divBdr>
        <w:top w:val="none" w:sz="0" w:space="0" w:color="auto"/>
        <w:left w:val="none" w:sz="0" w:space="0" w:color="auto"/>
        <w:bottom w:val="none" w:sz="0" w:space="0" w:color="auto"/>
        <w:right w:val="none" w:sz="0" w:space="0" w:color="auto"/>
      </w:divBdr>
    </w:div>
    <w:div w:id="1672176159">
      <w:bodyDiv w:val="1"/>
      <w:marLeft w:val="0"/>
      <w:marRight w:val="0"/>
      <w:marTop w:val="0"/>
      <w:marBottom w:val="0"/>
      <w:divBdr>
        <w:top w:val="none" w:sz="0" w:space="0" w:color="auto"/>
        <w:left w:val="none" w:sz="0" w:space="0" w:color="auto"/>
        <w:bottom w:val="none" w:sz="0" w:space="0" w:color="auto"/>
        <w:right w:val="none" w:sz="0" w:space="0" w:color="auto"/>
      </w:divBdr>
    </w:div>
    <w:div w:id="1672566234">
      <w:bodyDiv w:val="1"/>
      <w:marLeft w:val="0"/>
      <w:marRight w:val="0"/>
      <w:marTop w:val="0"/>
      <w:marBottom w:val="0"/>
      <w:divBdr>
        <w:top w:val="none" w:sz="0" w:space="0" w:color="auto"/>
        <w:left w:val="none" w:sz="0" w:space="0" w:color="auto"/>
        <w:bottom w:val="none" w:sz="0" w:space="0" w:color="auto"/>
        <w:right w:val="none" w:sz="0" w:space="0" w:color="auto"/>
      </w:divBdr>
    </w:div>
    <w:div w:id="1672759045">
      <w:bodyDiv w:val="1"/>
      <w:marLeft w:val="0"/>
      <w:marRight w:val="0"/>
      <w:marTop w:val="0"/>
      <w:marBottom w:val="0"/>
      <w:divBdr>
        <w:top w:val="none" w:sz="0" w:space="0" w:color="auto"/>
        <w:left w:val="none" w:sz="0" w:space="0" w:color="auto"/>
        <w:bottom w:val="none" w:sz="0" w:space="0" w:color="auto"/>
        <w:right w:val="none" w:sz="0" w:space="0" w:color="auto"/>
      </w:divBdr>
    </w:div>
    <w:div w:id="1673215334">
      <w:bodyDiv w:val="1"/>
      <w:marLeft w:val="0"/>
      <w:marRight w:val="0"/>
      <w:marTop w:val="0"/>
      <w:marBottom w:val="0"/>
      <w:divBdr>
        <w:top w:val="none" w:sz="0" w:space="0" w:color="auto"/>
        <w:left w:val="none" w:sz="0" w:space="0" w:color="auto"/>
        <w:bottom w:val="none" w:sz="0" w:space="0" w:color="auto"/>
        <w:right w:val="none" w:sz="0" w:space="0" w:color="auto"/>
      </w:divBdr>
    </w:div>
    <w:div w:id="1673876362">
      <w:bodyDiv w:val="1"/>
      <w:marLeft w:val="0"/>
      <w:marRight w:val="0"/>
      <w:marTop w:val="0"/>
      <w:marBottom w:val="0"/>
      <w:divBdr>
        <w:top w:val="none" w:sz="0" w:space="0" w:color="auto"/>
        <w:left w:val="none" w:sz="0" w:space="0" w:color="auto"/>
        <w:bottom w:val="none" w:sz="0" w:space="0" w:color="auto"/>
        <w:right w:val="none" w:sz="0" w:space="0" w:color="auto"/>
      </w:divBdr>
    </w:div>
    <w:div w:id="1674183261">
      <w:bodyDiv w:val="1"/>
      <w:marLeft w:val="0"/>
      <w:marRight w:val="0"/>
      <w:marTop w:val="0"/>
      <w:marBottom w:val="0"/>
      <w:divBdr>
        <w:top w:val="none" w:sz="0" w:space="0" w:color="auto"/>
        <w:left w:val="none" w:sz="0" w:space="0" w:color="auto"/>
        <w:bottom w:val="none" w:sz="0" w:space="0" w:color="auto"/>
        <w:right w:val="none" w:sz="0" w:space="0" w:color="auto"/>
      </w:divBdr>
    </w:div>
    <w:div w:id="1674263863">
      <w:bodyDiv w:val="1"/>
      <w:marLeft w:val="0"/>
      <w:marRight w:val="0"/>
      <w:marTop w:val="0"/>
      <w:marBottom w:val="0"/>
      <w:divBdr>
        <w:top w:val="none" w:sz="0" w:space="0" w:color="auto"/>
        <w:left w:val="none" w:sz="0" w:space="0" w:color="auto"/>
        <w:bottom w:val="none" w:sz="0" w:space="0" w:color="auto"/>
        <w:right w:val="none" w:sz="0" w:space="0" w:color="auto"/>
      </w:divBdr>
    </w:div>
    <w:div w:id="1674912489">
      <w:bodyDiv w:val="1"/>
      <w:marLeft w:val="0"/>
      <w:marRight w:val="0"/>
      <w:marTop w:val="0"/>
      <w:marBottom w:val="0"/>
      <w:divBdr>
        <w:top w:val="none" w:sz="0" w:space="0" w:color="auto"/>
        <w:left w:val="none" w:sz="0" w:space="0" w:color="auto"/>
        <w:bottom w:val="none" w:sz="0" w:space="0" w:color="auto"/>
        <w:right w:val="none" w:sz="0" w:space="0" w:color="auto"/>
      </w:divBdr>
    </w:div>
    <w:div w:id="1674991798">
      <w:bodyDiv w:val="1"/>
      <w:marLeft w:val="0"/>
      <w:marRight w:val="0"/>
      <w:marTop w:val="0"/>
      <w:marBottom w:val="0"/>
      <w:divBdr>
        <w:top w:val="none" w:sz="0" w:space="0" w:color="auto"/>
        <w:left w:val="none" w:sz="0" w:space="0" w:color="auto"/>
        <w:bottom w:val="none" w:sz="0" w:space="0" w:color="auto"/>
        <w:right w:val="none" w:sz="0" w:space="0" w:color="auto"/>
      </w:divBdr>
    </w:div>
    <w:div w:id="1675111292">
      <w:bodyDiv w:val="1"/>
      <w:marLeft w:val="0"/>
      <w:marRight w:val="0"/>
      <w:marTop w:val="0"/>
      <w:marBottom w:val="0"/>
      <w:divBdr>
        <w:top w:val="none" w:sz="0" w:space="0" w:color="auto"/>
        <w:left w:val="none" w:sz="0" w:space="0" w:color="auto"/>
        <w:bottom w:val="none" w:sz="0" w:space="0" w:color="auto"/>
        <w:right w:val="none" w:sz="0" w:space="0" w:color="auto"/>
      </w:divBdr>
    </w:div>
    <w:div w:id="1675643736">
      <w:bodyDiv w:val="1"/>
      <w:marLeft w:val="0"/>
      <w:marRight w:val="0"/>
      <w:marTop w:val="0"/>
      <w:marBottom w:val="0"/>
      <w:divBdr>
        <w:top w:val="none" w:sz="0" w:space="0" w:color="auto"/>
        <w:left w:val="none" w:sz="0" w:space="0" w:color="auto"/>
        <w:bottom w:val="none" w:sz="0" w:space="0" w:color="auto"/>
        <w:right w:val="none" w:sz="0" w:space="0" w:color="auto"/>
      </w:divBdr>
    </w:div>
    <w:div w:id="1676225169">
      <w:bodyDiv w:val="1"/>
      <w:marLeft w:val="0"/>
      <w:marRight w:val="0"/>
      <w:marTop w:val="0"/>
      <w:marBottom w:val="0"/>
      <w:divBdr>
        <w:top w:val="none" w:sz="0" w:space="0" w:color="auto"/>
        <w:left w:val="none" w:sz="0" w:space="0" w:color="auto"/>
        <w:bottom w:val="none" w:sz="0" w:space="0" w:color="auto"/>
        <w:right w:val="none" w:sz="0" w:space="0" w:color="auto"/>
      </w:divBdr>
    </w:div>
    <w:div w:id="1676375752">
      <w:bodyDiv w:val="1"/>
      <w:marLeft w:val="0"/>
      <w:marRight w:val="0"/>
      <w:marTop w:val="0"/>
      <w:marBottom w:val="0"/>
      <w:divBdr>
        <w:top w:val="none" w:sz="0" w:space="0" w:color="auto"/>
        <w:left w:val="none" w:sz="0" w:space="0" w:color="auto"/>
        <w:bottom w:val="none" w:sz="0" w:space="0" w:color="auto"/>
        <w:right w:val="none" w:sz="0" w:space="0" w:color="auto"/>
      </w:divBdr>
    </w:div>
    <w:div w:id="1678145200">
      <w:bodyDiv w:val="1"/>
      <w:marLeft w:val="0"/>
      <w:marRight w:val="0"/>
      <w:marTop w:val="0"/>
      <w:marBottom w:val="0"/>
      <w:divBdr>
        <w:top w:val="none" w:sz="0" w:space="0" w:color="auto"/>
        <w:left w:val="none" w:sz="0" w:space="0" w:color="auto"/>
        <w:bottom w:val="none" w:sz="0" w:space="0" w:color="auto"/>
        <w:right w:val="none" w:sz="0" w:space="0" w:color="auto"/>
      </w:divBdr>
    </w:div>
    <w:div w:id="1678381347">
      <w:bodyDiv w:val="1"/>
      <w:marLeft w:val="0"/>
      <w:marRight w:val="0"/>
      <w:marTop w:val="0"/>
      <w:marBottom w:val="0"/>
      <w:divBdr>
        <w:top w:val="none" w:sz="0" w:space="0" w:color="auto"/>
        <w:left w:val="none" w:sz="0" w:space="0" w:color="auto"/>
        <w:bottom w:val="none" w:sz="0" w:space="0" w:color="auto"/>
        <w:right w:val="none" w:sz="0" w:space="0" w:color="auto"/>
      </w:divBdr>
    </w:div>
    <w:div w:id="1678383863">
      <w:bodyDiv w:val="1"/>
      <w:marLeft w:val="0"/>
      <w:marRight w:val="0"/>
      <w:marTop w:val="0"/>
      <w:marBottom w:val="0"/>
      <w:divBdr>
        <w:top w:val="none" w:sz="0" w:space="0" w:color="auto"/>
        <w:left w:val="none" w:sz="0" w:space="0" w:color="auto"/>
        <w:bottom w:val="none" w:sz="0" w:space="0" w:color="auto"/>
        <w:right w:val="none" w:sz="0" w:space="0" w:color="auto"/>
      </w:divBdr>
    </w:div>
    <w:div w:id="1678533468">
      <w:bodyDiv w:val="1"/>
      <w:marLeft w:val="0"/>
      <w:marRight w:val="0"/>
      <w:marTop w:val="0"/>
      <w:marBottom w:val="0"/>
      <w:divBdr>
        <w:top w:val="none" w:sz="0" w:space="0" w:color="auto"/>
        <w:left w:val="none" w:sz="0" w:space="0" w:color="auto"/>
        <w:bottom w:val="none" w:sz="0" w:space="0" w:color="auto"/>
        <w:right w:val="none" w:sz="0" w:space="0" w:color="auto"/>
      </w:divBdr>
    </w:div>
    <w:div w:id="1678539916">
      <w:bodyDiv w:val="1"/>
      <w:marLeft w:val="0"/>
      <w:marRight w:val="0"/>
      <w:marTop w:val="0"/>
      <w:marBottom w:val="0"/>
      <w:divBdr>
        <w:top w:val="none" w:sz="0" w:space="0" w:color="auto"/>
        <w:left w:val="none" w:sz="0" w:space="0" w:color="auto"/>
        <w:bottom w:val="none" w:sz="0" w:space="0" w:color="auto"/>
        <w:right w:val="none" w:sz="0" w:space="0" w:color="auto"/>
      </w:divBdr>
    </w:div>
    <w:div w:id="1678649575">
      <w:bodyDiv w:val="1"/>
      <w:marLeft w:val="0"/>
      <w:marRight w:val="0"/>
      <w:marTop w:val="0"/>
      <w:marBottom w:val="0"/>
      <w:divBdr>
        <w:top w:val="none" w:sz="0" w:space="0" w:color="auto"/>
        <w:left w:val="none" w:sz="0" w:space="0" w:color="auto"/>
        <w:bottom w:val="none" w:sz="0" w:space="0" w:color="auto"/>
        <w:right w:val="none" w:sz="0" w:space="0" w:color="auto"/>
      </w:divBdr>
    </w:div>
    <w:div w:id="1680228417">
      <w:bodyDiv w:val="1"/>
      <w:marLeft w:val="0"/>
      <w:marRight w:val="0"/>
      <w:marTop w:val="0"/>
      <w:marBottom w:val="0"/>
      <w:divBdr>
        <w:top w:val="none" w:sz="0" w:space="0" w:color="auto"/>
        <w:left w:val="none" w:sz="0" w:space="0" w:color="auto"/>
        <w:bottom w:val="none" w:sz="0" w:space="0" w:color="auto"/>
        <w:right w:val="none" w:sz="0" w:space="0" w:color="auto"/>
      </w:divBdr>
    </w:div>
    <w:div w:id="1680961303">
      <w:bodyDiv w:val="1"/>
      <w:marLeft w:val="0"/>
      <w:marRight w:val="0"/>
      <w:marTop w:val="0"/>
      <w:marBottom w:val="0"/>
      <w:divBdr>
        <w:top w:val="none" w:sz="0" w:space="0" w:color="auto"/>
        <w:left w:val="none" w:sz="0" w:space="0" w:color="auto"/>
        <w:bottom w:val="none" w:sz="0" w:space="0" w:color="auto"/>
        <w:right w:val="none" w:sz="0" w:space="0" w:color="auto"/>
      </w:divBdr>
    </w:div>
    <w:div w:id="1681154115">
      <w:bodyDiv w:val="1"/>
      <w:marLeft w:val="0"/>
      <w:marRight w:val="0"/>
      <w:marTop w:val="0"/>
      <w:marBottom w:val="0"/>
      <w:divBdr>
        <w:top w:val="none" w:sz="0" w:space="0" w:color="auto"/>
        <w:left w:val="none" w:sz="0" w:space="0" w:color="auto"/>
        <w:bottom w:val="none" w:sz="0" w:space="0" w:color="auto"/>
        <w:right w:val="none" w:sz="0" w:space="0" w:color="auto"/>
      </w:divBdr>
    </w:div>
    <w:div w:id="1681227632">
      <w:bodyDiv w:val="1"/>
      <w:marLeft w:val="0"/>
      <w:marRight w:val="0"/>
      <w:marTop w:val="0"/>
      <w:marBottom w:val="0"/>
      <w:divBdr>
        <w:top w:val="none" w:sz="0" w:space="0" w:color="auto"/>
        <w:left w:val="none" w:sz="0" w:space="0" w:color="auto"/>
        <w:bottom w:val="none" w:sz="0" w:space="0" w:color="auto"/>
        <w:right w:val="none" w:sz="0" w:space="0" w:color="auto"/>
      </w:divBdr>
    </w:div>
    <w:div w:id="1681616854">
      <w:bodyDiv w:val="1"/>
      <w:marLeft w:val="0"/>
      <w:marRight w:val="0"/>
      <w:marTop w:val="0"/>
      <w:marBottom w:val="0"/>
      <w:divBdr>
        <w:top w:val="none" w:sz="0" w:space="0" w:color="auto"/>
        <w:left w:val="none" w:sz="0" w:space="0" w:color="auto"/>
        <w:bottom w:val="none" w:sz="0" w:space="0" w:color="auto"/>
        <w:right w:val="none" w:sz="0" w:space="0" w:color="auto"/>
      </w:divBdr>
    </w:div>
    <w:div w:id="1681934389">
      <w:bodyDiv w:val="1"/>
      <w:marLeft w:val="0"/>
      <w:marRight w:val="0"/>
      <w:marTop w:val="0"/>
      <w:marBottom w:val="0"/>
      <w:divBdr>
        <w:top w:val="none" w:sz="0" w:space="0" w:color="auto"/>
        <w:left w:val="none" w:sz="0" w:space="0" w:color="auto"/>
        <w:bottom w:val="none" w:sz="0" w:space="0" w:color="auto"/>
        <w:right w:val="none" w:sz="0" w:space="0" w:color="auto"/>
      </w:divBdr>
    </w:div>
    <w:div w:id="1682395159">
      <w:bodyDiv w:val="1"/>
      <w:marLeft w:val="0"/>
      <w:marRight w:val="0"/>
      <w:marTop w:val="0"/>
      <w:marBottom w:val="0"/>
      <w:divBdr>
        <w:top w:val="none" w:sz="0" w:space="0" w:color="auto"/>
        <w:left w:val="none" w:sz="0" w:space="0" w:color="auto"/>
        <w:bottom w:val="none" w:sz="0" w:space="0" w:color="auto"/>
        <w:right w:val="none" w:sz="0" w:space="0" w:color="auto"/>
      </w:divBdr>
    </w:div>
    <w:div w:id="1682976131">
      <w:bodyDiv w:val="1"/>
      <w:marLeft w:val="0"/>
      <w:marRight w:val="0"/>
      <w:marTop w:val="0"/>
      <w:marBottom w:val="0"/>
      <w:divBdr>
        <w:top w:val="none" w:sz="0" w:space="0" w:color="auto"/>
        <w:left w:val="none" w:sz="0" w:space="0" w:color="auto"/>
        <w:bottom w:val="none" w:sz="0" w:space="0" w:color="auto"/>
        <w:right w:val="none" w:sz="0" w:space="0" w:color="auto"/>
      </w:divBdr>
    </w:div>
    <w:div w:id="1683127233">
      <w:bodyDiv w:val="1"/>
      <w:marLeft w:val="0"/>
      <w:marRight w:val="0"/>
      <w:marTop w:val="0"/>
      <w:marBottom w:val="0"/>
      <w:divBdr>
        <w:top w:val="none" w:sz="0" w:space="0" w:color="auto"/>
        <w:left w:val="none" w:sz="0" w:space="0" w:color="auto"/>
        <w:bottom w:val="none" w:sz="0" w:space="0" w:color="auto"/>
        <w:right w:val="none" w:sz="0" w:space="0" w:color="auto"/>
      </w:divBdr>
    </w:div>
    <w:div w:id="1684163797">
      <w:bodyDiv w:val="1"/>
      <w:marLeft w:val="0"/>
      <w:marRight w:val="0"/>
      <w:marTop w:val="0"/>
      <w:marBottom w:val="0"/>
      <w:divBdr>
        <w:top w:val="none" w:sz="0" w:space="0" w:color="auto"/>
        <w:left w:val="none" w:sz="0" w:space="0" w:color="auto"/>
        <w:bottom w:val="none" w:sz="0" w:space="0" w:color="auto"/>
        <w:right w:val="none" w:sz="0" w:space="0" w:color="auto"/>
      </w:divBdr>
    </w:div>
    <w:div w:id="1684865163">
      <w:bodyDiv w:val="1"/>
      <w:marLeft w:val="0"/>
      <w:marRight w:val="0"/>
      <w:marTop w:val="0"/>
      <w:marBottom w:val="0"/>
      <w:divBdr>
        <w:top w:val="none" w:sz="0" w:space="0" w:color="auto"/>
        <w:left w:val="none" w:sz="0" w:space="0" w:color="auto"/>
        <w:bottom w:val="none" w:sz="0" w:space="0" w:color="auto"/>
        <w:right w:val="none" w:sz="0" w:space="0" w:color="auto"/>
      </w:divBdr>
    </w:div>
    <w:div w:id="1684866208">
      <w:bodyDiv w:val="1"/>
      <w:marLeft w:val="0"/>
      <w:marRight w:val="0"/>
      <w:marTop w:val="0"/>
      <w:marBottom w:val="0"/>
      <w:divBdr>
        <w:top w:val="none" w:sz="0" w:space="0" w:color="auto"/>
        <w:left w:val="none" w:sz="0" w:space="0" w:color="auto"/>
        <w:bottom w:val="none" w:sz="0" w:space="0" w:color="auto"/>
        <w:right w:val="none" w:sz="0" w:space="0" w:color="auto"/>
      </w:divBdr>
    </w:div>
    <w:div w:id="1684934442">
      <w:bodyDiv w:val="1"/>
      <w:marLeft w:val="0"/>
      <w:marRight w:val="0"/>
      <w:marTop w:val="0"/>
      <w:marBottom w:val="0"/>
      <w:divBdr>
        <w:top w:val="none" w:sz="0" w:space="0" w:color="auto"/>
        <w:left w:val="none" w:sz="0" w:space="0" w:color="auto"/>
        <w:bottom w:val="none" w:sz="0" w:space="0" w:color="auto"/>
        <w:right w:val="none" w:sz="0" w:space="0" w:color="auto"/>
      </w:divBdr>
    </w:div>
    <w:div w:id="1686204006">
      <w:bodyDiv w:val="1"/>
      <w:marLeft w:val="0"/>
      <w:marRight w:val="0"/>
      <w:marTop w:val="0"/>
      <w:marBottom w:val="0"/>
      <w:divBdr>
        <w:top w:val="none" w:sz="0" w:space="0" w:color="auto"/>
        <w:left w:val="none" w:sz="0" w:space="0" w:color="auto"/>
        <w:bottom w:val="none" w:sz="0" w:space="0" w:color="auto"/>
        <w:right w:val="none" w:sz="0" w:space="0" w:color="auto"/>
      </w:divBdr>
    </w:div>
    <w:div w:id="1686662961">
      <w:bodyDiv w:val="1"/>
      <w:marLeft w:val="0"/>
      <w:marRight w:val="0"/>
      <w:marTop w:val="0"/>
      <w:marBottom w:val="0"/>
      <w:divBdr>
        <w:top w:val="none" w:sz="0" w:space="0" w:color="auto"/>
        <w:left w:val="none" w:sz="0" w:space="0" w:color="auto"/>
        <w:bottom w:val="none" w:sz="0" w:space="0" w:color="auto"/>
        <w:right w:val="none" w:sz="0" w:space="0" w:color="auto"/>
      </w:divBdr>
    </w:div>
    <w:div w:id="1686781321">
      <w:bodyDiv w:val="1"/>
      <w:marLeft w:val="0"/>
      <w:marRight w:val="0"/>
      <w:marTop w:val="0"/>
      <w:marBottom w:val="0"/>
      <w:divBdr>
        <w:top w:val="none" w:sz="0" w:space="0" w:color="auto"/>
        <w:left w:val="none" w:sz="0" w:space="0" w:color="auto"/>
        <w:bottom w:val="none" w:sz="0" w:space="0" w:color="auto"/>
        <w:right w:val="none" w:sz="0" w:space="0" w:color="auto"/>
      </w:divBdr>
    </w:div>
    <w:div w:id="1686783813">
      <w:bodyDiv w:val="1"/>
      <w:marLeft w:val="0"/>
      <w:marRight w:val="0"/>
      <w:marTop w:val="0"/>
      <w:marBottom w:val="0"/>
      <w:divBdr>
        <w:top w:val="none" w:sz="0" w:space="0" w:color="auto"/>
        <w:left w:val="none" w:sz="0" w:space="0" w:color="auto"/>
        <w:bottom w:val="none" w:sz="0" w:space="0" w:color="auto"/>
        <w:right w:val="none" w:sz="0" w:space="0" w:color="auto"/>
      </w:divBdr>
    </w:div>
    <w:div w:id="1687053361">
      <w:bodyDiv w:val="1"/>
      <w:marLeft w:val="0"/>
      <w:marRight w:val="0"/>
      <w:marTop w:val="0"/>
      <w:marBottom w:val="0"/>
      <w:divBdr>
        <w:top w:val="none" w:sz="0" w:space="0" w:color="auto"/>
        <w:left w:val="none" w:sz="0" w:space="0" w:color="auto"/>
        <w:bottom w:val="none" w:sz="0" w:space="0" w:color="auto"/>
        <w:right w:val="none" w:sz="0" w:space="0" w:color="auto"/>
      </w:divBdr>
    </w:div>
    <w:div w:id="1688753772">
      <w:bodyDiv w:val="1"/>
      <w:marLeft w:val="0"/>
      <w:marRight w:val="0"/>
      <w:marTop w:val="0"/>
      <w:marBottom w:val="0"/>
      <w:divBdr>
        <w:top w:val="none" w:sz="0" w:space="0" w:color="auto"/>
        <w:left w:val="none" w:sz="0" w:space="0" w:color="auto"/>
        <w:bottom w:val="none" w:sz="0" w:space="0" w:color="auto"/>
        <w:right w:val="none" w:sz="0" w:space="0" w:color="auto"/>
      </w:divBdr>
    </w:div>
    <w:div w:id="1690335078">
      <w:bodyDiv w:val="1"/>
      <w:marLeft w:val="0"/>
      <w:marRight w:val="0"/>
      <w:marTop w:val="0"/>
      <w:marBottom w:val="0"/>
      <w:divBdr>
        <w:top w:val="none" w:sz="0" w:space="0" w:color="auto"/>
        <w:left w:val="none" w:sz="0" w:space="0" w:color="auto"/>
        <w:bottom w:val="none" w:sz="0" w:space="0" w:color="auto"/>
        <w:right w:val="none" w:sz="0" w:space="0" w:color="auto"/>
      </w:divBdr>
    </w:div>
    <w:div w:id="1690712970">
      <w:bodyDiv w:val="1"/>
      <w:marLeft w:val="0"/>
      <w:marRight w:val="0"/>
      <w:marTop w:val="0"/>
      <w:marBottom w:val="0"/>
      <w:divBdr>
        <w:top w:val="none" w:sz="0" w:space="0" w:color="auto"/>
        <w:left w:val="none" w:sz="0" w:space="0" w:color="auto"/>
        <w:bottom w:val="none" w:sz="0" w:space="0" w:color="auto"/>
        <w:right w:val="none" w:sz="0" w:space="0" w:color="auto"/>
      </w:divBdr>
    </w:div>
    <w:div w:id="1691294105">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1640096">
      <w:bodyDiv w:val="1"/>
      <w:marLeft w:val="0"/>
      <w:marRight w:val="0"/>
      <w:marTop w:val="0"/>
      <w:marBottom w:val="0"/>
      <w:divBdr>
        <w:top w:val="none" w:sz="0" w:space="0" w:color="auto"/>
        <w:left w:val="none" w:sz="0" w:space="0" w:color="auto"/>
        <w:bottom w:val="none" w:sz="0" w:space="0" w:color="auto"/>
        <w:right w:val="none" w:sz="0" w:space="0" w:color="auto"/>
      </w:divBdr>
    </w:div>
    <w:div w:id="1692489647">
      <w:bodyDiv w:val="1"/>
      <w:marLeft w:val="0"/>
      <w:marRight w:val="0"/>
      <w:marTop w:val="0"/>
      <w:marBottom w:val="0"/>
      <w:divBdr>
        <w:top w:val="none" w:sz="0" w:space="0" w:color="auto"/>
        <w:left w:val="none" w:sz="0" w:space="0" w:color="auto"/>
        <w:bottom w:val="none" w:sz="0" w:space="0" w:color="auto"/>
        <w:right w:val="none" w:sz="0" w:space="0" w:color="auto"/>
      </w:divBdr>
    </w:div>
    <w:div w:id="1692609561">
      <w:bodyDiv w:val="1"/>
      <w:marLeft w:val="0"/>
      <w:marRight w:val="0"/>
      <w:marTop w:val="0"/>
      <w:marBottom w:val="0"/>
      <w:divBdr>
        <w:top w:val="none" w:sz="0" w:space="0" w:color="auto"/>
        <w:left w:val="none" w:sz="0" w:space="0" w:color="auto"/>
        <w:bottom w:val="none" w:sz="0" w:space="0" w:color="auto"/>
        <w:right w:val="none" w:sz="0" w:space="0" w:color="auto"/>
      </w:divBdr>
    </w:div>
    <w:div w:id="1692730539">
      <w:bodyDiv w:val="1"/>
      <w:marLeft w:val="0"/>
      <w:marRight w:val="0"/>
      <w:marTop w:val="0"/>
      <w:marBottom w:val="0"/>
      <w:divBdr>
        <w:top w:val="none" w:sz="0" w:space="0" w:color="auto"/>
        <w:left w:val="none" w:sz="0" w:space="0" w:color="auto"/>
        <w:bottom w:val="none" w:sz="0" w:space="0" w:color="auto"/>
        <w:right w:val="none" w:sz="0" w:space="0" w:color="auto"/>
      </w:divBdr>
    </w:div>
    <w:div w:id="1693266436">
      <w:bodyDiv w:val="1"/>
      <w:marLeft w:val="0"/>
      <w:marRight w:val="0"/>
      <w:marTop w:val="0"/>
      <w:marBottom w:val="0"/>
      <w:divBdr>
        <w:top w:val="none" w:sz="0" w:space="0" w:color="auto"/>
        <w:left w:val="none" w:sz="0" w:space="0" w:color="auto"/>
        <w:bottom w:val="none" w:sz="0" w:space="0" w:color="auto"/>
        <w:right w:val="none" w:sz="0" w:space="0" w:color="auto"/>
      </w:divBdr>
    </w:div>
    <w:div w:id="1693678744">
      <w:bodyDiv w:val="1"/>
      <w:marLeft w:val="0"/>
      <w:marRight w:val="0"/>
      <w:marTop w:val="0"/>
      <w:marBottom w:val="0"/>
      <w:divBdr>
        <w:top w:val="none" w:sz="0" w:space="0" w:color="auto"/>
        <w:left w:val="none" w:sz="0" w:space="0" w:color="auto"/>
        <w:bottom w:val="none" w:sz="0" w:space="0" w:color="auto"/>
        <w:right w:val="none" w:sz="0" w:space="0" w:color="auto"/>
      </w:divBdr>
    </w:div>
    <w:div w:id="1693847513">
      <w:bodyDiv w:val="1"/>
      <w:marLeft w:val="0"/>
      <w:marRight w:val="0"/>
      <w:marTop w:val="0"/>
      <w:marBottom w:val="0"/>
      <w:divBdr>
        <w:top w:val="none" w:sz="0" w:space="0" w:color="auto"/>
        <w:left w:val="none" w:sz="0" w:space="0" w:color="auto"/>
        <w:bottom w:val="none" w:sz="0" w:space="0" w:color="auto"/>
        <w:right w:val="none" w:sz="0" w:space="0" w:color="auto"/>
      </w:divBdr>
    </w:div>
    <w:div w:id="1693916071">
      <w:bodyDiv w:val="1"/>
      <w:marLeft w:val="0"/>
      <w:marRight w:val="0"/>
      <w:marTop w:val="0"/>
      <w:marBottom w:val="0"/>
      <w:divBdr>
        <w:top w:val="none" w:sz="0" w:space="0" w:color="auto"/>
        <w:left w:val="none" w:sz="0" w:space="0" w:color="auto"/>
        <w:bottom w:val="none" w:sz="0" w:space="0" w:color="auto"/>
        <w:right w:val="none" w:sz="0" w:space="0" w:color="auto"/>
      </w:divBdr>
    </w:div>
    <w:div w:id="1694189804">
      <w:bodyDiv w:val="1"/>
      <w:marLeft w:val="0"/>
      <w:marRight w:val="0"/>
      <w:marTop w:val="0"/>
      <w:marBottom w:val="0"/>
      <w:divBdr>
        <w:top w:val="none" w:sz="0" w:space="0" w:color="auto"/>
        <w:left w:val="none" w:sz="0" w:space="0" w:color="auto"/>
        <w:bottom w:val="none" w:sz="0" w:space="0" w:color="auto"/>
        <w:right w:val="none" w:sz="0" w:space="0" w:color="auto"/>
      </w:divBdr>
    </w:div>
    <w:div w:id="1694575534">
      <w:bodyDiv w:val="1"/>
      <w:marLeft w:val="0"/>
      <w:marRight w:val="0"/>
      <w:marTop w:val="0"/>
      <w:marBottom w:val="0"/>
      <w:divBdr>
        <w:top w:val="none" w:sz="0" w:space="0" w:color="auto"/>
        <w:left w:val="none" w:sz="0" w:space="0" w:color="auto"/>
        <w:bottom w:val="none" w:sz="0" w:space="0" w:color="auto"/>
        <w:right w:val="none" w:sz="0" w:space="0" w:color="auto"/>
      </w:divBdr>
    </w:div>
    <w:div w:id="1695494712">
      <w:bodyDiv w:val="1"/>
      <w:marLeft w:val="0"/>
      <w:marRight w:val="0"/>
      <w:marTop w:val="0"/>
      <w:marBottom w:val="0"/>
      <w:divBdr>
        <w:top w:val="none" w:sz="0" w:space="0" w:color="auto"/>
        <w:left w:val="none" w:sz="0" w:space="0" w:color="auto"/>
        <w:bottom w:val="none" w:sz="0" w:space="0" w:color="auto"/>
        <w:right w:val="none" w:sz="0" w:space="0" w:color="auto"/>
      </w:divBdr>
    </w:div>
    <w:div w:id="1696274872">
      <w:bodyDiv w:val="1"/>
      <w:marLeft w:val="0"/>
      <w:marRight w:val="0"/>
      <w:marTop w:val="0"/>
      <w:marBottom w:val="0"/>
      <w:divBdr>
        <w:top w:val="none" w:sz="0" w:space="0" w:color="auto"/>
        <w:left w:val="none" w:sz="0" w:space="0" w:color="auto"/>
        <w:bottom w:val="none" w:sz="0" w:space="0" w:color="auto"/>
        <w:right w:val="none" w:sz="0" w:space="0" w:color="auto"/>
      </w:divBdr>
    </w:div>
    <w:div w:id="1696420153">
      <w:bodyDiv w:val="1"/>
      <w:marLeft w:val="0"/>
      <w:marRight w:val="0"/>
      <w:marTop w:val="0"/>
      <w:marBottom w:val="0"/>
      <w:divBdr>
        <w:top w:val="none" w:sz="0" w:space="0" w:color="auto"/>
        <w:left w:val="none" w:sz="0" w:space="0" w:color="auto"/>
        <w:bottom w:val="none" w:sz="0" w:space="0" w:color="auto"/>
        <w:right w:val="none" w:sz="0" w:space="0" w:color="auto"/>
      </w:divBdr>
    </w:div>
    <w:div w:id="1697269967">
      <w:bodyDiv w:val="1"/>
      <w:marLeft w:val="0"/>
      <w:marRight w:val="0"/>
      <w:marTop w:val="0"/>
      <w:marBottom w:val="0"/>
      <w:divBdr>
        <w:top w:val="none" w:sz="0" w:space="0" w:color="auto"/>
        <w:left w:val="none" w:sz="0" w:space="0" w:color="auto"/>
        <w:bottom w:val="none" w:sz="0" w:space="0" w:color="auto"/>
        <w:right w:val="none" w:sz="0" w:space="0" w:color="auto"/>
      </w:divBdr>
    </w:div>
    <w:div w:id="1697274813">
      <w:bodyDiv w:val="1"/>
      <w:marLeft w:val="0"/>
      <w:marRight w:val="0"/>
      <w:marTop w:val="0"/>
      <w:marBottom w:val="0"/>
      <w:divBdr>
        <w:top w:val="none" w:sz="0" w:space="0" w:color="auto"/>
        <w:left w:val="none" w:sz="0" w:space="0" w:color="auto"/>
        <w:bottom w:val="none" w:sz="0" w:space="0" w:color="auto"/>
        <w:right w:val="none" w:sz="0" w:space="0" w:color="auto"/>
      </w:divBdr>
    </w:div>
    <w:div w:id="1697653281">
      <w:bodyDiv w:val="1"/>
      <w:marLeft w:val="0"/>
      <w:marRight w:val="0"/>
      <w:marTop w:val="0"/>
      <w:marBottom w:val="0"/>
      <w:divBdr>
        <w:top w:val="none" w:sz="0" w:space="0" w:color="auto"/>
        <w:left w:val="none" w:sz="0" w:space="0" w:color="auto"/>
        <w:bottom w:val="none" w:sz="0" w:space="0" w:color="auto"/>
        <w:right w:val="none" w:sz="0" w:space="0" w:color="auto"/>
      </w:divBdr>
    </w:div>
    <w:div w:id="1698580826">
      <w:bodyDiv w:val="1"/>
      <w:marLeft w:val="0"/>
      <w:marRight w:val="0"/>
      <w:marTop w:val="0"/>
      <w:marBottom w:val="0"/>
      <w:divBdr>
        <w:top w:val="none" w:sz="0" w:space="0" w:color="auto"/>
        <w:left w:val="none" w:sz="0" w:space="0" w:color="auto"/>
        <w:bottom w:val="none" w:sz="0" w:space="0" w:color="auto"/>
        <w:right w:val="none" w:sz="0" w:space="0" w:color="auto"/>
      </w:divBdr>
    </w:div>
    <w:div w:id="1698892016">
      <w:bodyDiv w:val="1"/>
      <w:marLeft w:val="0"/>
      <w:marRight w:val="0"/>
      <w:marTop w:val="0"/>
      <w:marBottom w:val="0"/>
      <w:divBdr>
        <w:top w:val="none" w:sz="0" w:space="0" w:color="auto"/>
        <w:left w:val="none" w:sz="0" w:space="0" w:color="auto"/>
        <w:bottom w:val="none" w:sz="0" w:space="0" w:color="auto"/>
        <w:right w:val="none" w:sz="0" w:space="0" w:color="auto"/>
      </w:divBdr>
    </w:div>
    <w:div w:id="1699431311">
      <w:bodyDiv w:val="1"/>
      <w:marLeft w:val="0"/>
      <w:marRight w:val="0"/>
      <w:marTop w:val="0"/>
      <w:marBottom w:val="0"/>
      <w:divBdr>
        <w:top w:val="none" w:sz="0" w:space="0" w:color="auto"/>
        <w:left w:val="none" w:sz="0" w:space="0" w:color="auto"/>
        <w:bottom w:val="none" w:sz="0" w:space="0" w:color="auto"/>
        <w:right w:val="none" w:sz="0" w:space="0" w:color="auto"/>
      </w:divBdr>
    </w:div>
    <w:div w:id="1699965668">
      <w:bodyDiv w:val="1"/>
      <w:marLeft w:val="0"/>
      <w:marRight w:val="0"/>
      <w:marTop w:val="0"/>
      <w:marBottom w:val="0"/>
      <w:divBdr>
        <w:top w:val="none" w:sz="0" w:space="0" w:color="auto"/>
        <w:left w:val="none" w:sz="0" w:space="0" w:color="auto"/>
        <w:bottom w:val="none" w:sz="0" w:space="0" w:color="auto"/>
        <w:right w:val="none" w:sz="0" w:space="0" w:color="auto"/>
      </w:divBdr>
    </w:div>
    <w:div w:id="1700005511">
      <w:bodyDiv w:val="1"/>
      <w:marLeft w:val="0"/>
      <w:marRight w:val="0"/>
      <w:marTop w:val="0"/>
      <w:marBottom w:val="0"/>
      <w:divBdr>
        <w:top w:val="none" w:sz="0" w:space="0" w:color="auto"/>
        <w:left w:val="none" w:sz="0" w:space="0" w:color="auto"/>
        <w:bottom w:val="none" w:sz="0" w:space="0" w:color="auto"/>
        <w:right w:val="none" w:sz="0" w:space="0" w:color="auto"/>
      </w:divBdr>
    </w:div>
    <w:div w:id="1700163031">
      <w:bodyDiv w:val="1"/>
      <w:marLeft w:val="0"/>
      <w:marRight w:val="0"/>
      <w:marTop w:val="0"/>
      <w:marBottom w:val="0"/>
      <w:divBdr>
        <w:top w:val="none" w:sz="0" w:space="0" w:color="auto"/>
        <w:left w:val="none" w:sz="0" w:space="0" w:color="auto"/>
        <w:bottom w:val="none" w:sz="0" w:space="0" w:color="auto"/>
        <w:right w:val="none" w:sz="0" w:space="0" w:color="auto"/>
      </w:divBdr>
    </w:div>
    <w:div w:id="1700812114">
      <w:bodyDiv w:val="1"/>
      <w:marLeft w:val="0"/>
      <w:marRight w:val="0"/>
      <w:marTop w:val="0"/>
      <w:marBottom w:val="0"/>
      <w:divBdr>
        <w:top w:val="none" w:sz="0" w:space="0" w:color="auto"/>
        <w:left w:val="none" w:sz="0" w:space="0" w:color="auto"/>
        <w:bottom w:val="none" w:sz="0" w:space="0" w:color="auto"/>
        <w:right w:val="none" w:sz="0" w:space="0" w:color="auto"/>
      </w:divBdr>
    </w:div>
    <w:div w:id="1701202686">
      <w:bodyDiv w:val="1"/>
      <w:marLeft w:val="0"/>
      <w:marRight w:val="0"/>
      <w:marTop w:val="0"/>
      <w:marBottom w:val="0"/>
      <w:divBdr>
        <w:top w:val="none" w:sz="0" w:space="0" w:color="auto"/>
        <w:left w:val="none" w:sz="0" w:space="0" w:color="auto"/>
        <w:bottom w:val="none" w:sz="0" w:space="0" w:color="auto"/>
        <w:right w:val="none" w:sz="0" w:space="0" w:color="auto"/>
      </w:divBdr>
    </w:div>
    <w:div w:id="1702513561">
      <w:bodyDiv w:val="1"/>
      <w:marLeft w:val="0"/>
      <w:marRight w:val="0"/>
      <w:marTop w:val="0"/>
      <w:marBottom w:val="0"/>
      <w:divBdr>
        <w:top w:val="none" w:sz="0" w:space="0" w:color="auto"/>
        <w:left w:val="none" w:sz="0" w:space="0" w:color="auto"/>
        <w:bottom w:val="none" w:sz="0" w:space="0" w:color="auto"/>
        <w:right w:val="none" w:sz="0" w:space="0" w:color="auto"/>
      </w:divBdr>
    </w:div>
    <w:div w:id="1702583197">
      <w:bodyDiv w:val="1"/>
      <w:marLeft w:val="0"/>
      <w:marRight w:val="0"/>
      <w:marTop w:val="0"/>
      <w:marBottom w:val="0"/>
      <w:divBdr>
        <w:top w:val="none" w:sz="0" w:space="0" w:color="auto"/>
        <w:left w:val="none" w:sz="0" w:space="0" w:color="auto"/>
        <w:bottom w:val="none" w:sz="0" w:space="0" w:color="auto"/>
        <w:right w:val="none" w:sz="0" w:space="0" w:color="auto"/>
      </w:divBdr>
    </w:div>
    <w:div w:id="1703745546">
      <w:bodyDiv w:val="1"/>
      <w:marLeft w:val="0"/>
      <w:marRight w:val="0"/>
      <w:marTop w:val="0"/>
      <w:marBottom w:val="0"/>
      <w:divBdr>
        <w:top w:val="none" w:sz="0" w:space="0" w:color="auto"/>
        <w:left w:val="none" w:sz="0" w:space="0" w:color="auto"/>
        <w:bottom w:val="none" w:sz="0" w:space="0" w:color="auto"/>
        <w:right w:val="none" w:sz="0" w:space="0" w:color="auto"/>
      </w:divBdr>
    </w:div>
    <w:div w:id="1703900308">
      <w:bodyDiv w:val="1"/>
      <w:marLeft w:val="0"/>
      <w:marRight w:val="0"/>
      <w:marTop w:val="0"/>
      <w:marBottom w:val="0"/>
      <w:divBdr>
        <w:top w:val="none" w:sz="0" w:space="0" w:color="auto"/>
        <w:left w:val="none" w:sz="0" w:space="0" w:color="auto"/>
        <w:bottom w:val="none" w:sz="0" w:space="0" w:color="auto"/>
        <w:right w:val="none" w:sz="0" w:space="0" w:color="auto"/>
      </w:divBdr>
    </w:div>
    <w:div w:id="1704020375">
      <w:bodyDiv w:val="1"/>
      <w:marLeft w:val="0"/>
      <w:marRight w:val="0"/>
      <w:marTop w:val="0"/>
      <w:marBottom w:val="0"/>
      <w:divBdr>
        <w:top w:val="none" w:sz="0" w:space="0" w:color="auto"/>
        <w:left w:val="none" w:sz="0" w:space="0" w:color="auto"/>
        <w:bottom w:val="none" w:sz="0" w:space="0" w:color="auto"/>
        <w:right w:val="none" w:sz="0" w:space="0" w:color="auto"/>
      </w:divBdr>
    </w:div>
    <w:div w:id="1704357165">
      <w:bodyDiv w:val="1"/>
      <w:marLeft w:val="0"/>
      <w:marRight w:val="0"/>
      <w:marTop w:val="0"/>
      <w:marBottom w:val="0"/>
      <w:divBdr>
        <w:top w:val="none" w:sz="0" w:space="0" w:color="auto"/>
        <w:left w:val="none" w:sz="0" w:space="0" w:color="auto"/>
        <w:bottom w:val="none" w:sz="0" w:space="0" w:color="auto"/>
        <w:right w:val="none" w:sz="0" w:space="0" w:color="auto"/>
      </w:divBdr>
    </w:div>
    <w:div w:id="1704675288">
      <w:bodyDiv w:val="1"/>
      <w:marLeft w:val="0"/>
      <w:marRight w:val="0"/>
      <w:marTop w:val="0"/>
      <w:marBottom w:val="0"/>
      <w:divBdr>
        <w:top w:val="none" w:sz="0" w:space="0" w:color="auto"/>
        <w:left w:val="none" w:sz="0" w:space="0" w:color="auto"/>
        <w:bottom w:val="none" w:sz="0" w:space="0" w:color="auto"/>
        <w:right w:val="none" w:sz="0" w:space="0" w:color="auto"/>
      </w:divBdr>
    </w:div>
    <w:div w:id="1704943839">
      <w:bodyDiv w:val="1"/>
      <w:marLeft w:val="0"/>
      <w:marRight w:val="0"/>
      <w:marTop w:val="0"/>
      <w:marBottom w:val="0"/>
      <w:divBdr>
        <w:top w:val="none" w:sz="0" w:space="0" w:color="auto"/>
        <w:left w:val="none" w:sz="0" w:space="0" w:color="auto"/>
        <w:bottom w:val="none" w:sz="0" w:space="0" w:color="auto"/>
        <w:right w:val="none" w:sz="0" w:space="0" w:color="auto"/>
      </w:divBdr>
    </w:div>
    <w:div w:id="1705642064">
      <w:bodyDiv w:val="1"/>
      <w:marLeft w:val="0"/>
      <w:marRight w:val="0"/>
      <w:marTop w:val="0"/>
      <w:marBottom w:val="0"/>
      <w:divBdr>
        <w:top w:val="none" w:sz="0" w:space="0" w:color="auto"/>
        <w:left w:val="none" w:sz="0" w:space="0" w:color="auto"/>
        <w:bottom w:val="none" w:sz="0" w:space="0" w:color="auto"/>
        <w:right w:val="none" w:sz="0" w:space="0" w:color="auto"/>
      </w:divBdr>
    </w:div>
    <w:div w:id="1705717200">
      <w:bodyDiv w:val="1"/>
      <w:marLeft w:val="0"/>
      <w:marRight w:val="0"/>
      <w:marTop w:val="0"/>
      <w:marBottom w:val="0"/>
      <w:divBdr>
        <w:top w:val="none" w:sz="0" w:space="0" w:color="auto"/>
        <w:left w:val="none" w:sz="0" w:space="0" w:color="auto"/>
        <w:bottom w:val="none" w:sz="0" w:space="0" w:color="auto"/>
        <w:right w:val="none" w:sz="0" w:space="0" w:color="auto"/>
      </w:divBdr>
    </w:div>
    <w:div w:id="1705786061">
      <w:bodyDiv w:val="1"/>
      <w:marLeft w:val="0"/>
      <w:marRight w:val="0"/>
      <w:marTop w:val="0"/>
      <w:marBottom w:val="0"/>
      <w:divBdr>
        <w:top w:val="none" w:sz="0" w:space="0" w:color="auto"/>
        <w:left w:val="none" w:sz="0" w:space="0" w:color="auto"/>
        <w:bottom w:val="none" w:sz="0" w:space="0" w:color="auto"/>
        <w:right w:val="none" w:sz="0" w:space="0" w:color="auto"/>
      </w:divBdr>
    </w:div>
    <w:div w:id="1706057353">
      <w:bodyDiv w:val="1"/>
      <w:marLeft w:val="0"/>
      <w:marRight w:val="0"/>
      <w:marTop w:val="0"/>
      <w:marBottom w:val="0"/>
      <w:divBdr>
        <w:top w:val="none" w:sz="0" w:space="0" w:color="auto"/>
        <w:left w:val="none" w:sz="0" w:space="0" w:color="auto"/>
        <w:bottom w:val="none" w:sz="0" w:space="0" w:color="auto"/>
        <w:right w:val="none" w:sz="0" w:space="0" w:color="auto"/>
      </w:divBdr>
    </w:div>
    <w:div w:id="1706101957">
      <w:bodyDiv w:val="1"/>
      <w:marLeft w:val="0"/>
      <w:marRight w:val="0"/>
      <w:marTop w:val="0"/>
      <w:marBottom w:val="0"/>
      <w:divBdr>
        <w:top w:val="none" w:sz="0" w:space="0" w:color="auto"/>
        <w:left w:val="none" w:sz="0" w:space="0" w:color="auto"/>
        <w:bottom w:val="none" w:sz="0" w:space="0" w:color="auto"/>
        <w:right w:val="none" w:sz="0" w:space="0" w:color="auto"/>
      </w:divBdr>
    </w:div>
    <w:div w:id="1706297226">
      <w:bodyDiv w:val="1"/>
      <w:marLeft w:val="0"/>
      <w:marRight w:val="0"/>
      <w:marTop w:val="0"/>
      <w:marBottom w:val="0"/>
      <w:divBdr>
        <w:top w:val="none" w:sz="0" w:space="0" w:color="auto"/>
        <w:left w:val="none" w:sz="0" w:space="0" w:color="auto"/>
        <w:bottom w:val="none" w:sz="0" w:space="0" w:color="auto"/>
        <w:right w:val="none" w:sz="0" w:space="0" w:color="auto"/>
      </w:divBdr>
    </w:div>
    <w:div w:id="1706786424">
      <w:bodyDiv w:val="1"/>
      <w:marLeft w:val="0"/>
      <w:marRight w:val="0"/>
      <w:marTop w:val="0"/>
      <w:marBottom w:val="0"/>
      <w:divBdr>
        <w:top w:val="none" w:sz="0" w:space="0" w:color="auto"/>
        <w:left w:val="none" w:sz="0" w:space="0" w:color="auto"/>
        <w:bottom w:val="none" w:sz="0" w:space="0" w:color="auto"/>
        <w:right w:val="none" w:sz="0" w:space="0" w:color="auto"/>
      </w:divBdr>
    </w:div>
    <w:div w:id="1707632753">
      <w:bodyDiv w:val="1"/>
      <w:marLeft w:val="0"/>
      <w:marRight w:val="0"/>
      <w:marTop w:val="0"/>
      <w:marBottom w:val="0"/>
      <w:divBdr>
        <w:top w:val="none" w:sz="0" w:space="0" w:color="auto"/>
        <w:left w:val="none" w:sz="0" w:space="0" w:color="auto"/>
        <w:bottom w:val="none" w:sz="0" w:space="0" w:color="auto"/>
        <w:right w:val="none" w:sz="0" w:space="0" w:color="auto"/>
      </w:divBdr>
    </w:div>
    <w:div w:id="1708018302">
      <w:bodyDiv w:val="1"/>
      <w:marLeft w:val="0"/>
      <w:marRight w:val="0"/>
      <w:marTop w:val="0"/>
      <w:marBottom w:val="0"/>
      <w:divBdr>
        <w:top w:val="none" w:sz="0" w:space="0" w:color="auto"/>
        <w:left w:val="none" w:sz="0" w:space="0" w:color="auto"/>
        <w:bottom w:val="none" w:sz="0" w:space="0" w:color="auto"/>
        <w:right w:val="none" w:sz="0" w:space="0" w:color="auto"/>
      </w:divBdr>
    </w:div>
    <w:div w:id="1708335951">
      <w:bodyDiv w:val="1"/>
      <w:marLeft w:val="0"/>
      <w:marRight w:val="0"/>
      <w:marTop w:val="0"/>
      <w:marBottom w:val="0"/>
      <w:divBdr>
        <w:top w:val="none" w:sz="0" w:space="0" w:color="auto"/>
        <w:left w:val="none" w:sz="0" w:space="0" w:color="auto"/>
        <w:bottom w:val="none" w:sz="0" w:space="0" w:color="auto"/>
        <w:right w:val="none" w:sz="0" w:space="0" w:color="auto"/>
      </w:divBdr>
    </w:div>
    <w:div w:id="1709141423">
      <w:bodyDiv w:val="1"/>
      <w:marLeft w:val="0"/>
      <w:marRight w:val="0"/>
      <w:marTop w:val="0"/>
      <w:marBottom w:val="0"/>
      <w:divBdr>
        <w:top w:val="none" w:sz="0" w:space="0" w:color="auto"/>
        <w:left w:val="none" w:sz="0" w:space="0" w:color="auto"/>
        <w:bottom w:val="none" w:sz="0" w:space="0" w:color="auto"/>
        <w:right w:val="none" w:sz="0" w:space="0" w:color="auto"/>
      </w:divBdr>
    </w:div>
    <w:div w:id="1709180311">
      <w:bodyDiv w:val="1"/>
      <w:marLeft w:val="0"/>
      <w:marRight w:val="0"/>
      <w:marTop w:val="0"/>
      <w:marBottom w:val="0"/>
      <w:divBdr>
        <w:top w:val="none" w:sz="0" w:space="0" w:color="auto"/>
        <w:left w:val="none" w:sz="0" w:space="0" w:color="auto"/>
        <w:bottom w:val="none" w:sz="0" w:space="0" w:color="auto"/>
        <w:right w:val="none" w:sz="0" w:space="0" w:color="auto"/>
      </w:divBdr>
    </w:div>
    <w:div w:id="1709257217">
      <w:bodyDiv w:val="1"/>
      <w:marLeft w:val="0"/>
      <w:marRight w:val="0"/>
      <w:marTop w:val="0"/>
      <w:marBottom w:val="0"/>
      <w:divBdr>
        <w:top w:val="none" w:sz="0" w:space="0" w:color="auto"/>
        <w:left w:val="none" w:sz="0" w:space="0" w:color="auto"/>
        <w:bottom w:val="none" w:sz="0" w:space="0" w:color="auto"/>
        <w:right w:val="none" w:sz="0" w:space="0" w:color="auto"/>
      </w:divBdr>
    </w:div>
    <w:div w:id="1709447732">
      <w:bodyDiv w:val="1"/>
      <w:marLeft w:val="0"/>
      <w:marRight w:val="0"/>
      <w:marTop w:val="0"/>
      <w:marBottom w:val="0"/>
      <w:divBdr>
        <w:top w:val="none" w:sz="0" w:space="0" w:color="auto"/>
        <w:left w:val="none" w:sz="0" w:space="0" w:color="auto"/>
        <w:bottom w:val="none" w:sz="0" w:space="0" w:color="auto"/>
        <w:right w:val="none" w:sz="0" w:space="0" w:color="auto"/>
      </w:divBdr>
    </w:div>
    <w:div w:id="1709721198">
      <w:bodyDiv w:val="1"/>
      <w:marLeft w:val="0"/>
      <w:marRight w:val="0"/>
      <w:marTop w:val="0"/>
      <w:marBottom w:val="0"/>
      <w:divBdr>
        <w:top w:val="none" w:sz="0" w:space="0" w:color="auto"/>
        <w:left w:val="none" w:sz="0" w:space="0" w:color="auto"/>
        <w:bottom w:val="none" w:sz="0" w:space="0" w:color="auto"/>
        <w:right w:val="none" w:sz="0" w:space="0" w:color="auto"/>
      </w:divBdr>
    </w:div>
    <w:div w:id="1709986669">
      <w:bodyDiv w:val="1"/>
      <w:marLeft w:val="0"/>
      <w:marRight w:val="0"/>
      <w:marTop w:val="0"/>
      <w:marBottom w:val="0"/>
      <w:divBdr>
        <w:top w:val="none" w:sz="0" w:space="0" w:color="auto"/>
        <w:left w:val="none" w:sz="0" w:space="0" w:color="auto"/>
        <w:bottom w:val="none" w:sz="0" w:space="0" w:color="auto"/>
        <w:right w:val="none" w:sz="0" w:space="0" w:color="auto"/>
      </w:divBdr>
    </w:div>
    <w:div w:id="1710035783">
      <w:bodyDiv w:val="1"/>
      <w:marLeft w:val="0"/>
      <w:marRight w:val="0"/>
      <w:marTop w:val="0"/>
      <w:marBottom w:val="0"/>
      <w:divBdr>
        <w:top w:val="none" w:sz="0" w:space="0" w:color="auto"/>
        <w:left w:val="none" w:sz="0" w:space="0" w:color="auto"/>
        <w:bottom w:val="none" w:sz="0" w:space="0" w:color="auto"/>
        <w:right w:val="none" w:sz="0" w:space="0" w:color="auto"/>
      </w:divBdr>
    </w:div>
    <w:div w:id="1710102198">
      <w:bodyDiv w:val="1"/>
      <w:marLeft w:val="0"/>
      <w:marRight w:val="0"/>
      <w:marTop w:val="0"/>
      <w:marBottom w:val="0"/>
      <w:divBdr>
        <w:top w:val="none" w:sz="0" w:space="0" w:color="auto"/>
        <w:left w:val="none" w:sz="0" w:space="0" w:color="auto"/>
        <w:bottom w:val="none" w:sz="0" w:space="0" w:color="auto"/>
        <w:right w:val="none" w:sz="0" w:space="0" w:color="auto"/>
      </w:divBdr>
    </w:div>
    <w:div w:id="1710380213">
      <w:bodyDiv w:val="1"/>
      <w:marLeft w:val="0"/>
      <w:marRight w:val="0"/>
      <w:marTop w:val="0"/>
      <w:marBottom w:val="0"/>
      <w:divBdr>
        <w:top w:val="none" w:sz="0" w:space="0" w:color="auto"/>
        <w:left w:val="none" w:sz="0" w:space="0" w:color="auto"/>
        <w:bottom w:val="none" w:sz="0" w:space="0" w:color="auto"/>
        <w:right w:val="none" w:sz="0" w:space="0" w:color="auto"/>
      </w:divBdr>
    </w:div>
    <w:div w:id="1710642647">
      <w:bodyDiv w:val="1"/>
      <w:marLeft w:val="0"/>
      <w:marRight w:val="0"/>
      <w:marTop w:val="0"/>
      <w:marBottom w:val="0"/>
      <w:divBdr>
        <w:top w:val="none" w:sz="0" w:space="0" w:color="auto"/>
        <w:left w:val="none" w:sz="0" w:space="0" w:color="auto"/>
        <w:bottom w:val="none" w:sz="0" w:space="0" w:color="auto"/>
        <w:right w:val="none" w:sz="0" w:space="0" w:color="auto"/>
      </w:divBdr>
    </w:div>
    <w:div w:id="1710839799">
      <w:bodyDiv w:val="1"/>
      <w:marLeft w:val="0"/>
      <w:marRight w:val="0"/>
      <w:marTop w:val="0"/>
      <w:marBottom w:val="0"/>
      <w:divBdr>
        <w:top w:val="none" w:sz="0" w:space="0" w:color="auto"/>
        <w:left w:val="none" w:sz="0" w:space="0" w:color="auto"/>
        <w:bottom w:val="none" w:sz="0" w:space="0" w:color="auto"/>
        <w:right w:val="none" w:sz="0" w:space="0" w:color="auto"/>
      </w:divBdr>
    </w:div>
    <w:div w:id="1711109724">
      <w:bodyDiv w:val="1"/>
      <w:marLeft w:val="0"/>
      <w:marRight w:val="0"/>
      <w:marTop w:val="0"/>
      <w:marBottom w:val="0"/>
      <w:divBdr>
        <w:top w:val="none" w:sz="0" w:space="0" w:color="auto"/>
        <w:left w:val="none" w:sz="0" w:space="0" w:color="auto"/>
        <w:bottom w:val="none" w:sz="0" w:space="0" w:color="auto"/>
        <w:right w:val="none" w:sz="0" w:space="0" w:color="auto"/>
      </w:divBdr>
    </w:div>
    <w:div w:id="1712076430">
      <w:bodyDiv w:val="1"/>
      <w:marLeft w:val="0"/>
      <w:marRight w:val="0"/>
      <w:marTop w:val="0"/>
      <w:marBottom w:val="0"/>
      <w:divBdr>
        <w:top w:val="none" w:sz="0" w:space="0" w:color="auto"/>
        <w:left w:val="none" w:sz="0" w:space="0" w:color="auto"/>
        <w:bottom w:val="none" w:sz="0" w:space="0" w:color="auto"/>
        <w:right w:val="none" w:sz="0" w:space="0" w:color="auto"/>
      </w:divBdr>
    </w:div>
    <w:div w:id="1712417934">
      <w:bodyDiv w:val="1"/>
      <w:marLeft w:val="0"/>
      <w:marRight w:val="0"/>
      <w:marTop w:val="0"/>
      <w:marBottom w:val="0"/>
      <w:divBdr>
        <w:top w:val="none" w:sz="0" w:space="0" w:color="auto"/>
        <w:left w:val="none" w:sz="0" w:space="0" w:color="auto"/>
        <w:bottom w:val="none" w:sz="0" w:space="0" w:color="auto"/>
        <w:right w:val="none" w:sz="0" w:space="0" w:color="auto"/>
      </w:divBdr>
    </w:div>
    <w:div w:id="1712419754">
      <w:bodyDiv w:val="1"/>
      <w:marLeft w:val="0"/>
      <w:marRight w:val="0"/>
      <w:marTop w:val="0"/>
      <w:marBottom w:val="0"/>
      <w:divBdr>
        <w:top w:val="none" w:sz="0" w:space="0" w:color="auto"/>
        <w:left w:val="none" w:sz="0" w:space="0" w:color="auto"/>
        <w:bottom w:val="none" w:sz="0" w:space="0" w:color="auto"/>
        <w:right w:val="none" w:sz="0" w:space="0" w:color="auto"/>
      </w:divBdr>
    </w:div>
    <w:div w:id="1712656348">
      <w:bodyDiv w:val="1"/>
      <w:marLeft w:val="0"/>
      <w:marRight w:val="0"/>
      <w:marTop w:val="0"/>
      <w:marBottom w:val="0"/>
      <w:divBdr>
        <w:top w:val="none" w:sz="0" w:space="0" w:color="auto"/>
        <w:left w:val="none" w:sz="0" w:space="0" w:color="auto"/>
        <w:bottom w:val="none" w:sz="0" w:space="0" w:color="auto"/>
        <w:right w:val="none" w:sz="0" w:space="0" w:color="auto"/>
      </w:divBdr>
    </w:div>
    <w:div w:id="1712849838">
      <w:bodyDiv w:val="1"/>
      <w:marLeft w:val="0"/>
      <w:marRight w:val="0"/>
      <w:marTop w:val="0"/>
      <w:marBottom w:val="0"/>
      <w:divBdr>
        <w:top w:val="none" w:sz="0" w:space="0" w:color="auto"/>
        <w:left w:val="none" w:sz="0" w:space="0" w:color="auto"/>
        <w:bottom w:val="none" w:sz="0" w:space="0" w:color="auto"/>
        <w:right w:val="none" w:sz="0" w:space="0" w:color="auto"/>
      </w:divBdr>
    </w:div>
    <w:div w:id="1713916053">
      <w:bodyDiv w:val="1"/>
      <w:marLeft w:val="0"/>
      <w:marRight w:val="0"/>
      <w:marTop w:val="0"/>
      <w:marBottom w:val="0"/>
      <w:divBdr>
        <w:top w:val="none" w:sz="0" w:space="0" w:color="auto"/>
        <w:left w:val="none" w:sz="0" w:space="0" w:color="auto"/>
        <w:bottom w:val="none" w:sz="0" w:space="0" w:color="auto"/>
        <w:right w:val="none" w:sz="0" w:space="0" w:color="auto"/>
      </w:divBdr>
    </w:div>
    <w:div w:id="1713916201">
      <w:bodyDiv w:val="1"/>
      <w:marLeft w:val="0"/>
      <w:marRight w:val="0"/>
      <w:marTop w:val="0"/>
      <w:marBottom w:val="0"/>
      <w:divBdr>
        <w:top w:val="none" w:sz="0" w:space="0" w:color="auto"/>
        <w:left w:val="none" w:sz="0" w:space="0" w:color="auto"/>
        <w:bottom w:val="none" w:sz="0" w:space="0" w:color="auto"/>
        <w:right w:val="none" w:sz="0" w:space="0" w:color="auto"/>
      </w:divBdr>
    </w:div>
    <w:div w:id="1714650971">
      <w:bodyDiv w:val="1"/>
      <w:marLeft w:val="0"/>
      <w:marRight w:val="0"/>
      <w:marTop w:val="0"/>
      <w:marBottom w:val="0"/>
      <w:divBdr>
        <w:top w:val="none" w:sz="0" w:space="0" w:color="auto"/>
        <w:left w:val="none" w:sz="0" w:space="0" w:color="auto"/>
        <w:bottom w:val="none" w:sz="0" w:space="0" w:color="auto"/>
        <w:right w:val="none" w:sz="0" w:space="0" w:color="auto"/>
      </w:divBdr>
    </w:div>
    <w:div w:id="1714772282">
      <w:bodyDiv w:val="1"/>
      <w:marLeft w:val="0"/>
      <w:marRight w:val="0"/>
      <w:marTop w:val="0"/>
      <w:marBottom w:val="0"/>
      <w:divBdr>
        <w:top w:val="none" w:sz="0" w:space="0" w:color="auto"/>
        <w:left w:val="none" w:sz="0" w:space="0" w:color="auto"/>
        <w:bottom w:val="none" w:sz="0" w:space="0" w:color="auto"/>
        <w:right w:val="none" w:sz="0" w:space="0" w:color="auto"/>
      </w:divBdr>
    </w:div>
    <w:div w:id="1714884781">
      <w:bodyDiv w:val="1"/>
      <w:marLeft w:val="0"/>
      <w:marRight w:val="0"/>
      <w:marTop w:val="0"/>
      <w:marBottom w:val="0"/>
      <w:divBdr>
        <w:top w:val="none" w:sz="0" w:space="0" w:color="auto"/>
        <w:left w:val="none" w:sz="0" w:space="0" w:color="auto"/>
        <w:bottom w:val="none" w:sz="0" w:space="0" w:color="auto"/>
        <w:right w:val="none" w:sz="0" w:space="0" w:color="auto"/>
      </w:divBdr>
    </w:div>
    <w:div w:id="1715495440">
      <w:bodyDiv w:val="1"/>
      <w:marLeft w:val="0"/>
      <w:marRight w:val="0"/>
      <w:marTop w:val="0"/>
      <w:marBottom w:val="0"/>
      <w:divBdr>
        <w:top w:val="none" w:sz="0" w:space="0" w:color="auto"/>
        <w:left w:val="none" w:sz="0" w:space="0" w:color="auto"/>
        <w:bottom w:val="none" w:sz="0" w:space="0" w:color="auto"/>
        <w:right w:val="none" w:sz="0" w:space="0" w:color="auto"/>
      </w:divBdr>
    </w:div>
    <w:div w:id="1716154716">
      <w:bodyDiv w:val="1"/>
      <w:marLeft w:val="0"/>
      <w:marRight w:val="0"/>
      <w:marTop w:val="0"/>
      <w:marBottom w:val="0"/>
      <w:divBdr>
        <w:top w:val="none" w:sz="0" w:space="0" w:color="auto"/>
        <w:left w:val="none" w:sz="0" w:space="0" w:color="auto"/>
        <w:bottom w:val="none" w:sz="0" w:space="0" w:color="auto"/>
        <w:right w:val="none" w:sz="0" w:space="0" w:color="auto"/>
      </w:divBdr>
    </w:div>
    <w:div w:id="171750833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666522">
      <w:bodyDiv w:val="1"/>
      <w:marLeft w:val="0"/>
      <w:marRight w:val="0"/>
      <w:marTop w:val="0"/>
      <w:marBottom w:val="0"/>
      <w:divBdr>
        <w:top w:val="none" w:sz="0" w:space="0" w:color="auto"/>
        <w:left w:val="none" w:sz="0" w:space="0" w:color="auto"/>
        <w:bottom w:val="none" w:sz="0" w:space="0" w:color="auto"/>
        <w:right w:val="none" w:sz="0" w:space="0" w:color="auto"/>
      </w:divBdr>
    </w:div>
    <w:div w:id="1719937546">
      <w:bodyDiv w:val="1"/>
      <w:marLeft w:val="0"/>
      <w:marRight w:val="0"/>
      <w:marTop w:val="0"/>
      <w:marBottom w:val="0"/>
      <w:divBdr>
        <w:top w:val="none" w:sz="0" w:space="0" w:color="auto"/>
        <w:left w:val="none" w:sz="0" w:space="0" w:color="auto"/>
        <w:bottom w:val="none" w:sz="0" w:space="0" w:color="auto"/>
        <w:right w:val="none" w:sz="0" w:space="0" w:color="auto"/>
      </w:divBdr>
    </w:div>
    <w:div w:id="1720083809">
      <w:bodyDiv w:val="1"/>
      <w:marLeft w:val="0"/>
      <w:marRight w:val="0"/>
      <w:marTop w:val="0"/>
      <w:marBottom w:val="0"/>
      <w:divBdr>
        <w:top w:val="none" w:sz="0" w:space="0" w:color="auto"/>
        <w:left w:val="none" w:sz="0" w:space="0" w:color="auto"/>
        <w:bottom w:val="none" w:sz="0" w:space="0" w:color="auto"/>
        <w:right w:val="none" w:sz="0" w:space="0" w:color="auto"/>
      </w:divBdr>
    </w:div>
    <w:div w:id="1720087960">
      <w:bodyDiv w:val="1"/>
      <w:marLeft w:val="0"/>
      <w:marRight w:val="0"/>
      <w:marTop w:val="0"/>
      <w:marBottom w:val="0"/>
      <w:divBdr>
        <w:top w:val="none" w:sz="0" w:space="0" w:color="auto"/>
        <w:left w:val="none" w:sz="0" w:space="0" w:color="auto"/>
        <w:bottom w:val="none" w:sz="0" w:space="0" w:color="auto"/>
        <w:right w:val="none" w:sz="0" w:space="0" w:color="auto"/>
      </w:divBdr>
    </w:div>
    <w:div w:id="1720320953">
      <w:bodyDiv w:val="1"/>
      <w:marLeft w:val="0"/>
      <w:marRight w:val="0"/>
      <w:marTop w:val="0"/>
      <w:marBottom w:val="0"/>
      <w:divBdr>
        <w:top w:val="none" w:sz="0" w:space="0" w:color="auto"/>
        <w:left w:val="none" w:sz="0" w:space="0" w:color="auto"/>
        <w:bottom w:val="none" w:sz="0" w:space="0" w:color="auto"/>
        <w:right w:val="none" w:sz="0" w:space="0" w:color="auto"/>
      </w:divBdr>
    </w:div>
    <w:div w:id="1720325274">
      <w:bodyDiv w:val="1"/>
      <w:marLeft w:val="0"/>
      <w:marRight w:val="0"/>
      <w:marTop w:val="0"/>
      <w:marBottom w:val="0"/>
      <w:divBdr>
        <w:top w:val="none" w:sz="0" w:space="0" w:color="auto"/>
        <w:left w:val="none" w:sz="0" w:space="0" w:color="auto"/>
        <w:bottom w:val="none" w:sz="0" w:space="0" w:color="auto"/>
        <w:right w:val="none" w:sz="0" w:space="0" w:color="auto"/>
      </w:divBdr>
    </w:div>
    <w:div w:id="1720741259">
      <w:bodyDiv w:val="1"/>
      <w:marLeft w:val="0"/>
      <w:marRight w:val="0"/>
      <w:marTop w:val="0"/>
      <w:marBottom w:val="0"/>
      <w:divBdr>
        <w:top w:val="none" w:sz="0" w:space="0" w:color="auto"/>
        <w:left w:val="none" w:sz="0" w:space="0" w:color="auto"/>
        <w:bottom w:val="none" w:sz="0" w:space="0" w:color="auto"/>
        <w:right w:val="none" w:sz="0" w:space="0" w:color="auto"/>
      </w:divBdr>
    </w:div>
    <w:div w:id="1722090024">
      <w:bodyDiv w:val="1"/>
      <w:marLeft w:val="0"/>
      <w:marRight w:val="0"/>
      <w:marTop w:val="0"/>
      <w:marBottom w:val="0"/>
      <w:divBdr>
        <w:top w:val="none" w:sz="0" w:space="0" w:color="auto"/>
        <w:left w:val="none" w:sz="0" w:space="0" w:color="auto"/>
        <w:bottom w:val="none" w:sz="0" w:space="0" w:color="auto"/>
        <w:right w:val="none" w:sz="0" w:space="0" w:color="auto"/>
      </w:divBdr>
    </w:div>
    <w:div w:id="1722745696">
      <w:bodyDiv w:val="1"/>
      <w:marLeft w:val="0"/>
      <w:marRight w:val="0"/>
      <w:marTop w:val="0"/>
      <w:marBottom w:val="0"/>
      <w:divBdr>
        <w:top w:val="none" w:sz="0" w:space="0" w:color="auto"/>
        <w:left w:val="none" w:sz="0" w:space="0" w:color="auto"/>
        <w:bottom w:val="none" w:sz="0" w:space="0" w:color="auto"/>
        <w:right w:val="none" w:sz="0" w:space="0" w:color="auto"/>
      </w:divBdr>
    </w:div>
    <w:div w:id="1723479370">
      <w:bodyDiv w:val="1"/>
      <w:marLeft w:val="0"/>
      <w:marRight w:val="0"/>
      <w:marTop w:val="0"/>
      <w:marBottom w:val="0"/>
      <w:divBdr>
        <w:top w:val="none" w:sz="0" w:space="0" w:color="auto"/>
        <w:left w:val="none" w:sz="0" w:space="0" w:color="auto"/>
        <w:bottom w:val="none" w:sz="0" w:space="0" w:color="auto"/>
        <w:right w:val="none" w:sz="0" w:space="0" w:color="auto"/>
      </w:divBdr>
    </w:div>
    <w:div w:id="1723597002">
      <w:bodyDiv w:val="1"/>
      <w:marLeft w:val="0"/>
      <w:marRight w:val="0"/>
      <w:marTop w:val="0"/>
      <w:marBottom w:val="0"/>
      <w:divBdr>
        <w:top w:val="none" w:sz="0" w:space="0" w:color="auto"/>
        <w:left w:val="none" w:sz="0" w:space="0" w:color="auto"/>
        <w:bottom w:val="none" w:sz="0" w:space="0" w:color="auto"/>
        <w:right w:val="none" w:sz="0" w:space="0" w:color="auto"/>
      </w:divBdr>
    </w:div>
    <w:div w:id="1723938954">
      <w:bodyDiv w:val="1"/>
      <w:marLeft w:val="0"/>
      <w:marRight w:val="0"/>
      <w:marTop w:val="0"/>
      <w:marBottom w:val="0"/>
      <w:divBdr>
        <w:top w:val="none" w:sz="0" w:space="0" w:color="auto"/>
        <w:left w:val="none" w:sz="0" w:space="0" w:color="auto"/>
        <w:bottom w:val="none" w:sz="0" w:space="0" w:color="auto"/>
        <w:right w:val="none" w:sz="0" w:space="0" w:color="auto"/>
      </w:divBdr>
    </w:div>
    <w:div w:id="1724870838">
      <w:bodyDiv w:val="1"/>
      <w:marLeft w:val="0"/>
      <w:marRight w:val="0"/>
      <w:marTop w:val="0"/>
      <w:marBottom w:val="0"/>
      <w:divBdr>
        <w:top w:val="none" w:sz="0" w:space="0" w:color="auto"/>
        <w:left w:val="none" w:sz="0" w:space="0" w:color="auto"/>
        <w:bottom w:val="none" w:sz="0" w:space="0" w:color="auto"/>
        <w:right w:val="none" w:sz="0" w:space="0" w:color="auto"/>
      </w:divBdr>
    </w:div>
    <w:div w:id="1725180185">
      <w:bodyDiv w:val="1"/>
      <w:marLeft w:val="0"/>
      <w:marRight w:val="0"/>
      <w:marTop w:val="0"/>
      <w:marBottom w:val="0"/>
      <w:divBdr>
        <w:top w:val="none" w:sz="0" w:space="0" w:color="auto"/>
        <w:left w:val="none" w:sz="0" w:space="0" w:color="auto"/>
        <w:bottom w:val="none" w:sz="0" w:space="0" w:color="auto"/>
        <w:right w:val="none" w:sz="0" w:space="0" w:color="auto"/>
      </w:divBdr>
    </w:div>
    <w:div w:id="1725635979">
      <w:bodyDiv w:val="1"/>
      <w:marLeft w:val="0"/>
      <w:marRight w:val="0"/>
      <w:marTop w:val="0"/>
      <w:marBottom w:val="0"/>
      <w:divBdr>
        <w:top w:val="none" w:sz="0" w:space="0" w:color="auto"/>
        <w:left w:val="none" w:sz="0" w:space="0" w:color="auto"/>
        <w:bottom w:val="none" w:sz="0" w:space="0" w:color="auto"/>
        <w:right w:val="none" w:sz="0" w:space="0" w:color="auto"/>
      </w:divBdr>
    </w:div>
    <w:div w:id="1725832846">
      <w:bodyDiv w:val="1"/>
      <w:marLeft w:val="0"/>
      <w:marRight w:val="0"/>
      <w:marTop w:val="0"/>
      <w:marBottom w:val="0"/>
      <w:divBdr>
        <w:top w:val="none" w:sz="0" w:space="0" w:color="auto"/>
        <w:left w:val="none" w:sz="0" w:space="0" w:color="auto"/>
        <w:bottom w:val="none" w:sz="0" w:space="0" w:color="auto"/>
        <w:right w:val="none" w:sz="0" w:space="0" w:color="auto"/>
      </w:divBdr>
    </w:div>
    <w:div w:id="1725907080">
      <w:bodyDiv w:val="1"/>
      <w:marLeft w:val="0"/>
      <w:marRight w:val="0"/>
      <w:marTop w:val="0"/>
      <w:marBottom w:val="0"/>
      <w:divBdr>
        <w:top w:val="none" w:sz="0" w:space="0" w:color="auto"/>
        <w:left w:val="none" w:sz="0" w:space="0" w:color="auto"/>
        <w:bottom w:val="none" w:sz="0" w:space="0" w:color="auto"/>
        <w:right w:val="none" w:sz="0" w:space="0" w:color="auto"/>
      </w:divBdr>
    </w:div>
    <w:div w:id="1726104913">
      <w:bodyDiv w:val="1"/>
      <w:marLeft w:val="0"/>
      <w:marRight w:val="0"/>
      <w:marTop w:val="0"/>
      <w:marBottom w:val="0"/>
      <w:divBdr>
        <w:top w:val="none" w:sz="0" w:space="0" w:color="auto"/>
        <w:left w:val="none" w:sz="0" w:space="0" w:color="auto"/>
        <w:bottom w:val="none" w:sz="0" w:space="0" w:color="auto"/>
        <w:right w:val="none" w:sz="0" w:space="0" w:color="auto"/>
      </w:divBdr>
    </w:div>
    <w:div w:id="1726564507">
      <w:bodyDiv w:val="1"/>
      <w:marLeft w:val="0"/>
      <w:marRight w:val="0"/>
      <w:marTop w:val="0"/>
      <w:marBottom w:val="0"/>
      <w:divBdr>
        <w:top w:val="none" w:sz="0" w:space="0" w:color="auto"/>
        <w:left w:val="none" w:sz="0" w:space="0" w:color="auto"/>
        <w:bottom w:val="none" w:sz="0" w:space="0" w:color="auto"/>
        <w:right w:val="none" w:sz="0" w:space="0" w:color="auto"/>
      </w:divBdr>
    </w:div>
    <w:div w:id="1726637886">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290027">
      <w:bodyDiv w:val="1"/>
      <w:marLeft w:val="0"/>
      <w:marRight w:val="0"/>
      <w:marTop w:val="0"/>
      <w:marBottom w:val="0"/>
      <w:divBdr>
        <w:top w:val="none" w:sz="0" w:space="0" w:color="auto"/>
        <w:left w:val="none" w:sz="0" w:space="0" w:color="auto"/>
        <w:bottom w:val="none" w:sz="0" w:space="0" w:color="auto"/>
        <w:right w:val="none" w:sz="0" w:space="0" w:color="auto"/>
      </w:divBdr>
    </w:div>
    <w:div w:id="1728261856">
      <w:bodyDiv w:val="1"/>
      <w:marLeft w:val="0"/>
      <w:marRight w:val="0"/>
      <w:marTop w:val="0"/>
      <w:marBottom w:val="0"/>
      <w:divBdr>
        <w:top w:val="none" w:sz="0" w:space="0" w:color="auto"/>
        <w:left w:val="none" w:sz="0" w:space="0" w:color="auto"/>
        <w:bottom w:val="none" w:sz="0" w:space="0" w:color="auto"/>
        <w:right w:val="none" w:sz="0" w:space="0" w:color="auto"/>
      </w:divBdr>
    </w:div>
    <w:div w:id="1728918935">
      <w:bodyDiv w:val="1"/>
      <w:marLeft w:val="0"/>
      <w:marRight w:val="0"/>
      <w:marTop w:val="0"/>
      <w:marBottom w:val="0"/>
      <w:divBdr>
        <w:top w:val="none" w:sz="0" w:space="0" w:color="auto"/>
        <w:left w:val="none" w:sz="0" w:space="0" w:color="auto"/>
        <w:bottom w:val="none" w:sz="0" w:space="0" w:color="auto"/>
        <w:right w:val="none" w:sz="0" w:space="0" w:color="auto"/>
      </w:divBdr>
    </w:div>
    <w:div w:id="1729068189">
      <w:bodyDiv w:val="1"/>
      <w:marLeft w:val="0"/>
      <w:marRight w:val="0"/>
      <w:marTop w:val="0"/>
      <w:marBottom w:val="0"/>
      <w:divBdr>
        <w:top w:val="none" w:sz="0" w:space="0" w:color="auto"/>
        <w:left w:val="none" w:sz="0" w:space="0" w:color="auto"/>
        <w:bottom w:val="none" w:sz="0" w:space="0" w:color="auto"/>
        <w:right w:val="none" w:sz="0" w:space="0" w:color="auto"/>
      </w:divBdr>
    </w:div>
    <w:div w:id="1729256397">
      <w:bodyDiv w:val="1"/>
      <w:marLeft w:val="0"/>
      <w:marRight w:val="0"/>
      <w:marTop w:val="0"/>
      <w:marBottom w:val="0"/>
      <w:divBdr>
        <w:top w:val="none" w:sz="0" w:space="0" w:color="auto"/>
        <w:left w:val="none" w:sz="0" w:space="0" w:color="auto"/>
        <w:bottom w:val="none" w:sz="0" w:space="0" w:color="auto"/>
        <w:right w:val="none" w:sz="0" w:space="0" w:color="auto"/>
      </w:divBdr>
    </w:div>
    <w:div w:id="1729300978">
      <w:bodyDiv w:val="1"/>
      <w:marLeft w:val="0"/>
      <w:marRight w:val="0"/>
      <w:marTop w:val="0"/>
      <w:marBottom w:val="0"/>
      <w:divBdr>
        <w:top w:val="none" w:sz="0" w:space="0" w:color="auto"/>
        <w:left w:val="none" w:sz="0" w:space="0" w:color="auto"/>
        <w:bottom w:val="none" w:sz="0" w:space="0" w:color="auto"/>
        <w:right w:val="none" w:sz="0" w:space="0" w:color="auto"/>
      </w:divBdr>
    </w:div>
    <w:div w:id="1729306175">
      <w:bodyDiv w:val="1"/>
      <w:marLeft w:val="0"/>
      <w:marRight w:val="0"/>
      <w:marTop w:val="0"/>
      <w:marBottom w:val="0"/>
      <w:divBdr>
        <w:top w:val="none" w:sz="0" w:space="0" w:color="auto"/>
        <w:left w:val="none" w:sz="0" w:space="0" w:color="auto"/>
        <w:bottom w:val="none" w:sz="0" w:space="0" w:color="auto"/>
        <w:right w:val="none" w:sz="0" w:space="0" w:color="auto"/>
      </w:divBdr>
    </w:div>
    <w:div w:id="1730104649">
      <w:bodyDiv w:val="1"/>
      <w:marLeft w:val="0"/>
      <w:marRight w:val="0"/>
      <w:marTop w:val="0"/>
      <w:marBottom w:val="0"/>
      <w:divBdr>
        <w:top w:val="none" w:sz="0" w:space="0" w:color="auto"/>
        <w:left w:val="none" w:sz="0" w:space="0" w:color="auto"/>
        <w:bottom w:val="none" w:sz="0" w:space="0" w:color="auto"/>
        <w:right w:val="none" w:sz="0" w:space="0" w:color="auto"/>
      </w:divBdr>
    </w:div>
    <w:div w:id="1730614521">
      <w:bodyDiv w:val="1"/>
      <w:marLeft w:val="0"/>
      <w:marRight w:val="0"/>
      <w:marTop w:val="0"/>
      <w:marBottom w:val="0"/>
      <w:divBdr>
        <w:top w:val="none" w:sz="0" w:space="0" w:color="auto"/>
        <w:left w:val="none" w:sz="0" w:space="0" w:color="auto"/>
        <w:bottom w:val="none" w:sz="0" w:space="0" w:color="auto"/>
        <w:right w:val="none" w:sz="0" w:space="0" w:color="auto"/>
      </w:divBdr>
    </w:div>
    <w:div w:id="1731684443">
      <w:bodyDiv w:val="1"/>
      <w:marLeft w:val="0"/>
      <w:marRight w:val="0"/>
      <w:marTop w:val="0"/>
      <w:marBottom w:val="0"/>
      <w:divBdr>
        <w:top w:val="none" w:sz="0" w:space="0" w:color="auto"/>
        <w:left w:val="none" w:sz="0" w:space="0" w:color="auto"/>
        <w:bottom w:val="none" w:sz="0" w:space="0" w:color="auto"/>
        <w:right w:val="none" w:sz="0" w:space="0" w:color="auto"/>
      </w:divBdr>
    </w:div>
    <w:div w:id="1731805723">
      <w:bodyDiv w:val="1"/>
      <w:marLeft w:val="0"/>
      <w:marRight w:val="0"/>
      <w:marTop w:val="0"/>
      <w:marBottom w:val="0"/>
      <w:divBdr>
        <w:top w:val="none" w:sz="0" w:space="0" w:color="auto"/>
        <w:left w:val="none" w:sz="0" w:space="0" w:color="auto"/>
        <w:bottom w:val="none" w:sz="0" w:space="0" w:color="auto"/>
        <w:right w:val="none" w:sz="0" w:space="0" w:color="auto"/>
      </w:divBdr>
    </w:div>
    <w:div w:id="1734573702">
      <w:bodyDiv w:val="1"/>
      <w:marLeft w:val="0"/>
      <w:marRight w:val="0"/>
      <w:marTop w:val="0"/>
      <w:marBottom w:val="0"/>
      <w:divBdr>
        <w:top w:val="none" w:sz="0" w:space="0" w:color="auto"/>
        <w:left w:val="none" w:sz="0" w:space="0" w:color="auto"/>
        <w:bottom w:val="none" w:sz="0" w:space="0" w:color="auto"/>
        <w:right w:val="none" w:sz="0" w:space="0" w:color="auto"/>
      </w:divBdr>
    </w:div>
    <w:div w:id="1735008759">
      <w:bodyDiv w:val="1"/>
      <w:marLeft w:val="0"/>
      <w:marRight w:val="0"/>
      <w:marTop w:val="0"/>
      <w:marBottom w:val="0"/>
      <w:divBdr>
        <w:top w:val="none" w:sz="0" w:space="0" w:color="auto"/>
        <w:left w:val="none" w:sz="0" w:space="0" w:color="auto"/>
        <w:bottom w:val="none" w:sz="0" w:space="0" w:color="auto"/>
        <w:right w:val="none" w:sz="0" w:space="0" w:color="auto"/>
      </w:divBdr>
    </w:div>
    <w:div w:id="1735156060">
      <w:bodyDiv w:val="1"/>
      <w:marLeft w:val="0"/>
      <w:marRight w:val="0"/>
      <w:marTop w:val="0"/>
      <w:marBottom w:val="0"/>
      <w:divBdr>
        <w:top w:val="none" w:sz="0" w:space="0" w:color="auto"/>
        <w:left w:val="none" w:sz="0" w:space="0" w:color="auto"/>
        <w:bottom w:val="none" w:sz="0" w:space="0" w:color="auto"/>
        <w:right w:val="none" w:sz="0" w:space="0" w:color="auto"/>
      </w:divBdr>
    </w:div>
    <w:div w:id="1735229421">
      <w:bodyDiv w:val="1"/>
      <w:marLeft w:val="0"/>
      <w:marRight w:val="0"/>
      <w:marTop w:val="0"/>
      <w:marBottom w:val="0"/>
      <w:divBdr>
        <w:top w:val="none" w:sz="0" w:space="0" w:color="auto"/>
        <w:left w:val="none" w:sz="0" w:space="0" w:color="auto"/>
        <w:bottom w:val="none" w:sz="0" w:space="0" w:color="auto"/>
        <w:right w:val="none" w:sz="0" w:space="0" w:color="auto"/>
      </w:divBdr>
    </w:div>
    <w:div w:id="1735273004">
      <w:bodyDiv w:val="1"/>
      <w:marLeft w:val="0"/>
      <w:marRight w:val="0"/>
      <w:marTop w:val="0"/>
      <w:marBottom w:val="0"/>
      <w:divBdr>
        <w:top w:val="none" w:sz="0" w:space="0" w:color="auto"/>
        <w:left w:val="none" w:sz="0" w:space="0" w:color="auto"/>
        <w:bottom w:val="none" w:sz="0" w:space="0" w:color="auto"/>
        <w:right w:val="none" w:sz="0" w:space="0" w:color="auto"/>
      </w:divBdr>
    </w:div>
    <w:div w:id="1735542359">
      <w:bodyDiv w:val="1"/>
      <w:marLeft w:val="0"/>
      <w:marRight w:val="0"/>
      <w:marTop w:val="0"/>
      <w:marBottom w:val="0"/>
      <w:divBdr>
        <w:top w:val="none" w:sz="0" w:space="0" w:color="auto"/>
        <w:left w:val="none" w:sz="0" w:space="0" w:color="auto"/>
        <w:bottom w:val="none" w:sz="0" w:space="0" w:color="auto"/>
        <w:right w:val="none" w:sz="0" w:space="0" w:color="auto"/>
      </w:divBdr>
    </w:div>
    <w:div w:id="1735931820">
      <w:bodyDiv w:val="1"/>
      <w:marLeft w:val="0"/>
      <w:marRight w:val="0"/>
      <w:marTop w:val="0"/>
      <w:marBottom w:val="0"/>
      <w:divBdr>
        <w:top w:val="none" w:sz="0" w:space="0" w:color="auto"/>
        <w:left w:val="none" w:sz="0" w:space="0" w:color="auto"/>
        <w:bottom w:val="none" w:sz="0" w:space="0" w:color="auto"/>
        <w:right w:val="none" w:sz="0" w:space="0" w:color="auto"/>
      </w:divBdr>
    </w:div>
    <w:div w:id="1736313112">
      <w:bodyDiv w:val="1"/>
      <w:marLeft w:val="0"/>
      <w:marRight w:val="0"/>
      <w:marTop w:val="0"/>
      <w:marBottom w:val="0"/>
      <w:divBdr>
        <w:top w:val="none" w:sz="0" w:space="0" w:color="auto"/>
        <w:left w:val="none" w:sz="0" w:space="0" w:color="auto"/>
        <w:bottom w:val="none" w:sz="0" w:space="0" w:color="auto"/>
        <w:right w:val="none" w:sz="0" w:space="0" w:color="auto"/>
      </w:divBdr>
    </w:div>
    <w:div w:id="1737434926">
      <w:bodyDiv w:val="1"/>
      <w:marLeft w:val="0"/>
      <w:marRight w:val="0"/>
      <w:marTop w:val="0"/>
      <w:marBottom w:val="0"/>
      <w:divBdr>
        <w:top w:val="none" w:sz="0" w:space="0" w:color="auto"/>
        <w:left w:val="none" w:sz="0" w:space="0" w:color="auto"/>
        <w:bottom w:val="none" w:sz="0" w:space="0" w:color="auto"/>
        <w:right w:val="none" w:sz="0" w:space="0" w:color="auto"/>
      </w:divBdr>
    </w:div>
    <w:div w:id="1737505298">
      <w:bodyDiv w:val="1"/>
      <w:marLeft w:val="0"/>
      <w:marRight w:val="0"/>
      <w:marTop w:val="0"/>
      <w:marBottom w:val="0"/>
      <w:divBdr>
        <w:top w:val="none" w:sz="0" w:space="0" w:color="auto"/>
        <w:left w:val="none" w:sz="0" w:space="0" w:color="auto"/>
        <w:bottom w:val="none" w:sz="0" w:space="0" w:color="auto"/>
        <w:right w:val="none" w:sz="0" w:space="0" w:color="auto"/>
      </w:divBdr>
    </w:div>
    <w:div w:id="1737849920">
      <w:bodyDiv w:val="1"/>
      <w:marLeft w:val="0"/>
      <w:marRight w:val="0"/>
      <w:marTop w:val="0"/>
      <w:marBottom w:val="0"/>
      <w:divBdr>
        <w:top w:val="none" w:sz="0" w:space="0" w:color="auto"/>
        <w:left w:val="none" w:sz="0" w:space="0" w:color="auto"/>
        <w:bottom w:val="none" w:sz="0" w:space="0" w:color="auto"/>
        <w:right w:val="none" w:sz="0" w:space="0" w:color="auto"/>
      </w:divBdr>
    </w:div>
    <w:div w:id="1738672736">
      <w:bodyDiv w:val="1"/>
      <w:marLeft w:val="0"/>
      <w:marRight w:val="0"/>
      <w:marTop w:val="0"/>
      <w:marBottom w:val="0"/>
      <w:divBdr>
        <w:top w:val="none" w:sz="0" w:space="0" w:color="auto"/>
        <w:left w:val="none" w:sz="0" w:space="0" w:color="auto"/>
        <w:bottom w:val="none" w:sz="0" w:space="0" w:color="auto"/>
        <w:right w:val="none" w:sz="0" w:space="0" w:color="auto"/>
      </w:divBdr>
    </w:div>
    <w:div w:id="1738825420">
      <w:bodyDiv w:val="1"/>
      <w:marLeft w:val="0"/>
      <w:marRight w:val="0"/>
      <w:marTop w:val="0"/>
      <w:marBottom w:val="0"/>
      <w:divBdr>
        <w:top w:val="none" w:sz="0" w:space="0" w:color="auto"/>
        <w:left w:val="none" w:sz="0" w:space="0" w:color="auto"/>
        <w:bottom w:val="none" w:sz="0" w:space="0" w:color="auto"/>
        <w:right w:val="none" w:sz="0" w:space="0" w:color="auto"/>
      </w:divBdr>
    </w:div>
    <w:div w:id="1739745502">
      <w:bodyDiv w:val="1"/>
      <w:marLeft w:val="0"/>
      <w:marRight w:val="0"/>
      <w:marTop w:val="0"/>
      <w:marBottom w:val="0"/>
      <w:divBdr>
        <w:top w:val="none" w:sz="0" w:space="0" w:color="auto"/>
        <w:left w:val="none" w:sz="0" w:space="0" w:color="auto"/>
        <w:bottom w:val="none" w:sz="0" w:space="0" w:color="auto"/>
        <w:right w:val="none" w:sz="0" w:space="0" w:color="auto"/>
      </w:divBdr>
    </w:div>
    <w:div w:id="1740013124">
      <w:bodyDiv w:val="1"/>
      <w:marLeft w:val="0"/>
      <w:marRight w:val="0"/>
      <w:marTop w:val="0"/>
      <w:marBottom w:val="0"/>
      <w:divBdr>
        <w:top w:val="none" w:sz="0" w:space="0" w:color="auto"/>
        <w:left w:val="none" w:sz="0" w:space="0" w:color="auto"/>
        <w:bottom w:val="none" w:sz="0" w:space="0" w:color="auto"/>
        <w:right w:val="none" w:sz="0" w:space="0" w:color="auto"/>
      </w:divBdr>
    </w:div>
    <w:div w:id="1740134776">
      <w:bodyDiv w:val="1"/>
      <w:marLeft w:val="0"/>
      <w:marRight w:val="0"/>
      <w:marTop w:val="0"/>
      <w:marBottom w:val="0"/>
      <w:divBdr>
        <w:top w:val="none" w:sz="0" w:space="0" w:color="auto"/>
        <w:left w:val="none" w:sz="0" w:space="0" w:color="auto"/>
        <w:bottom w:val="none" w:sz="0" w:space="0" w:color="auto"/>
        <w:right w:val="none" w:sz="0" w:space="0" w:color="auto"/>
      </w:divBdr>
    </w:div>
    <w:div w:id="1740445463">
      <w:bodyDiv w:val="1"/>
      <w:marLeft w:val="0"/>
      <w:marRight w:val="0"/>
      <w:marTop w:val="0"/>
      <w:marBottom w:val="0"/>
      <w:divBdr>
        <w:top w:val="none" w:sz="0" w:space="0" w:color="auto"/>
        <w:left w:val="none" w:sz="0" w:space="0" w:color="auto"/>
        <w:bottom w:val="none" w:sz="0" w:space="0" w:color="auto"/>
        <w:right w:val="none" w:sz="0" w:space="0" w:color="auto"/>
      </w:divBdr>
    </w:div>
    <w:div w:id="1741054416">
      <w:bodyDiv w:val="1"/>
      <w:marLeft w:val="0"/>
      <w:marRight w:val="0"/>
      <w:marTop w:val="0"/>
      <w:marBottom w:val="0"/>
      <w:divBdr>
        <w:top w:val="none" w:sz="0" w:space="0" w:color="auto"/>
        <w:left w:val="none" w:sz="0" w:space="0" w:color="auto"/>
        <w:bottom w:val="none" w:sz="0" w:space="0" w:color="auto"/>
        <w:right w:val="none" w:sz="0" w:space="0" w:color="auto"/>
      </w:divBdr>
    </w:div>
    <w:div w:id="1741906885">
      <w:bodyDiv w:val="1"/>
      <w:marLeft w:val="0"/>
      <w:marRight w:val="0"/>
      <w:marTop w:val="0"/>
      <w:marBottom w:val="0"/>
      <w:divBdr>
        <w:top w:val="none" w:sz="0" w:space="0" w:color="auto"/>
        <w:left w:val="none" w:sz="0" w:space="0" w:color="auto"/>
        <w:bottom w:val="none" w:sz="0" w:space="0" w:color="auto"/>
        <w:right w:val="none" w:sz="0" w:space="0" w:color="auto"/>
      </w:divBdr>
    </w:div>
    <w:div w:id="1742173113">
      <w:bodyDiv w:val="1"/>
      <w:marLeft w:val="0"/>
      <w:marRight w:val="0"/>
      <w:marTop w:val="0"/>
      <w:marBottom w:val="0"/>
      <w:divBdr>
        <w:top w:val="none" w:sz="0" w:space="0" w:color="auto"/>
        <w:left w:val="none" w:sz="0" w:space="0" w:color="auto"/>
        <w:bottom w:val="none" w:sz="0" w:space="0" w:color="auto"/>
        <w:right w:val="none" w:sz="0" w:space="0" w:color="auto"/>
      </w:divBdr>
    </w:div>
    <w:div w:id="1742362114">
      <w:bodyDiv w:val="1"/>
      <w:marLeft w:val="0"/>
      <w:marRight w:val="0"/>
      <w:marTop w:val="0"/>
      <w:marBottom w:val="0"/>
      <w:divBdr>
        <w:top w:val="none" w:sz="0" w:space="0" w:color="auto"/>
        <w:left w:val="none" w:sz="0" w:space="0" w:color="auto"/>
        <w:bottom w:val="none" w:sz="0" w:space="0" w:color="auto"/>
        <w:right w:val="none" w:sz="0" w:space="0" w:color="auto"/>
      </w:divBdr>
    </w:div>
    <w:div w:id="1742674586">
      <w:bodyDiv w:val="1"/>
      <w:marLeft w:val="0"/>
      <w:marRight w:val="0"/>
      <w:marTop w:val="0"/>
      <w:marBottom w:val="0"/>
      <w:divBdr>
        <w:top w:val="none" w:sz="0" w:space="0" w:color="auto"/>
        <w:left w:val="none" w:sz="0" w:space="0" w:color="auto"/>
        <w:bottom w:val="none" w:sz="0" w:space="0" w:color="auto"/>
        <w:right w:val="none" w:sz="0" w:space="0" w:color="auto"/>
      </w:divBdr>
    </w:div>
    <w:div w:id="1743212294">
      <w:bodyDiv w:val="1"/>
      <w:marLeft w:val="0"/>
      <w:marRight w:val="0"/>
      <w:marTop w:val="0"/>
      <w:marBottom w:val="0"/>
      <w:divBdr>
        <w:top w:val="none" w:sz="0" w:space="0" w:color="auto"/>
        <w:left w:val="none" w:sz="0" w:space="0" w:color="auto"/>
        <w:bottom w:val="none" w:sz="0" w:space="0" w:color="auto"/>
        <w:right w:val="none" w:sz="0" w:space="0" w:color="auto"/>
      </w:divBdr>
    </w:div>
    <w:div w:id="1744184149">
      <w:bodyDiv w:val="1"/>
      <w:marLeft w:val="0"/>
      <w:marRight w:val="0"/>
      <w:marTop w:val="0"/>
      <w:marBottom w:val="0"/>
      <w:divBdr>
        <w:top w:val="none" w:sz="0" w:space="0" w:color="auto"/>
        <w:left w:val="none" w:sz="0" w:space="0" w:color="auto"/>
        <w:bottom w:val="none" w:sz="0" w:space="0" w:color="auto"/>
        <w:right w:val="none" w:sz="0" w:space="0" w:color="auto"/>
      </w:divBdr>
    </w:div>
    <w:div w:id="1744255559">
      <w:bodyDiv w:val="1"/>
      <w:marLeft w:val="0"/>
      <w:marRight w:val="0"/>
      <w:marTop w:val="0"/>
      <w:marBottom w:val="0"/>
      <w:divBdr>
        <w:top w:val="none" w:sz="0" w:space="0" w:color="auto"/>
        <w:left w:val="none" w:sz="0" w:space="0" w:color="auto"/>
        <w:bottom w:val="none" w:sz="0" w:space="0" w:color="auto"/>
        <w:right w:val="none" w:sz="0" w:space="0" w:color="auto"/>
      </w:divBdr>
    </w:div>
    <w:div w:id="1744260674">
      <w:bodyDiv w:val="1"/>
      <w:marLeft w:val="0"/>
      <w:marRight w:val="0"/>
      <w:marTop w:val="0"/>
      <w:marBottom w:val="0"/>
      <w:divBdr>
        <w:top w:val="none" w:sz="0" w:space="0" w:color="auto"/>
        <w:left w:val="none" w:sz="0" w:space="0" w:color="auto"/>
        <w:bottom w:val="none" w:sz="0" w:space="0" w:color="auto"/>
        <w:right w:val="none" w:sz="0" w:space="0" w:color="auto"/>
      </w:divBdr>
    </w:div>
    <w:div w:id="1744332005">
      <w:bodyDiv w:val="1"/>
      <w:marLeft w:val="0"/>
      <w:marRight w:val="0"/>
      <w:marTop w:val="0"/>
      <w:marBottom w:val="0"/>
      <w:divBdr>
        <w:top w:val="none" w:sz="0" w:space="0" w:color="auto"/>
        <w:left w:val="none" w:sz="0" w:space="0" w:color="auto"/>
        <w:bottom w:val="none" w:sz="0" w:space="0" w:color="auto"/>
        <w:right w:val="none" w:sz="0" w:space="0" w:color="auto"/>
      </w:divBdr>
    </w:div>
    <w:div w:id="1744526394">
      <w:bodyDiv w:val="1"/>
      <w:marLeft w:val="0"/>
      <w:marRight w:val="0"/>
      <w:marTop w:val="0"/>
      <w:marBottom w:val="0"/>
      <w:divBdr>
        <w:top w:val="none" w:sz="0" w:space="0" w:color="auto"/>
        <w:left w:val="none" w:sz="0" w:space="0" w:color="auto"/>
        <w:bottom w:val="none" w:sz="0" w:space="0" w:color="auto"/>
        <w:right w:val="none" w:sz="0" w:space="0" w:color="auto"/>
      </w:divBdr>
    </w:div>
    <w:div w:id="1746142083">
      <w:bodyDiv w:val="1"/>
      <w:marLeft w:val="0"/>
      <w:marRight w:val="0"/>
      <w:marTop w:val="0"/>
      <w:marBottom w:val="0"/>
      <w:divBdr>
        <w:top w:val="none" w:sz="0" w:space="0" w:color="auto"/>
        <w:left w:val="none" w:sz="0" w:space="0" w:color="auto"/>
        <w:bottom w:val="none" w:sz="0" w:space="0" w:color="auto"/>
        <w:right w:val="none" w:sz="0" w:space="0" w:color="auto"/>
      </w:divBdr>
    </w:div>
    <w:div w:id="1746606311">
      <w:bodyDiv w:val="1"/>
      <w:marLeft w:val="0"/>
      <w:marRight w:val="0"/>
      <w:marTop w:val="0"/>
      <w:marBottom w:val="0"/>
      <w:divBdr>
        <w:top w:val="none" w:sz="0" w:space="0" w:color="auto"/>
        <w:left w:val="none" w:sz="0" w:space="0" w:color="auto"/>
        <w:bottom w:val="none" w:sz="0" w:space="0" w:color="auto"/>
        <w:right w:val="none" w:sz="0" w:space="0" w:color="auto"/>
      </w:divBdr>
    </w:div>
    <w:div w:id="1747725720">
      <w:bodyDiv w:val="1"/>
      <w:marLeft w:val="0"/>
      <w:marRight w:val="0"/>
      <w:marTop w:val="0"/>
      <w:marBottom w:val="0"/>
      <w:divBdr>
        <w:top w:val="none" w:sz="0" w:space="0" w:color="auto"/>
        <w:left w:val="none" w:sz="0" w:space="0" w:color="auto"/>
        <w:bottom w:val="none" w:sz="0" w:space="0" w:color="auto"/>
        <w:right w:val="none" w:sz="0" w:space="0" w:color="auto"/>
      </w:divBdr>
    </w:div>
    <w:div w:id="1748070775">
      <w:bodyDiv w:val="1"/>
      <w:marLeft w:val="0"/>
      <w:marRight w:val="0"/>
      <w:marTop w:val="0"/>
      <w:marBottom w:val="0"/>
      <w:divBdr>
        <w:top w:val="none" w:sz="0" w:space="0" w:color="auto"/>
        <w:left w:val="none" w:sz="0" w:space="0" w:color="auto"/>
        <w:bottom w:val="none" w:sz="0" w:space="0" w:color="auto"/>
        <w:right w:val="none" w:sz="0" w:space="0" w:color="auto"/>
      </w:divBdr>
    </w:div>
    <w:div w:id="1748190842">
      <w:bodyDiv w:val="1"/>
      <w:marLeft w:val="0"/>
      <w:marRight w:val="0"/>
      <w:marTop w:val="0"/>
      <w:marBottom w:val="0"/>
      <w:divBdr>
        <w:top w:val="none" w:sz="0" w:space="0" w:color="auto"/>
        <w:left w:val="none" w:sz="0" w:space="0" w:color="auto"/>
        <w:bottom w:val="none" w:sz="0" w:space="0" w:color="auto"/>
        <w:right w:val="none" w:sz="0" w:space="0" w:color="auto"/>
      </w:divBdr>
    </w:div>
    <w:div w:id="1748304178">
      <w:bodyDiv w:val="1"/>
      <w:marLeft w:val="0"/>
      <w:marRight w:val="0"/>
      <w:marTop w:val="0"/>
      <w:marBottom w:val="0"/>
      <w:divBdr>
        <w:top w:val="none" w:sz="0" w:space="0" w:color="auto"/>
        <w:left w:val="none" w:sz="0" w:space="0" w:color="auto"/>
        <w:bottom w:val="none" w:sz="0" w:space="0" w:color="auto"/>
        <w:right w:val="none" w:sz="0" w:space="0" w:color="auto"/>
      </w:divBdr>
    </w:div>
    <w:div w:id="1750034913">
      <w:bodyDiv w:val="1"/>
      <w:marLeft w:val="0"/>
      <w:marRight w:val="0"/>
      <w:marTop w:val="0"/>
      <w:marBottom w:val="0"/>
      <w:divBdr>
        <w:top w:val="none" w:sz="0" w:space="0" w:color="auto"/>
        <w:left w:val="none" w:sz="0" w:space="0" w:color="auto"/>
        <w:bottom w:val="none" w:sz="0" w:space="0" w:color="auto"/>
        <w:right w:val="none" w:sz="0" w:space="0" w:color="auto"/>
      </w:divBdr>
    </w:div>
    <w:div w:id="1750150164">
      <w:bodyDiv w:val="1"/>
      <w:marLeft w:val="0"/>
      <w:marRight w:val="0"/>
      <w:marTop w:val="0"/>
      <w:marBottom w:val="0"/>
      <w:divBdr>
        <w:top w:val="none" w:sz="0" w:space="0" w:color="auto"/>
        <w:left w:val="none" w:sz="0" w:space="0" w:color="auto"/>
        <w:bottom w:val="none" w:sz="0" w:space="0" w:color="auto"/>
        <w:right w:val="none" w:sz="0" w:space="0" w:color="auto"/>
      </w:divBdr>
    </w:div>
    <w:div w:id="1750233005">
      <w:bodyDiv w:val="1"/>
      <w:marLeft w:val="0"/>
      <w:marRight w:val="0"/>
      <w:marTop w:val="0"/>
      <w:marBottom w:val="0"/>
      <w:divBdr>
        <w:top w:val="none" w:sz="0" w:space="0" w:color="auto"/>
        <w:left w:val="none" w:sz="0" w:space="0" w:color="auto"/>
        <w:bottom w:val="none" w:sz="0" w:space="0" w:color="auto"/>
        <w:right w:val="none" w:sz="0" w:space="0" w:color="auto"/>
      </w:divBdr>
    </w:div>
    <w:div w:id="1750423349">
      <w:bodyDiv w:val="1"/>
      <w:marLeft w:val="0"/>
      <w:marRight w:val="0"/>
      <w:marTop w:val="0"/>
      <w:marBottom w:val="0"/>
      <w:divBdr>
        <w:top w:val="none" w:sz="0" w:space="0" w:color="auto"/>
        <w:left w:val="none" w:sz="0" w:space="0" w:color="auto"/>
        <w:bottom w:val="none" w:sz="0" w:space="0" w:color="auto"/>
        <w:right w:val="none" w:sz="0" w:space="0" w:color="auto"/>
      </w:divBdr>
    </w:div>
    <w:div w:id="1751080871">
      <w:bodyDiv w:val="1"/>
      <w:marLeft w:val="0"/>
      <w:marRight w:val="0"/>
      <w:marTop w:val="0"/>
      <w:marBottom w:val="0"/>
      <w:divBdr>
        <w:top w:val="none" w:sz="0" w:space="0" w:color="auto"/>
        <w:left w:val="none" w:sz="0" w:space="0" w:color="auto"/>
        <w:bottom w:val="none" w:sz="0" w:space="0" w:color="auto"/>
        <w:right w:val="none" w:sz="0" w:space="0" w:color="auto"/>
      </w:divBdr>
    </w:div>
    <w:div w:id="1751583000">
      <w:bodyDiv w:val="1"/>
      <w:marLeft w:val="0"/>
      <w:marRight w:val="0"/>
      <w:marTop w:val="0"/>
      <w:marBottom w:val="0"/>
      <w:divBdr>
        <w:top w:val="none" w:sz="0" w:space="0" w:color="auto"/>
        <w:left w:val="none" w:sz="0" w:space="0" w:color="auto"/>
        <w:bottom w:val="none" w:sz="0" w:space="0" w:color="auto"/>
        <w:right w:val="none" w:sz="0" w:space="0" w:color="auto"/>
      </w:divBdr>
    </w:div>
    <w:div w:id="1751612707">
      <w:bodyDiv w:val="1"/>
      <w:marLeft w:val="0"/>
      <w:marRight w:val="0"/>
      <w:marTop w:val="0"/>
      <w:marBottom w:val="0"/>
      <w:divBdr>
        <w:top w:val="none" w:sz="0" w:space="0" w:color="auto"/>
        <w:left w:val="none" w:sz="0" w:space="0" w:color="auto"/>
        <w:bottom w:val="none" w:sz="0" w:space="0" w:color="auto"/>
        <w:right w:val="none" w:sz="0" w:space="0" w:color="auto"/>
      </w:divBdr>
    </w:div>
    <w:div w:id="1752005083">
      <w:bodyDiv w:val="1"/>
      <w:marLeft w:val="0"/>
      <w:marRight w:val="0"/>
      <w:marTop w:val="0"/>
      <w:marBottom w:val="0"/>
      <w:divBdr>
        <w:top w:val="none" w:sz="0" w:space="0" w:color="auto"/>
        <w:left w:val="none" w:sz="0" w:space="0" w:color="auto"/>
        <w:bottom w:val="none" w:sz="0" w:space="0" w:color="auto"/>
        <w:right w:val="none" w:sz="0" w:space="0" w:color="auto"/>
      </w:divBdr>
    </w:div>
    <w:div w:id="1752308860">
      <w:bodyDiv w:val="1"/>
      <w:marLeft w:val="0"/>
      <w:marRight w:val="0"/>
      <w:marTop w:val="0"/>
      <w:marBottom w:val="0"/>
      <w:divBdr>
        <w:top w:val="none" w:sz="0" w:space="0" w:color="auto"/>
        <w:left w:val="none" w:sz="0" w:space="0" w:color="auto"/>
        <w:bottom w:val="none" w:sz="0" w:space="0" w:color="auto"/>
        <w:right w:val="none" w:sz="0" w:space="0" w:color="auto"/>
      </w:divBdr>
    </w:div>
    <w:div w:id="1752660862">
      <w:bodyDiv w:val="1"/>
      <w:marLeft w:val="0"/>
      <w:marRight w:val="0"/>
      <w:marTop w:val="0"/>
      <w:marBottom w:val="0"/>
      <w:divBdr>
        <w:top w:val="none" w:sz="0" w:space="0" w:color="auto"/>
        <w:left w:val="none" w:sz="0" w:space="0" w:color="auto"/>
        <w:bottom w:val="none" w:sz="0" w:space="0" w:color="auto"/>
        <w:right w:val="none" w:sz="0" w:space="0" w:color="auto"/>
      </w:divBdr>
    </w:div>
    <w:div w:id="1753771368">
      <w:bodyDiv w:val="1"/>
      <w:marLeft w:val="0"/>
      <w:marRight w:val="0"/>
      <w:marTop w:val="0"/>
      <w:marBottom w:val="0"/>
      <w:divBdr>
        <w:top w:val="none" w:sz="0" w:space="0" w:color="auto"/>
        <w:left w:val="none" w:sz="0" w:space="0" w:color="auto"/>
        <w:bottom w:val="none" w:sz="0" w:space="0" w:color="auto"/>
        <w:right w:val="none" w:sz="0" w:space="0" w:color="auto"/>
      </w:divBdr>
    </w:div>
    <w:div w:id="1754428916">
      <w:bodyDiv w:val="1"/>
      <w:marLeft w:val="0"/>
      <w:marRight w:val="0"/>
      <w:marTop w:val="0"/>
      <w:marBottom w:val="0"/>
      <w:divBdr>
        <w:top w:val="none" w:sz="0" w:space="0" w:color="auto"/>
        <w:left w:val="none" w:sz="0" w:space="0" w:color="auto"/>
        <w:bottom w:val="none" w:sz="0" w:space="0" w:color="auto"/>
        <w:right w:val="none" w:sz="0" w:space="0" w:color="auto"/>
      </w:divBdr>
    </w:div>
    <w:div w:id="1755852778">
      <w:bodyDiv w:val="1"/>
      <w:marLeft w:val="0"/>
      <w:marRight w:val="0"/>
      <w:marTop w:val="0"/>
      <w:marBottom w:val="0"/>
      <w:divBdr>
        <w:top w:val="none" w:sz="0" w:space="0" w:color="auto"/>
        <w:left w:val="none" w:sz="0" w:space="0" w:color="auto"/>
        <w:bottom w:val="none" w:sz="0" w:space="0" w:color="auto"/>
        <w:right w:val="none" w:sz="0" w:space="0" w:color="auto"/>
      </w:divBdr>
    </w:div>
    <w:div w:id="1756441282">
      <w:bodyDiv w:val="1"/>
      <w:marLeft w:val="0"/>
      <w:marRight w:val="0"/>
      <w:marTop w:val="0"/>
      <w:marBottom w:val="0"/>
      <w:divBdr>
        <w:top w:val="none" w:sz="0" w:space="0" w:color="auto"/>
        <w:left w:val="none" w:sz="0" w:space="0" w:color="auto"/>
        <w:bottom w:val="none" w:sz="0" w:space="0" w:color="auto"/>
        <w:right w:val="none" w:sz="0" w:space="0" w:color="auto"/>
      </w:divBdr>
    </w:div>
    <w:div w:id="1757170751">
      <w:bodyDiv w:val="1"/>
      <w:marLeft w:val="0"/>
      <w:marRight w:val="0"/>
      <w:marTop w:val="0"/>
      <w:marBottom w:val="0"/>
      <w:divBdr>
        <w:top w:val="none" w:sz="0" w:space="0" w:color="auto"/>
        <w:left w:val="none" w:sz="0" w:space="0" w:color="auto"/>
        <w:bottom w:val="none" w:sz="0" w:space="0" w:color="auto"/>
        <w:right w:val="none" w:sz="0" w:space="0" w:color="auto"/>
      </w:divBdr>
    </w:div>
    <w:div w:id="1757898886">
      <w:bodyDiv w:val="1"/>
      <w:marLeft w:val="0"/>
      <w:marRight w:val="0"/>
      <w:marTop w:val="0"/>
      <w:marBottom w:val="0"/>
      <w:divBdr>
        <w:top w:val="none" w:sz="0" w:space="0" w:color="auto"/>
        <w:left w:val="none" w:sz="0" w:space="0" w:color="auto"/>
        <w:bottom w:val="none" w:sz="0" w:space="0" w:color="auto"/>
        <w:right w:val="none" w:sz="0" w:space="0" w:color="auto"/>
      </w:divBdr>
    </w:div>
    <w:div w:id="1758206537">
      <w:bodyDiv w:val="1"/>
      <w:marLeft w:val="0"/>
      <w:marRight w:val="0"/>
      <w:marTop w:val="0"/>
      <w:marBottom w:val="0"/>
      <w:divBdr>
        <w:top w:val="none" w:sz="0" w:space="0" w:color="auto"/>
        <w:left w:val="none" w:sz="0" w:space="0" w:color="auto"/>
        <w:bottom w:val="none" w:sz="0" w:space="0" w:color="auto"/>
        <w:right w:val="none" w:sz="0" w:space="0" w:color="auto"/>
      </w:divBdr>
    </w:div>
    <w:div w:id="1758550299">
      <w:bodyDiv w:val="1"/>
      <w:marLeft w:val="0"/>
      <w:marRight w:val="0"/>
      <w:marTop w:val="0"/>
      <w:marBottom w:val="0"/>
      <w:divBdr>
        <w:top w:val="none" w:sz="0" w:space="0" w:color="auto"/>
        <w:left w:val="none" w:sz="0" w:space="0" w:color="auto"/>
        <w:bottom w:val="none" w:sz="0" w:space="0" w:color="auto"/>
        <w:right w:val="none" w:sz="0" w:space="0" w:color="auto"/>
      </w:divBdr>
    </w:div>
    <w:div w:id="1758864823">
      <w:bodyDiv w:val="1"/>
      <w:marLeft w:val="0"/>
      <w:marRight w:val="0"/>
      <w:marTop w:val="0"/>
      <w:marBottom w:val="0"/>
      <w:divBdr>
        <w:top w:val="none" w:sz="0" w:space="0" w:color="auto"/>
        <w:left w:val="none" w:sz="0" w:space="0" w:color="auto"/>
        <w:bottom w:val="none" w:sz="0" w:space="0" w:color="auto"/>
        <w:right w:val="none" w:sz="0" w:space="0" w:color="auto"/>
      </w:divBdr>
    </w:div>
    <w:div w:id="1759867107">
      <w:bodyDiv w:val="1"/>
      <w:marLeft w:val="0"/>
      <w:marRight w:val="0"/>
      <w:marTop w:val="0"/>
      <w:marBottom w:val="0"/>
      <w:divBdr>
        <w:top w:val="none" w:sz="0" w:space="0" w:color="auto"/>
        <w:left w:val="none" w:sz="0" w:space="0" w:color="auto"/>
        <w:bottom w:val="none" w:sz="0" w:space="0" w:color="auto"/>
        <w:right w:val="none" w:sz="0" w:space="0" w:color="auto"/>
      </w:divBdr>
    </w:div>
    <w:div w:id="1760179206">
      <w:bodyDiv w:val="1"/>
      <w:marLeft w:val="0"/>
      <w:marRight w:val="0"/>
      <w:marTop w:val="0"/>
      <w:marBottom w:val="0"/>
      <w:divBdr>
        <w:top w:val="none" w:sz="0" w:space="0" w:color="auto"/>
        <w:left w:val="none" w:sz="0" w:space="0" w:color="auto"/>
        <w:bottom w:val="none" w:sz="0" w:space="0" w:color="auto"/>
        <w:right w:val="none" w:sz="0" w:space="0" w:color="auto"/>
      </w:divBdr>
    </w:div>
    <w:div w:id="1760784737">
      <w:bodyDiv w:val="1"/>
      <w:marLeft w:val="0"/>
      <w:marRight w:val="0"/>
      <w:marTop w:val="0"/>
      <w:marBottom w:val="0"/>
      <w:divBdr>
        <w:top w:val="none" w:sz="0" w:space="0" w:color="auto"/>
        <w:left w:val="none" w:sz="0" w:space="0" w:color="auto"/>
        <w:bottom w:val="none" w:sz="0" w:space="0" w:color="auto"/>
        <w:right w:val="none" w:sz="0" w:space="0" w:color="auto"/>
      </w:divBdr>
    </w:div>
    <w:div w:id="1761022582">
      <w:bodyDiv w:val="1"/>
      <w:marLeft w:val="0"/>
      <w:marRight w:val="0"/>
      <w:marTop w:val="0"/>
      <w:marBottom w:val="0"/>
      <w:divBdr>
        <w:top w:val="none" w:sz="0" w:space="0" w:color="auto"/>
        <w:left w:val="none" w:sz="0" w:space="0" w:color="auto"/>
        <w:bottom w:val="none" w:sz="0" w:space="0" w:color="auto"/>
        <w:right w:val="none" w:sz="0" w:space="0" w:color="auto"/>
      </w:divBdr>
    </w:div>
    <w:div w:id="1762024510">
      <w:bodyDiv w:val="1"/>
      <w:marLeft w:val="0"/>
      <w:marRight w:val="0"/>
      <w:marTop w:val="0"/>
      <w:marBottom w:val="0"/>
      <w:divBdr>
        <w:top w:val="none" w:sz="0" w:space="0" w:color="auto"/>
        <w:left w:val="none" w:sz="0" w:space="0" w:color="auto"/>
        <w:bottom w:val="none" w:sz="0" w:space="0" w:color="auto"/>
        <w:right w:val="none" w:sz="0" w:space="0" w:color="auto"/>
      </w:divBdr>
    </w:div>
    <w:div w:id="1762212831">
      <w:bodyDiv w:val="1"/>
      <w:marLeft w:val="0"/>
      <w:marRight w:val="0"/>
      <w:marTop w:val="0"/>
      <w:marBottom w:val="0"/>
      <w:divBdr>
        <w:top w:val="none" w:sz="0" w:space="0" w:color="auto"/>
        <w:left w:val="none" w:sz="0" w:space="0" w:color="auto"/>
        <w:bottom w:val="none" w:sz="0" w:space="0" w:color="auto"/>
        <w:right w:val="none" w:sz="0" w:space="0" w:color="auto"/>
      </w:divBdr>
    </w:div>
    <w:div w:id="1762792442">
      <w:bodyDiv w:val="1"/>
      <w:marLeft w:val="0"/>
      <w:marRight w:val="0"/>
      <w:marTop w:val="0"/>
      <w:marBottom w:val="0"/>
      <w:divBdr>
        <w:top w:val="none" w:sz="0" w:space="0" w:color="auto"/>
        <w:left w:val="none" w:sz="0" w:space="0" w:color="auto"/>
        <w:bottom w:val="none" w:sz="0" w:space="0" w:color="auto"/>
        <w:right w:val="none" w:sz="0" w:space="0" w:color="auto"/>
      </w:divBdr>
    </w:div>
    <w:div w:id="1763837602">
      <w:bodyDiv w:val="1"/>
      <w:marLeft w:val="0"/>
      <w:marRight w:val="0"/>
      <w:marTop w:val="0"/>
      <w:marBottom w:val="0"/>
      <w:divBdr>
        <w:top w:val="none" w:sz="0" w:space="0" w:color="auto"/>
        <w:left w:val="none" w:sz="0" w:space="0" w:color="auto"/>
        <w:bottom w:val="none" w:sz="0" w:space="0" w:color="auto"/>
        <w:right w:val="none" w:sz="0" w:space="0" w:color="auto"/>
      </w:divBdr>
    </w:div>
    <w:div w:id="1764064522">
      <w:bodyDiv w:val="1"/>
      <w:marLeft w:val="0"/>
      <w:marRight w:val="0"/>
      <w:marTop w:val="0"/>
      <w:marBottom w:val="0"/>
      <w:divBdr>
        <w:top w:val="none" w:sz="0" w:space="0" w:color="auto"/>
        <w:left w:val="none" w:sz="0" w:space="0" w:color="auto"/>
        <w:bottom w:val="none" w:sz="0" w:space="0" w:color="auto"/>
        <w:right w:val="none" w:sz="0" w:space="0" w:color="auto"/>
      </w:divBdr>
    </w:div>
    <w:div w:id="1764259610">
      <w:bodyDiv w:val="1"/>
      <w:marLeft w:val="0"/>
      <w:marRight w:val="0"/>
      <w:marTop w:val="0"/>
      <w:marBottom w:val="0"/>
      <w:divBdr>
        <w:top w:val="none" w:sz="0" w:space="0" w:color="auto"/>
        <w:left w:val="none" w:sz="0" w:space="0" w:color="auto"/>
        <w:bottom w:val="none" w:sz="0" w:space="0" w:color="auto"/>
        <w:right w:val="none" w:sz="0" w:space="0" w:color="auto"/>
      </w:divBdr>
    </w:div>
    <w:div w:id="1764302708">
      <w:bodyDiv w:val="1"/>
      <w:marLeft w:val="0"/>
      <w:marRight w:val="0"/>
      <w:marTop w:val="0"/>
      <w:marBottom w:val="0"/>
      <w:divBdr>
        <w:top w:val="none" w:sz="0" w:space="0" w:color="auto"/>
        <w:left w:val="none" w:sz="0" w:space="0" w:color="auto"/>
        <w:bottom w:val="none" w:sz="0" w:space="0" w:color="auto"/>
        <w:right w:val="none" w:sz="0" w:space="0" w:color="auto"/>
      </w:divBdr>
    </w:div>
    <w:div w:id="1764766602">
      <w:bodyDiv w:val="1"/>
      <w:marLeft w:val="0"/>
      <w:marRight w:val="0"/>
      <w:marTop w:val="0"/>
      <w:marBottom w:val="0"/>
      <w:divBdr>
        <w:top w:val="none" w:sz="0" w:space="0" w:color="auto"/>
        <w:left w:val="none" w:sz="0" w:space="0" w:color="auto"/>
        <w:bottom w:val="none" w:sz="0" w:space="0" w:color="auto"/>
        <w:right w:val="none" w:sz="0" w:space="0" w:color="auto"/>
      </w:divBdr>
    </w:div>
    <w:div w:id="1764885126">
      <w:bodyDiv w:val="1"/>
      <w:marLeft w:val="0"/>
      <w:marRight w:val="0"/>
      <w:marTop w:val="0"/>
      <w:marBottom w:val="0"/>
      <w:divBdr>
        <w:top w:val="none" w:sz="0" w:space="0" w:color="auto"/>
        <w:left w:val="none" w:sz="0" w:space="0" w:color="auto"/>
        <w:bottom w:val="none" w:sz="0" w:space="0" w:color="auto"/>
        <w:right w:val="none" w:sz="0" w:space="0" w:color="auto"/>
      </w:divBdr>
    </w:div>
    <w:div w:id="1764952014">
      <w:bodyDiv w:val="1"/>
      <w:marLeft w:val="0"/>
      <w:marRight w:val="0"/>
      <w:marTop w:val="0"/>
      <w:marBottom w:val="0"/>
      <w:divBdr>
        <w:top w:val="none" w:sz="0" w:space="0" w:color="auto"/>
        <w:left w:val="none" w:sz="0" w:space="0" w:color="auto"/>
        <w:bottom w:val="none" w:sz="0" w:space="0" w:color="auto"/>
        <w:right w:val="none" w:sz="0" w:space="0" w:color="auto"/>
      </w:divBdr>
    </w:div>
    <w:div w:id="1765371674">
      <w:bodyDiv w:val="1"/>
      <w:marLeft w:val="0"/>
      <w:marRight w:val="0"/>
      <w:marTop w:val="0"/>
      <w:marBottom w:val="0"/>
      <w:divBdr>
        <w:top w:val="none" w:sz="0" w:space="0" w:color="auto"/>
        <w:left w:val="none" w:sz="0" w:space="0" w:color="auto"/>
        <w:bottom w:val="none" w:sz="0" w:space="0" w:color="auto"/>
        <w:right w:val="none" w:sz="0" w:space="0" w:color="auto"/>
      </w:divBdr>
    </w:div>
    <w:div w:id="1765804313">
      <w:bodyDiv w:val="1"/>
      <w:marLeft w:val="0"/>
      <w:marRight w:val="0"/>
      <w:marTop w:val="0"/>
      <w:marBottom w:val="0"/>
      <w:divBdr>
        <w:top w:val="none" w:sz="0" w:space="0" w:color="auto"/>
        <w:left w:val="none" w:sz="0" w:space="0" w:color="auto"/>
        <w:bottom w:val="none" w:sz="0" w:space="0" w:color="auto"/>
        <w:right w:val="none" w:sz="0" w:space="0" w:color="auto"/>
      </w:divBdr>
    </w:div>
    <w:div w:id="1765806452">
      <w:bodyDiv w:val="1"/>
      <w:marLeft w:val="0"/>
      <w:marRight w:val="0"/>
      <w:marTop w:val="0"/>
      <w:marBottom w:val="0"/>
      <w:divBdr>
        <w:top w:val="none" w:sz="0" w:space="0" w:color="auto"/>
        <w:left w:val="none" w:sz="0" w:space="0" w:color="auto"/>
        <w:bottom w:val="none" w:sz="0" w:space="0" w:color="auto"/>
        <w:right w:val="none" w:sz="0" w:space="0" w:color="auto"/>
      </w:divBdr>
    </w:div>
    <w:div w:id="1766152056">
      <w:bodyDiv w:val="1"/>
      <w:marLeft w:val="0"/>
      <w:marRight w:val="0"/>
      <w:marTop w:val="0"/>
      <w:marBottom w:val="0"/>
      <w:divBdr>
        <w:top w:val="none" w:sz="0" w:space="0" w:color="auto"/>
        <w:left w:val="none" w:sz="0" w:space="0" w:color="auto"/>
        <w:bottom w:val="none" w:sz="0" w:space="0" w:color="auto"/>
        <w:right w:val="none" w:sz="0" w:space="0" w:color="auto"/>
      </w:divBdr>
    </w:div>
    <w:div w:id="1766222831">
      <w:bodyDiv w:val="1"/>
      <w:marLeft w:val="0"/>
      <w:marRight w:val="0"/>
      <w:marTop w:val="0"/>
      <w:marBottom w:val="0"/>
      <w:divBdr>
        <w:top w:val="none" w:sz="0" w:space="0" w:color="auto"/>
        <w:left w:val="none" w:sz="0" w:space="0" w:color="auto"/>
        <w:bottom w:val="none" w:sz="0" w:space="0" w:color="auto"/>
        <w:right w:val="none" w:sz="0" w:space="0" w:color="auto"/>
      </w:divBdr>
    </w:div>
    <w:div w:id="1766265524">
      <w:bodyDiv w:val="1"/>
      <w:marLeft w:val="0"/>
      <w:marRight w:val="0"/>
      <w:marTop w:val="0"/>
      <w:marBottom w:val="0"/>
      <w:divBdr>
        <w:top w:val="none" w:sz="0" w:space="0" w:color="auto"/>
        <w:left w:val="none" w:sz="0" w:space="0" w:color="auto"/>
        <w:bottom w:val="none" w:sz="0" w:space="0" w:color="auto"/>
        <w:right w:val="none" w:sz="0" w:space="0" w:color="auto"/>
      </w:divBdr>
    </w:div>
    <w:div w:id="1766686296">
      <w:bodyDiv w:val="1"/>
      <w:marLeft w:val="0"/>
      <w:marRight w:val="0"/>
      <w:marTop w:val="0"/>
      <w:marBottom w:val="0"/>
      <w:divBdr>
        <w:top w:val="none" w:sz="0" w:space="0" w:color="auto"/>
        <w:left w:val="none" w:sz="0" w:space="0" w:color="auto"/>
        <w:bottom w:val="none" w:sz="0" w:space="0" w:color="auto"/>
        <w:right w:val="none" w:sz="0" w:space="0" w:color="auto"/>
      </w:divBdr>
    </w:div>
    <w:div w:id="1766726730">
      <w:bodyDiv w:val="1"/>
      <w:marLeft w:val="0"/>
      <w:marRight w:val="0"/>
      <w:marTop w:val="0"/>
      <w:marBottom w:val="0"/>
      <w:divBdr>
        <w:top w:val="none" w:sz="0" w:space="0" w:color="auto"/>
        <w:left w:val="none" w:sz="0" w:space="0" w:color="auto"/>
        <w:bottom w:val="none" w:sz="0" w:space="0" w:color="auto"/>
        <w:right w:val="none" w:sz="0" w:space="0" w:color="auto"/>
      </w:divBdr>
    </w:div>
    <w:div w:id="1766729108">
      <w:bodyDiv w:val="1"/>
      <w:marLeft w:val="0"/>
      <w:marRight w:val="0"/>
      <w:marTop w:val="0"/>
      <w:marBottom w:val="0"/>
      <w:divBdr>
        <w:top w:val="none" w:sz="0" w:space="0" w:color="auto"/>
        <w:left w:val="none" w:sz="0" w:space="0" w:color="auto"/>
        <w:bottom w:val="none" w:sz="0" w:space="0" w:color="auto"/>
        <w:right w:val="none" w:sz="0" w:space="0" w:color="auto"/>
      </w:divBdr>
    </w:div>
    <w:div w:id="1768580413">
      <w:bodyDiv w:val="1"/>
      <w:marLeft w:val="0"/>
      <w:marRight w:val="0"/>
      <w:marTop w:val="0"/>
      <w:marBottom w:val="0"/>
      <w:divBdr>
        <w:top w:val="none" w:sz="0" w:space="0" w:color="auto"/>
        <w:left w:val="none" w:sz="0" w:space="0" w:color="auto"/>
        <w:bottom w:val="none" w:sz="0" w:space="0" w:color="auto"/>
        <w:right w:val="none" w:sz="0" w:space="0" w:color="auto"/>
      </w:divBdr>
    </w:div>
    <w:div w:id="1768891244">
      <w:bodyDiv w:val="1"/>
      <w:marLeft w:val="0"/>
      <w:marRight w:val="0"/>
      <w:marTop w:val="0"/>
      <w:marBottom w:val="0"/>
      <w:divBdr>
        <w:top w:val="none" w:sz="0" w:space="0" w:color="auto"/>
        <w:left w:val="none" w:sz="0" w:space="0" w:color="auto"/>
        <w:bottom w:val="none" w:sz="0" w:space="0" w:color="auto"/>
        <w:right w:val="none" w:sz="0" w:space="0" w:color="auto"/>
      </w:divBdr>
    </w:div>
    <w:div w:id="1769154328">
      <w:bodyDiv w:val="1"/>
      <w:marLeft w:val="0"/>
      <w:marRight w:val="0"/>
      <w:marTop w:val="0"/>
      <w:marBottom w:val="0"/>
      <w:divBdr>
        <w:top w:val="none" w:sz="0" w:space="0" w:color="auto"/>
        <w:left w:val="none" w:sz="0" w:space="0" w:color="auto"/>
        <w:bottom w:val="none" w:sz="0" w:space="0" w:color="auto"/>
        <w:right w:val="none" w:sz="0" w:space="0" w:color="auto"/>
      </w:divBdr>
    </w:div>
    <w:div w:id="1769302722">
      <w:bodyDiv w:val="1"/>
      <w:marLeft w:val="0"/>
      <w:marRight w:val="0"/>
      <w:marTop w:val="0"/>
      <w:marBottom w:val="0"/>
      <w:divBdr>
        <w:top w:val="none" w:sz="0" w:space="0" w:color="auto"/>
        <w:left w:val="none" w:sz="0" w:space="0" w:color="auto"/>
        <w:bottom w:val="none" w:sz="0" w:space="0" w:color="auto"/>
        <w:right w:val="none" w:sz="0" w:space="0" w:color="auto"/>
      </w:divBdr>
    </w:div>
    <w:div w:id="1769500141">
      <w:bodyDiv w:val="1"/>
      <w:marLeft w:val="0"/>
      <w:marRight w:val="0"/>
      <w:marTop w:val="0"/>
      <w:marBottom w:val="0"/>
      <w:divBdr>
        <w:top w:val="none" w:sz="0" w:space="0" w:color="auto"/>
        <w:left w:val="none" w:sz="0" w:space="0" w:color="auto"/>
        <w:bottom w:val="none" w:sz="0" w:space="0" w:color="auto"/>
        <w:right w:val="none" w:sz="0" w:space="0" w:color="auto"/>
      </w:divBdr>
    </w:div>
    <w:div w:id="1771005826">
      <w:bodyDiv w:val="1"/>
      <w:marLeft w:val="0"/>
      <w:marRight w:val="0"/>
      <w:marTop w:val="0"/>
      <w:marBottom w:val="0"/>
      <w:divBdr>
        <w:top w:val="none" w:sz="0" w:space="0" w:color="auto"/>
        <w:left w:val="none" w:sz="0" w:space="0" w:color="auto"/>
        <w:bottom w:val="none" w:sz="0" w:space="0" w:color="auto"/>
        <w:right w:val="none" w:sz="0" w:space="0" w:color="auto"/>
      </w:divBdr>
    </w:div>
    <w:div w:id="1771074732">
      <w:bodyDiv w:val="1"/>
      <w:marLeft w:val="0"/>
      <w:marRight w:val="0"/>
      <w:marTop w:val="0"/>
      <w:marBottom w:val="0"/>
      <w:divBdr>
        <w:top w:val="none" w:sz="0" w:space="0" w:color="auto"/>
        <w:left w:val="none" w:sz="0" w:space="0" w:color="auto"/>
        <w:bottom w:val="none" w:sz="0" w:space="0" w:color="auto"/>
        <w:right w:val="none" w:sz="0" w:space="0" w:color="auto"/>
      </w:divBdr>
    </w:div>
    <w:div w:id="1771311997">
      <w:bodyDiv w:val="1"/>
      <w:marLeft w:val="0"/>
      <w:marRight w:val="0"/>
      <w:marTop w:val="0"/>
      <w:marBottom w:val="0"/>
      <w:divBdr>
        <w:top w:val="none" w:sz="0" w:space="0" w:color="auto"/>
        <w:left w:val="none" w:sz="0" w:space="0" w:color="auto"/>
        <w:bottom w:val="none" w:sz="0" w:space="0" w:color="auto"/>
        <w:right w:val="none" w:sz="0" w:space="0" w:color="auto"/>
      </w:divBdr>
    </w:div>
    <w:div w:id="1771779425">
      <w:bodyDiv w:val="1"/>
      <w:marLeft w:val="0"/>
      <w:marRight w:val="0"/>
      <w:marTop w:val="0"/>
      <w:marBottom w:val="0"/>
      <w:divBdr>
        <w:top w:val="none" w:sz="0" w:space="0" w:color="auto"/>
        <w:left w:val="none" w:sz="0" w:space="0" w:color="auto"/>
        <w:bottom w:val="none" w:sz="0" w:space="0" w:color="auto"/>
        <w:right w:val="none" w:sz="0" w:space="0" w:color="auto"/>
      </w:divBdr>
    </w:div>
    <w:div w:id="1772048213">
      <w:bodyDiv w:val="1"/>
      <w:marLeft w:val="0"/>
      <w:marRight w:val="0"/>
      <w:marTop w:val="0"/>
      <w:marBottom w:val="0"/>
      <w:divBdr>
        <w:top w:val="none" w:sz="0" w:space="0" w:color="auto"/>
        <w:left w:val="none" w:sz="0" w:space="0" w:color="auto"/>
        <w:bottom w:val="none" w:sz="0" w:space="0" w:color="auto"/>
        <w:right w:val="none" w:sz="0" w:space="0" w:color="auto"/>
      </w:divBdr>
    </w:div>
    <w:div w:id="1772967361">
      <w:bodyDiv w:val="1"/>
      <w:marLeft w:val="0"/>
      <w:marRight w:val="0"/>
      <w:marTop w:val="0"/>
      <w:marBottom w:val="0"/>
      <w:divBdr>
        <w:top w:val="none" w:sz="0" w:space="0" w:color="auto"/>
        <w:left w:val="none" w:sz="0" w:space="0" w:color="auto"/>
        <w:bottom w:val="none" w:sz="0" w:space="0" w:color="auto"/>
        <w:right w:val="none" w:sz="0" w:space="0" w:color="auto"/>
      </w:divBdr>
    </w:div>
    <w:div w:id="1773011475">
      <w:bodyDiv w:val="1"/>
      <w:marLeft w:val="0"/>
      <w:marRight w:val="0"/>
      <w:marTop w:val="0"/>
      <w:marBottom w:val="0"/>
      <w:divBdr>
        <w:top w:val="none" w:sz="0" w:space="0" w:color="auto"/>
        <w:left w:val="none" w:sz="0" w:space="0" w:color="auto"/>
        <w:bottom w:val="none" w:sz="0" w:space="0" w:color="auto"/>
        <w:right w:val="none" w:sz="0" w:space="0" w:color="auto"/>
      </w:divBdr>
    </w:div>
    <w:div w:id="1773015190">
      <w:bodyDiv w:val="1"/>
      <w:marLeft w:val="0"/>
      <w:marRight w:val="0"/>
      <w:marTop w:val="0"/>
      <w:marBottom w:val="0"/>
      <w:divBdr>
        <w:top w:val="none" w:sz="0" w:space="0" w:color="auto"/>
        <w:left w:val="none" w:sz="0" w:space="0" w:color="auto"/>
        <w:bottom w:val="none" w:sz="0" w:space="0" w:color="auto"/>
        <w:right w:val="none" w:sz="0" w:space="0" w:color="auto"/>
      </w:divBdr>
    </w:div>
    <w:div w:id="1773355881">
      <w:bodyDiv w:val="1"/>
      <w:marLeft w:val="0"/>
      <w:marRight w:val="0"/>
      <w:marTop w:val="0"/>
      <w:marBottom w:val="0"/>
      <w:divBdr>
        <w:top w:val="none" w:sz="0" w:space="0" w:color="auto"/>
        <w:left w:val="none" w:sz="0" w:space="0" w:color="auto"/>
        <w:bottom w:val="none" w:sz="0" w:space="0" w:color="auto"/>
        <w:right w:val="none" w:sz="0" w:space="0" w:color="auto"/>
      </w:divBdr>
    </w:div>
    <w:div w:id="1775320738">
      <w:bodyDiv w:val="1"/>
      <w:marLeft w:val="0"/>
      <w:marRight w:val="0"/>
      <w:marTop w:val="0"/>
      <w:marBottom w:val="0"/>
      <w:divBdr>
        <w:top w:val="none" w:sz="0" w:space="0" w:color="auto"/>
        <w:left w:val="none" w:sz="0" w:space="0" w:color="auto"/>
        <w:bottom w:val="none" w:sz="0" w:space="0" w:color="auto"/>
        <w:right w:val="none" w:sz="0" w:space="0" w:color="auto"/>
      </w:divBdr>
    </w:div>
    <w:div w:id="1775594301">
      <w:bodyDiv w:val="1"/>
      <w:marLeft w:val="0"/>
      <w:marRight w:val="0"/>
      <w:marTop w:val="0"/>
      <w:marBottom w:val="0"/>
      <w:divBdr>
        <w:top w:val="none" w:sz="0" w:space="0" w:color="auto"/>
        <w:left w:val="none" w:sz="0" w:space="0" w:color="auto"/>
        <w:bottom w:val="none" w:sz="0" w:space="0" w:color="auto"/>
        <w:right w:val="none" w:sz="0" w:space="0" w:color="auto"/>
      </w:divBdr>
    </w:div>
    <w:div w:id="1775634635">
      <w:bodyDiv w:val="1"/>
      <w:marLeft w:val="0"/>
      <w:marRight w:val="0"/>
      <w:marTop w:val="0"/>
      <w:marBottom w:val="0"/>
      <w:divBdr>
        <w:top w:val="none" w:sz="0" w:space="0" w:color="auto"/>
        <w:left w:val="none" w:sz="0" w:space="0" w:color="auto"/>
        <w:bottom w:val="none" w:sz="0" w:space="0" w:color="auto"/>
        <w:right w:val="none" w:sz="0" w:space="0" w:color="auto"/>
      </w:divBdr>
    </w:div>
    <w:div w:id="1776751750">
      <w:bodyDiv w:val="1"/>
      <w:marLeft w:val="0"/>
      <w:marRight w:val="0"/>
      <w:marTop w:val="0"/>
      <w:marBottom w:val="0"/>
      <w:divBdr>
        <w:top w:val="none" w:sz="0" w:space="0" w:color="auto"/>
        <w:left w:val="none" w:sz="0" w:space="0" w:color="auto"/>
        <w:bottom w:val="none" w:sz="0" w:space="0" w:color="auto"/>
        <w:right w:val="none" w:sz="0" w:space="0" w:color="auto"/>
      </w:divBdr>
    </w:div>
    <w:div w:id="1778450783">
      <w:bodyDiv w:val="1"/>
      <w:marLeft w:val="0"/>
      <w:marRight w:val="0"/>
      <w:marTop w:val="0"/>
      <w:marBottom w:val="0"/>
      <w:divBdr>
        <w:top w:val="none" w:sz="0" w:space="0" w:color="auto"/>
        <w:left w:val="none" w:sz="0" w:space="0" w:color="auto"/>
        <w:bottom w:val="none" w:sz="0" w:space="0" w:color="auto"/>
        <w:right w:val="none" w:sz="0" w:space="0" w:color="auto"/>
      </w:divBdr>
    </w:div>
    <w:div w:id="1778675328">
      <w:bodyDiv w:val="1"/>
      <w:marLeft w:val="0"/>
      <w:marRight w:val="0"/>
      <w:marTop w:val="0"/>
      <w:marBottom w:val="0"/>
      <w:divBdr>
        <w:top w:val="none" w:sz="0" w:space="0" w:color="auto"/>
        <w:left w:val="none" w:sz="0" w:space="0" w:color="auto"/>
        <w:bottom w:val="none" w:sz="0" w:space="0" w:color="auto"/>
        <w:right w:val="none" w:sz="0" w:space="0" w:color="auto"/>
      </w:divBdr>
    </w:div>
    <w:div w:id="1779569667">
      <w:bodyDiv w:val="1"/>
      <w:marLeft w:val="0"/>
      <w:marRight w:val="0"/>
      <w:marTop w:val="0"/>
      <w:marBottom w:val="0"/>
      <w:divBdr>
        <w:top w:val="none" w:sz="0" w:space="0" w:color="auto"/>
        <w:left w:val="none" w:sz="0" w:space="0" w:color="auto"/>
        <w:bottom w:val="none" w:sz="0" w:space="0" w:color="auto"/>
        <w:right w:val="none" w:sz="0" w:space="0" w:color="auto"/>
      </w:divBdr>
    </w:div>
    <w:div w:id="1779830763">
      <w:bodyDiv w:val="1"/>
      <w:marLeft w:val="0"/>
      <w:marRight w:val="0"/>
      <w:marTop w:val="0"/>
      <w:marBottom w:val="0"/>
      <w:divBdr>
        <w:top w:val="none" w:sz="0" w:space="0" w:color="auto"/>
        <w:left w:val="none" w:sz="0" w:space="0" w:color="auto"/>
        <w:bottom w:val="none" w:sz="0" w:space="0" w:color="auto"/>
        <w:right w:val="none" w:sz="0" w:space="0" w:color="auto"/>
      </w:divBdr>
    </w:div>
    <w:div w:id="1780566609">
      <w:bodyDiv w:val="1"/>
      <w:marLeft w:val="0"/>
      <w:marRight w:val="0"/>
      <w:marTop w:val="0"/>
      <w:marBottom w:val="0"/>
      <w:divBdr>
        <w:top w:val="none" w:sz="0" w:space="0" w:color="auto"/>
        <w:left w:val="none" w:sz="0" w:space="0" w:color="auto"/>
        <w:bottom w:val="none" w:sz="0" w:space="0" w:color="auto"/>
        <w:right w:val="none" w:sz="0" w:space="0" w:color="auto"/>
      </w:divBdr>
    </w:div>
    <w:div w:id="1780907990">
      <w:bodyDiv w:val="1"/>
      <w:marLeft w:val="0"/>
      <w:marRight w:val="0"/>
      <w:marTop w:val="0"/>
      <w:marBottom w:val="0"/>
      <w:divBdr>
        <w:top w:val="none" w:sz="0" w:space="0" w:color="auto"/>
        <w:left w:val="none" w:sz="0" w:space="0" w:color="auto"/>
        <w:bottom w:val="none" w:sz="0" w:space="0" w:color="auto"/>
        <w:right w:val="none" w:sz="0" w:space="0" w:color="auto"/>
      </w:divBdr>
    </w:div>
    <w:div w:id="1781486956">
      <w:bodyDiv w:val="1"/>
      <w:marLeft w:val="0"/>
      <w:marRight w:val="0"/>
      <w:marTop w:val="0"/>
      <w:marBottom w:val="0"/>
      <w:divBdr>
        <w:top w:val="none" w:sz="0" w:space="0" w:color="auto"/>
        <w:left w:val="none" w:sz="0" w:space="0" w:color="auto"/>
        <w:bottom w:val="none" w:sz="0" w:space="0" w:color="auto"/>
        <w:right w:val="none" w:sz="0" w:space="0" w:color="auto"/>
      </w:divBdr>
    </w:div>
    <w:div w:id="1781604728">
      <w:bodyDiv w:val="1"/>
      <w:marLeft w:val="0"/>
      <w:marRight w:val="0"/>
      <w:marTop w:val="0"/>
      <w:marBottom w:val="0"/>
      <w:divBdr>
        <w:top w:val="none" w:sz="0" w:space="0" w:color="auto"/>
        <w:left w:val="none" w:sz="0" w:space="0" w:color="auto"/>
        <w:bottom w:val="none" w:sz="0" w:space="0" w:color="auto"/>
        <w:right w:val="none" w:sz="0" w:space="0" w:color="auto"/>
      </w:divBdr>
    </w:div>
    <w:div w:id="1781680912">
      <w:bodyDiv w:val="1"/>
      <w:marLeft w:val="0"/>
      <w:marRight w:val="0"/>
      <w:marTop w:val="0"/>
      <w:marBottom w:val="0"/>
      <w:divBdr>
        <w:top w:val="none" w:sz="0" w:space="0" w:color="auto"/>
        <w:left w:val="none" w:sz="0" w:space="0" w:color="auto"/>
        <w:bottom w:val="none" w:sz="0" w:space="0" w:color="auto"/>
        <w:right w:val="none" w:sz="0" w:space="0" w:color="auto"/>
      </w:divBdr>
    </w:div>
    <w:div w:id="1781949003">
      <w:bodyDiv w:val="1"/>
      <w:marLeft w:val="0"/>
      <w:marRight w:val="0"/>
      <w:marTop w:val="0"/>
      <w:marBottom w:val="0"/>
      <w:divBdr>
        <w:top w:val="none" w:sz="0" w:space="0" w:color="auto"/>
        <w:left w:val="none" w:sz="0" w:space="0" w:color="auto"/>
        <w:bottom w:val="none" w:sz="0" w:space="0" w:color="auto"/>
        <w:right w:val="none" w:sz="0" w:space="0" w:color="auto"/>
      </w:divBdr>
    </w:div>
    <w:div w:id="1782411280">
      <w:bodyDiv w:val="1"/>
      <w:marLeft w:val="0"/>
      <w:marRight w:val="0"/>
      <w:marTop w:val="0"/>
      <w:marBottom w:val="0"/>
      <w:divBdr>
        <w:top w:val="none" w:sz="0" w:space="0" w:color="auto"/>
        <w:left w:val="none" w:sz="0" w:space="0" w:color="auto"/>
        <w:bottom w:val="none" w:sz="0" w:space="0" w:color="auto"/>
        <w:right w:val="none" w:sz="0" w:space="0" w:color="auto"/>
      </w:divBdr>
    </w:div>
    <w:div w:id="1783959354">
      <w:bodyDiv w:val="1"/>
      <w:marLeft w:val="0"/>
      <w:marRight w:val="0"/>
      <w:marTop w:val="0"/>
      <w:marBottom w:val="0"/>
      <w:divBdr>
        <w:top w:val="none" w:sz="0" w:space="0" w:color="auto"/>
        <w:left w:val="none" w:sz="0" w:space="0" w:color="auto"/>
        <w:bottom w:val="none" w:sz="0" w:space="0" w:color="auto"/>
        <w:right w:val="none" w:sz="0" w:space="0" w:color="auto"/>
      </w:divBdr>
    </w:div>
    <w:div w:id="1784037736">
      <w:bodyDiv w:val="1"/>
      <w:marLeft w:val="0"/>
      <w:marRight w:val="0"/>
      <w:marTop w:val="0"/>
      <w:marBottom w:val="0"/>
      <w:divBdr>
        <w:top w:val="none" w:sz="0" w:space="0" w:color="auto"/>
        <w:left w:val="none" w:sz="0" w:space="0" w:color="auto"/>
        <w:bottom w:val="none" w:sz="0" w:space="0" w:color="auto"/>
        <w:right w:val="none" w:sz="0" w:space="0" w:color="auto"/>
      </w:divBdr>
    </w:div>
    <w:div w:id="1784492155">
      <w:bodyDiv w:val="1"/>
      <w:marLeft w:val="0"/>
      <w:marRight w:val="0"/>
      <w:marTop w:val="0"/>
      <w:marBottom w:val="0"/>
      <w:divBdr>
        <w:top w:val="none" w:sz="0" w:space="0" w:color="auto"/>
        <w:left w:val="none" w:sz="0" w:space="0" w:color="auto"/>
        <w:bottom w:val="none" w:sz="0" w:space="0" w:color="auto"/>
        <w:right w:val="none" w:sz="0" w:space="0" w:color="auto"/>
      </w:divBdr>
    </w:div>
    <w:div w:id="1784615371">
      <w:bodyDiv w:val="1"/>
      <w:marLeft w:val="0"/>
      <w:marRight w:val="0"/>
      <w:marTop w:val="0"/>
      <w:marBottom w:val="0"/>
      <w:divBdr>
        <w:top w:val="none" w:sz="0" w:space="0" w:color="auto"/>
        <w:left w:val="none" w:sz="0" w:space="0" w:color="auto"/>
        <w:bottom w:val="none" w:sz="0" w:space="0" w:color="auto"/>
        <w:right w:val="none" w:sz="0" w:space="0" w:color="auto"/>
      </w:divBdr>
    </w:div>
    <w:div w:id="1784761336">
      <w:bodyDiv w:val="1"/>
      <w:marLeft w:val="0"/>
      <w:marRight w:val="0"/>
      <w:marTop w:val="0"/>
      <w:marBottom w:val="0"/>
      <w:divBdr>
        <w:top w:val="none" w:sz="0" w:space="0" w:color="auto"/>
        <w:left w:val="none" w:sz="0" w:space="0" w:color="auto"/>
        <w:bottom w:val="none" w:sz="0" w:space="0" w:color="auto"/>
        <w:right w:val="none" w:sz="0" w:space="0" w:color="auto"/>
      </w:divBdr>
    </w:div>
    <w:div w:id="1785224046">
      <w:bodyDiv w:val="1"/>
      <w:marLeft w:val="0"/>
      <w:marRight w:val="0"/>
      <w:marTop w:val="0"/>
      <w:marBottom w:val="0"/>
      <w:divBdr>
        <w:top w:val="none" w:sz="0" w:space="0" w:color="auto"/>
        <w:left w:val="none" w:sz="0" w:space="0" w:color="auto"/>
        <w:bottom w:val="none" w:sz="0" w:space="0" w:color="auto"/>
        <w:right w:val="none" w:sz="0" w:space="0" w:color="auto"/>
      </w:divBdr>
    </w:div>
    <w:div w:id="1786150023">
      <w:bodyDiv w:val="1"/>
      <w:marLeft w:val="0"/>
      <w:marRight w:val="0"/>
      <w:marTop w:val="0"/>
      <w:marBottom w:val="0"/>
      <w:divBdr>
        <w:top w:val="none" w:sz="0" w:space="0" w:color="auto"/>
        <w:left w:val="none" w:sz="0" w:space="0" w:color="auto"/>
        <w:bottom w:val="none" w:sz="0" w:space="0" w:color="auto"/>
        <w:right w:val="none" w:sz="0" w:space="0" w:color="auto"/>
      </w:divBdr>
    </w:div>
    <w:div w:id="1786734313">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741055">
      <w:bodyDiv w:val="1"/>
      <w:marLeft w:val="0"/>
      <w:marRight w:val="0"/>
      <w:marTop w:val="0"/>
      <w:marBottom w:val="0"/>
      <w:divBdr>
        <w:top w:val="none" w:sz="0" w:space="0" w:color="auto"/>
        <w:left w:val="none" w:sz="0" w:space="0" w:color="auto"/>
        <w:bottom w:val="none" w:sz="0" w:space="0" w:color="auto"/>
        <w:right w:val="none" w:sz="0" w:space="0" w:color="auto"/>
      </w:divBdr>
    </w:div>
    <w:div w:id="1789466243">
      <w:bodyDiv w:val="1"/>
      <w:marLeft w:val="0"/>
      <w:marRight w:val="0"/>
      <w:marTop w:val="0"/>
      <w:marBottom w:val="0"/>
      <w:divBdr>
        <w:top w:val="none" w:sz="0" w:space="0" w:color="auto"/>
        <w:left w:val="none" w:sz="0" w:space="0" w:color="auto"/>
        <w:bottom w:val="none" w:sz="0" w:space="0" w:color="auto"/>
        <w:right w:val="none" w:sz="0" w:space="0" w:color="auto"/>
      </w:divBdr>
    </w:div>
    <w:div w:id="1789660677">
      <w:bodyDiv w:val="1"/>
      <w:marLeft w:val="0"/>
      <w:marRight w:val="0"/>
      <w:marTop w:val="0"/>
      <w:marBottom w:val="0"/>
      <w:divBdr>
        <w:top w:val="none" w:sz="0" w:space="0" w:color="auto"/>
        <w:left w:val="none" w:sz="0" w:space="0" w:color="auto"/>
        <w:bottom w:val="none" w:sz="0" w:space="0" w:color="auto"/>
        <w:right w:val="none" w:sz="0" w:space="0" w:color="auto"/>
      </w:divBdr>
    </w:div>
    <w:div w:id="1791050626">
      <w:bodyDiv w:val="1"/>
      <w:marLeft w:val="0"/>
      <w:marRight w:val="0"/>
      <w:marTop w:val="0"/>
      <w:marBottom w:val="0"/>
      <w:divBdr>
        <w:top w:val="none" w:sz="0" w:space="0" w:color="auto"/>
        <w:left w:val="none" w:sz="0" w:space="0" w:color="auto"/>
        <w:bottom w:val="none" w:sz="0" w:space="0" w:color="auto"/>
        <w:right w:val="none" w:sz="0" w:space="0" w:color="auto"/>
      </w:divBdr>
    </w:div>
    <w:div w:id="1791126838">
      <w:bodyDiv w:val="1"/>
      <w:marLeft w:val="0"/>
      <w:marRight w:val="0"/>
      <w:marTop w:val="0"/>
      <w:marBottom w:val="0"/>
      <w:divBdr>
        <w:top w:val="none" w:sz="0" w:space="0" w:color="auto"/>
        <w:left w:val="none" w:sz="0" w:space="0" w:color="auto"/>
        <w:bottom w:val="none" w:sz="0" w:space="0" w:color="auto"/>
        <w:right w:val="none" w:sz="0" w:space="0" w:color="auto"/>
      </w:divBdr>
    </w:div>
    <w:div w:id="1792088755">
      <w:bodyDiv w:val="1"/>
      <w:marLeft w:val="0"/>
      <w:marRight w:val="0"/>
      <w:marTop w:val="0"/>
      <w:marBottom w:val="0"/>
      <w:divBdr>
        <w:top w:val="none" w:sz="0" w:space="0" w:color="auto"/>
        <w:left w:val="none" w:sz="0" w:space="0" w:color="auto"/>
        <w:bottom w:val="none" w:sz="0" w:space="0" w:color="auto"/>
        <w:right w:val="none" w:sz="0" w:space="0" w:color="auto"/>
      </w:divBdr>
    </w:div>
    <w:div w:id="1792355538">
      <w:bodyDiv w:val="1"/>
      <w:marLeft w:val="0"/>
      <w:marRight w:val="0"/>
      <w:marTop w:val="0"/>
      <w:marBottom w:val="0"/>
      <w:divBdr>
        <w:top w:val="none" w:sz="0" w:space="0" w:color="auto"/>
        <w:left w:val="none" w:sz="0" w:space="0" w:color="auto"/>
        <w:bottom w:val="none" w:sz="0" w:space="0" w:color="auto"/>
        <w:right w:val="none" w:sz="0" w:space="0" w:color="auto"/>
      </w:divBdr>
    </w:div>
    <w:div w:id="1792673615">
      <w:bodyDiv w:val="1"/>
      <w:marLeft w:val="0"/>
      <w:marRight w:val="0"/>
      <w:marTop w:val="0"/>
      <w:marBottom w:val="0"/>
      <w:divBdr>
        <w:top w:val="none" w:sz="0" w:space="0" w:color="auto"/>
        <w:left w:val="none" w:sz="0" w:space="0" w:color="auto"/>
        <w:bottom w:val="none" w:sz="0" w:space="0" w:color="auto"/>
        <w:right w:val="none" w:sz="0" w:space="0" w:color="auto"/>
      </w:divBdr>
    </w:div>
    <w:div w:id="1792941816">
      <w:bodyDiv w:val="1"/>
      <w:marLeft w:val="0"/>
      <w:marRight w:val="0"/>
      <w:marTop w:val="0"/>
      <w:marBottom w:val="0"/>
      <w:divBdr>
        <w:top w:val="none" w:sz="0" w:space="0" w:color="auto"/>
        <w:left w:val="none" w:sz="0" w:space="0" w:color="auto"/>
        <w:bottom w:val="none" w:sz="0" w:space="0" w:color="auto"/>
        <w:right w:val="none" w:sz="0" w:space="0" w:color="auto"/>
      </w:divBdr>
    </w:div>
    <w:div w:id="1793212399">
      <w:bodyDiv w:val="1"/>
      <w:marLeft w:val="0"/>
      <w:marRight w:val="0"/>
      <w:marTop w:val="0"/>
      <w:marBottom w:val="0"/>
      <w:divBdr>
        <w:top w:val="none" w:sz="0" w:space="0" w:color="auto"/>
        <w:left w:val="none" w:sz="0" w:space="0" w:color="auto"/>
        <w:bottom w:val="none" w:sz="0" w:space="0" w:color="auto"/>
        <w:right w:val="none" w:sz="0" w:space="0" w:color="auto"/>
      </w:divBdr>
    </w:div>
    <w:div w:id="1793280267">
      <w:bodyDiv w:val="1"/>
      <w:marLeft w:val="0"/>
      <w:marRight w:val="0"/>
      <w:marTop w:val="0"/>
      <w:marBottom w:val="0"/>
      <w:divBdr>
        <w:top w:val="none" w:sz="0" w:space="0" w:color="auto"/>
        <w:left w:val="none" w:sz="0" w:space="0" w:color="auto"/>
        <w:bottom w:val="none" w:sz="0" w:space="0" w:color="auto"/>
        <w:right w:val="none" w:sz="0" w:space="0" w:color="auto"/>
      </w:divBdr>
    </w:div>
    <w:div w:id="1793665150">
      <w:bodyDiv w:val="1"/>
      <w:marLeft w:val="0"/>
      <w:marRight w:val="0"/>
      <w:marTop w:val="0"/>
      <w:marBottom w:val="0"/>
      <w:divBdr>
        <w:top w:val="none" w:sz="0" w:space="0" w:color="auto"/>
        <w:left w:val="none" w:sz="0" w:space="0" w:color="auto"/>
        <w:bottom w:val="none" w:sz="0" w:space="0" w:color="auto"/>
        <w:right w:val="none" w:sz="0" w:space="0" w:color="auto"/>
      </w:divBdr>
    </w:div>
    <w:div w:id="1793743289">
      <w:bodyDiv w:val="1"/>
      <w:marLeft w:val="0"/>
      <w:marRight w:val="0"/>
      <w:marTop w:val="0"/>
      <w:marBottom w:val="0"/>
      <w:divBdr>
        <w:top w:val="none" w:sz="0" w:space="0" w:color="auto"/>
        <w:left w:val="none" w:sz="0" w:space="0" w:color="auto"/>
        <w:bottom w:val="none" w:sz="0" w:space="0" w:color="auto"/>
        <w:right w:val="none" w:sz="0" w:space="0" w:color="auto"/>
      </w:divBdr>
    </w:div>
    <w:div w:id="1793748256">
      <w:bodyDiv w:val="1"/>
      <w:marLeft w:val="0"/>
      <w:marRight w:val="0"/>
      <w:marTop w:val="0"/>
      <w:marBottom w:val="0"/>
      <w:divBdr>
        <w:top w:val="none" w:sz="0" w:space="0" w:color="auto"/>
        <w:left w:val="none" w:sz="0" w:space="0" w:color="auto"/>
        <w:bottom w:val="none" w:sz="0" w:space="0" w:color="auto"/>
        <w:right w:val="none" w:sz="0" w:space="0" w:color="auto"/>
      </w:divBdr>
    </w:div>
    <w:div w:id="1793866850">
      <w:bodyDiv w:val="1"/>
      <w:marLeft w:val="0"/>
      <w:marRight w:val="0"/>
      <w:marTop w:val="0"/>
      <w:marBottom w:val="0"/>
      <w:divBdr>
        <w:top w:val="none" w:sz="0" w:space="0" w:color="auto"/>
        <w:left w:val="none" w:sz="0" w:space="0" w:color="auto"/>
        <w:bottom w:val="none" w:sz="0" w:space="0" w:color="auto"/>
        <w:right w:val="none" w:sz="0" w:space="0" w:color="auto"/>
      </w:divBdr>
    </w:div>
    <w:div w:id="1793937684">
      <w:bodyDiv w:val="1"/>
      <w:marLeft w:val="0"/>
      <w:marRight w:val="0"/>
      <w:marTop w:val="0"/>
      <w:marBottom w:val="0"/>
      <w:divBdr>
        <w:top w:val="none" w:sz="0" w:space="0" w:color="auto"/>
        <w:left w:val="none" w:sz="0" w:space="0" w:color="auto"/>
        <w:bottom w:val="none" w:sz="0" w:space="0" w:color="auto"/>
        <w:right w:val="none" w:sz="0" w:space="0" w:color="auto"/>
      </w:divBdr>
    </w:div>
    <w:div w:id="1794443352">
      <w:bodyDiv w:val="1"/>
      <w:marLeft w:val="0"/>
      <w:marRight w:val="0"/>
      <w:marTop w:val="0"/>
      <w:marBottom w:val="0"/>
      <w:divBdr>
        <w:top w:val="none" w:sz="0" w:space="0" w:color="auto"/>
        <w:left w:val="none" w:sz="0" w:space="0" w:color="auto"/>
        <w:bottom w:val="none" w:sz="0" w:space="0" w:color="auto"/>
        <w:right w:val="none" w:sz="0" w:space="0" w:color="auto"/>
      </w:divBdr>
    </w:div>
    <w:div w:id="1794715537">
      <w:bodyDiv w:val="1"/>
      <w:marLeft w:val="0"/>
      <w:marRight w:val="0"/>
      <w:marTop w:val="0"/>
      <w:marBottom w:val="0"/>
      <w:divBdr>
        <w:top w:val="none" w:sz="0" w:space="0" w:color="auto"/>
        <w:left w:val="none" w:sz="0" w:space="0" w:color="auto"/>
        <w:bottom w:val="none" w:sz="0" w:space="0" w:color="auto"/>
        <w:right w:val="none" w:sz="0" w:space="0" w:color="auto"/>
      </w:divBdr>
    </w:div>
    <w:div w:id="1795827860">
      <w:bodyDiv w:val="1"/>
      <w:marLeft w:val="0"/>
      <w:marRight w:val="0"/>
      <w:marTop w:val="0"/>
      <w:marBottom w:val="0"/>
      <w:divBdr>
        <w:top w:val="none" w:sz="0" w:space="0" w:color="auto"/>
        <w:left w:val="none" w:sz="0" w:space="0" w:color="auto"/>
        <w:bottom w:val="none" w:sz="0" w:space="0" w:color="auto"/>
        <w:right w:val="none" w:sz="0" w:space="0" w:color="auto"/>
      </w:divBdr>
    </w:div>
    <w:div w:id="1796874064">
      <w:bodyDiv w:val="1"/>
      <w:marLeft w:val="0"/>
      <w:marRight w:val="0"/>
      <w:marTop w:val="0"/>
      <w:marBottom w:val="0"/>
      <w:divBdr>
        <w:top w:val="none" w:sz="0" w:space="0" w:color="auto"/>
        <w:left w:val="none" w:sz="0" w:space="0" w:color="auto"/>
        <w:bottom w:val="none" w:sz="0" w:space="0" w:color="auto"/>
        <w:right w:val="none" w:sz="0" w:space="0" w:color="auto"/>
      </w:divBdr>
    </w:div>
    <w:div w:id="1797335967">
      <w:bodyDiv w:val="1"/>
      <w:marLeft w:val="0"/>
      <w:marRight w:val="0"/>
      <w:marTop w:val="0"/>
      <w:marBottom w:val="0"/>
      <w:divBdr>
        <w:top w:val="none" w:sz="0" w:space="0" w:color="auto"/>
        <w:left w:val="none" w:sz="0" w:space="0" w:color="auto"/>
        <w:bottom w:val="none" w:sz="0" w:space="0" w:color="auto"/>
        <w:right w:val="none" w:sz="0" w:space="0" w:color="auto"/>
      </w:divBdr>
    </w:div>
    <w:div w:id="1797869056">
      <w:bodyDiv w:val="1"/>
      <w:marLeft w:val="0"/>
      <w:marRight w:val="0"/>
      <w:marTop w:val="0"/>
      <w:marBottom w:val="0"/>
      <w:divBdr>
        <w:top w:val="none" w:sz="0" w:space="0" w:color="auto"/>
        <w:left w:val="none" w:sz="0" w:space="0" w:color="auto"/>
        <w:bottom w:val="none" w:sz="0" w:space="0" w:color="auto"/>
        <w:right w:val="none" w:sz="0" w:space="0" w:color="auto"/>
      </w:divBdr>
    </w:div>
    <w:div w:id="1798601742">
      <w:bodyDiv w:val="1"/>
      <w:marLeft w:val="0"/>
      <w:marRight w:val="0"/>
      <w:marTop w:val="0"/>
      <w:marBottom w:val="0"/>
      <w:divBdr>
        <w:top w:val="none" w:sz="0" w:space="0" w:color="auto"/>
        <w:left w:val="none" w:sz="0" w:space="0" w:color="auto"/>
        <w:bottom w:val="none" w:sz="0" w:space="0" w:color="auto"/>
        <w:right w:val="none" w:sz="0" w:space="0" w:color="auto"/>
      </w:divBdr>
    </w:div>
    <w:div w:id="1799255265">
      <w:bodyDiv w:val="1"/>
      <w:marLeft w:val="0"/>
      <w:marRight w:val="0"/>
      <w:marTop w:val="0"/>
      <w:marBottom w:val="0"/>
      <w:divBdr>
        <w:top w:val="none" w:sz="0" w:space="0" w:color="auto"/>
        <w:left w:val="none" w:sz="0" w:space="0" w:color="auto"/>
        <w:bottom w:val="none" w:sz="0" w:space="0" w:color="auto"/>
        <w:right w:val="none" w:sz="0" w:space="0" w:color="auto"/>
      </w:divBdr>
    </w:div>
    <w:div w:id="1799295549">
      <w:bodyDiv w:val="1"/>
      <w:marLeft w:val="0"/>
      <w:marRight w:val="0"/>
      <w:marTop w:val="0"/>
      <w:marBottom w:val="0"/>
      <w:divBdr>
        <w:top w:val="none" w:sz="0" w:space="0" w:color="auto"/>
        <w:left w:val="none" w:sz="0" w:space="0" w:color="auto"/>
        <w:bottom w:val="none" w:sz="0" w:space="0" w:color="auto"/>
        <w:right w:val="none" w:sz="0" w:space="0" w:color="auto"/>
      </w:divBdr>
    </w:div>
    <w:div w:id="1799567065">
      <w:bodyDiv w:val="1"/>
      <w:marLeft w:val="0"/>
      <w:marRight w:val="0"/>
      <w:marTop w:val="0"/>
      <w:marBottom w:val="0"/>
      <w:divBdr>
        <w:top w:val="none" w:sz="0" w:space="0" w:color="auto"/>
        <w:left w:val="none" w:sz="0" w:space="0" w:color="auto"/>
        <w:bottom w:val="none" w:sz="0" w:space="0" w:color="auto"/>
        <w:right w:val="none" w:sz="0" w:space="0" w:color="auto"/>
      </w:divBdr>
    </w:div>
    <w:div w:id="1799759333">
      <w:bodyDiv w:val="1"/>
      <w:marLeft w:val="0"/>
      <w:marRight w:val="0"/>
      <w:marTop w:val="0"/>
      <w:marBottom w:val="0"/>
      <w:divBdr>
        <w:top w:val="none" w:sz="0" w:space="0" w:color="auto"/>
        <w:left w:val="none" w:sz="0" w:space="0" w:color="auto"/>
        <w:bottom w:val="none" w:sz="0" w:space="0" w:color="auto"/>
        <w:right w:val="none" w:sz="0" w:space="0" w:color="auto"/>
      </w:divBdr>
    </w:div>
    <w:div w:id="1801219377">
      <w:bodyDiv w:val="1"/>
      <w:marLeft w:val="0"/>
      <w:marRight w:val="0"/>
      <w:marTop w:val="0"/>
      <w:marBottom w:val="0"/>
      <w:divBdr>
        <w:top w:val="none" w:sz="0" w:space="0" w:color="auto"/>
        <w:left w:val="none" w:sz="0" w:space="0" w:color="auto"/>
        <w:bottom w:val="none" w:sz="0" w:space="0" w:color="auto"/>
        <w:right w:val="none" w:sz="0" w:space="0" w:color="auto"/>
      </w:divBdr>
    </w:div>
    <w:div w:id="1801803300">
      <w:bodyDiv w:val="1"/>
      <w:marLeft w:val="0"/>
      <w:marRight w:val="0"/>
      <w:marTop w:val="0"/>
      <w:marBottom w:val="0"/>
      <w:divBdr>
        <w:top w:val="none" w:sz="0" w:space="0" w:color="auto"/>
        <w:left w:val="none" w:sz="0" w:space="0" w:color="auto"/>
        <w:bottom w:val="none" w:sz="0" w:space="0" w:color="auto"/>
        <w:right w:val="none" w:sz="0" w:space="0" w:color="auto"/>
      </w:divBdr>
    </w:div>
    <w:div w:id="1802267302">
      <w:bodyDiv w:val="1"/>
      <w:marLeft w:val="0"/>
      <w:marRight w:val="0"/>
      <w:marTop w:val="0"/>
      <w:marBottom w:val="0"/>
      <w:divBdr>
        <w:top w:val="none" w:sz="0" w:space="0" w:color="auto"/>
        <w:left w:val="none" w:sz="0" w:space="0" w:color="auto"/>
        <w:bottom w:val="none" w:sz="0" w:space="0" w:color="auto"/>
        <w:right w:val="none" w:sz="0" w:space="0" w:color="auto"/>
      </w:divBdr>
    </w:div>
    <w:div w:id="1802383569">
      <w:bodyDiv w:val="1"/>
      <w:marLeft w:val="0"/>
      <w:marRight w:val="0"/>
      <w:marTop w:val="0"/>
      <w:marBottom w:val="0"/>
      <w:divBdr>
        <w:top w:val="none" w:sz="0" w:space="0" w:color="auto"/>
        <w:left w:val="none" w:sz="0" w:space="0" w:color="auto"/>
        <w:bottom w:val="none" w:sz="0" w:space="0" w:color="auto"/>
        <w:right w:val="none" w:sz="0" w:space="0" w:color="auto"/>
      </w:divBdr>
    </w:div>
    <w:div w:id="1802385412">
      <w:bodyDiv w:val="1"/>
      <w:marLeft w:val="0"/>
      <w:marRight w:val="0"/>
      <w:marTop w:val="0"/>
      <w:marBottom w:val="0"/>
      <w:divBdr>
        <w:top w:val="none" w:sz="0" w:space="0" w:color="auto"/>
        <w:left w:val="none" w:sz="0" w:space="0" w:color="auto"/>
        <w:bottom w:val="none" w:sz="0" w:space="0" w:color="auto"/>
        <w:right w:val="none" w:sz="0" w:space="0" w:color="auto"/>
      </w:divBdr>
    </w:div>
    <w:div w:id="1802530703">
      <w:bodyDiv w:val="1"/>
      <w:marLeft w:val="0"/>
      <w:marRight w:val="0"/>
      <w:marTop w:val="0"/>
      <w:marBottom w:val="0"/>
      <w:divBdr>
        <w:top w:val="none" w:sz="0" w:space="0" w:color="auto"/>
        <w:left w:val="none" w:sz="0" w:space="0" w:color="auto"/>
        <w:bottom w:val="none" w:sz="0" w:space="0" w:color="auto"/>
        <w:right w:val="none" w:sz="0" w:space="0" w:color="auto"/>
      </w:divBdr>
    </w:div>
    <w:div w:id="1803495261">
      <w:bodyDiv w:val="1"/>
      <w:marLeft w:val="0"/>
      <w:marRight w:val="0"/>
      <w:marTop w:val="0"/>
      <w:marBottom w:val="0"/>
      <w:divBdr>
        <w:top w:val="none" w:sz="0" w:space="0" w:color="auto"/>
        <w:left w:val="none" w:sz="0" w:space="0" w:color="auto"/>
        <w:bottom w:val="none" w:sz="0" w:space="0" w:color="auto"/>
        <w:right w:val="none" w:sz="0" w:space="0" w:color="auto"/>
      </w:divBdr>
    </w:div>
    <w:div w:id="1804077330">
      <w:bodyDiv w:val="1"/>
      <w:marLeft w:val="0"/>
      <w:marRight w:val="0"/>
      <w:marTop w:val="0"/>
      <w:marBottom w:val="0"/>
      <w:divBdr>
        <w:top w:val="none" w:sz="0" w:space="0" w:color="auto"/>
        <w:left w:val="none" w:sz="0" w:space="0" w:color="auto"/>
        <w:bottom w:val="none" w:sz="0" w:space="0" w:color="auto"/>
        <w:right w:val="none" w:sz="0" w:space="0" w:color="auto"/>
      </w:divBdr>
    </w:div>
    <w:div w:id="1804612141">
      <w:bodyDiv w:val="1"/>
      <w:marLeft w:val="0"/>
      <w:marRight w:val="0"/>
      <w:marTop w:val="0"/>
      <w:marBottom w:val="0"/>
      <w:divBdr>
        <w:top w:val="none" w:sz="0" w:space="0" w:color="auto"/>
        <w:left w:val="none" w:sz="0" w:space="0" w:color="auto"/>
        <w:bottom w:val="none" w:sz="0" w:space="0" w:color="auto"/>
        <w:right w:val="none" w:sz="0" w:space="0" w:color="auto"/>
      </w:divBdr>
    </w:div>
    <w:div w:id="1805076267">
      <w:bodyDiv w:val="1"/>
      <w:marLeft w:val="0"/>
      <w:marRight w:val="0"/>
      <w:marTop w:val="0"/>
      <w:marBottom w:val="0"/>
      <w:divBdr>
        <w:top w:val="none" w:sz="0" w:space="0" w:color="auto"/>
        <w:left w:val="none" w:sz="0" w:space="0" w:color="auto"/>
        <w:bottom w:val="none" w:sz="0" w:space="0" w:color="auto"/>
        <w:right w:val="none" w:sz="0" w:space="0" w:color="auto"/>
      </w:divBdr>
    </w:div>
    <w:div w:id="1805541926">
      <w:bodyDiv w:val="1"/>
      <w:marLeft w:val="0"/>
      <w:marRight w:val="0"/>
      <w:marTop w:val="0"/>
      <w:marBottom w:val="0"/>
      <w:divBdr>
        <w:top w:val="none" w:sz="0" w:space="0" w:color="auto"/>
        <w:left w:val="none" w:sz="0" w:space="0" w:color="auto"/>
        <w:bottom w:val="none" w:sz="0" w:space="0" w:color="auto"/>
        <w:right w:val="none" w:sz="0" w:space="0" w:color="auto"/>
      </w:divBdr>
    </w:div>
    <w:div w:id="1805779967">
      <w:bodyDiv w:val="1"/>
      <w:marLeft w:val="0"/>
      <w:marRight w:val="0"/>
      <w:marTop w:val="0"/>
      <w:marBottom w:val="0"/>
      <w:divBdr>
        <w:top w:val="none" w:sz="0" w:space="0" w:color="auto"/>
        <w:left w:val="none" w:sz="0" w:space="0" w:color="auto"/>
        <w:bottom w:val="none" w:sz="0" w:space="0" w:color="auto"/>
        <w:right w:val="none" w:sz="0" w:space="0" w:color="auto"/>
      </w:divBdr>
    </w:div>
    <w:div w:id="1806845956">
      <w:bodyDiv w:val="1"/>
      <w:marLeft w:val="0"/>
      <w:marRight w:val="0"/>
      <w:marTop w:val="0"/>
      <w:marBottom w:val="0"/>
      <w:divBdr>
        <w:top w:val="none" w:sz="0" w:space="0" w:color="auto"/>
        <w:left w:val="none" w:sz="0" w:space="0" w:color="auto"/>
        <w:bottom w:val="none" w:sz="0" w:space="0" w:color="auto"/>
        <w:right w:val="none" w:sz="0" w:space="0" w:color="auto"/>
      </w:divBdr>
    </w:div>
    <w:div w:id="1807039326">
      <w:bodyDiv w:val="1"/>
      <w:marLeft w:val="0"/>
      <w:marRight w:val="0"/>
      <w:marTop w:val="0"/>
      <w:marBottom w:val="0"/>
      <w:divBdr>
        <w:top w:val="none" w:sz="0" w:space="0" w:color="auto"/>
        <w:left w:val="none" w:sz="0" w:space="0" w:color="auto"/>
        <w:bottom w:val="none" w:sz="0" w:space="0" w:color="auto"/>
        <w:right w:val="none" w:sz="0" w:space="0" w:color="auto"/>
      </w:divBdr>
    </w:div>
    <w:div w:id="1807118926">
      <w:bodyDiv w:val="1"/>
      <w:marLeft w:val="0"/>
      <w:marRight w:val="0"/>
      <w:marTop w:val="0"/>
      <w:marBottom w:val="0"/>
      <w:divBdr>
        <w:top w:val="none" w:sz="0" w:space="0" w:color="auto"/>
        <w:left w:val="none" w:sz="0" w:space="0" w:color="auto"/>
        <w:bottom w:val="none" w:sz="0" w:space="0" w:color="auto"/>
        <w:right w:val="none" w:sz="0" w:space="0" w:color="auto"/>
      </w:divBdr>
    </w:div>
    <w:div w:id="1809780478">
      <w:bodyDiv w:val="1"/>
      <w:marLeft w:val="0"/>
      <w:marRight w:val="0"/>
      <w:marTop w:val="0"/>
      <w:marBottom w:val="0"/>
      <w:divBdr>
        <w:top w:val="none" w:sz="0" w:space="0" w:color="auto"/>
        <w:left w:val="none" w:sz="0" w:space="0" w:color="auto"/>
        <w:bottom w:val="none" w:sz="0" w:space="0" w:color="auto"/>
        <w:right w:val="none" w:sz="0" w:space="0" w:color="auto"/>
      </w:divBdr>
    </w:div>
    <w:div w:id="1810782214">
      <w:bodyDiv w:val="1"/>
      <w:marLeft w:val="0"/>
      <w:marRight w:val="0"/>
      <w:marTop w:val="0"/>
      <w:marBottom w:val="0"/>
      <w:divBdr>
        <w:top w:val="none" w:sz="0" w:space="0" w:color="auto"/>
        <w:left w:val="none" w:sz="0" w:space="0" w:color="auto"/>
        <w:bottom w:val="none" w:sz="0" w:space="0" w:color="auto"/>
        <w:right w:val="none" w:sz="0" w:space="0" w:color="auto"/>
      </w:divBdr>
    </w:div>
    <w:div w:id="1811022877">
      <w:bodyDiv w:val="1"/>
      <w:marLeft w:val="0"/>
      <w:marRight w:val="0"/>
      <w:marTop w:val="0"/>
      <w:marBottom w:val="0"/>
      <w:divBdr>
        <w:top w:val="none" w:sz="0" w:space="0" w:color="auto"/>
        <w:left w:val="none" w:sz="0" w:space="0" w:color="auto"/>
        <w:bottom w:val="none" w:sz="0" w:space="0" w:color="auto"/>
        <w:right w:val="none" w:sz="0" w:space="0" w:color="auto"/>
      </w:divBdr>
    </w:div>
    <w:div w:id="1811362191">
      <w:bodyDiv w:val="1"/>
      <w:marLeft w:val="0"/>
      <w:marRight w:val="0"/>
      <w:marTop w:val="0"/>
      <w:marBottom w:val="0"/>
      <w:divBdr>
        <w:top w:val="none" w:sz="0" w:space="0" w:color="auto"/>
        <w:left w:val="none" w:sz="0" w:space="0" w:color="auto"/>
        <w:bottom w:val="none" w:sz="0" w:space="0" w:color="auto"/>
        <w:right w:val="none" w:sz="0" w:space="0" w:color="auto"/>
      </w:divBdr>
    </w:div>
    <w:div w:id="1811704606">
      <w:bodyDiv w:val="1"/>
      <w:marLeft w:val="0"/>
      <w:marRight w:val="0"/>
      <w:marTop w:val="0"/>
      <w:marBottom w:val="0"/>
      <w:divBdr>
        <w:top w:val="none" w:sz="0" w:space="0" w:color="auto"/>
        <w:left w:val="none" w:sz="0" w:space="0" w:color="auto"/>
        <w:bottom w:val="none" w:sz="0" w:space="0" w:color="auto"/>
        <w:right w:val="none" w:sz="0" w:space="0" w:color="auto"/>
      </w:divBdr>
    </w:div>
    <w:div w:id="1812012586">
      <w:bodyDiv w:val="1"/>
      <w:marLeft w:val="0"/>
      <w:marRight w:val="0"/>
      <w:marTop w:val="0"/>
      <w:marBottom w:val="0"/>
      <w:divBdr>
        <w:top w:val="none" w:sz="0" w:space="0" w:color="auto"/>
        <w:left w:val="none" w:sz="0" w:space="0" w:color="auto"/>
        <w:bottom w:val="none" w:sz="0" w:space="0" w:color="auto"/>
        <w:right w:val="none" w:sz="0" w:space="0" w:color="auto"/>
      </w:divBdr>
    </w:div>
    <w:div w:id="1812208482">
      <w:bodyDiv w:val="1"/>
      <w:marLeft w:val="0"/>
      <w:marRight w:val="0"/>
      <w:marTop w:val="0"/>
      <w:marBottom w:val="0"/>
      <w:divBdr>
        <w:top w:val="none" w:sz="0" w:space="0" w:color="auto"/>
        <w:left w:val="none" w:sz="0" w:space="0" w:color="auto"/>
        <w:bottom w:val="none" w:sz="0" w:space="0" w:color="auto"/>
        <w:right w:val="none" w:sz="0" w:space="0" w:color="auto"/>
      </w:divBdr>
    </w:div>
    <w:div w:id="1812554934">
      <w:bodyDiv w:val="1"/>
      <w:marLeft w:val="0"/>
      <w:marRight w:val="0"/>
      <w:marTop w:val="0"/>
      <w:marBottom w:val="0"/>
      <w:divBdr>
        <w:top w:val="none" w:sz="0" w:space="0" w:color="auto"/>
        <w:left w:val="none" w:sz="0" w:space="0" w:color="auto"/>
        <w:bottom w:val="none" w:sz="0" w:space="0" w:color="auto"/>
        <w:right w:val="none" w:sz="0" w:space="0" w:color="auto"/>
      </w:divBdr>
    </w:div>
    <w:div w:id="1812749151">
      <w:bodyDiv w:val="1"/>
      <w:marLeft w:val="0"/>
      <w:marRight w:val="0"/>
      <w:marTop w:val="0"/>
      <w:marBottom w:val="0"/>
      <w:divBdr>
        <w:top w:val="none" w:sz="0" w:space="0" w:color="auto"/>
        <w:left w:val="none" w:sz="0" w:space="0" w:color="auto"/>
        <w:bottom w:val="none" w:sz="0" w:space="0" w:color="auto"/>
        <w:right w:val="none" w:sz="0" w:space="0" w:color="auto"/>
      </w:divBdr>
    </w:div>
    <w:div w:id="1812823652">
      <w:bodyDiv w:val="1"/>
      <w:marLeft w:val="0"/>
      <w:marRight w:val="0"/>
      <w:marTop w:val="0"/>
      <w:marBottom w:val="0"/>
      <w:divBdr>
        <w:top w:val="none" w:sz="0" w:space="0" w:color="auto"/>
        <w:left w:val="none" w:sz="0" w:space="0" w:color="auto"/>
        <w:bottom w:val="none" w:sz="0" w:space="0" w:color="auto"/>
        <w:right w:val="none" w:sz="0" w:space="0" w:color="auto"/>
      </w:divBdr>
    </w:div>
    <w:div w:id="1813865379">
      <w:bodyDiv w:val="1"/>
      <w:marLeft w:val="0"/>
      <w:marRight w:val="0"/>
      <w:marTop w:val="0"/>
      <w:marBottom w:val="0"/>
      <w:divBdr>
        <w:top w:val="none" w:sz="0" w:space="0" w:color="auto"/>
        <w:left w:val="none" w:sz="0" w:space="0" w:color="auto"/>
        <w:bottom w:val="none" w:sz="0" w:space="0" w:color="auto"/>
        <w:right w:val="none" w:sz="0" w:space="0" w:color="auto"/>
      </w:divBdr>
    </w:div>
    <w:div w:id="1814133728">
      <w:bodyDiv w:val="1"/>
      <w:marLeft w:val="0"/>
      <w:marRight w:val="0"/>
      <w:marTop w:val="0"/>
      <w:marBottom w:val="0"/>
      <w:divBdr>
        <w:top w:val="none" w:sz="0" w:space="0" w:color="auto"/>
        <w:left w:val="none" w:sz="0" w:space="0" w:color="auto"/>
        <w:bottom w:val="none" w:sz="0" w:space="0" w:color="auto"/>
        <w:right w:val="none" w:sz="0" w:space="0" w:color="auto"/>
      </w:divBdr>
    </w:div>
    <w:div w:id="1814330584">
      <w:bodyDiv w:val="1"/>
      <w:marLeft w:val="0"/>
      <w:marRight w:val="0"/>
      <w:marTop w:val="0"/>
      <w:marBottom w:val="0"/>
      <w:divBdr>
        <w:top w:val="none" w:sz="0" w:space="0" w:color="auto"/>
        <w:left w:val="none" w:sz="0" w:space="0" w:color="auto"/>
        <w:bottom w:val="none" w:sz="0" w:space="0" w:color="auto"/>
        <w:right w:val="none" w:sz="0" w:space="0" w:color="auto"/>
      </w:divBdr>
    </w:div>
    <w:div w:id="1815484256">
      <w:bodyDiv w:val="1"/>
      <w:marLeft w:val="0"/>
      <w:marRight w:val="0"/>
      <w:marTop w:val="0"/>
      <w:marBottom w:val="0"/>
      <w:divBdr>
        <w:top w:val="none" w:sz="0" w:space="0" w:color="auto"/>
        <w:left w:val="none" w:sz="0" w:space="0" w:color="auto"/>
        <w:bottom w:val="none" w:sz="0" w:space="0" w:color="auto"/>
        <w:right w:val="none" w:sz="0" w:space="0" w:color="auto"/>
      </w:divBdr>
    </w:div>
    <w:div w:id="1816531524">
      <w:bodyDiv w:val="1"/>
      <w:marLeft w:val="0"/>
      <w:marRight w:val="0"/>
      <w:marTop w:val="0"/>
      <w:marBottom w:val="0"/>
      <w:divBdr>
        <w:top w:val="none" w:sz="0" w:space="0" w:color="auto"/>
        <w:left w:val="none" w:sz="0" w:space="0" w:color="auto"/>
        <w:bottom w:val="none" w:sz="0" w:space="0" w:color="auto"/>
        <w:right w:val="none" w:sz="0" w:space="0" w:color="auto"/>
      </w:divBdr>
    </w:div>
    <w:div w:id="1817532721">
      <w:bodyDiv w:val="1"/>
      <w:marLeft w:val="0"/>
      <w:marRight w:val="0"/>
      <w:marTop w:val="0"/>
      <w:marBottom w:val="0"/>
      <w:divBdr>
        <w:top w:val="none" w:sz="0" w:space="0" w:color="auto"/>
        <w:left w:val="none" w:sz="0" w:space="0" w:color="auto"/>
        <w:bottom w:val="none" w:sz="0" w:space="0" w:color="auto"/>
        <w:right w:val="none" w:sz="0" w:space="0" w:color="auto"/>
      </w:divBdr>
    </w:div>
    <w:div w:id="1817840622">
      <w:bodyDiv w:val="1"/>
      <w:marLeft w:val="0"/>
      <w:marRight w:val="0"/>
      <w:marTop w:val="0"/>
      <w:marBottom w:val="0"/>
      <w:divBdr>
        <w:top w:val="none" w:sz="0" w:space="0" w:color="auto"/>
        <w:left w:val="none" w:sz="0" w:space="0" w:color="auto"/>
        <w:bottom w:val="none" w:sz="0" w:space="0" w:color="auto"/>
        <w:right w:val="none" w:sz="0" w:space="0" w:color="auto"/>
      </w:divBdr>
    </w:div>
    <w:div w:id="1818106459">
      <w:bodyDiv w:val="1"/>
      <w:marLeft w:val="0"/>
      <w:marRight w:val="0"/>
      <w:marTop w:val="0"/>
      <w:marBottom w:val="0"/>
      <w:divBdr>
        <w:top w:val="none" w:sz="0" w:space="0" w:color="auto"/>
        <w:left w:val="none" w:sz="0" w:space="0" w:color="auto"/>
        <w:bottom w:val="none" w:sz="0" w:space="0" w:color="auto"/>
        <w:right w:val="none" w:sz="0" w:space="0" w:color="auto"/>
      </w:divBdr>
    </w:div>
    <w:div w:id="1818761463">
      <w:bodyDiv w:val="1"/>
      <w:marLeft w:val="0"/>
      <w:marRight w:val="0"/>
      <w:marTop w:val="0"/>
      <w:marBottom w:val="0"/>
      <w:divBdr>
        <w:top w:val="none" w:sz="0" w:space="0" w:color="auto"/>
        <w:left w:val="none" w:sz="0" w:space="0" w:color="auto"/>
        <w:bottom w:val="none" w:sz="0" w:space="0" w:color="auto"/>
        <w:right w:val="none" w:sz="0" w:space="0" w:color="auto"/>
      </w:divBdr>
    </w:div>
    <w:div w:id="1819493581">
      <w:bodyDiv w:val="1"/>
      <w:marLeft w:val="0"/>
      <w:marRight w:val="0"/>
      <w:marTop w:val="0"/>
      <w:marBottom w:val="0"/>
      <w:divBdr>
        <w:top w:val="none" w:sz="0" w:space="0" w:color="auto"/>
        <w:left w:val="none" w:sz="0" w:space="0" w:color="auto"/>
        <w:bottom w:val="none" w:sz="0" w:space="0" w:color="auto"/>
        <w:right w:val="none" w:sz="0" w:space="0" w:color="auto"/>
      </w:divBdr>
    </w:div>
    <w:div w:id="1819951738">
      <w:bodyDiv w:val="1"/>
      <w:marLeft w:val="0"/>
      <w:marRight w:val="0"/>
      <w:marTop w:val="0"/>
      <w:marBottom w:val="0"/>
      <w:divBdr>
        <w:top w:val="none" w:sz="0" w:space="0" w:color="auto"/>
        <w:left w:val="none" w:sz="0" w:space="0" w:color="auto"/>
        <w:bottom w:val="none" w:sz="0" w:space="0" w:color="auto"/>
        <w:right w:val="none" w:sz="0" w:space="0" w:color="auto"/>
      </w:divBdr>
    </w:div>
    <w:div w:id="1820076867">
      <w:bodyDiv w:val="1"/>
      <w:marLeft w:val="0"/>
      <w:marRight w:val="0"/>
      <w:marTop w:val="0"/>
      <w:marBottom w:val="0"/>
      <w:divBdr>
        <w:top w:val="none" w:sz="0" w:space="0" w:color="auto"/>
        <w:left w:val="none" w:sz="0" w:space="0" w:color="auto"/>
        <w:bottom w:val="none" w:sz="0" w:space="0" w:color="auto"/>
        <w:right w:val="none" w:sz="0" w:space="0" w:color="auto"/>
      </w:divBdr>
    </w:div>
    <w:div w:id="1821117773">
      <w:bodyDiv w:val="1"/>
      <w:marLeft w:val="0"/>
      <w:marRight w:val="0"/>
      <w:marTop w:val="0"/>
      <w:marBottom w:val="0"/>
      <w:divBdr>
        <w:top w:val="none" w:sz="0" w:space="0" w:color="auto"/>
        <w:left w:val="none" w:sz="0" w:space="0" w:color="auto"/>
        <w:bottom w:val="none" w:sz="0" w:space="0" w:color="auto"/>
        <w:right w:val="none" w:sz="0" w:space="0" w:color="auto"/>
      </w:divBdr>
    </w:div>
    <w:div w:id="1821119840">
      <w:bodyDiv w:val="1"/>
      <w:marLeft w:val="0"/>
      <w:marRight w:val="0"/>
      <w:marTop w:val="0"/>
      <w:marBottom w:val="0"/>
      <w:divBdr>
        <w:top w:val="none" w:sz="0" w:space="0" w:color="auto"/>
        <w:left w:val="none" w:sz="0" w:space="0" w:color="auto"/>
        <w:bottom w:val="none" w:sz="0" w:space="0" w:color="auto"/>
        <w:right w:val="none" w:sz="0" w:space="0" w:color="auto"/>
      </w:divBdr>
    </w:div>
    <w:div w:id="1821773072">
      <w:bodyDiv w:val="1"/>
      <w:marLeft w:val="0"/>
      <w:marRight w:val="0"/>
      <w:marTop w:val="0"/>
      <w:marBottom w:val="0"/>
      <w:divBdr>
        <w:top w:val="none" w:sz="0" w:space="0" w:color="auto"/>
        <w:left w:val="none" w:sz="0" w:space="0" w:color="auto"/>
        <w:bottom w:val="none" w:sz="0" w:space="0" w:color="auto"/>
        <w:right w:val="none" w:sz="0" w:space="0" w:color="auto"/>
      </w:divBdr>
    </w:div>
    <w:div w:id="1822578627">
      <w:bodyDiv w:val="1"/>
      <w:marLeft w:val="0"/>
      <w:marRight w:val="0"/>
      <w:marTop w:val="0"/>
      <w:marBottom w:val="0"/>
      <w:divBdr>
        <w:top w:val="none" w:sz="0" w:space="0" w:color="auto"/>
        <w:left w:val="none" w:sz="0" w:space="0" w:color="auto"/>
        <w:bottom w:val="none" w:sz="0" w:space="0" w:color="auto"/>
        <w:right w:val="none" w:sz="0" w:space="0" w:color="auto"/>
      </w:divBdr>
    </w:div>
    <w:div w:id="1822888413">
      <w:bodyDiv w:val="1"/>
      <w:marLeft w:val="0"/>
      <w:marRight w:val="0"/>
      <w:marTop w:val="0"/>
      <w:marBottom w:val="0"/>
      <w:divBdr>
        <w:top w:val="none" w:sz="0" w:space="0" w:color="auto"/>
        <w:left w:val="none" w:sz="0" w:space="0" w:color="auto"/>
        <w:bottom w:val="none" w:sz="0" w:space="0" w:color="auto"/>
        <w:right w:val="none" w:sz="0" w:space="0" w:color="auto"/>
      </w:divBdr>
    </w:div>
    <w:div w:id="1825199417">
      <w:bodyDiv w:val="1"/>
      <w:marLeft w:val="0"/>
      <w:marRight w:val="0"/>
      <w:marTop w:val="0"/>
      <w:marBottom w:val="0"/>
      <w:divBdr>
        <w:top w:val="none" w:sz="0" w:space="0" w:color="auto"/>
        <w:left w:val="none" w:sz="0" w:space="0" w:color="auto"/>
        <w:bottom w:val="none" w:sz="0" w:space="0" w:color="auto"/>
        <w:right w:val="none" w:sz="0" w:space="0" w:color="auto"/>
      </w:divBdr>
    </w:div>
    <w:div w:id="1825244603">
      <w:bodyDiv w:val="1"/>
      <w:marLeft w:val="0"/>
      <w:marRight w:val="0"/>
      <w:marTop w:val="0"/>
      <w:marBottom w:val="0"/>
      <w:divBdr>
        <w:top w:val="none" w:sz="0" w:space="0" w:color="auto"/>
        <w:left w:val="none" w:sz="0" w:space="0" w:color="auto"/>
        <w:bottom w:val="none" w:sz="0" w:space="0" w:color="auto"/>
        <w:right w:val="none" w:sz="0" w:space="0" w:color="auto"/>
      </w:divBdr>
    </w:div>
    <w:div w:id="1825311360">
      <w:bodyDiv w:val="1"/>
      <w:marLeft w:val="0"/>
      <w:marRight w:val="0"/>
      <w:marTop w:val="0"/>
      <w:marBottom w:val="0"/>
      <w:divBdr>
        <w:top w:val="none" w:sz="0" w:space="0" w:color="auto"/>
        <w:left w:val="none" w:sz="0" w:space="0" w:color="auto"/>
        <w:bottom w:val="none" w:sz="0" w:space="0" w:color="auto"/>
        <w:right w:val="none" w:sz="0" w:space="0" w:color="auto"/>
      </w:divBdr>
    </w:div>
    <w:div w:id="1825705459">
      <w:bodyDiv w:val="1"/>
      <w:marLeft w:val="0"/>
      <w:marRight w:val="0"/>
      <w:marTop w:val="0"/>
      <w:marBottom w:val="0"/>
      <w:divBdr>
        <w:top w:val="none" w:sz="0" w:space="0" w:color="auto"/>
        <w:left w:val="none" w:sz="0" w:space="0" w:color="auto"/>
        <w:bottom w:val="none" w:sz="0" w:space="0" w:color="auto"/>
        <w:right w:val="none" w:sz="0" w:space="0" w:color="auto"/>
      </w:divBdr>
    </w:div>
    <w:div w:id="1825925314">
      <w:bodyDiv w:val="1"/>
      <w:marLeft w:val="0"/>
      <w:marRight w:val="0"/>
      <w:marTop w:val="0"/>
      <w:marBottom w:val="0"/>
      <w:divBdr>
        <w:top w:val="none" w:sz="0" w:space="0" w:color="auto"/>
        <w:left w:val="none" w:sz="0" w:space="0" w:color="auto"/>
        <w:bottom w:val="none" w:sz="0" w:space="0" w:color="auto"/>
        <w:right w:val="none" w:sz="0" w:space="0" w:color="auto"/>
      </w:divBdr>
    </w:div>
    <w:div w:id="1826169459">
      <w:bodyDiv w:val="1"/>
      <w:marLeft w:val="0"/>
      <w:marRight w:val="0"/>
      <w:marTop w:val="0"/>
      <w:marBottom w:val="0"/>
      <w:divBdr>
        <w:top w:val="none" w:sz="0" w:space="0" w:color="auto"/>
        <w:left w:val="none" w:sz="0" w:space="0" w:color="auto"/>
        <w:bottom w:val="none" w:sz="0" w:space="0" w:color="auto"/>
        <w:right w:val="none" w:sz="0" w:space="0" w:color="auto"/>
      </w:divBdr>
    </w:div>
    <w:div w:id="1826847861">
      <w:bodyDiv w:val="1"/>
      <w:marLeft w:val="0"/>
      <w:marRight w:val="0"/>
      <w:marTop w:val="0"/>
      <w:marBottom w:val="0"/>
      <w:divBdr>
        <w:top w:val="none" w:sz="0" w:space="0" w:color="auto"/>
        <w:left w:val="none" w:sz="0" w:space="0" w:color="auto"/>
        <w:bottom w:val="none" w:sz="0" w:space="0" w:color="auto"/>
        <w:right w:val="none" w:sz="0" w:space="0" w:color="auto"/>
      </w:divBdr>
    </w:div>
    <w:div w:id="1827084382">
      <w:bodyDiv w:val="1"/>
      <w:marLeft w:val="0"/>
      <w:marRight w:val="0"/>
      <w:marTop w:val="0"/>
      <w:marBottom w:val="0"/>
      <w:divBdr>
        <w:top w:val="none" w:sz="0" w:space="0" w:color="auto"/>
        <w:left w:val="none" w:sz="0" w:space="0" w:color="auto"/>
        <w:bottom w:val="none" w:sz="0" w:space="0" w:color="auto"/>
        <w:right w:val="none" w:sz="0" w:space="0" w:color="auto"/>
      </w:divBdr>
    </w:div>
    <w:div w:id="1827742733">
      <w:bodyDiv w:val="1"/>
      <w:marLeft w:val="0"/>
      <w:marRight w:val="0"/>
      <w:marTop w:val="0"/>
      <w:marBottom w:val="0"/>
      <w:divBdr>
        <w:top w:val="none" w:sz="0" w:space="0" w:color="auto"/>
        <w:left w:val="none" w:sz="0" w:space="0" w:color="auto"/>
        <w:bottom w:val="none" w:sz="0" w:space="0" w:color="auto"/>
        <w:right w:val="none" w:sz="0" w:space="0" w:color="auto"/>
      </w:divBdr>
    </w:div>
    <w:div w:id="1828276635">
      <w:bodyDiv w:val="1"/>
      <w:marLeft w:val="0"/>
      <w:marRight w:val="0"/>
      <w:marTop w:val="0"/>
      <w:marBottom w:val="0"/>
      <w:divBdr>
        <w:top w:val="none" w:sz="0" w:space="0" w:color="auto"/>
        <w:left w:val="none" w:sz="0" w:space="0" w:color="auto"/>
        <w:bottom w:val="none" w:sz="0" w:space="0" w:color="auto"/>
        <w:right w:val="none" w:sz="0" w:space="0" w:color="auto"/>
      </w:divBdr>
    </w:div>
    <w:div w:id="1828521544">
      <w:bodyDiv w:val="1"/>
      <w:marLeft w:val="0"/>
      <w:marRight w:val="0"/>
      <w:marTop w:val="0"/>
      <w:marBottom w:val="0"/>
      <w:divBdr>
        <w:top w:val="none" w:sz="0" w:space="0" w:color="auto"/>
        <w:left w:val="none" w:sz="0" w:space="0" w:color="auto"/>
        <w:bottom w:val="none" w:sz="0" w:space="0" w:color="auto"/>
        <w:right w:val="none" w:sz="0" w:space="0" w:color="auto"/>
      </w:divBdr>
    </w:div>
    <w:div w:id="1829244467">
      <w:bodyDiv w:val="1"/>
      <w:marLeft w:val="0"/>
      <w:marRight w:val="0"/>
      <w:marTop w:val="0"/>
      <w:marBottom w:val="0"/>
      <w:divBdr>
        <w:top w:val="none" w:sz="0" w:space="0" w:color="auto"/>
        <w:left w:val="none" w:sz="0" w:space="0" w:color="auto"/>
        <w:bottom w:val="none" w:sz="0" w:space="0" w:color="auto"/>
        <w:right w:val="none" w:sz="0" w:space="0" w:color="auto"/>
      </w:divBdr>
    </w:div>
    <w:div w:id="1829324467">
      <w:bodyDiv w:val="1"/>
      <w:marLeft w:val="0"/>
      <w:marRight w:val="0"/>
      <w:marTop w:val="0"/>
      <w:marBottom w:val="0"/>
      <w:divBdr>
        <w:top w:val="none" w:sz="0" w:space="0" w:color="auto"/>
        <w:left w:val="none" w:sz="0" w:space="0" w:color="auto"/>
        <w:bottom w:val="none" w:sz="0" w:space="0" w:color="auto"/>
        <w:right w:val="none" w:sz="0" w:space="0" w:color="auto"/>
      </w:divBdr>
    </w:div>
    <w:div w:id="1829592914">
      <w:bodyDiv w:val="1"/>
      <w:marLeft w:val="0"/>
      <w:marRight w:val="0"/>
      <w:marTop w:val="0"/>
      <w:marBottom w:val="0"/>
      <w:divBdr>
        <w:top w:val="none" w:sz="0" w:space="0" w:color="auto"/>
        <w:left w:val="none" w:sz="0" w:space="0" w:color="auto"/>
        <w:bottom w:val="none" w:sz="0" w:space="0" w:color="auto"/>
        <w:right w:val="none" w:sz="0" w:space="0" w:color="auto"/>
      </w:divBdr>
    </w:div>
    <w:div w:id="1829982162">
      <w:bodyDiv w:val="1"/>
      <w:marLeft w:val="0"/>
      <w:marRight w:val="0"/>
      <w:marTop w:val="0"/>
      <w:marBottom w:val="0"/>
      <w:divBdr>
        <w:top w:val="none" w:sz="0" w:space="0" w:color="auto"/>
        <w:left w:val="none" w:sz="0" w:space="0" w:color="auto"/>
        <w:bottom w:val="none" w:sz="0" w:space="0" w:color="auto"/>
        <w:right w:val="none" w:sz="0" w:space="0" w:color="auto"/>
      </w:divBdr>
    </w:div>
    <w:div w:id="1829982172">
      <w:bodyDiv w:val="1"/>
      <w:marLeft w:val="0"/>
      <w:marRight w:val="0"/>
      <w:marTop w:val="0"/>
      <w:marBottom w:val="0"/>
      <w:divBdr>
        <w:top w:val="none" w:sz="0" w:space="0" w:color="auto"/>
        <w:left w:val="none" w:sz="0" w:space="0" w:color="auto"/>
        <w:bottom w:val="none" w:sz="0" w:space="0" w:color="auto"/>
        <w:right w:val="none" w:sz="0" w:space="0" w:color="auto"/>
      </w:divBdr>
    </w:div>
    <w:div w:id="1831098577">
      <w:bodyDiv w:val="1"/>
      <w:marLeft w:val="0"/>
      <w:marRight w:val="0"/>
      <w:marTop w:val="0"/>
      <w:marBottom w:val="0"/>
      <w:divBdr>
        <w:top w:val="none" w:sz="0" w:space="0" w:color="auto"/>
        <w:left w:val="none" w:sz="0" w:space="0" w:color="auto"/>
        <w:bottom w:val="none" w:sz="0" w:space="0" w:color="auto"/>
        <w:right w:val="none" w:sz="0" w:space="0" w:color="auto"/>
      </w:divBdr>
    </w:div>
    <w:div w:id="1831286885">
      <w:bodyDiv w:val="1"/>
      <w:marLeft w:val="0"/>
      <w:marRight w:val="0"/>
      <w:marTop w:val="0"/>
      <w:marBottom w:val="0"/>
      <w:divBdr>
        <w:top w:val="none" w:sz="0" w:space="0" w:color="auto"/>
        <w:left w:val="none" w:sz="0" w:space="0" w:color="auto"/>
        <w:bottom w:val="none" w:sz="0" w:space="0" w:color="auto"/>
        <w:right w:val="none" w:sz="0" w:space="0" w:color="auto"/>
      </w:divBdr>
    </w:div>
    <w:div w:id="1832676181">
      <w:bodyDiv w:val="1"/>
      <w:marLeft w:val="0"/>
      <w:marRight w:val="0"/>
      <w:marTop w:val="0"/>
      <w:marBottom w:val="0"/>
      <w:divBdr>
        <w:top w:val="none" w:sz="0" w:space="0" w:color="auto"/>
        <w:left w:val="none" w:sz="0" w:space="0" w:color="auto"/>
        <w:bottom w:val="none" w:sz="0" w:space="0" w:color="auto"/>
        <w:right w:val="none" w:sz="0" w:space="0" w:color="auto"/>
      </w:divBdr>
    </w:div>
    <w:div w:id="1832869439">
      <w:bodyDiv w:val="1"/>
      <w:marLeft w:val="0"/>
      <w:marRight w:val="0"/>
      <w:marTop w:val="0"/>
      <w:marBottom w:val="0"/>
      <w:divBdr>
        <w:top w:val="none" w:sz="0" w:space="0" w:color="auto"/>
        <w:left w:val="none" w:sz="0" w:space="0" w:color="auto"/>
        <w:bottom w:val="none" w:sz="0" w:space="0" w:color="auto"/>
        <w:right w:val="none" w:sz="0" w:space="0" w:color="auto"/>
      </w:divBdr>
    </w:div>
    <w:div w:id="1833065171">
      <w:bodyDiv w:val="1"/>
      <w:marLeft w:val="0"/>
      <w:marRight w:val="0"/>
      <w:marTop w:val="0"/>
      <w:marBottom w:val="0"/>
      <w:divBdr>
        <w:top w:val="none" w:sz="0" w:space="0" w:color="auto"/>
        <w:left w:val="none" w:sz="0" w:space="0" w:color="auto"/>
        <w:bottom w:val="none" w:sz="0" w:space="0" w:color="auto"/>
        <w:right w:val="none" w:sz="0" w:space="0" w:color="auto"/>
      </w:divBdr>
    </w:div>
    <w:div w:id="1833177345">
      <w:bodyDiv w:val="1"/>
      <w:marLeft w:val="0"/>
      <w:marRight w:val="0"/>
      <w:marTop w:val="0"/>
      <w:marBottom w:val="0"/>
      <w:divBdr>
        <w:top w:val="none" w:sz="0" w:space="0" w:color="auto"/>
        <w:left w:val="none" w:sz="0" w:space="0" w:color="auto"/>
        <w:bottom w:val="none" w:sz="0" w:space="0" w:color="auto"/>
        <w:right w:val="none" w:sz="0" w:space="0" w:color="auto"/>
      </w:divBdr>
    </w:div>
    <w:div w:id="1834643333">
      <w:bodyDiv w:val="1"/>
      <w:marLeft w:val="0"/>
      <w:marRight w:val="0"/>
      <w:marTop w:val="0"/>
      <w:marBottom w:val="0"/>
      <w:divBdr>
        <w:top w:val="none" w:sz="0" w:space="0" w:color="auto"/>
        <w:left w:val="none" w:sz="0" w:space="0" w:color="auto"/>
        <w:bottom w:val="none" w:sz="0" w:space="0" w:color="auto"/>
        <w:right w:val="none" w:sz="0" w:space="0" w:color="auto"/>
      </w:divBdr>
    </w:div>
    <w:div w:id="1835141956">
      <w:bodyDiv w:val="1"/>
      <w:marLeft w:val="0"/>
      <w:marRight w:val="0"/>
      <w:marTop w:val="0"/>
      <w:marBottom w:val="0"/>
      <w:divBdr>
        <w:top w:val="none" w:sz="0" w:space="0" w:color="auto"/>
        <w:left w:val="none" w:sz="0" w:space="0" w:color="auto"/>
        <w:bottom w:val="none" w:sz="0" w:space="0" w:color="auto"/>
        <w:right w:val="none" w:sz="0" w:space="0" w:color="auto"/>
      </w:divBdr>
    </w:div>
    <w:div w:id="1835484988">
      <w:bodyDiv w:val="1"/>
      <w:marLeft w:val="0"/>
      <w:marRight w:val="0"/>
      <w:marTop w:val="0"/>
      <w:marBottom w:val="0"/>
      <w:divBdr>
        <w:top w:val="none" w:sz="0" w:space="0" w:color="auto"/>
        <w:left w:val="none" w:sz="0" w:space="0" w:color="auto"/>
        <w:bottom w:val="none" w:sz="0" w:space="0" w:color="auto"/>
        <w:right w:val="none" w:sz="0" w:space="0" w:color="auto"/>
      </w:divBdr>
    </w:div>
    <w:div w:id="1836070236">
      <w:bodyDiv w:val="1"/>
      <w:marLeft w:val="0"/>
      <w:marRight w:val="0"/>
      <w:marTop w:val="0"/>
      <w:marBottom w:val="0"/>
      <w:divBdr>
        <w:top w:val="none" w:sz="0" w:space="0" w:color="auto"/>
        <w:left w:val="none" w:sz="0" w:space="0" w:color="auto"/>
        <w:bottom w:val="none" w:sz="0" w:space="0" w:color="auto"/>
        <w:right w:val="none" w:sz="0" w:space="0" w:color="auto"/>
      </w:divBdr>
    </w:div>
    <w:div w:id="1838227238">
      <w:bodyDiv w:val="1"/>
      <w:marLeft w:val="0"/>
      <w:marRight w:val="0"/>
      <w:marTop w:val="0"/>
      <w:marBottom w:val="0"/>
      <w:divBdr>
        <w:top w:val="none" w:sz="0" w:space="0" w:color="auto"/>
        <w:left w:val="none" w:sz="0" w:space="0" w:color="auto"/>
        <w:bottom w:val="none" w:sz="0" w:space="0" w:color="auto"/>
        <w:right w:val="none" w:sz="0" w:space="0" w:color="auto"/>
      </w:divBdr>
    </w:div>
    <w:div w:id="1838613851">
      <w:bodyDiv w:val="1"/>
      <w:marLeft w:val="0"/>
      <w:marRight w:val="0"/>
      <w:marTop w:val="0"/>
      <w:marBottom w:val="0"/>
      <w:divBdr>
        <w:top w:val="none" w:sz="0" w:space="0" w:color="auto"/>
        <w:left w:val="none" w:sz="0" w:space="0" w:color="auto"/>
        <w:bottom w:val="none" w:sz="0" w:space="0" w:color="auto"/>
        <w:right w:val="none" w:sz="0" w:space="0" w:color="auto"/>
      </w:divBdr>
    </w:div>
    <w:div w:id="1838693460">
      <w:bodyDiv w:val="1"/>
      <w:marLeft w:val="0"/>
      <w:marRight w:val="0"/>
      <w:marTop w:val="0"/>
      <w:marBottom w:val="0"/>
      <w:divBdr>
        <w:top w:val="none" w:sz="0" w:space="0" w:color="auto"/>
        <w:left w:val="none" w:sz="0" w:space="0" w:color="auto"/>
        <w:bottom w:val="none" w:sz="0" w:space="0" w:color="auto"/>
        <w:right w:val="none" w:sz="0" w:space="0" w:color="auto"/>
      </w:divBdr>
    </w:div>
    <w:div w:id="1838760637">
      <w:bodyDiv w:val="1"/>
      <w:marLeft w:val="0"/>
      <w:marRight w:val="0"/>
      <w:marTop w:val="0"/>
      <w:marBottom w:val="0"/>
      <w:divBdr>
        <w:top w:val="none" w:sz="0" w:space="0" w:color="auto"/>
        <w:left w:val="none" w:sz="0" w:space="0" w:color="auto"/>
        <w:bottom w:val="none" w:sz="0" w:space="0" w:color="auto"/>
        <w:right w:val="none" w:sz="0" w:space="0" w:color="auto"/>
      </w:divBdr>
    </w:div>
    <w:div w:id="1840273137">
      <w:bodyDiv w:val="1"/>
      <w:marLeft w:val="0"/>
      <w:marRight w:val="0"/>
      <w:marTop w:val="0"/>
      <w:marBottom w:val="0"/>
      <w:divBdr>
        <w:top w:val="none" w:sz="0" w:space="0" w:color="auto"/>
        <w:left w:val="none" w:sz="0" w:space="0" w:color="auto"/>
        <w:bottom w:val="none" w:sz="0" w:space="0" w:color="auto"/>
        <w:right w:val="none" w:sz="0" w:space="0" w:color="auto"/>
      </w:divBdr>
    </w:div>
    <w:div w:id="1840391208">
      <w:bodyDiv w:val="1"/>
      <w:marLeft w:val="0"/>
      <w:marRight w:val="0"/>
      <w:marTop w:val="0"/>
      <w:marBottom w:val="0"/>
      <w:divBdr>
        <w:top w:val="none" w:sz="0" w:space="0" w:color="auto"/>
        <w:left w:val="none" w:sz="0" w:space="0" w:color="auto"/>
        <w:bottom w:val="none" w:sz="0" w:space="0" w:color="auto"/>
        <w:right w:val="none" w:sz="0" w:space="0" w:color="auto"/>
      </w:divBdr>
    </w:div>
    <w:div w:id="1840540572">
      <w:bodyDiv w:val="1"/>
      <w:marLeft w:val="0"/>
      <w:marRight w:val="0"/>
      <w:marTop w:val="0"/>
      <w:marBottom w:val="0"/>
      <w:divBdr>
        <w:top w:val="none" w:sz="0" w:space="0" w:color="auto"/>
        <w:left w:val="none" w:sz="0" w:space="0" w:color="auto"/>
        <w:bottom w:val="none" w:sz="0" w:space="0" w:color="auto"/>
        <w:right w:val="none" w:sz="0" w:space="0" w:color="auto"/>
      </w:divBdr>
    </w:div>
    <w:div w:id="1840655477">
      <w:bodyDiv w:val="1"/>
      <w:marLeft w:val="0"/>
      <w:marRight w:val="0"/>
      <w:marTop w:val="0"/>
      <w:marBottom w:val="0"/>
      <w:divBdr>
        <w:top w:val="none" w:sz="0" w:space="0" w:color="auto"/>
        <w:left w:val="none" w:sz="0" w:space="0" w:color="auto"/>
        <w:bottom w:val="none" w:sz="0" w:space="0" w:color="auto"/>
        <w:right w:val="none" w:sz="0" w:space="0" w:color="auto"/>
      </w:divBdr>
    </w:div>
    <w:div w:id="1840925476">
      <w:bodyDiv w:val="1"/>
      <w:marLeft w:val="0"/>
      <w:marRight w:val="0"/>
      <w:marTop w:val="0"/>
      <w:marBottom w:val="0"/>
      <w:divBdr>
        <w:top w:val="none" w:sz="0" w:space="0" w:color="auto"/>
        <w:left w:val="none" w:sz="0" w:space="0" w:color="auto"/>
        <w:bottom w:val="none" w:sz="0" w:space="0" w:color="auto"/>
        <w:right w:val="none" w:sz="0" w:space="0" w:color="auto"/>
      </w:divBdr>
    </w:div>
    <w:div w:id="1841188487">
      <w:bodyDiv w:val="1"/>
      <w:marLeft w:val="0"/>
      <w:marRight w:val="0"/>
      <w:marTop w:val="0"/>
      <w:marBottom w:val="0"/>
      <w:divBdr>
        <w:top w:val="none" w:sz="0" w:space="0" w:color="auto"/>
        <w:left w:val="none" w:sz="0" w:space="0" w:color="auto"/>
        <w:bottom w:val="none" w:sz="0" w:space="0" w:color="auto"/>
        <w:right w:val="none" w:sz="0" w:space="0" w:color="auto"/>
      </w:divBdr>
    </w:div>
    <w:div w:id="1841462756">
      <w:bodyDiv w:val="1"/>
      <w:marLeft w:val="0"/>
      <w:marRight w:val="0"/>
      <w:marTop w:val="0"/>
      <w:marBottom w:val="0"/>
      <w:divBdr>
        <w:top w:val="none" w:sz="0" w:space="0" w:color="auto"/>
        <w:left w:val="none" w:sz="0" w:space="0" w:color="auto"/>
        <w:bottom w:val="none" w:sz="0" w:space="0" w:color="auto"/>
        <w:right w:val="none" w:sz="0" w:space="0" w:color="auto"/>
      </w:divBdr>
    </w:div>
    <w:div w:id="1841772395">
      <w:bodyDiv w:val="1"/>
      <w:marLeft w:val="0"/>
      <w:marRight w:val="0"/>
      <w:marTop w:val="0"/>
      <w:marBottom w:val="0"/>
      <w:divBdr>
        <w:top w:val="none" w:sz="0" w:space="0" w:color="auto"/>
        <w:left w:val="none" w:sz="0" w:space="0" w:color="auto"/>
        <w:bottom w:val="none" w:sz="0" w:space="0" w:color="auto"/>
        <w:right w:val="none" w:sz="0" w:space="0" w:color="auto"/>
      </w:divBdr>
    </w:div>
    <w:div w:id="1842155341">
      <w:bodyDiv w:val="1"/>
      <w:marLeft w:val="0"/>
      <w:marRight w:val="0"/>
      <w:marTop w:val="0"/>
      <w:marBottom w:val="0"/>
      <w:divBdr>
        <w:top w:val="none" w:sz="0" w:space="0" w:color="auto"/>
        <w:left w:val="none" w:sz="0" w:space="0" w:color="auto"/>
        <w:bottom w:val="none" w:sz="0" w:space="0" w:color="auto"/>
        <w:right w:val="none" w:sz="0" w:space="0" w:color="auto"/>
      </w:divBdr>
    </w:div>
    <w:div w:id="1842500859">
      <w:bodyDiv w:val="1"/>
      <w:marLeft w:val="0"/>
      <w:marRight w:val="0"/>
      <w:marTop w:val="0"/>
      <w:marBottom w:val="0"/>
      <w:divBdr>
        <w:top w:val="none" w:sz="0" w:space="0" w:color="auto"/>
        <w:left w:val="none" w:sz="0" w:space="0" w:color="auto"/>
        <w:bottom w:val="none" w:sz="0" w:space="0" w:color="auto"/>
        <w:right w:val="none" w:sz="0" w:space="0" w:color="auto"/>
      </w:divBdr>
    </w:div>
    <w:div w:id="1842575045">
      <w:bodyDiv w:val="1"/>
      <w:marLeft w:val="0"/>
      <w:marRight w:val="0"/>
      <w:marTop w:val="0"/>
      <w:marBottom w:val="0"/>
      <w:divBdr>
        <w:top w:val="none" w:sz="0" w:space="0" w:color="auto"/>
        <w:left w:val="none" w:sz="0" w:space="0" w:color="auto"/>
        <w:bottom w:val="none" w:sz="0" w:space="0" w:color="auto"/>
        <w:right w:val="none" w:sz="0" w:space="0" w:color="auto"/>
      </w:divBdr>
    </w:div>
    <w:div w:id="1843082703">
      <w:bodyDiv w:val="1"/>
      <w:marLeft w:val="0"/>
      <w:marRight w:val="0"/>
      <w:marTop w:val="0"/>
      <w:marBottom w:val="0"/>
      <w:divBdr>
        <w:top w:val="none" w:sz="0" w:space="0" w:color="auto"/>
        <w:left w:val="none" w:sz="0" w:space="0" w:color="auto"/>
        <w:bottom w:val="none" w:sz="0" w:space="0" w:color="auto"/>
        <w:right w:val="none" w:sz="0" w:space="0" w:color="auto"/>
      </w:divBdr>
    </w:div>
    <w:div w:id="1843205146">
      <w:bodyDiv w:val="1"/>
      <w:marLeft w:val="0"/>
      <w:marRight w:val="0"/>
      <w:marTop w:val="0"/>
      <w:marBottom w:val="0"/>
      <w:divBdr>
        <w:top w:val="none" w:sz="0" w:space="0" w:color="auto"/>
        <w:left w:val="none" w:sz="0" w:space="0" w:color="auto"/>
        <w:bottom w:val="none" w:sz="0" w:space="0" w:color="auto"/>
        <w:right w:val="none" w:sz="0" w:space="0" w:color="auto"/>
      </w:divBdr>
    </w:div>
    <w:div w:id="1843661295">
      <w:bodyDiv w:val="1"/>
      <w:marLeft w:val="0"/>
      <w:marRight w:val="0"/>
      <w:marTop w:val="0"/>
      <w:marBottom w:val="0"/>
      <w:divBdr>
        <w:top w:val="none" w:sz="0" w:space="0" w:color="auto"/>
        <w:left w:val="none" w:sz="0" w:space="0" w:color="auto"/>
        <w:bottom w:val="none" w:sz="0" w:space="0" w:color="auto"/>
        <w:right w:val="none" w:sz="0" w:space="0" w:color="auto"/>
      </w:divBdr>
    </w:div>
    <w:div w:id="1843856216">
      <w:bodyDiv w:val="1"/>
      <w:marLeft w:val="0"/>
      <w:marRight w:val="0"/>
      <w:marTop w:val="0"/>
      <w:marBottom w:val="0"/>
      <w:divBdr>
        <w:top w:val="none" w:sz="0" w:space="0" w:color="auto"/>
        <w:left w:val="none" w:sz="0" w:space="0" w:color="auto"/>
        <w:bottom w:val="none" w:sz="0" w:space="0" w:color="auto"/>
        <w:right w:val="none" w:sz="0" w:space="0" w:color="auto"/>
      </w:divBdr>
    </w:div>
    <w:div w:id="1844126162">
      <w:bodyDiv w:val="1"/>
      <w:marLeft w:val="0"/>
      <w:marRight w:val="0"/>
      <w:marTop w:val="0"/>
      <w:marBottom w:val="0"/>
      <w:divBdr>
        <w:top w:val="none" w:sz="0" w:space="0" w:color="auto"/>
        <w:left w:val="none" w:sz="0" w:space="0" w:color="auto"/>
        <w:bottom w:val="none" w:sz="0" w:space="0" w:color="auto"/>
        <w:right w:val="none" w:sz="0" w:space="0" w:color="auto"/>
      </w:divBdr>
    </w:div>
    <w:div w:id="1844474238">
      <w:bodyDiv w:val="1"/>
      <w:marLeft w:val="0"/>
      <w:marRight w:val="0"/>
      <w:marTop w:val="0"/>
      <w:marBottom w:val="0"/>
      <w:divBdr>
        <w:top w:val="none" w:sz="0" w:space="0" w:color="auto"/>
        <w:left w:val="none" w:sz="0" w:space="0" w:color="auto"/>
        <w:bottom w:val="none" w:sz="0" w:space="0" w:color="auto"/>
        <w:right w:val="none" w:sz="0" w:space="0" w:color="auto"/>
      </w:divBdr>
    </w:div>
    <w:div w:id="1844511250">
      <w:bodyDiv w:val="1"/>
      <w:marLeft w:val="0"/>
      <w:marRight w:val="0"/>
      <w:marTop w:val="0"/>
      <w:marBottom w:val="0"/>
      <w:divBdr>
        <w:top w:val="none" w:sz="0" w:space="0" w:color="auto"/>
        <w:left w:val="none" w:sz="0" w:space="0" w:color="auto"/>
        <w:bottom w:val="none" w:sz="0" w:space="0" w:color="auto"/>
        <w:right w:val="none" w:sz="0" w:space="0" w:color="auto"/>
      </w:divBdr>
    </w:div>
    <w:div w:id="1846241361">
      <w:bodyDiv w:val="1"/>
      <w:marLeft w:val="0"/>
      <w:marRight w:val="0"/>
      <w:marTop w:val="0"/>
      <w:marBottom w:val="0"/>
      <w:divBdr>
        <w:top w:val="none" w:sz="0" w:space="0" w:color="auto"/>
        <w:left w:val="none" w:sz="0" w:space="0" w:color="auto"/>
        <w:bottom w:val="none" w:sz="0" w:space="0" w:color="auto"/>
        <w:right w:val="none" w:sz="0" w:space="0" w:color="auto"/>
      </w:divBdr>
    </w:div>
    <w:div w:id="1847135913">
      <w:bodyDiv w:val="1"/>
      <w:marLeft w:val="0"/>
      <w:marRight w:val="0"/>
      <w:marTop w:val="0"/>
      <w:marBottom w:val="0"/>
      <w:divBdr>
        <w:top w:val="none" w:sz="0" w:space="0" w:color="auto"/>
        <w:left w:val="none" w:sz="0" w:space="0" w:color="auto"/>
        <w:bottom w:val="none" w:sz="0" w:space="0" w:color="auto"/>
        <w:right w:val="none" w:sz="0" w:space="0" w:color="auto"/>
      </w:divBdr>
    </w:div>
    <w:div w:id="184716404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7859011">
      <w:bodyDiv w:val="1"/>
      <w:marLeft w:val="0"/>
      <w:marRight w:val="0"/>
      <w:marTop w:val="0"/>
      <w:marBottom w:val="0"/>
      <w:divBdr>
        <w:top w:val="none" w:sz="0" w:space="0" w:color="auto"/>
        <w:left w:val="none" w:sz="0" w:space="0" w:color="auto"/>
        <w:bottom w:val="none" w:sz="0" w:space="0" w:color="auto"/>
        <w:right w:val="none" w:sz="0" w:space="0" w:color="auto"/>
      </w:divBdr>
    </w:div>
    <w:div w:id="1848055808">
      <w:bodyDiv w:val="1"/>
      <w:marLeft w:val="0"/>
      <w:marRight w:val="0"/>
      <w:marTop w:val="0"/>
      <w:marBottom w:val="0"/>
      <w:divBdr>
        <w:top w:val="none" w:sz="0" w:space="0" w:color="auto"/>
        <w:left w:val="none" w:sz="0" w:space="0" w:color="auto"/>
        <w:bottom w:val="none" w:sz="0" w:space="0" w:color="auto"/>
        <w:right w:val="none" w:sz="0" w:space="0" w:color="auto"/>
      </w:divBdr>
    </w:div>
    <w:div w:id="1848058643">
      <w:bodyDiv w:val="1"/>
      <w:marLeft w:val="0"/>
      <w:marRight w:val="0"/>
      <w:marTop w:val="0"/>
      <w:marBottom w:val="0"/>
      <w:divBdr>
        <w:top w:val="none" w:sz="0" w:space="0" w:color="auto"/>
        <w:left w:val="none" w:sz="0" w:space="0" w:color="auto"/>
        <w:bottom w:val="none" w:sz="0" w:space="0" w:color="auto"/>
        <w:right w:val="none" w:sz="0" w:space="0" w:color="auto"/>
      </w:divBdr>
    </w:div>
    <w:div w:id="1848323761">
      <w:bodyDiv w:val="1"/>
      <w:marLeft w:val="0"/>
      <w:marRight w:val="0"/>
      <w:marTop w:val="0"/>
      <w:marBottom w:val="0"/>
      <w:divBdr>
        <w:top w:val="none" w:sz="0" w:space="0" w:color="auto"/>
        <w:left w:val="none" w:sz="0" w:space="0" w:color="auto"/>
        <w:bottom w:val="none" w:sz="0" w:space="0" w:color="auto"/>
        <w:right w:val="none" w:sz="0" w:space="0" w:color="auto"/>
      </w:divBdr>
    </w:div>
    <w:div w:id="1848665640">
      <w:bodyDiv w:val="1"/>
      <w:marLeft w:val="0"/>
      <w:marRight w:val="0"/>
      <w:marTop w:val="0"/>
      <w:marBottom w:val="0"/>
      <w:divBdr>
        <w:top w:val="none" w:sz="0" w:space="0" w:color="auto"/>
        <w:left w:val="none" w:sz="0" w:space="0" w:color="auto"/>
        <w:bottom w:val="none" w:sz="0" w:space="0" w:color="auto"/>
        <w:right w:val="none" w:sz="0" w:space="0" w:color="auto"/>
      </w:divBdr>
    </w:div>
    <w:div w:id="1848716332">
      <w:bodyDiv w:val="1"/>
      <w:marLeft w:val="0"/>
      <w:marRight w:val="0"/>
      <w:marTop w:val="0"/>
      <w:marBottom w:val="0"/>
      <w:divBdr>
        <w:top w:val="none" w:sz="0" w:space="0" w:color="auto"/>
        <w:left w:val="none" w:sz="0" w:space="0" w:color="auto"/>
        <w:bottom w:val="none" w:sz="0" w:space="0" w:color="auto"/>
        <w:right w:val="none" w:sz="0" w:space="0" w:color="auto"/>
      </w:divBdr>
    </w:div>
    <w:div w:id="1848978894">
      <w:bodyDiv w:val="1"/>
      <w:marLeft w:val="0"/>
      <w:marRight w:val="0"/>
      <w:marTop w:val="0"/>
      <w:marBottom w:val="0"/>
      <w:divBdr>
        <w:top w:val="none" w:sz="0" w:space="0" w:color="auto"/>
        <w:left w:val="none" w:sz="0" w:space="0" w:color="auto"/>
        <w:bottom w:val="none" w:sz="0" w:space="0" w:color="auto"/>
        <w:right w:val="none" w:sz="0" w:space="0" w:color="auto"/>
      </w:divBdr>
    </w:div>
    <w:div w:id="1848980379">
      <w:bodyDiv w:val="1"/>
      <w:marLeft w:val="0"/>
      <w:marRight w:val="0"/>
      <w:marTop w:val="0"/>
      <w:marBottom w:val="0"/>
      <w:divBdr>
        <w:top w:val="none" w:sz="0" w:space="0" w:color="auto"/>
        <w:left w:val="none" w:sz="0" w:space="0" w:color="auto"/>
        <w:bottom w:val="none" w:sz="0" w:space="0" w:color="auto"/>
        <w:right w:val="none" w:sz="0" w:space="0" w:color="auto"/>
      </w:divBdr>
    </w:div>
    <w:div w:id="1849784921">
      <w:bodyDiv w:val="1"/>
      <w:marLeft w:val="0"/>
      <w:marRight w:val="0"/>
      <w:marTop w:val="0"/>
      <w:marBottom w:val="0"/>
      <w:divBdr>
        <w:top w:val="none" w:sz="0" w:space="0" w:color="auto"/>
        <w:left w:val="none" w:sz="0" w:space="0" w:color="auto"/>
        <w:bottom w:val="none" w:sz="0" w:space="0" w:color="auto"/>
        <w:right w:val="none" w:sz="0" w:space="0" w:color="auto"/>
      </w:divBdr>
    </w:div>
    <w:div w:id="1851019222">
      <w:bodyDiv w:val="1"/>
      <w:marLeft w:val="0"/>
      <w:marRight w:val="0"/>
      <w:marTop w:val="0"/>
      <w:marBottom w:val="0"/>
      <w:divBdr>
        <w:top w:val="none" w:sz="0" w:space="0" w:color="auto"/>
        <w:left w:val="none" w:sz="0" w:space="0" w:color="auto"/>
        <w:bottom w:val="none" w:sz="0" w:space="0" w:color="auto"/>
        <w:right w:val="none" w:sz="0" w:space="0" w:color="auto"/>
      </w:divBdr>
    </w:div>
    <w:div w:id="1851067312">
      <w:bodyDiv w:val="1"/>
      <w:marLeft w:val="0"/>
      <w:marRight w:val="0"/>
      <w:marTop w:val="0"/>
      <w:marBottom w:val="0"/>
      <w:divBdr>
        <w:top w:val="none" w:sz="0" w:space="0" w:color="auto"/>
        <w:left w:val="none" w:sz="0" w:space="0" w:color="auto"/>
        <w:bottom w:val="none" w:sz="0" w:space="0" w:color="auto"/>
        <w:right w:val="none" w:sz="0" w:space="0" w:color="auto"/>
      </w:divBdr>
    </w:div>
    <w:div w:id="1851143786">
      <w:bodyDiv w:val="1"/>
      <w:marLeft w:val="0"/>
      <w:marRight w:val="0"/>
      <w:marTop w:val="0"/>
      <w:marBottom w:val="0"/>
      <w:divBdr>
        <w:top w:val="none" w:sz="0" w:space="0" w:color="auto"/>
        <w:left w:val="none" w:sz="0" w:space="0" w:color="auto"/>
        <w:bottom w:val="none" w:sz="0" w:space="0" w:color="auto"/>
        <w:right w:val="none" w:sz="0" w:space="0" w:color="auto"/>
      </w:divBdr>
    </w:div>
    <w:div w:id="1851679526">
      <w:bodyDiv w:val="1"/>
      <w:marLeft w:val="0"/>
      <w:marRight w:val="0"/>
      <w:marTop w:val="0"/>
      <w:marBottom w:val="0"/>
      <w:divBdr>
        <w:top w:val="none" w:sz="0" w:space="0" w:color="auto"/>
        <w:left w:val="none" w:sz="0" w:space="0" w:color="auto"/>
        <w:bottom w:val="none" w:sz="0" w:space="0" w:color="auto"/>
        <w:right w:val="none" w:sz="0" w:space="0" w:color="auto"/>
      </w:divBdr>
    </w:div>
    <w:div w:id="1852141969">
      <w:bodyDiv w:val="1"/>
      <w:marLeft w:val="0"/>
      <w:marRight w:val="0"/>
      <w:marTop w:val="0"/>
      <w:marBottom w:val="0"/>
      <w:divBdr>
        <w:top w:val="none" w:sz="0" w:space="0" w:color="auto"/>
        <w:left w:val="none" w:sz="0" w:space="0" w:color="auto"/>
        <w:bottom w:val="none" w:sz="0" w:space="0" w:color="auto"/>
        <w:right w:val="none" w:sz="0" w:space="0" w:color="auto"/>
      </w:divBdr>
    </w:div>
    <w:div w:id="1853256349">
      <w:bodyDiv w:val="1"/>
      <w:marLeft w:val="0"/>
      <w:marRight w:val="0"/>
      <w:marTop w:val="0"/>
      <w:marBottom w:val="0"/>
      <w:divBdr>
        <w:top w:val="none" w:sz="0" w:space="0" w:color="auto"/>
        <w:left w:val="none" w:sz="0" w:space="0" w:color="auto"/>
        <w:bottom w:val="none" w:sz="0" w:space="0" w:color="auto"/>
        <w:right w:val="none" w:sz="0" w:space="0" w:color="auto"/>
      </w:divBdr>
    </w:div>
    <w:div w:id="1853490194">
      <w:bodyDiv w:val="1"/>
      <w:marLeft w:val="0"/>
      <w:marRight w:val="0"/>
      <w:marTop w:val="0"/>
      <w:marBottom w:val="0"/>
      <w:divBdr>
        <w:top w:val="none" w:sz="0" w:space="0" w:color="auto"/>
        <w:left w:val="none" w:sz="0" w:space="0" w:color="auto"/>
        <w:bottom w:val="none" w:sz="0" w:space="0" w:color="auto"/>
        <w:right w:val="none" w:sz="0" w:space="0" w:color="auto"/>
      </w:divBdr>
    </w:div>
    <w:div w:id="1854152706">
      <w:bodyDiv w:val="1"/>
      <w:marLeft w:val="0"/>
      <w:marRight w:val="0"/>
      <w:marTop w:val="0"/>
      <w:marBottom w:val="0"/>
      <w:divBdr>
        <w:top w:val="none" w:sz="0" w:space="0" w:color="auto"/>
        <w:left w:val="none" w:sz="0" w:space="0" w:color="auto"/>
        <w:bottom w:val="none" w:sz="0" w:space="0" w:color="auto"/>
        <w:right w:val="none" w:sz="0" w:space="0" w:color="auto"/>
      </w:divBdr>
    </w:div>
    <w:div w:id="1854223511">
      <w:bodyDiv w:val="1"/>
      <w:marLeft w:val="0"/>
      <w:marRight w:val="0"/>
      <w:marTop w:val="0"/>
      <w:marBottom w:val="0"/>
      <w:divBdr>
        <w:top w:val="none" w:sz="0" w:space="0" w:color="auto"/>
        <w:left w:val="none" w:sz="0" w:space="0" w:color="auto"/>
        <w:bottom w:val="none" w:sz="0" w:space="0" w:color="auto"/>
        <w:right w:val="none" w:sz="0" w:space="0" w:color="auto"/>
      </w:divBdr>
    </w:div>
    <w:div w:id="1854568228">
      <w:bodyDiv w:val="1"/>
      <w:marLeft w:val="0"/>
      <w:marRight w:val="0"/>
      <w:marTop w:val="0"/>
      <w:marBottom w:val="0"/>
      <w:divBdr>
        <w:top w:val="none" w:sz="0" w:space="0" w:color="auto"/>
        <w:left w:val="none" w:sz="0" w:space="0" w:color="auto"/>
        <w:bottom w:val="none" w:sz="0" w:space="0" w:color="auto"/>
        <w:right w:val="none" w:sz="0" w:space="0" w:color="auto"/>
      </w:divBdr>
    </w:div>
    <w:div w:id="1855223842">
      <w:bodyDiv w:val="1"/>
      <w:marLeft w:val="0"/>
      <w:marRight w:val="0"/>
      <w:marTop w:val="0"/>
      <w:marBottom w:val="0"/>
      <w:divBdr>
        <w:top w:val="none" w:sz="0" w:space="0" w:color="auto"/>
        <w:left w:val="none" w:sz="0" w:space="0" w:color="auto"/>
        <w:bottom w:val="none" w:sz="0" w:space="0" w:color="auto"/>
        <w:right w:val="none" w:sz="0" w:space="0" w:color="auto"/>
      </w:divBdr>
    </w:div>
    <w:div w:id="1855418626">
      <w:bodyDiv w:val="1"/>
      <w:marLeft w:val="0"/>
      <w:marRight w:val="0"/>
      <w:marTop w:val="0"/>
      <w:marBottom w:val="0"/>
      <w:divBdr>
        <w:top w:val="none" w:sz="0" w:space="0" w:color="auto"/>
        <w:left w:val="none" w:sz="0" w:space="0" w:color="auto"/>
        <w:bottom w:val="none" w:sz="0" w:space="0" w:color="auto"/>
        <w:right w:val="none" w:sz="0" w:space="0" w:color="auto"/>
      </w:divBdr>
    </w:div>
    <w:div w:id="1855654965">
      <w:bodyDiv w:val="1"/>
      <w:marLeft w:val="0"/>
      <w:marRight w:val="0"/>
      <w:marTop w:val="0"/>
      <w:marBottom w:val="0"/>
      <w:divBdr>
        <w:top w:val="none" w:sz="0" w:space="0" w:color="auto"/>
        <w:left w:val="none" w:sz="0" w:space="0" w:color="auto"/>
        <w:bottom w:val="none" w:sz="0" w:space="0" w:color="auto"/>
        <w:right w:val="none" w:sz="0" w:space="0" w:color="auto"/>
      </w:divBdr>
    </w:div>
    <w:div w:id="1855876574">
      <w:bodyDiv w:val="1"/>
      <w:marLeft w:val="0"/>
      <w:marRight w:val="0"/>
      <w:marTop w:val="0"/>
      <w:marBottom w:val="0"/>
      <w:divBdr>
        <w:top w:val="none" w:sz="0" w:space="0" w:color="auto"/>
        <w:left w:val="none" w:sz="0" w:space="0" w:color="auto"/>
        <w:bottom w:val="none" w:sz="0" w:space="0" w:color="auto"/>
        <w:right w:val="none" w:sz="0" w:space="0" w:color="auto"/>
      </w:divBdr>
    </w:div>
    <w:div w:id="1855995979">
      <w:bodyDiv w:val="1"/>
      <w:marLeft w:val="0"/>
      <w:marRight w:val="0"/>
      <w:marTop w:val="0"/>
      <w:marBottom w:val="0"/>
      <w:divBdr>
        <w:top w:val="none" w:sz="0" w:space="0" w:color="auto"/>
        <w:left w:val="none" w:sz="0" w:space="0" w:color="auto"/>
        <w:bottom w:val="none" w:sz="0" w:space="0" w:color="auto"/>
        <w:right w:val="none" w:sz="0" w:space="0" w:color="auto"/>
      </w:divBdr>
    </w:div>
    <w:div w:id="1856919787">
      <w:bodyDiv w:val="1"/>
      <w:marLeft w:val="0"/>
      <w:marRight w:val="0"/>
      <w:marTop w:val="0"/>
      <w:marBottom w:val="0"/>
      <w:divBdr>
        <w:top w:val="none" w:sz="0" w:space="0" w:color="auto"/>
        <w:left w:val="none" w:sz="0" w:space="0" w:color="auto"/>
        <w:bottom w:val="none" w:sz="0" w:space="0" w:color="auto"/>
        <w:right w:val="none" w:sz="0" w:space="0" w:color="auto"/>
      </w:divBdr>
    </w:div>
    <w:div w:id="1857384028">
      <w:bodyDiv w:val="1"/>
      <w:marLeft w:val="0"/>
      <w:marRight w:val="0"/>
      <w:marTop w:val="0"/>
      <w:marBottom w:val="0"/>
      <w:divBdr>
        <w:top w:val="none" w:sz="0" w:space="0" w:color="auto"/>
        <w:left w:val="none" w:sz="0" w:space="0" w:color="auto"/>
        <w:bottom w:val="none" w:sz="0" w:space="0" w:color="auto"/>
        <w:right w:val="none" w:sz="0" w:space="0" w:color="auto"/>
      </w:divBdr>
    </w:div>
    <w:div w:id="1857501091">
      <w:bodyDiv w:val="1"/>
      <w:marLeft w:val="0"/>
      <w:marRight w:val="0"/>
      <w:marTop w:val="0"/>
      <w:marBottom w:val="0"/>
      <w:divBdr>
        <w:top w:val="none" w:sz="0" w:space="0" w:color="auto"/>
        <w:left w:val="none" w:sz="0" w:space="0" w:color="auto"/>
        <w:bottom w:val="none" w:sz="0" w:space="0" w:color="auto"/>
        <w:right w:val="none" w:sz="0" w:space="0" w:color="auto"/>
      </w:divBdr>
    </w:div>
    <w:div w:id="1857503058">
      <w:bodyDiv w:val="1"/>
      <w:marLeft w:val="0"/>
      <w:marRight w:val="0"/>
      <w:marTop w:val="0"/>
      <w:marBottom w:val="0"/>
      <w:divBdr>
        <w:top w:val="none" w:sz="0" w:space="0" w:color="auto"/>
        <w:left w:val="none" w:sz="0" w:space="0" w:color="auto"/>
        <w:bottom w:val="none" w:sz="0" w:space="0" w:color="auto"/>
        <w:right w:val="none" w:sz="0" w:space="0" w:color="auto"/>
      </w:divBdr>
    </w:div>
    <w:div w:id="1857959188">
      <w:bodyDiv w:val="1"/>
      <w:marLeft w:val="0"/>
      <w:marRight w:val="0"/>
      <w:marTop w:val="0"/>
      <w:marBottom w:val="0"/>
      <w:divBdr>
        <w:top w:val="none" w:sz="0" w:space="0" w:color="auto"/>
        <w:left w:val="none" w:sz="0" w:space="0" w:color="auto"/>
        <w:bottom w:val="none" w:sz="0" w:space="0" w:color="auto"/>
        <w:right w:val="none" w:sz="0" w:space="0" w:color="auto"/>
      </w:divBdr>
    </w:div>
    <w:div w:id="1858612329">
      <w:bodyDiv w:val="1"/>
      <w:marLeft w:val="0"/>
      <w:marRight w:val="0"/>
      <w:marTop w:val="0"/>
      <w:marBottom w:val="0"/>
      <w:divBdr>
        <w:top w:val="none" w:sz="0" w:space="0" w:color="auto"/>
        <w:left w:val="none" w:sz="0" w:space="0" w:color="auto"/>
        <w:bottom w:val="none" w:sz="0" w:space="0" w:color="auto"/>
        <w:right w:val="none" w:sz="0" w:space="0" w:color="auto"/>
      </w:divBdr>
    </w:div>
    <w:div w:id="1859806171">
      <w:bodyDiv w:val="1"/>
      <w:marLeft w:val="0"/>
      <w:marRight w:val="0"/>
      <w:marTop w:val="0"/>
      <w:marBottom w:val="0"/>
      <w:divBdr>
        <w:top w:val="none" w:sz="0" w:space="0" w:color="auto"/>
        <w:left w:val="none" w:sz="0" w:space="0" w:color="auto"/>
        <w:bottom w:val="none" w:sz="0" w:space="0" w:color="auto"/>
        <w:right w:val="none" w:sz="0" w:space="0" w:color="auto"/>
      </w:divBdr>
    </w:div>
    <w:div w:id="1860001569">
      <w:bodyDiv w:val="1"/>
      <w:marLeft w:val="0"/>
      <w:marRight w:val="0"/>
      <w:marTop w:val="0"/>
      <w:marBottom w:val="0"/>
      <w:divBdr>
        <w:top w:val="none" w:sz="0" w:space="0" w:color="auto"/>
        <w:left w:val="none" w:sz="0" w:space="0" w:color="auto"/>
        <w:bottom w:val="none" w:sz="0" w:space="0" w:color="auto"/>
        <w:right w:val="none" w:sz="0" w:space="0" w:color="auto"/>
      </w:divBdr>
    </w:div>
    <w:div w:id="1860073576">
      <w:bodyDiv w:val="1"/>
      <w:marLeft w:val="0"/>
      <w:marRight w:val="0"/>
      <w:marTop w:val="0"/>
      <w:marBottom w:val="0"/>
      <w:divBdr>
        <w:top w:val="none" w:sz="0" w:space="0" w:color="auto"/>
        <w:left w:val="none" w:sz="0" w:space="0" w:color="auto"/>
        <w:bottom w:val="none" w:sz="0" w:space="0" w:color="auto"/>
        <w:right w:val="none" w:sz="0" w:space="0" w:color="auto"/>
      </w:divBdr>
    </w:div>
    <w:div w:id="1860240016">
      <w:bodyDiv w:val="1"/>
      <w:marLeft w:val="0"/>
      <w:marRight w:val="0"/>
      <w:marTop w:val="0"/>
      <w:marBottom w:val="0"/>
      <w:divBdr>
        <w:top w:val="none" w:sz="0" w:space="0" w:color="auto"/>
        <w:left w:val="none" w:sz="0" w:space="0" w:color="auto"/>
        <w:bottom w:val="none" w:sz="0" w:space="0" w:color="auto"/>
        <w:right w:val="none" w:sz="0" w:space="0" w:color="auto"/>
      </w:divBdr>
    </w:div>
    <w:div w:id="1860386587">
      <w:bodyDiv w:val="1"/>
      <w:marLeft w:val="0"/>
      <w:marRight w:val="0"/>
      <w:marTop w:val="0"/>
      <w:marBottom w:val="0"/>
      <w:divBdr>
        <w:top w:val="none" w:sz="0" w:space="0" w:color="auto"/>
        <w:left w:val="none" w:sz="0" w:space="0" w:color="auto"/>
        <w:bottom w:val="none" w:sz="0" w:space="0" w:color="auto"/>
        <w:right w:val="none" w:sz="0" w:space="0" w:color="auto"/>
      </w:divBdr>
    </w:div>
    <w:div w:id="1860502597">
      <w:bodyDiv w:val="1"/>
      <w:marLeft w:val="0"/>
      <w:marRight w:val="0"/>
      <w:marTop w:val="0"/>
      <w:marBottom w:val="0"/>
      <w:divBdr>
        <w:top w:val="none" w:sz="0" w:space="0" w:color="auto"/>
        <w:left w:val="none" w:sz="0" w:space="0" w:color="auto"/>
        <w:bottom w:val="none" w:sz="0" w:space="0" w:color="auto"/>
        <w:right w:val="none" w:sz="0" w:space="0" w:color="auto"/>
      </w:divBdr>
    </w:div>
    <w:div w:id="1860700091">
      <w:bodyDiv w:val="1"/>
      <w:marLeft w:val="0"/>
      <w:marRight w:val="0"/>
      <w:marTop w:val="0"/>
      <w:marBottom w:val="0"/>
      <w:divBdr>
        <w:top w:val="none" w:sz="0" w:space="0" w:color="auto"/>
        <w:left w:val="none" w:sz="0" w:space="0" w:color="auto"/>
        <w:bottom w:val="none" w:sz="0" w:space="0" w:color="auto"/>
        <w:right w:val="none" w:sz="0" w:space="0" w:color="auto"/>
      </w:divBdr>
    </w:div>
    <w:div w:id="1861241070">
      <w:bodyDiv w:val="1"/>
      <w:marLeft w:val="0"/>
      <w:marRight w:val="0"/>
      <w:marTop w:val="0"/>
      <w:marBottom w:val="0"/>
      <w:divBdr>
        <w:top w:val="none" w:sz="0" w:space="0" w:color="auto"/>
        <w:left w:val="none" w:sz="0" w:space="0" w:color="auto"/>
        <w:bottom w:val="none" w:sz="0" w:space="0" w:color="auto"/>
        <w:right w:val="none" w:sz="0" w:space="0" w:color="auto"/>
      </w:divBdr>
    </w:div>
    <w:div w:id="1861505807">
      <w:bodyDiv w:val="1"/>
      <w:marLeft w:val="0"/>
      <w:marRight w:val="0"/>
      <w:marTop w:val="0"/>
      <w:marBottom w:val="0"/>
      <w:divBdr>
        <w:top w:val="none" w:sz="0" w:space="0" w:color="auto"/>
        <w:left w:val="none" w:sz="0" w:space="0" w:color="auto"/>
        <w:bottom w:val="none" w:sz="0" w:space="0" w:color="auto"/>
        <w:right w:val="none" w:sz="0" w:space="0" w:color="auto"/>
      </w:divBdr>
    </w:div>
    <w:div w:id="1862237848">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864050314">
      <w:bodyDiv w:val="1"/>
      <w:marLeft w:val="0"/>
      <w:marRight w:val="0"/>
      <w:marTop w:val="0"/>
      <w:marBottom w:val="0"/>
      <w:divBdr>
        <w:top w:val="none" w:sz="0" w:space="0" w:color="auto"/>
        <w:left w:val="none" w:sz="0" w:space="0" w:color="auto"/>
        <w:bottom w:val="none" w:sz="0" w:space="0" w:color="auto"/>
        <w:right w:val="none" w:sz="0" w:space="0" w:color="auto"/>
      </w:divBdr>
    </w:div>
    <w:div w:id="1865367446">
      <w:bodyDiv w:val="1"/>
      <w:marLeft w:val="0"/>
      <w:marRight w:val="0"/>
      <w:marTop w:val="0"/>
      <w:marBottom w:val="0"/>
      <w:divBdr>
        <w:top w:val="none" w:sz="0" w:space="0" w:color="auto"/>
        <w:left w:val="none" w:sz="0" w:space="0" w:color="auto"/>
        <w:bottom w:val="none" w:sz="0" w:space="0" w:color="auto"/>
        <w:right w:val="none" w:sz="0" w:space="0" w:color="auto"/>
      </w:divBdr>
    </w:div>
    <w:div w:id="1865711373">
      <w:bodyDiv w:val="1"/>
      <w:marLeft w:val="0"/>
      <w:marRight w:val="0"/>
      <w:marTop w:val="0"/>
      <w:marBottom w:val="0"/>
      <w:divBdr>
        <w:top w:val="none" w:sz="0" w:space="0" w:color="auto"/>
        <w:left w:val="none" w:sz="0" w:space="0" w:color="auto"/>
        <w:bottom w:val="none" w:sz="0" w:space="0" w:color="auto"/>
        <w:right w:val="none" w:sz="0" w:space="0" w:color="auto"/>
      </w:divBdr>
    </w:div>
    <w:div w:id="1865752696">
      <w:bodyDiv w:val="1"/>
      <w:marLeft w:val="0"/>
      <w:marRight w:val="0"/>
      <w:marTop w:val="0"/>
      <w:marBottom w:val="0"/>
      <w:divBdr>
        <w:top w:val="none" w:sz="0" w:space="0" w:color="auto"/>
        <w:left w:val="none" w:sz="0" w:space="0" w:color="auto"/>
        <w:bottom w:val="none" w:sz="0" w:space="0" w:color="auto"/>
        <w:right w:val="none" w:sz="0" w:space="0" w:color="auto"/>
      </w:divBdr>
    </w:div>
    <w:div w:id="1866555266">
      <w:bodyDiv w:val="1"/>
      <w:marLeft w:val="0"/>
      <w:marRight w:val="0"/>
      <w:marTop w:val="0"/>
      <w:marBottom w:val="0"/>
      <w:divBdr>
        <w:top w:val="none" w:sz="0" w:space="0" w:color="auto"/>
        <w:left w:val="none" w:sz="0" w:space="0" w:color="auto"/>
        <w:bottom w:val="none" w:sz="0" w:space="0" w:color="auto"/>
        <w:right w:val="none" w:sz="0" w:space="0" w:color="auto"/>
      </w:divBdr>
    </w:div>
    <w:div w:id="1866867902">
      <w:bodyDiv w:val="1"/>
      <w:marLeft w:val="0"/>
      <w:marRight w:val="0"/>
      <w:marTop w:val="0"/>
      <w:marBottom w:val="0"/>
      <w:divBdr>
        <w:top w:val="none" w:sz="0" w:space="0" w:color="auto"/>
        <w:left w:val="none" w:sz="0" w:space="0" w:color="auto"/>
        <w:bottom w:val="none" w:sz="0" w:space="0" w:color="auto"/>
        <w:right w:val="none" w:sz="0" w:space="0" w:color="auto"/>
      </w:divBdr>
    </w:div>
    <w:div w:id="1867015496">
      <w:bodyDiv w:val="1"/>
      <w:marLeft w:val="0"/>
      <w:marRight w:val="0"/>
      <w:marTop w:val="0"/>
      <w:marBottom w:val="0"/>
      <w:divBdr>
        <w:top w:val="none" w:sz="0" w:space="0" w:color="auto"/>
        <w:left w:val="none" w:sz="0" w:space="0" w:color="auto"/>
        <w:bottom w:val="none" w:sz="0" w:space="0" w:color="auto"/>
        <w:right w:val="none" w:sz="0" w:space="0" w:color="auto"/>
      </w:divBdr>
    </w:div>
    <w:div w:id="1867526566">
      <w:bodyDiv w:val="1"/>
      <w:marLeft w:val="0"/>
      <w:marRight w:val="0"/>
      <w:marTop w:val="0"/>
      <w:marBottom w:val="0"/>
      <w:divBdr>
        <w:top w:val="none" w:sz="0" w:space="0" w:color="auto"/>
        <w:left w:val="none" w:sz="0" w:space="0" w:color="auto"/>
        <w:bottom w:val="none" w:sz="0" w:space="0" w:color="auto"/>
        <w:right w:val="none" w:sz="0" w:space="0" w:color="auto"/>
      </w:divBdr>
    </w:div>
    <w:div w:id="1867867731">
      <w:bodyDiv w:val="1"/>
      <w:marLeft w:val="0"/>
      <w:marRight w:val="0"/>
      <w:marTop w:val="0"/>
      <w:marBottom w:val="0"/>
      <w:divBdr>
        <w:top w:val="none" w:sz="0" w:space="0" w:color="auto"/>
        <w:left w:val="none" w:sz="0" w:space="0" w:color="auto"/>
        <w:bottom w:val="none" w:sz="0" w:space="0" w:color="auto"/>
        <w:right w:val="none" w:sz="0" w:space="0" w:color="auto"/>
      </w:divBdr>
    </w:div>
    <w:div w:id="1868254803">
      <w:bodyDiv w:val="1"/>
      <w:marLeft w:val="0"/>
      <w:marRight w:val="0"/>
      <w:marTop w:val="0"/>
      <w:marBottom w:val="0"/>
      <w:divBdr>
        <w:top w:val="none" w:sz="0" w:space="0" w:color="auto"/>
        <w:left w:val="none" w:sz="0" w:space="0" w:color="auto"/>
        <w:bottom w:val="none" w:sz="0" w:space="0" w:color="auto"/>
        <w:right w:val="none" w:sz="0" w:space="0" w:color="auto"/>
      </w:divBdr>
    </w:div>
    <w:div w:id="1868523407">
      <w:bodyDiv w:val="1"/>
      <w:marLeft w:val="0"/>
      <w:marRight w:val="0"/>
      <w:marTop w:val="0"/>
      <w:marBottom w:val="0"/>
      <w:divBdr>
        <w:top w:val="none" w:sz="0" w:space="0" w:color="auto"/>
        <w:left w:val="none" w:sz="0" w:space="0" w:color="auto"/>
        <w:bottom w:val="none" w:sz="0" w:space="0" w:color="auto"/>
        <w:right w:val="none" w:sz="0" w:space="0" w:color="auto"/>
      </w:divBdr>
    </w:div>
    <w:div w:id="1869174620">
      <w:bodyDiv w:val="1"/>
      <w:marLeft w:val="0"/>
      <w:marRight w:val="0"/>
      <w:marTop w:val="0"/>
      <w:marBottom w:val="0"/>
      <w:divBdr>
        <w:top w:val="none" w:sz="0" w:space="0" w:color="auto"/>
        <w:left w:val="none" w:sz="0" w:space="0" w:color="auto"/>
        <w:bottom w:val="none" w:sz="0" w:space="0" w:color="auto"/>
        <w:right w:val="none" w:sz="0" w:space="0" w:color="auto"/>
      </w:divBdr>
    </w:div>
    <w:div w:id="1869291112">
      <w:bodyDiv w:val="1"/>
      <w:marLeft w:val="0"/>
      <w:marRight w:val="0"/>
      <w:marTop w:val="0"/>
      <w:marBottom w:val="0"/>
      <w:divBdr>
        <w:top w:val="none" w:sz="0" w:space="0" w:color="auto"/>
        <w:left w:val="none" w:sz="0" w:space="0" w:color="auto"/>
        <w:bottom w:val="none" w:sz="0" w:space="0" w:color="auto"/>
        <w:right w:val="none" w:sz="0" w:space="0" w:color="auto"/>
      </w:divBdr>
    </w:div>
    <w:div w:id="1869294866">
      <w:bodyDiv w:val="1"/>
      <w:marLeft w:val="0"/>
      <w:marRight w:val="0"/>
      <w:marTop w:val="0"/>
      <w:marBottom w:val="0"/>
      <w:divBdr>
        <w:top w:val="none" w:sz="0" w:space="0" w:color="auto"/>
        <w:left w:val="none" w:sz="0" w:space="0" w:color="auto"/>
        <w:bottom w:val="none" w:sz="0" w:space="0" w:color="auto"/>
        <w:right w:val="none" w:sz="0" w:space="0" w:color="auto"/>
      </w:divBdr>
    </w:div>
    <w:div w:id="1869946779">
      <w:bodyDiv w:val="1"/>
      <w:marLeft w:val="0"/>
      <w:marRight w:val="0"/>
      <w:marTop w:val="0"/>
      <w:marBottom w:val="0"/>
      <w:divBdr>
        <w:top w:val="none" w:sz="0" w:space="0" w:color="auto"/>
        <w:left w:val="none" w:sz="0" w:space="0" w:color="auto"/>
        <w:bottom w:val="none" w:sz="0" w:space="0" w:color="auto"/>
        <w:right w:val="none" w:sz="0" w:space="0" w:color="auto"/>
      </w:divBdr>
    </w:div>
    <w:div w:id="1869949088">
      <w:bodyDiv w:val="1"/>
      <w:marLeft w:val="0"/>
      <w:marRight w:val="0"/>
      <w:marTop w:val="0"/>
      <w:marBottom w:val="0"/>
      <w:divBdr>
        <w:top w:val="none" w:sz="0" w:space="0" w:color="auto"/>
        <w:left w:val="none" w:sz="0" w:space="0" w:color="auto"/>
        <w:bottom w:val="none" w:sz="0" w:space="0" w:color="auto"/>
        <w:right w:val="none" w:sz="0" w:space="0" w:color="auto"/>
      </w:divBdr>
    </w:div>
    <w:div w:id="1870491906">
      <w:bodyDiv w:val="1"/>
      <w:marLeft w:val="0"/>
      <w:marRight w:val="0"/>
      <w:marTop w:val="0"/>
      <w:marBottom w:val="0"/>
      <w:divBdr>
        <w:top w:val="none" w:sz="0" w:space="0" w:color="auto"/>
        <w:left w:val="none" w:sz="0" w:space="0" w:color="auto"/>
        <w:bottom w:val="none" w:sz="0" w:space="0" w:color="auto"/>
        <w:right w:val="none" w:sz="0" w:space="0" w:color="auto"/>
      </w:divBdr>
    </w:div>
    <w:div w:id="1871409582">
      <w:bodyDiv w:val="1"/>
      <w:marLeft w:val="0"/>
      <w:marRight w:val="0"/>
      <w:marTop w:val="0"/>
      <w:marBottom w:val="0"/>
      <w:divBdr>
        <w:top w:val="none" w:sz="0" w:space="0" w:color="auto"/>
        <w:left w:val="none" w:sz="0" w:space="0" w:color="auto"/>
        <w:bottom w:val="none" w:sz="0" w:space="0" w:color="auto"/>
        <w:right w:val="none" w:sz="0" w:space="0" w:color="auto"/>
      </w:divBdr>
    </w:div>
    <w:div w:id="1871456157">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73224104">
      <w:bodyDiv w:val="1"/>
      <w:marLeft w:val="0"/>
      <w:marRight w:val="0"/>
      <w:marTop w:val="0"/>
      <w:marBottom w:val="0"/>
      <w:divBdr>
        <w:top w:val="none" w:sz="0" w:space="0" w:color="auto"/>
        <w:left w:val="none" w:sz="0" w:space="0" w:color="auto"/>
        <w:bottom w:val="none" w:sz="0" w:space="0" w:color="auto"/>
        <w:right w:val="none" w:sz="0" w:space="0" w:color="auto"/>
      </w:divBdr>
    </w:div>
    <w:div w:id="1873568154">
      <w:bodyDiv w:val="1"/>
      <w:marLeft w:val="0"/>
      <w:marRight w:val="0"/>
      <w:marTop w:val="0"/>
      <w:marBottom w:val="0"/>
      <w:divBdr>
        <w:top w:val="none" w:sz="0" w:space="0" w:color="auto"/>
        <w:left w:val="none" w:sz="0" w:space="0" w:color="auto"/>
        <w:bottom w:val="none" w:sz="0" w:space="0" w:color="auto"/>
        <w:right w:val="none" w:sz="0" w:space="0" w:color="auto"/>
      </w:divBdr>
    </w:div>
    <w:div w:id="1874029734">
      <w:bodyDiv w:val="1"/>
      <w:marLeft w:val="0"/>
      <w:marRight w:val="0"/>
      <w:marTop w:val="0"/>
      <w:marBottom w:val="0"/>
      <w:divBdr>
        <w:top w:val="none" w:sz="0" w:space="0" w:color="auto"/>
        <w:left w:val="none" w:sz="0" w:space="0" w:color="auto"/>
        <w:bottom w:val="none" w:sz="0" w:space="0" w:color="auto"/>
        <w:right w:val="none" w:sz="0" w:space="0" w:color="auto"/>
      </w:divBdr>
    </w:div>
    <w:div w:id="1874535947">
      <w:bodyDiv w:val="1"/>
      <w:marLeft w:val="0"/>
      <w:marRight w:val="0"/>
      <w:marTop w:val="0"/>
      <w:marBottom w:val="0"/>
      <w:divBdr>
        <w:top w:val="none" w:sz="0" w:space="0" w:color="auto"/>
        <w:left w:val="none" w:sz="0" w:space="0" w:color="auto"/>
        <w:bottom w:val="none" w:sz="0" w:space="0" w:color="auto"/>
        <w:right w:val="none" w:sz="0" w:space="0" w:color="auto"/>
      </w:divBdr>
    </w:div>
    <w:div w:id="1876695991">
      <w:bodyDiv w:val="1"/>
      <w:marLeft w:val="0"/>
      <w:marRight w:val="0"/>
      <w:marTop w:val="0"/>
      <w:marBottom w:val="0"/>
      <w:divBdr>
        <w:top w:val="none" w:sz="0" w:space="0" w:color="auto"/>
        <w:left w:val="none" w:sz="0" w:space="0" w:color="auto"/>
        <w:bottom w:val="none" w:sz="0" w:space="0" w:color="auto"/>
        <w:right w:val="none" w:sz="0" w:space="0" w:color="auto"/>
      </w:divBdr>
    </w:div>
    <w:div w:id="1876775001">
      <w:bodyDiv w:val="1"/>
      <w:marLeft w:val="0"/>
      <w:marRight w:val="0"/>
      <w:marTop w:val="0"/>
      <w:marBottom w:val="0"/>
      <w:divBdr>
        <w:top w:val="none" w:sz="0" w:space="0" w:color="auto"/>
        <w:left w:val="none" w:sz="0" w:space="0" w:color="auto"/>
        <w:bottom w:val="none" w:sz="0" w:space="0" w:color="auto"/>
        <w:right w:val="none" w:sz="0" w:space="0" w:color="auto"/>
      </w:divBdr>
    </w:div>
    <w:div w:id="1877430636">
      <w:bodyDiv w:val="1"/>
      <w:marLeft w:val="0"/>
      <w:marRight w:val="0"/>
      <w:marTop w:val="0"/>
      <w:marBottom w:val="0"/>
      <w:divBdr>
        <w:top w:val="none" w:sz="0" w:space="0" w:color="auto"/>
        <w:left w:val="none" w:sz="0" w:space="0" w:color="auto"/>
        <w:bottom w:val="none" w:sz="0" w:space="0" w:color="auto"/>
        <w:right w:val="none" w:sz="0" w:space="0" w:color="auto"/>
      </w:divBdr>
    </w:div>
    <w:div w:id="1877741597">
      <w:bodyDiv w:val="1"/>
      <w:marLeft w:val="0"/>
      <w:marRight w:val="0"/>
      <w:marTop w:val="0"/>
      <w:marBottom w:val="0"/>
      <w:divBdr>
        <w:top w:val="none" w:sz="0" w:space="0" w:color="auto"/>
        <w:left w:val="none" w:sz="0" w:space="0" w:color="auto"/>
        <w:bottom w:val="none" w:sz="0" w:space="0" w:color="auto"/>
        <w:right w:val="none" w:sz="0" w:space="0" w:color="auto"/>
      </w:divBdr>
    </w:div>
    <w:div w:id="1878658753">
      <w:bodyDiv w:val="1"/>
      <w:marLeft w:val="0"/>
      <w:marRight w:val="0"/>
      <w:marTop w:val="0"/>
      <w:marBottom w:val="0"/>
      <w:divBdr>
        <w:top w:val="none" w:sz="0" w:space="0" w:color="auto"/>
        <w:left w:val="none" w:sz="0" w:space="0" w:color="auto"/>
        <w:bottom w:val="none" w:sz="0" w:space="0" w:color="auto"/>
        <w:right w:val="none" w:sz="0" w:space="0" w:color="auto"/>
      </w:divBdr>
    </w:div>
    <w:div w:id="1879275690">
      <w:bodyDiv w:val="1"/>
      <w:marLeft w:val="0"/>
      <w:marRight w:val="0"/>
      <w:marTop w:val="0"/>
      <w:marBottom w:val="0"/>
      <w:divBdr>
        <w:top w:val="none" w:sz="0" w:space="0" w:color="auto"/>
        <w:left w:val="none" w:sz="0" w:space="0" w:color="auto"/>
        <w:bottom w:val="none" w:sz="0" w:space="0" w:color="auto"/>
        <w:right w:val="none" w:sz="0" w:space="0" w:color="auto"/>
      </w:divBdr>
    </w:div>
    <w:div w:id="1880436104">
      <w:bodyDiv w:val="1"/>
      <w:marLeft w:val="0"/>
      <w:marRight w:val="0"/>
      <w:marTop w:val="0"/>
      <w:marBottom w:val="0"/>
      <w:divBdr>
        <w:top w:val="none" w:sz="0" w:space="0" w:color="auto"/>
        <w:left w:val="none" w:sz="0" w:space="0" w:color="auto"/>
        <w:bottom w:val="none" w:sz="0" w:space="0" w:color="auto"/>
        <w:right w:val="none" w:sz="0" w:space="0" w:color="auto"/>
      </w:divBdr>
    </w:div>
    <w:div w:id="1881169392">
      <w:bodyDiv w:val="1"/>
      <w:marLeft w:val="0"/>
      <w:marRight w:val="0"/>
      <w:marTop w:val="0"/>
      <w:marBottom w:val="0"/>
      <w:divBdr>
        <w:top w:val="none" w:sz="0" w:space="0" w:color="auto"/>
        <w:left w:val="none" w:sz="0" w:space="0" w:color="auto"/>
        <w:bottom w:val="none" w:sz="0" w:space="0" w:color="auto"/>
        <w:right w:val="none" w:sz="0" w:space="0" w:color="auto"/>
      </w:divBdr>
    </w:div>
    <w:div w:id="1881942014">
      <w:bodyDiv w:val="1"/>
      <w:marLeft w:val="0"/>
      <w:marRight w:val="0"/>
      <w:marTop w:val="0"/>
      <w:marBottom w:val="0"/>
      <w:divBdr>
        <w:top w:val="none" w:sz="0" w:space="0" w:color="auto"/>
        <w:left w:val="none" w:sz="0" w:space="0" w:color="auto"/>
        <w:bottom w:val="none" w:sz="0" w:space="0" w:color="auto"/>
        <w:right w:val="none" w:sz="0" w:space="0" w:color="auto"/>
      </w:divBdr>
    </w:div>
    <w:div w:id="1882551611">
      <w:bodyDiv w:val="1"/>
      <w:marLeft w:val="0"/>
      <w:marRight w:val="0"/>
      <w:marTop w:val="0"/>
      <w:marBottom w:val="0"/>
      <w:divBdr>
        <w:top w:val="none" w:sz="0" w:space="0" w:color="auto"/>
        <w:left w:val="none" w:sz="0" w:space="0" w:color="auto"/>
        <w:bottom w:val="none" w:sz="0" w:space="0" w:color="auto"/>
        <w:right w:val="none" w:sz="0" w:space="0" w:color="auto"/>
      </w:divBdr>
    </w:div>
    <w:div w:id="1882861270">
      <w:bodyDiv w:val="1"/>
      <w:marLeft w:val="0"/>
      <w:marRight w:val="0"/>
      <w:marTop w:val="0"/>
      <w:marBottom w:val="0"/>
      <w:divBdr>
        <w:top w:val="none" w:sz="0" w:space="0" w:color="auto"/>
        <w:left w:val="none" w:sz="0" w:space="0" w:color="auto"/>
        <w:bottom w:val="none" w:sz="0" w:space="0" w:color="auto"/>
        <w:right w:val="none" w:sz="0" w:space="0" w:color="auto"/>
      </w:divBdr>
    </w:div>
    <w:div w:id="1883201368">
      <w:bodyDiv w:val="1"/>
      <w:marLeft w:val="0"/>
      <w:marRight w:val="0"/>
      <w:marTop w:val="0"/>
      <w:marBottom w:val="0"/>
      <w:divBdr>
        <w:top w:val="none" w:sz="0" w:space="0" w:color="auto"/>
        <w:left w:val="none" w:sz="0" w:space="0" w:color="auto"/>
        <w:bottom w:val="none" w:sz="0" w:space="0" w:color="auto"/>
        <w:right w:val="none" w:sz="0" w:space="0" w:color="auto"/>
      </w:divBdr>
    </w:div>
    <w:div w:id="1883321035">
      <w:bodyDiv w:val="1"/>
      <w:marLeft w:val="0"/>
      <w:marRight w:val="0"/>
      <w:marTop w:val="0"/>
      <w:marBottom w:val="0"/>
      <w:divBdr>
        <w:top w:val="none" w:sz="0" w:space="0" w:color="auto"/>
        <w:left w:val="none" w:sz="0" w:space="0" w:color="auto"/>
        <w:bottom w:val="none" w:sz="0" w:space="0" w:color="auto"/>
        <w:right w:val="none" w:sz="0" w:space="0" w:color="auto"/>
      </w:divBdr>
    </w:div>
    <w:div w:id="1884056149">
      <w:bodyDiv w:val="1"/>
      <w:marLeft w:val="0"/>
      <w:marRight w:val="0"/>
      <w:marTop w:val="0"/>
      <w:marBottom w:val="0"/>
      <w:divBdr>
        <w:top w:val="none" w:sz="0" w:space="0" w:color="auto"/>
        <w:left w:val="none" w:sz="0" w:space="0" w:color="auto"/>
        <w:bottom w:val="none" w:sz="0" w:space="0" w:color="auto"/>
        <w:right w:val="none" w:sz="0" w:space="0" w:color="auto"/>
      </w:divBdr>
    </w:div>
    <w:div w:id="1885555319">
      <w:bodyDiv w:val="1"/>
      <w:marLeft w:val="0"/>
      <w:marRight w:val="0"/>
      <w:marTop w:val="0"/>
      <w:marBottom w:val="0"/>
      <w:divBdr>
        <w:top w:val="none" w:sz="0" w:space="0" w:color="auto"/>
        <w:left w:val="none" w:sz="0" w:space="0" w:color="auto"/>
        <w:bottom w:val="none" w:sz="0" w:space="0" w:color="auto"/>
        <w:right w:val="none" w:sz="0" w:space="0" w:color="auto"/>
      </w:divBdr>
    </w:div>
    <w:div w:id="1885944415">
      <w:bodyDiv w:val="1"/>
      <w:marLeft w:val="0"/>
      <w:marRight w:val="0"/>
      <w:marTop w:val="0"/>
      <w:marBottom w:val="0"/>
      <w:divBdr>
        <w:top w:val="none" w:sz="0" w:space="0" w:color="auto"/>
        <w:left w:val="none" w:sz="0" w:space="0" w:color="auto"/>
        <w:bottom w:val="none" w:sz="0" w:space="0" w:color="auto"/>
        <w:right w:val="none" w:sz="0" w:space="0" w:color="auto"/>
      </w:divBdr>
    </w:div>
    <w:div w:id="1886259646">
      <w:bodyDiv w:val="1"/>
      <w:marLeft w:val="0"/>
      <w:marRight w:val="0"/>
      <w:marTop w:val="0"/>
      <w:marBottom w:val="0"/>
      <w:divBdr>
        <w:top w:val="none" w:sz="0" w:space="0" w:color="auto"/>
        <w:left w:val="none" w:sz="0" w:space="0" w:color="auto"/>
        <w:bottom w:val="none" w:sz="0" w:space="0" w:color="auto"/>
        <w:right w:val="none" w:sz="0" w:space="0" w:color="auto"/>
      </w:divBdr>
    </w:div>
    <w:div w:id="1886527070">
      <w:bodyDiv w:val="1"/>
      <w:marLeft w:val="0"/>
      <w:marRight w:val="0"/>
      <w:marTop w:val="0"/>
      <w:marBottom w:val="0"/>
      <w:divBdr>
        <w:top w:val="none" w:sz="0" w:space="0" w:color="auto"/>
        <w:left w:val="none" w:sz="0" w:space="0" w:color="auto"/>
        <w:bottom w:val="none" w:sz="0" w:space="0" w:color="auto"/>
        <w:right w:val="none" w:sz="0" w:space="0" w:color="auto"/>
      </w:divBdr>
    </w:div>
    <w:div w:id="1886872142">
      <w:bodyDiv w:val="1"/>
      <w:marLeft w:val="0"/>
      <w:marRight w:val="0"/>
      <w:marTop w:val="0"/>
      <w:marBottom w:val="0"/>
      <w:divBdr>
        <w:top w:val="none" w:sz="0" w:space="0" w:color="auto"/>
        <w:left w:val="none" w:sz="0" w:space="0" w:color="auto"/>
        <w:bottom w:val="none" w:sz="0" w:space="0" w:color="auto"/>
        <w:right w:val="none" w:sz="0" w:space="0" w:color="auto"/>
      </w:divBdr>
    </w:div>
    <w:div w:id="1887184555">
      <w:bodyDiv w:val="1"/>
      <w:marLeft w:val="0"/>
      <w:marRight w:val="0"/>
      <w:marTop w:val="0"/>
      <w:marBottom w:val="0"/>
      <w:divBdr>
        <w:top w:val="none" w:sz="0" w:space="0" w:color="auto"/>
        <w:left w:val="none" w:sz="0" w:space="0" w:color="auto"/>
        <w:bottom w:val="none" w:sz="0" w:space="0" w:color="auto"/>
        <w:right w:val="none" w:sz="0" w:space="0" w:color="auto"/>
      </w:divBdr>
    </w:div>
    <w:div w:id="1888059336">
      <w:bodyDiv w:val="1"/>
      <w:marLeft w:val="0"/>
      <w:marRight w:val="0"/>
      <w:marTop w:val="0"/>
      <w:marBottom w:val="0"/>
      <w:divBdr>
        <w:top w:val="none" w:sz="0" w:space="0" w:color="auto"/>
        <w:left w:val="none" w:sz="0" w:space="0" w:color="auto"/>
        <w:bottom w:val="none" w:sz="0" w:space="0" w:color="auto"/>
        <w:right w:val="none" w:sz="0" w:space="0" w:color="auto"/>
      </w:divBdr>
    </w:div>
    <w:div w:id="1888905171">
      <w:bodyDiv w:val="1"/>
      <w:marLeft w:val="0"/>
      <w:marRight w:val="0"/>
      <w:marTop w:val="0"/>
      <w:marBottom w:val="0"/>
      <w:divBdr>
        <w:top w:val="none" w:sz="0" w:space="0" w:color="auto"/>
        <w:left w:val="none" w:sz="0" w:space="0" w:color="auto"/>
        <w:bottom w:val="none" w:sz="0" w:space="0" w:color="auto"/>
        <w:right w:val="none" w:sz="0" w:space="0" w:color="auto"/>
      </w:divBdr>
    </w:div>
    <w:div w:id="1889761848">
      <w:bodyDiv w:val="1"/>
      <w:marLeft w:val="0"/>
      <w:marRight w:val="0"/>
      <w:marTop w:val="0"/>
      <w:marBottom w:val="0"/>
      <w:divBdr>
        <w:top w:val="none" w:sz="0" w:space="0" w:color="auto"/>
        <w:left w:val="none" w:sz="0" w:space="0" w:color="auto"/>
        <w:bottom w:val="none" w:sz="0" w:space="0" w:color="auto"/>
        <w:right w:val="none" w:sz="0" w:space="0" w:color="auto"/>
      </w:divBdr>
    </w:div>
    <w:div w:id="1889801306">
      <w:bodyDiv w:val="1"/>
      <w:marLeft w:val="0"/>
      <w:marRight w:val="0"/>
      <w:marTop w:val="0"/>
      <w:marBottom w:val="0"/>
      <w:divBdr>
        <w:top w:val="none" w:sz="0" w:space="0" w:color="auto"/>
        <w:left w:val="none" w:sz="0" w:space="0" w:color="auto"/>
        <w:bottom w:val="none" w:sz="0" w:space="0" w:color="auto"/>
        <w:right w:val="none" w:sz="0" w:space="0" w:color="auto"/>
      </w:divBdr>
    </w:div>
    <w:div w:id="1890262060">
      <w:bodyDiv w:val="1"/>
      <w:marLeft w:val="0"/>
      <w:marRight w:val="0"/>
      <w:marTop w:val="0"/>
      <w:marBottom w:val="0"/>
      <w:divBdr>
        <w:top w:val="none" w:sz="0" w:space="0" w:color="auto"/>
        <w:left w:val="none" w:sz="0" w:space="0" w:color="auto"/>
        <w:bottom w:val="none" w:sz="0" w:space="0" w:color="auto"/>
        <w:right w:val="none" w:sz="0" w:space="0" w:color="auto"/>
      </w:divBdr>
    </w:div>
    <w:div w:id="1890801807">
      <w:bodyDiv w:val="1"/>
      <w:marLeft w:val="0"/>
      <w:marRight w:val="0"/>
      <w:marTop w:val="0"/>
      <w:marBottom w:val="0"/>
      <w:divBdr>
        <w:top w:val="none" w:sz="0" w:space="0" w:color="auto"/>
        <w:left w:val="none" w:sz="0" w:space="0" w:color="auto"/>
        <w:bottom w:val="none" w:sz="0" w:space="0" w:color="auto"/>
        <w:right w:val="none" w:sz="0" w:space="0" w:color="auto"/>
      </w:divBdr>
    </w:div>
    <w:div w:id="1891188433">
      <w:bodyDiv w:val="1"/>
      <w:marLeft w:val="0"/>
      <w:marRight w:val="0"/>
      <w:marTop w:val="0"/>
      <w:marBottom w:val="0"/>
      <w:divBdr>
        <w:top w:val="none" w:sz="0" w:space="0" w:color="auto"/>
        <w:left w:val="none" w:sz="0" w:space="0" w:color="auto"/>
        <w:bottom w:val="none" w:sz="0" w:space="0" w:color="auto"/>
        <w:right w:val="none" w:sz="0" w:space="0" w:color="auto"/>
      </w:divBdr>
    </w:div>
    <w:div w:id="1893152358">
      <w:bodyDiv w:val="1"/>
      <w:marLeft w:val="0"/>
      <w:marRight w:val="0"/>
      <w:marTop w:val="0"/>
      <w:marBottom w:val="0"/>
      <w:divBdr>
        <w:top w:val="none" w:sz="0" w:space="0" w:color="auto"/>
        <w:left w:val="none" w:sz="0" w:space="0" w:color="auto"/>
        <w:bottom w:val="none" w:sz="0" w:space="0" w:color="auto"/>
        <w:right w:val="none" w:sz="0" w:space="0" w:color="auto"/>
      </w:divBdr>
    </w:div>
    <w:div w:id="1893617471">
      <w:bodyDiv w:val="1"/>
      <w:marLeft w:val="0"/>
      <w:marRight w:val="0"/>
      <w:marTop w:val="0"/>
      <w:marBottom w:val="0"/>
      <w:divBdr>
        <w:top w:val="none" w:sz="0" w:space="0" w:color="auto"/>
        <w:left w:val="none" w:sz="0" w:space="0" w:color="auto"/>
        <w:bottom w:val="none" w:sz="0" w:space="0" w:color="auto"/>
        <w:right w:val="none" w:sz="0" w:space="0" w:color="auto"/>
      </w:divBdr>
    </w:div>
    <w:div w:id="1893733427">
      <w:bodyDiv w:val="1"/>
      <w:marLeft w:val="0"/>
      <w:marRight w:val="0"/>
      <w:marTop w:val="0"/>
      <w:marBottom w:val="0"/>
      <w:divBdr>
        <w:top w:val="none" w:sz="0" w:space="0" w:color="auto"/>
        <w:left w:val="none" w:sz="0" w:space="0" w:color="auto"/>
        <w:bottom w:val="none" w:sz="0" w:space="0" w:color="auto"/>
        <w:right w:val="none" w:sz="0" w:space="0" w:color="auto"/>
      </w:divBdr>
    </w:div>
    <w:div w:id="1893812582">
      <w:bodyDiv w:val="1"/>
      <w:marLeft w:val="0"/>
      <w:marRight w:val="0"/>
      <w:marTop w:val="0"/>
      <w:marBottom w:val="0"/>
      <w:divBdr>
        <w:top w:val="none" w:sz="0" w:space="0" w:color="auto"/>
        <w:left w:val="none" w:sz="0" w:space="0" w:color="auto"/>
        <w:bottom w:val="none" w:sz="0" w:space="0" w:color="auto"/>
        <w:right w:val="none" w:sz="0" w:space="0" w:color="auto"/>
      </w:divBdr>
    </w:div>
    <w:div w:id="1894655390">
      <w:bodyDiv w:val="1"/>
      <w:marLeft w:val="0"/>
      <w:marRight w:val="0"/>
      <w:marTop w:val="0"/>
      <w:marBottom w:val="0"/>
      <w:divBdr>
        <w:top w:val="none" w:sz="0" w:space="0" w:color="auto"/>
        <w:left w:val="none" w:sz="0" w:space="0" w:color="auto"/>
        <w:bottom w:val="none" w:sz="0" w:space="0" w:color="auto"/>
        <w:right w:val="none" w:sz="0" w:space="0" w:color="auto"/>
      </w:divBdr>
    </w:div>
    <w:div w:id="1894734541">
      <w:bodyDiv w:val="1"/>
      <w:marLeft w:val="0"/>
      <w:marRight w:val="0"/>
      <w:marTop w:val="0"/>
      <w:marBottom w:val="0"/>
      <w:divBdr>
        <w:top w:val="none" w:sz="0" w:space="0" w:color="auto"/>
        <w:left w:val="none" w:sz="0" w:space="0" w:color="auto"/>
        <w:bottom w:val="none" w:sz="0" w:space="0" w:color="auto"/>
        <w:right w:val="none" w:sz="0" w:space="0" w:color="auto"/>
      </w:divBdr>
    </w:div>
    <w:div w:id="1895239474">
      <w:bodyDiv w:val="1"/>
      <w:marLeft w:val="0"/>
      <w:marRight w:val="0"/>
      <w:marTop w:val="0"/>
      <w:marBottom w:val="0"/>
      <w:divBdr>
        <w:top w:val="none" w:sz="0" w:space="0" w:color="auto"/>
        <w:left w:val="none" w:sz="0" w:space="0" w:color="auto"/>
        <w:bottom w:val="none" w:sz="0" w:space="0" w:color="auto"/>
        <w:right w:val="none" w:sz="0" w:space="0" w:color="auto"/>
      </w:divBdr>
    </w:div>
    <w:div w:id="1895922612">
      <w:bodyDiv w:val="1"/>
      <w:marLeft w:val="0"/>
      <w:marRight w:val="0"/>
      <w:marTop w:val="0"/>
      <w:marBottom w:val="0"/>
      <w:divBdr>
        <w:top w:val="none" w:sz="0" w:space="0" w:color="auto"/>
        <w:left w:val="none" w:sz="0" w:space="0" w:color="auto"/>
        <w:bottom w:val="none" w:sz="0" w:space="0" w:color="auto"/>
        <w:right w:val="none" w:sz="0" w:space="0" w:color="auto"/>
      </w:divBdr>
    </w:div>
    <w:div w:id="1896162238">
      <w:bodyDiv w:val="1"/>
      <w:marLeft w:val="0"/>
      <w:marRight w:val="0"/>
      <w:marTop w:val="0"/>
      <w:marBottom w:val="0"/>
      <w:divBdr>
        <w:top w:val="none" w:sz="0" w:space="0" w:color="auto"/>
        <w:left w:val="none" w:sz="0" w:space="0" w:color="auto"/>
        <w:bottom w:val="none" w:sz="0" w:space="0" w:color="auto"/>
        <w:right w:val="none" w:sz="0" w:space="0" w:color="auto"/>
      </w:divBdr>
    </w:div>
    <w:div w:id="1896239739">
      <w:bodyDiv w:val="1"/>
      <w:marLeft w:val="0"/>
      <w:marRight w:val="0"/>
      <w:marTop w:val="0"/>
      <w:marBottom w:val="0"/>
      <w:divBdr>
        <w:top w:val="none" w:sz="0" w:space="0" w:color="auto"/>
        <w:left w:val="none" w:sz="0" w:space="0" w:color="auto"/>
        <w:bottom w:val="none" w:sz="0" w:space="0" w:color="auto"/>
        <w:right w:val="none" w:sz="0" w:space="0" w:color="auto"/>
      </w:divBdr>
    </w:div>
    <w:div w:id="1896893628">
      <w:bodyDiv w:val="1"/>
      <w:marLeft w:val="0"/>
      <w:marRight w:val="0"/>
      <w:marTop w:val="0"/>
      <w:marBottom w:val="0"/>
      <w:divBdr>
        <w:top w:val="none" w:sz="0" w:space="0" w:color="auto"/>
        <w:left w:val="none" w:sz="0" w:space="0" w:color="auto"/>
        <w:bottom w:val="none" w:sz="0" w:space="0" w:color="auto"/>
        <w:right w:val="none" w:sz="0" w:space="0" w:color="auto"/>
      </w:divBdr>
    </w:div>
    <w:div w:id="1897010761">
      <w:bodyDiv w:val="1"/>
      <w:marLeft w:val="0"/>
      <w:marRight w:val="0"/>
      <w:marTop w:val="0"/>
      <w:marBottom w:val="0"/>
      <w:divBdr>
        <w:top w:val="none" w:sz="0" w:space="0" w:color="auto"/>
        <w:left w:val="none" w:sz="0" w:space="0" w:color="auto"/>
        <w:bottom w:val="none" w:sz="0" w:space="0" w:color="auto"/>
        <w:right w:val="none" w:sz="0" w:space="0" w:color="auto"/>
      </w:divBdr>
    </w:div>
    <w:div w:id="1897203032">
      <w:bodyDiv w:val="1"/>
      <w:marLeft w:val="0"/>
      <w:marRight w:val="0"/>
      <w:marTop w:val="0"/>
      <w:marBottom w:val="0"/>
      <w:divBdr>
        <w:top w:val="none" w:sz="0" w:space="0" w:color="auto"/>
        <w:left w:val="none" w:sz="0" w:space="0" w:color="auto"/>
        <w:bottom w:val="none" w:sz="0" w:space="0" w:color="auto"/>
        <w:right w:val="none" w:sz="0" w:space="0" w:color="auto"/>
      </w:divBdr>
    </w:div>
    <w:div w:id="1897543469">
      <w:bodyDiv w:val="1"/>
      <w:marLeft w:val="0"/>
      <w:marRight w:val="0"/>
      <w:marTop w:val="0"/>
      <w:marBottom w:val="0"/>
      <w:divBdr>
        <w:top w:val="none" w:sz="0" w:space="0" w:color="auto"/>
        <w:left w:val="none" w:sz="0" w:space="0" w:color="auto"/>
        <w:bottom w:val="none" w:sz="0" w:space="0" w:color="auto"/>
        <w:right w:val="none" w:sz="0" w:space="0" w:color="auto"/>
      </w:divBdr>
    </w:div>
    <w:div w:id="1897813241">
      <w:bodyDiv w:val="1"/>
      <w:marLeft w:val="0"/>
      <w:marRight w:val="0"/>
      <w:marTop w:val="0"/>
      <w:marBottom w:val="0"/>
      <w:divBdr>
        <w:top w:val="none" w:sz="0" w:space="0" w:color="auto"/>
        <w:left w:val="none" w:sz="0" w:space="0" w:color="auto"/>
        <w:bottom w:val="none" w:sz="0" w:space="0" w:color="auto"/>
        <w:right w:val="none" w:sz="0" w:space="0" w:color="auto"/>
      </w:divBdr>
    </w:div>
    <w:div w:id="1897857782">
      <w:bodyDiv w:val="1"/>
      <w:marLeft w:val="0"/>
      <w:marRight w:val="0"/>
      <w:marTop w:val="0"/>
      <w:marBottom w:val="0"/>
      <w:divBdr>
        <w:top w:val="none" w:sz="0" w:space="0" w:color="auto"/>
        <w:left w:val="none" w:sz="0" w:space="0" w:color="auto"/>
        <w:bottom w:val="none" w:sz="0" w:space="0" w:color="auto"/>
        <w:right w:val="none" w:sz="0" w:space="0" w:color="auto"/>
      </w:divBdr>
    </w:div>
    <w:div w:id="1897932422">
      <w:bodyDiv w:val="1"/>
      <w:marLeft w:val="0"/>
      <w:marRight w:val="0"/>
      <w:marTop w:val="0"/>
      <w:marBottom w:val="0"/>
      <w:divBdr>
        <w:top w:val="none" w:sz="0" w:space="0" w:color="auto"/>
        <w:left w:val="none" w:sz="0" w:space="0" w:color="auto"/>
        <w:bottom w:val="none" w:sz="0" w:space="0" w:color="auto"/>
        <w:right w:val="none" w:sz="0" w:space="0" w:color="auto"/>
      </w:divBdr>
    </w:div>
    <w:div w:id="1898316793">
      <w:bodyDiv w:val="1"/>
      <w:marLeft w:val="0"/>
      <w:marRight w:val="0"/>
      <w:marTop w:val="0"/>
      <w:marBottom w:val="0"/>
      <w:divBdr>
        <w:top w:val="none" w:sz="0" w:space="0" w:color="auto"/>
        <w:left w:val="none" w:sz="0" w:space="0" w:color="auto"/>
        <w:bottom w:val="none" w:sz="0" w:space="0" w:color="auto"/>
        <w:right w:val="none" w:sz="0" w:space="0" w:color="auto"/>
      </w:divBdr>
    </w:div>
    <w:div w:id="1898318837">
      <w:bodyDiv w:val="1"/>
      <w:marLeft w:val="0"/>
      <w:marRight w:val="0"/>
      <w:marTop w:val="0"/>
      <w:marBottom w:val="0"/>
      <w:divBdr>
        <w:top w:val="none" w:sz="0" w:space="0" w:color="auto"/>
        <w:left w:val="none" w:sz="0" w:space="0" w:color="auto"/>
        <w:bottom w:val="none" w:sz="0" w:space="0" w:color="auto"/>
        <w:right w:val="none" w:sz="0" w:space="0" w:color="auto"/>
      </w:divBdr>
    </w:div>
    <w:div w:id="1898320842">
      <w:bodyDiv w:val="1"/>
      <w:marLeft w:val="0"/>
      <w:marRight w:val="0"/>
      <w:marTop w:val="0"/>
      <w:marBottom w:val="0"/>
      <w:divBdr>
        <w:top w:val="none" w:sz="0" w:space="0" w:color="auto"/>
        <w:left w:val="none" w:sz="0" w:space="0" w:color="auto"/>
        <w:bottom w:val="none" w:sz="0" w:space="0" w:color="auto"/>
        <w:right w:val="none" w:sz="0" w:space="0" w:color="auto"/>
      </w:divBdr>
    </w:div>
    <w:div w:id="1898396602">
      <w:bodyDiv w:val="1"/>
      <w:marLeft w:val="0"/>
      <w:marRight w:val="0"/>
      <w:marTop w:val="0"/>
      <w:marBottom w:val="0"/>
      <w:divBdr>
        <w:top w:val="none" w:sz="0" w:space="0" w:color="auto"/>
        <w:left w:val="none" w:sz="0" w:space="0" w:color="auto"/>
        <w:bottom w:val="none" w:sz="0" w:space="0" w:color="auto"/>
        <w:right w:val="none" w:sz="0" w:space="0" w:color="auto"/>
      </w:divBdr>
    </w:div>
    <w:div w:id="1898398551">
      <w:bodyDiv w:val="1"/>
      <w:marLeft w:val="0"/>
      <w:marRight w:val="0"/>
      <w:marTop w:val="0"/>
      <w:marBottom w:val="0"/>
      <w:divBdr>
        <w:top w:val="none" w:sz="0" w:space="0" w:color="auto"/>
        <w:left w:val="none" w:sz="0" w:space="0" w:color="auto"/>
        <w:bottom w:val="none" w:sz="0" w:space="0" w:color="auto"/>
        <w:right w:val="none" w:sz="0" w:space="0" w:color="auto"/>
      </w:divBdr>
    </w:div>
    <w:div w:id="1898782461">
      <w:bodyDiv w:val="1"/>
      <w:marLeft w:val="0"/>
      <w:marRight w:val="0"/>
      <w:marTop w:val="0"/>
      <w:marBottom w:val="0"/>
      <w:divBdr>
        <w:top w:val="none" w:sz="0" w:space="0" w:color="auto"/>
        <w:left w:val="none" w:sz="0" w:space="0" w:color="auto"/>
        <w:bottom w:val="none" w:sz="0" w:space="0" w:color="auto"/>
        <w:right w:val="none" w:sz="0" w:space="0" w:color="auto"/>
      </w:divBdr>
    </w:div>
    <w:div w:id="1899441004">
      <w:bodyDiv w:val="1"/>
      <w:marLeft w:val="0"/>
      <w:marRight w:val="0"/>
      <w:marTop w:val="0"/>
      <w:marBottom w:val="0"/>
      <w:divBdr>
        <w:top w:val="none" w:sz="0" w:space="0" w:color="auto"/>
        <w:left w:val="none" w:sz="0" w:space="0" w:color="auto"/>
        <w:bottom w:val="none" w:sz="0" w:space="0" w:color="auto"/>
        <w:right w:val="none" w:sz="0" w:space="0" w:color="auto"/>
      </w:divBdr>
    </w:div>
    <w:div w:id="1899510580">
      <w:bodyDiv w:val="1"/>
      <w:marLeft w:val="0"/>
      <w:marRight w:val="0"/>
      <w:marTop w:val="0"/>
      <w:marBottom w:val="0"/>
      <w:divBdr>
        <w:top w:val="none" w:sz="0" w:space="0" w:color="auto"/>
        <w:left w:val="none" w:sz="0" w:space="0" w:color="auto"/>
        <w:bottom w:val="none" w:sz="0" w:space="0" w:color="auto"/>
        <w:right w:val="none" w:sz="0" w:space="0" w:color="auto"/>
      </w:divBdr>
    </w:div>
    <w:div w:id="1899517096">
      <w:bodyDiv w:val="1"/>
      <w:marLeft w:val="0"/>
      <w:marRight w:val="0"/>
      <w:marTop w:val="0"/>
      <w:marBottom w:val="0"/>
      <w:divBdr>
        <w:top w:val="none" w:sz="0" w:space="0" w:color="auto"/>
        <w:left w:val="none" w:sz="0" w:space="0" w:color="auto"/>
        <w:bottom w:val="none" w:sz="0" w:space="0" w:color="auto"/>
        <w:right w:val="none" w:sz="0" w:space="0" w:color="auto"/>
      </w:divBdr>
    </w:div>
    <w:div w:id="1900675554">
      <w:bodyDiv w:val="1"/>
      <w:marLeft w:val="0"/>
      <w:marRight w:val="0"/>
      <w:marTop w:val="0"/>
      <w:marBottom w:val="0"/>
      <w:divBdr>
        <w:top w:val="none" w:sz="0" w:space="0" w:color="auto"/>
        <w:left w:val="none" w:sz="0" w:space="0" w:color="auto"/>
        <w:bottom w:val="none" w:sz="0" w:space="0" w:color="auto"/>
        <w:right w:val="none" w:sz="0" w:space="0" w:color="auto"/>
      </w:divBdr>
    </w:div>
    <w:div w:id="1900827078">
      <w:bodyDiv w:val="1"/>
      <w:marLeft w:val="0"/>
      <w:marRight w:val="0"/>
      <w:marTop w:val="0"/>
      <w:marBottom w:val="0"/>
      <w:divBdr>
        <w:top w:val="none" w:sz="0" w:space="0" w:color="auto"/>
        <w:left w:val="none" w:sz="0" w:space="0" w:color="auto"/>
        <w:bottom w:val="none" w:sz="0" w:space="0" w:color="auto"/>
        <w:right w:val="none" w:sz="0" w:space="0" w:color="auto"/>
      </w:divBdr>
    </w:div>
    <w:div w:id="1900896027">
      <w:bodyDiv w:val="1"/>
      <w:marLeft w:val="0"/>
      <w:marRight w:val="0"/>
      <w:marTop w:val="0"/>
      <w:marBottom w:val="0"/>
      <w:divBdr>
        <w:top w:val="none" w:sz="0" w:space="0" w:color="auto"/>
        <w:left w:val="none" w:sz="0" w:space="0" w:color="auto"/>
        <w:bottom w:val="none" w:sz="0" w:space="0" w:color="auto"/>
        <w:right w:val="none" w:sz="0" w:space="0" w:color="auto"/>
      </w:divBdr>
    </w:div>
    <w:div w:id="1901018478">
      <w:bodyDiv w:val="1"/>
      <w:marLeft w:val="0"/>
      <w:marRight w:val="0"/>
      <w:marTop w:val="0"/>
      <w:marBottom w:val="0"/>
      <w:divBdr>
        <w:top w:val="none" w:sz="0" w:space="0" w:color="auto"/>
        <w:left w:val="none" w:sz="0" w:space="0" w:color="auto"/>
        <w:bottom w:val="none" w:sz="0" w:space="0" w:color="auto"/>
        <w:right w:val="none" w:sz="0" w:space="0" w:color="auto"/>
      </w:divBdr>
    </w:div>
    <w:div w:id="1901137118">
      <w:bodyDiv w:val="1"/>
      <w:marLeft w:val="0"/>
      <w:marRight w:val="0"/>
      <w:marTop w:val="0"/>
      <w:marBottom w:val="0"/>
      <w:divBdr>
        <w:top w:val="none" w:sz="0" w:space="0" w:color="auto"/>
        <w:left w:val="none" w:sz="0" w:space="0" w:color="auto"/>
        <w:bottom w:val="none" w:sz="0" w:space="0" w:color="auto"/>
        <w:right w:val="none" w:sz="0" w:space="0" w:color="auto"/>
      </w:divBdr>
    </w:div>
    <w:div w:id="1901356593">
      <w:bodyDiv w:val="1"/>
      <w:marLeft w:val="0"/>
      <w:marRight w:val="0"/>
      <w:marTop w:val="0"/>
      <w:marBottom w:val="0"/>
      <w:divBdr>
        <w:top w:val="none" w:sz="0" w:space="0" w:color="auto"/>
        <w:left w:val="none" w:sz="0" w:space="0" w:color="auto"/>
        <w:bottom w:val="none" w:sz="0" w:space="0" w:color="auto"/>
        <w:right w:val="none" w:sz="0" w:space="0" w:color="auto"/>
      </w:divBdr>
    </w:div>
    <w:div w:id="1901599672">
      <w:bodyDiv w:val="1"/>
      <w:marLeft w:val="0"/>
      <w:marRight w:val="0"/>
      <w:marTop w:val="0"/>
      <w:marBottom w:val="0"/>
      <w:divBdr>
        <w:top w:val="none" w:sz="0" w:space="0" w:color="auto"/>
        <w:left w:val="none" w:sz="0" w:space="0" w:color="auto"/>
        <w:bottom w:val="none" w:sz="0" w:space="0" w:color="auto"/>
        <w:right w:val="none" w:sz="0" w:space="0" w:color="auto"/>
      </w:divBdr>
    </w:div>
    <w:div w:id="1901668149">
      <w:bodyDiv w:val="1"/>
      <w:marLeft w:val="0"/>
      <w:marRight w:val="0"/>
      <w:marTop w:val="0"/>
      <w:marBottom w:val="0"/>
      <w:divBdr>
        <w:top w:val="none" w:sz="0" w:space="0" w:color="auto"/>
        <w:left w:val="none" w:sz="0" w:space="0" w:color="auto"/>
        <w:bottom w:val="none" w:sz="0" w:space="0" w:color="auto"/>
        <w:right w:val="none" w:sz="0" w:space="0" w:color="auto"/>
      </w:divBdr>
    </w:div>
    <w:div w:id="1901673004">
      <w:bodyDiv w:val="1"/>
      <w:marLeft w:val="0"/>
      <w:marRight w:val="0"/>
      <w:marTop w:val="0"/>
      <w:marBottom w:val="0"/>
      <w:divBdr>
        <w:top w:val="none" w:sz="0" w:space="0" w:color="auto"/>
        <w:left w:val="none" w:sz="0" w:space="0" w:color="auto"/>
        <w:bottom w:val="none" w:sz="0" w:space="0" w:color="auto"/>
        <w:right w:val="none" w:sz="0" w:space="0" w:color="auto"/>
      </w:divBdr>
    </w:div>
    <w:div w:id="1901987224">
      <w:bodyDiv w:val="1"/>
      <w:marLeft w:val="0"/>
      <w:marRight w:val="0"/>
      <w:marTop w:val="0"/>
      <w:marBottom w:val="0"/>
      <w:divBdr>
        <w:top w:val="none" w:sz="0" w:space="0" w:color="auto"/>
        <w:left w:val="none" w:sz="0" w:space="0" w:color="auto"/>
        <w:bottom w:val="none" w:sz="0" w:space="0" w:color="auto"/>
        <w:right w:val="none" w:sz="0" w:space="0" w:color="auto"/>
      </w:divBdr>
    </w:div>
    <w:div w:id="1902398442">
      <w:bodyDiv w:val="1"/>
      <w:marLeft w:val="0"/>
      <w:marRight w:val="0"/>
      <w:marTop w:val="0"/>
      <w:marBottom w:val="0"/>
      <w:divBdr>
        <w:top w:val="none" w:sz="0" w:space="0" w:color="auto"/>
        <w:left w:val="none" w:sz="0" w:space="0" w:color="auto"/>
        <w:bottom w:val="none" w:sz="0" w:space="0" w:color="auto"/>
        <w:right w:val="none" w:sz="0" w:space="0" w:color="auto"/>
      </w:divBdr>
    </w:div>
    <w:div w:id="1902476757">
      <w:bodyDiv w:val="1"/>
      <w:marLeft w:val="0"/>
      <w:marRight w:val="0"/>
      <w:marTop w:val="0"/>
      <w:marBottom w:val="0"/>
      <w:divBdr>
        <w:top w:val="none" w:sz="0" w:space="0" w:color="auto"/>
        <w:left w:val="none" w:sz="0" w:space="0" w:color="auto"/>
        <w:bottom w:val="none" w:sz="0" w:space="0" w:color="auto"/>
        <w:right w:val="none" w:sz="0" w:space="0" w:color="auto"/>
      </w:divBdr>
    </w:div>
    <w:div w:id="1903441793">
      <w:bodyDiv w:val="1"/>
      <w:marLeft w:val="0"/>
      <w:marRight w:val="0"/>
      <w:marTop w:val="0"/>
      <w:marBottom w:val="0"/>
      <w:divBdr>
        <w:top w:val="none" w:sz="0" w:space="0" w:color="auto"/>
        <w:left w:val="none" w:sz="0" w:space="0" w:color="auto"/>
        <w:bottom w:val="none" w:sz="0" w:space="0" w:color="auto"/>
        <w:right w:val="none" w:sz="0" w:space="0" w:color="auto"/>
      </w:divBdr>
    </w:div>
    <w:div w:id="1903909189">
      <w:bodyDiv w:val="1"/>
      <w:marLeft w:val="0"/>
      <w:marRight w:val="0"/>
      <w:marTop w:val="0"/>
      <w:marBottom w:val="0"/>
      <w:divBdr>
        <w:top w:val="none" w:sz="0" w:space="0" w:color="auto"/>
        <w:left w:val="none" w:sz="0" w:space="0" w:color="auto"/>
        <w:bottom w:val="none" w:sz="0" w:space="0" w:color="auto"/>
        <w:right w:val="none" w:sz="0" w:space="0" w:color="auto"/>
      </w:divBdr>
    </w:div>
    <w:div w:id="1904175233">
      <w:bodyDiv w:val="1"/>
      <w:marLeft w:val="0"/>
      <w:marRight w:val="0"/>
      <w:marTop w:val="0"/>
      <w:marBottom w:val="0"/>
      <w:divBdr>
        <w:top w:val="none" w:sz="0" w:space="0" w:color="auto"/>
        <w:left w:val="none" w:sz="0" w:space="0" w:color="auto"/>
        <w:bottom w:val="none" w:sz="0" w:space="0" w:color="auto"/>
        <w:right w:val="none" w:sz="0" w:space="0" w:color="auto"/>
      </w:divBdr>
    </w:div>
    <w:div w:id="1904414109">
      <w:bodyDiv w:val="1"/>
      <w:marLeft w:val="0"/>
      <w:marRight w:val="0"/>
      <w:marTop w:val="0"/>
      <w:marBottom w:val="0"/>
      <w:divBdr>
        <w:top w:val="none" w:sz="0" w:space="0" w:color="auto"/>
        <w:left w:val="none" w:sz="0" w:space="0" w:color="auto"/>
        <w:bottom w:val="none" w:sz="0" w:space="0" w:color="auto"/>
        <w:right w:val="none" w:sz="0" w:space="0" w:color="auto"/>
      </w:divBdr>
    </w:div>
    <w:div w:id="1904441257">
      <w:bodyDiv w:val="1"/>
      <w:marLeft w:val="0"/>
      <w:marRight w:val="0"/>
      <w:marTop w:val="0"/>
      <w:marBottom w:val="0"/>
      <w:divBdr>
        <w:top w:val="none" w:sz="0" w:space="0" w:color="auto"/>
        <w:left w:val="none" w:sz="0" w:space="0" w:color="auto"/>
        <w:bottom w:val="none" w:sz="0" w:space="0" w:color="auto"/>
        <w:right w:val="none" w:sz="0" w:space="0" w:color="auto"/>
      </w:divBdr>
    </w:div>
    <w:div w:id="1904679987">
      <w:bodyDiv w:val="1"/>
      <w:marLeft w:val="0"/>
      <w:marRight w:val="0"/>
      <w:marTop w:val="0"/>
      <w:marBottom w:val="0"/>
      <w:divBdr>
        <w:top w:val="none" w:sz="0" w:space="0" w:color="auto"/>
        <w:left w:val="none" w:sz="0" w:space="0" w:color="auto"/>
        <w:bottom w:val="none" w:sz="0" w:space="0" w:color="auto"/>
        <w:right w:val="none" w:sz="0" w:space="0" w:color="auto"/>
      </w:divBdr>
    </w:div>
    <w:div w:id="1905137222">
      <w:bodyDiv w:val="1"/>
      <w:marLeft w:val="0"/>
      <w:marRight w:val="0"/>
      <w:marTop w:val="0"/>
      <w:marBottom w:val="0"/>
      <w:divBdr>
        <w:top w:val="none" w:sz="0" w:space="0" w:color="auto"/>
        <w:left w:val="none" w:sz="0" w:space="0" w:color="auto"/>
        <w:bottom w:val="none" w:sz="0" w:space="0" w:color="auto"/>
        <w:right w:val="none" w:sz="0" w:space="0" w:color="auto"/>
      </w:divBdr>
    </w:div>
    <w:div w:id="1905291770">
      <w:bodyDiv w:val="1"/>
      <w:marLeft w:val="0"/>
      <w:marRight w:val="0"/>
      <w:marTop w:val="0"/>
      <w:marBottom w:val="0"/>
      <w:divBdr>
        <w:top w:val="none" w:sz="0" w:space="0" w:color="auto"/>
        <w:left w:val="none" w:sz="0" w:space="0" w:color="auto"/>
        <w:bottom w:val="none" w:sz="0" w:space="0" w:color="auto"/>
        <w:right w:val="none" w:sz="0" w:space="0" w:color="auto"/>
      </w:divBdr>
    </w:div>
    <w:div w:id="1906211228">
      <w:bodyDiv w:val="1"/>
      <w:marLeft w:val="0"/>
      <w:marRight w:val="0"/>
      <w:marTop w:val="0"/>
      <w:marBottom w:val="0"/>
      <w:divBdr>
        <w:top w:val="none" w:sz="0" w:space="0" w:color="auto"/>
        <w:left w:val="none" w:sz="0" w:space="0" w:color="auto"/>
        <w:bottom w:val="none" w:sz="0" w:space="0" w:color="auto"/>
        <w:right w:val="none" w:sz="0" w:space="0" w:color="auto"/>
      </w:divBdr>
    </w:div>
    <w:div w:id="1907375675">
      <w:bodyDiv w:val="1"/>
      <w:marLeft w:val="0"/>
      <w:marRight w:val="0"/>
      <w:marTop w:val="0"/>
      <w:marBottom w:val="0"/>
      <w:divBdr>
        <w:top w:val="none" w:sz="0" w:space="0" w:color="auto"/>
        <w:left w:val="none" w:sz="0" w:space="0" w:color="auto"/>
        <w:bottom w:val="none" w:sz="0" w:space="0" w:color="auto"/>
        <w:right w:val="none" w:sz="0" w:space="0" w:color="auto"/>
      </w:divBdr>
    </w:div>
    <w:div w:id="1908489853">
      <w:bodyDiv w:val="1"/>
      <w:marLeft w:val="0"/>
      <w:marRight w:val="0"/>
      <w:marTop w:val="0"/>
      <w:marBottom w:val="0"/>
      <w:divBdr>
        <w:top w:val="none" w:sz="0" w:space="0" w:color="auto"/>
        <w:left w:val="none" w:sz="0" w:space="0" w:color="auto"/>
        <w:bottom w:val="none" w:sz="0" w:space="0" w:color="auto"/>
        <w:right w:val="none" w:sz="0" w:space="0" w:color="auto"/>
      </w:divBdr>
    </w:div>
    <w:div w:id="1908492713">
      <w:bodyDiv w:val="1"/>
      <w:marLeft w:val="0"/>
      <w:marRight w:val="0"/>
      <w:marTop w:val="0"/>
      <w:marBottom w:val="0"/>
      <w:divBdr>
        <w:top w:val="none" w:sz="0" w:space="0" w:color="auto"/>
        <w:left w:val="none" w:sz="0" w:space="0" w:color="auto"/>
        <w:bottom w:val="none" w:sz="0" w:space="0" w:color="auto"/>
        <w:right w:val="none" w:sz="0" w:space="0" w:color="auto"/>
      </w:divBdr>
    </w:div>
    <w:div w:id="1909026992">
      <w:bodyDiv w:val="1"/>
      <w:marLeft w:val="0"/>
      <w:marRight w:val="0"/>
      <w:marTop w:val="0"/>
      <w:marBottom w:val="0"/>
      <w:divBdr>
        <w:top w:val="none" w:sz="0" w:space="0" w:color="auto"/>
        <w:left w:val="none" w:sz="0" w:space="0" w:color="auto"/>
        <w:bottom w:val="none" w:sz="0" w:space="0" w:color="auto"/>
        <w:right w:val="none" w:sz="0" w:space="0" w:color="auto"/>
      </w:divBdr>
    </w:div>
    <w:div w:id="1909264123">
      <w:bodyDiv w:val="1"/>
      <w:marLeft w:val="0"/>
      <w:marRight w:val="0"/>
      <w:marTop w:val="0"/>
      <w:marBottom w:val="0"/>
      <w:divBdr>
        <w:top w:val="none" w:sz="0" w:space="0" w:color="auto"/>
        <w:left w:val="none" w:sz="0" w:space="0" w:color="auto"/>
        <w:bottom w:val="none" w:sz="0" w:space="0" w:color="auto"/>
        <w:right w:val="none" w:sz="0" w:space="0" w:color="auto"/>
      </w:divBdr>
    </w:div>
    <w:div w:id="1909413296">
      <w:bodyDiv w:val="1"/>
      <w:marLeft w:val="0"/>
      <w:marRight w:val="0"/>
      <w:marTop w:val="0"/>
      <w:marBottom w:val="0"/>
      <w:divBdr>
        <w:top w:val="none" w:sz="0" w:space="0" w:color="auto"/>
        <w:left w:val="none" w:sz="0" w:space="0" w:color="auto"/>
        <w:bottom w:val="none" w:sz="0" w:space="0" w:color="auto"/>
        <w:right w:val="none" w:sz="0" w:space="0" w:color="auto"/>
      </w:divBdr>
    </w:div>
    <w:div w:id="1909459800">
      <w:bodyDiv w:val="1"/>
      <w:marLeft w:val="0"/>
      <w:marRight w:val="0"/>
      <w:marTop w:val="0"/>
      <w:marBottom w:val="0"/>
      <w:divBdr>
        <w:top w:val="none" w:sz="0" w:space="0" w:color="auto"/>
        <w:left w:val="none" w:sz="0" w:space="0" w:color="auto"/>
        <w:bottom w:val="none" w:sz="0" w:space="0" w:color="auto"/>
        <w:right w:val="none" w:sz="0" w:space="0" w:color="auto"/>
      </w:divBdr>
    </w:div>
    <w:div w:id="1910115796">
      <w:bodyDiv w:val="1"/>
      <w:marLeft w:val="0"/>
      <w:marRight w:val="0"/>
      <w:marTop w:val="0"/>
      <w:marBottom w:val="0"/>
      <w:divBdr>
        <w:top w:val="none" w:sz="0" w:space="0" w:color="auto"/>
        <w:left w:val="none" w:sz="0" w:space="0" w:color="auto"/>
        <w:bottom w:val="none" w:sz="0" w:space="0" w:color="auto"/>
        <w:right w:val="none" w:sz="0" w:space="0" w:color="auto"/>
      </w:divBdr>
    </w:div>
    <w:div w:id="1910190746">
      <w:bodyDiv w:val="1"/>
      <w:marLeft w:val="0"/>
      <w:marRight w:val="0"/>
      <w:marTop w:val="0"/>
      <w:marBottom w:val="0"/>
      <w:divBdr>
        <w:top w:val="none" w:sz="0" w:space="0" w:color="auto"/>
        <w:left w:val="none" w:sz="0" w:space="0" w:color="auto"/>
        <w:bottom w:val="none" w:sz="0" w:space="0" w:color="auto"/>
        <w:right w:val="none" w:sz="0" w:space="0" w:color="auto"/>
      </w:divBdr>
    </w:div>
    <w:div w:id="1910454933">
      <w:bodyDiv w:val="1"/>
      <w:marLeft w:val="0"/>
      <w:marRight w:val="0"/>
      <w:marTop w:val="0"/>
      <w:marBottom w:val="0"/>
      <w:divBdr>
        <w:top w:val="none" w:sz="0" w:space="0" w:color="auto"/>
        <w:left w:val="none" w:sz="0" w:space="0" w:color="auto"/>
        <w:bottom w:val="none" w:sz="0" w:space="0" w:color="auto"/>
        <w:right w:val="none" w:sz="0" w:space="0" w:color="auto"/>
      </w:divBdr>
    </w:div>
    <w:div w:id="1910534114">
      <w:bodyDiv w:val="1"/>
      <w:marLeft w:val="0"/>
      <w:marRight w:val="0"/>
      <w:marTop w:val="0"/>
      <w:marBottom w:val="0"/>
      <w:divBdr>
        <w:top w:val="none" w:sz="0" w:space="0" w:color="auto"/>
        <w:left w:val="none" w:sz="0" w:space="0" w:color="auto"/>
        <w:bottom w:val="none" w:sz="0" w:space="0" w:color="auto"/>
        <w:right w:val="none" w:sz="0" w:space="0" w:color="auto"/>
      </w:divBdr>
    </w:div>
    <w:div w:id="1911649550">
      <w:bodyDiv w:val="1"/>
      <w:marLeft w:val="0"/>
      <w:marRight w:val="0"/>
      <w:marTop w:val="0"/>
      <w:marBottom w:val="0"/>
      <w:divBdr>
        <w:top w:val="none" w:sz="0" w:space="0" w:color="auto"/>
        <w:left w:val="none" w:sz="0" w:space="0" w:color="auto"/>
        <w:bottom w:val="none" w:sz="0" w:space="0" w:color="auto"/>
        <w:right w:val="none" w:sz="0" w:space="0" w:color="auto"/>
      </w:divBdr>
    </w:div>
    <w:div w:id="1912810424">
      <w:bodyDiv w:val="1"/>
      <w:marLeft w:val="0"/>
      <w:marRight w:val="0"/>
      <w:marTop w:val="0"/>
      <w:marBottom w:val="0"/>
      <w:divBdr>
        <w:top w:val="none" w:sz="0" w:space="0" w:color="auto"/>
        <w:left w:val="none" w:sz="0" w:space="0" w:color="auto"/>
        <w:bottom w:val="none" w:sz="0" w:space="0" w:color="auto"/>
        <w:right w:val="none" w:sz="0" w:space="0" w:color="auto"/>
      </w:divBdr>
    </w:div>
    <w:div w:id="1913613927">
      <w:bodyDiv w:val="1"/>
      <w:marLeft w:val="0"/>
      <w:marRight w:val="0"/>
      <w:marTop w:val="0"/>
      <w:marBottom w:val="0"/>
      <w:divBdr>
        <w:top w:val="none" w:sz="0" w:space="0" w:color="auto"/>
        <w:left w:val="none" w:sz="0" w:space="0" w:color="auto"/>
        <w:bottom w:val="none" w:sz="0" w:space="0" w:color="auto"/>
        <w:right w:val="none" w:sz="0" w:space="0" w:color="auto"/>
      </w:divBdr>
    </w:div>
    <w:div w:id="1914005219">
      <w:bodyDiv w:val="1"/>
      <w:marLeft w:val="0"/>
      <w:marRight w:val="0"/>
      <w:marTop w:val="0"/>
      <w:marBottom w:val="0"/>
      <w:divBdr>
        <w:top w:val="none" w:sz="0" w:space="0" w:color="auto"/>
        <w:left w:val="none" w:sz="0" w:space="0" w:color="auto"/>
        <w:bottom w:val="none" w:sz="0" w:space="0" w:color="auto"/>
        <w:right w:val="none" w:sz="0" w:space="0" w:color="auto"/>
      </w:divBdr>
    </w:div>
    <w:div w:id="1914318173">
      <w:bodyDiv w:val="1"/>
      <w:marLeft w:val="0"/>
      <w:marRight w:val="0"/>
      <w:marTop w:val="0"/>
      <w:marBottom w:val="0"/>
      <w:divBdr>
        <w:top w:val="none" w:sz="0" w:space="0" w:color="auto"/>
        <w:left w:val="none" w:sz="0" w:space="0" w:color="auto"/>
        <w:bottom w:val="none" w:sz="0" w:space="0" w:color="auto"/>
        <w:right w:val="none" w:sz="0" w:space="0" w:color="auto"/>
      </w:divBdr>
    </w:div>
    <w:div w:id="1914704274">
      <w:bodyDiv w:val="1"/>
      <w:marLeft w:val="0"/>
      <w:marRight w:val="0"/>
      <w:marTop w:val="0"/>
      <w:marBottom w:val="0"/>
      <w:divBdr>
        <w:top w:val="none" w:sz="0" w:space="0" w:color="auto"/>
        <w:left w:val="none" w:sz="0" w:space="0" w:color="auto"/>
        <w:bottom w:val="none" w:sz="0" w:space="0" w:color="auto"/>
        <w:right w:val="none" w:sz="0" w:space="0" w:color="auto"/>
      </w:divBdr>
    </w:div>
    <w:div w:id="1915696304">
      <w:bodyDiv w:val="1"/>
      <w:marLeft w:val="0"/>
      <w:marRight w:val="0"/>
      <w:marTop w:val="0"/>
      <w:marBottom w:val="0"/>
      <w:divBdr>
        <w:top w:val="none" w:sz="0" w:space="0" w:color="auto"/>
        <w:left w:val="none" w:sz="0" w:space="0" w:color="auto"/>
        <w:bottom w:val="none" w:sz="0" w:space="0" w:color="auto"/>
        <w:right w:val="none" w:sz="0" w:space="0" w:color="auto"/>
      </w:divBdr>
    </w:div>
    <w:div w:id="1916626623">
      <w:bodyDiv w:val="1"/>
      <w:marLeft w:val="0"/>
      <w:marRight w:val="0"/>
      <w:marTop w:val="0"/>
      <w:marBottom w:val="0"/>
      <w:divBdr>
        <w:top w:val="none" w:sz="0" w:space="0" w:color="auto"/>
        <w:left w:val="none" w:sz="0" w:space="0" w:color="auto"/>
        <w:bottom w:val="none" w:sz="0" w:space="0" w:color="auto"/>
        <w:right w:val="none" w:sz="0" w:space="0" w:color="auto"/>
      </w:divBdr>
    </w:div>
    <w:div w:id="1917009835">
      <w:bodyDiv w:val="1"/>
      <w:marLeft w:val="0"/>
      <w:marRight w:val="0"/>
      <w:marTop w:val="0"/>
      <w:marBottom w:val="0"/>
      <w:divBdr>
        <w:top w:val="none" w:sz="0" w:space="0" w:color="auto"/>
        <w:left w:val="none" w:sz="0" w:space="0" w:color="auto"/>
        <w:bottom w:val="none" w:sz="0" w:space="0" w:color="auto"/>
        <w:right w:val="none" w:sz="0" w:space="0" w:color="auto"/>
      </w:divBdr>
    </w:div>
    <w:div w:id="1918173494">
      <w:bodyDiv w:val="1"/>
      <w:marLeft w:val="0"/>
      <w:marRight w:val="0"/>
      <w:marTop w:val="0"/>
      <w:marBottom w:val="0"/>
      <w:divBdr>
        <w:top w:val="none" w:sz="0" w:space="0" w:color="auto"/>
        <w:left w:val="none" w:sz="0" w:space="0" w:color="auto"/>
        <w:bottom w:val="none" w:sz="0" w:space="0" w:color="auto"/>
        <w:right w:val="none" w:sz="0" w:space="0" w:color="auto"/>
      </w:divBdr>
    </w:div>
    <w:div w:id="1918201087">
      <w:bodyDiv w:val="1"/>
      <w:marLeft w:val="0"/>
      <w:marRight w:val="0"/>
      <w:marTop w:val="0"/>
      <w:marBottom w:val="0"/>
      <w:divBdr>
        <w:top w:val="none" w:sz="0" w:space="0" w:color="auto"/>
        <w:left w:val="none" w:sz="0" w:space="0" w:color="auto"/>
        <w:bottom w:val="none" w:sz="0" w:space="0" w:color="auto"/>
        <w:right w:val="none" w:sz="0" w:space="0" w:color="auto"/>
      </w:divBdr>
    </w:div>
    <w:div w:id="1919173809">
      <w:bodyDiv w:val="1"/>
      <w:marLeft w:val="0"/>
      <w:marRight w:val="0"/>
      <w:marTop w:val="0"/>
      <w:marBottom w:val="0"/>
      <w:divBdr>
        <w:top w:val="none" w:sz="0" w:space="0" w:color="auto"/>
        <w:left w:val="none" w:sz="0" w:space="0" w:color="auto"/>
        <w:bottom w:val="none" w:sz="0" w:space="0" w:color="auto"/>
        <w:right w:val="none" w:sz="0" w:space="0" w:color="auto"/>
      </w:divBdr>
    </w:div>
    <w:div w:id="1919244764">
      <w:bodyDiv w:val="1"/>
      <w:marLeft w:val="0"/>
      <w:marRight w:val="0"/>
      <w:marTop w:val="0"/>
      <w:marBottom w:val="0"/>
      <w:divBdr>
        <w:top w:val="none" w:sz="0" w:space="0" w:color="auto"/>
        <w:left w:val="none" w:sz="0" w:space="0" w:color="auto"/>
        <w:bottom w:val="none" w:sz="0" w:space="0" w:color="auto"/>
        <w:right w:val="none" w:sz="0" w:space="0" w:color="auto"/>
      </w:divBdr>
    </w:div>
    <w:div w:id="1919754307">
      <w:bodyDiv w:val="1"/>
      <w:marLeft w:val="0"/>
      <w:marRight w:val="0"/>
      <w:marTop w:val="0"/>
      <w:marBottom w:val="0"/>
      <w:divBdr>
        <w:top w:val="none" w:sz="0" w:space="0" w:color="auto"/>
        <w:left w:val="none" w:sz="0" w:space="0" w:color="auto"/>
        <w:bottom w:val="none" w:sz="0" w:space="0" w:color="auto"/>
        <w:right w:val="none" w:sz="0" w:space="0" w:color="auto"/>
      </w:divBdr>
    </w:div>
    <w:div w:id="1920016688">
      <w:bodyDiv w:val="1"/>
      <w:marLeft w:val="0"/>
      <w:marRight w:val="0"/>
      <w:marTop w:val="0"/>
      <w:marBottom w:val="0"/>
      <w:divBdr>
        <w:top w:val="none" w:sz="0" w:space="0" w:color="auto"/>
        <w:left w:val="none" w:sz="0" w:space="0" w:color="auto"/>
        <w:bottom w:val="none" w:sz="0" w:space="0" w:color="auto"/>
        <w:right w:val="none" w:sz="0" w:space="0" w:color="auto"/>
      </w:divBdr>
    </w:div>
    <w:div w:id="1920560245">
      <w:bodyDiv w:val="1"/>
      <w:marLeft w:val="0"/>
      <w:marRight w:val="0"/>
      <w:marTop w:val="0"/>
      <w:marBottom w:val="0"/>
      <w:divBdr>
        <w:top w:val="none" w:sz="0" w:space="0" w:color="auto"/>
        <w:left w:val="none" w:sz="0" w:space="0" w:color="auto"/>
        <w:bottom w:val="none" w:sz="0" w:space="0" w:color="auto"/>
        <w:right w:val="none" w:sz="0" w:space="0" w:color="auto"/>
      </w:divBdr>
    </w:div>
    <w:div w:id="1920749369">
      <w:bodyDiv w:val="1"/>
      <w:marLeft w:val="0"/>
      <w:marRight w:val="0"/>
      <w:marTop w:val="0"/>
      <w:marBottom w:val="0"/>
      <w:divBdr>
        <w:top w:val="none" w:sz="0" w:space="0" w:color="auto"/>
        <w:left w:val="none" w:sz="0" w:space="0" w:color="auto"/>
        <w:bottom w:val="none" w:sz="0" w:space="0" w:color="auto"/>
        <w:right w:val="none" w:sz="0" w:space="0" w:color="auto"/>
      </w:divBdr>
    </w:div>
    <w:div w:id="1920939602">
      <w:bodyDiv w:val="1"/>
      <w:marLeft w:val="0"/>
      <w:marRight w:val="0"/>
      <w:marTop w:val="0"/>
      <w:marBottom w:val="0"/>
      <w:divBdr>
        <w:top w:val="none" w:sz="0" w:space="0" w:color="auto"/>
        <w:left w:val="none" w:sz="0" w:space="0" w:color="auto"/>
        <w:bottom w:val="none" w:sz="0" w:space="0" w:color="auto"/>
        <w:right w:val="none" w:sz="0" w:space="0" w:color="auto"/>
      </w:divBdr>
    </w:div>
    <w:div w:id="1922131769">
      <w:bodyDiv w:val="1"/>
      <w:marLeft w:val="0"/>
      <w:marRight w:val="0"/>
      <w:marTop w:val="0"/>
      <w:marBottom w:val="0"/>
      <w:divBdr>
        <w:top w:val="none" w:sz="0" w:space="0" w:color="auto"/>
        <w:left w:val="none" w:sz="0" w:space="0" w:color="auto"/>
        <w:bottom w:val="none" w:sz="0" w:space="0" w:color="auto"/>
        <w:right w:val="none" w:sz="0" w:space="0" w:color="auto"/>
      </w:divBdr>
    </w:div>
    <w:div w:id="1922375808">
      <w:bodyDiv w:val="1"/>
      <w:marLeft w:val="0"/>
      <w:marRight w:val="0"/>
      <w:marTop w:val="0"/>
      <w:marBottom w:val="0"/>
      <w:divBdr>
        <w:top w:val="none" w:sz="0" w:space="0" w:color="auto"/>
        <w:left w:val="none" w:sz="0" w:space="0" w:color="auto"/>
        <w:bottom w:val="none" w:sz="0" w:space="0" w:color="auto"/>
        <w:right w:val="none" w:sz="0" w:space="0" w:color="auto"/>
      </w:divBdr>
    </w:div>
    <w:div w:id="1922829560">
      <w:bodyDiv w:val="1"/>
      <w:marLeft w:val="0"/>
      <w:marRight w:val="0"/>
      <w:marTop w:val="0"/>
      <w:marBottom w:val="0"/>
      <w:divBdr>
        <w:top w:val="none" w:sz="0" w:space="0" w:color="auto"/>
        <w:left w:val="none" w:sz="0" w:space="0" w:color="auto"/>
        <w:bottom w:val="none" w:sz="0" w:space="0" w:color="auto"/>
        <w:right w:val="none" w:sz="0" w:space="0" w:color="auto"/>
      </w:divBdr>
    </w:div>
    <w:div w:id="1924220181">
      <w:bodyDiv w:val="1"/>
      <w:marLeft w:val="0"/>
      <w:marRight w:val="0"/>
      <w:marTop w:val="0"/>
      <w:marBottom w:val="0"/>
      <w:divBdr>
        <w:top w:val="none" w:sz="0" w:space="0" w:color="auto"/>
        <w:left w:val="none" w:sz="0" w:space="0" w:color="auto"/>
        <w:bottom w:val="none" w:sz="0" w:space="0" w:color="auto"/>
        <w:right w:val="none" w:sz="0" w:space="0" w:color="auto"/>
      </w:divBdr>
    </w:div>
    <w:div w:id="1924485234">
      <w:bodyDiv w:val="1"/>
      <w:marLeft w:val="0"/>
      <w:marRight w:val="0"/>
      <w:marTop w:val="0"/>
      <w:marBottom w:val="0"/>
      <w:divBdr>
        <w:top w:val="none" w:sz="0" w:space="0" w:color="auto"/>
        <w:left w:val="none" w:sz="0" w:space="0" w:color="auto"/>
        <w:bottom w:val="none" w:sz="0" w:space="0" w:color="auto"/>
        <w:right w:val="none" w:sz="0" w:space="0" w:color="auto"/>
      </w:divBdr>
    </w:div>
    <w:div w:id="1925142280">
      <w:bodyDiv w:val="1"/>
      <w:marLeft w:val="0"/>
      <w:marRight w:val="0"/>
      <w:marTop w:val="0"/>
      <w:marBottom w:val="0"/>
      <w:divBdr>
        <w:top w:val="none" w:sz="0" w:space="0" w:color="auto"/>
        <w:left w:val="none" w:sz="0" w:space="0" w:color="auto"/>
        <w:bottom w:val="none" w:sz="0" w:space="0" w:color="auto"/>
        <w:right w:val="none" w:sz="0" w:space="0" w:color="auto"/>
      </w:divBdr>
    </w:div>
    <w:div w:id="1925452002">
      <w:bodyDiv w:val="1"/>
      <w:marLeft w:val="0"/>
      <w:marRight w:val="0"/>
      <w:marTop w:val="0"/>
      <w:marBottom w:val="0"/>
      <w:divBdr>
        <w:top w:val="none" w:sz="0" w:space="0" w:color="auto"/>
        <w:left w:val="none" w:sz="0" w:space="0" w:color="auto"/>
        <w:bottom w:val="none" w:sz="0" w:space="0" w:color="auto"/>
        <w:right w:val="none" w:sz="0" w:space="0" w:color="auto"/>
      </w:divBdr>
    </w:div>
    <w:div w:id="1925991560">
      <w:bodyDiv w:val="1"/>
      <w:marLeft w:val="0"/>
      <w:marRight w:val="0"/>
      <w:marTop w:val="0"/>
      <w:marBottom w:val="0"/>
      <w:divBdr>
        <w:top w:val="none" w:sz="0" w:space="0" w:color="auto"/>
        <w:left w:val="none" w:sz="0" w:space="0" w:color="auto"/>
        <w:bottom w:val="none" w:sz="0" w:space="0" w:color="auto"/>
        <w:right w:val="none" w:sz="0" w:space="0" w:color="auto"/>
      </w:divBdr>
    </w:div>
    <w:div w:id="1927035450">
      <w:bodyDiv w:val="1"/>
      <w:marLeft w:val="0"/>
      <w:marRight w:val="0"/>
      <w:marTop w:val="0"/>
      <w:marBottom w:val="0"/>
      <w:divBdr>
        <w:top w:val="none" w:sz="0" w:space="0" w:color="auto"/>
        <w:left w:val="none" w:sz="0" w:space="0" w:color="auto"/>
        <w:bottom w:val="none" w:sz="0" w:space="0" w:color="auto"/>
        <w:right w:val="none" w:sz="0" w:space="0" w:color="auto"/>
      </w:divBdr>
    </w:div>
    <w:div w:id="1928031244">
      <w:bodyDiv w:val="1"/>
      <w:marLeft w:val="0"/>
      <w:marRight w:val="0"/>
      <w:marTop w:val="0"/>
      <w:marBottom w:val="0"/>
      <w:divBdr>
        <w:top w:val="none" w:sz="0" w:space="0" w:color="auto"/>
        <w:left w:val="none" w:sz="0" w:space="0" w:color="auto"/>
        <w:bottom w:val="none" w:sz="0" w:space="0" w:color="auto"/>
        <w:right w:val="none" w:sz="0" w:space="0" w:color="auto"/>
      </w:divBdr>
    </w:div>
    <w:div w:id="1928346577">
      <w:bodyDiv w:val="1"/>
      <w:marLeft w:val="0"/>
      <w:marRight w:val="0"/>
      <w:marTop w:val="0"/>
      <w:marBottom w:val="0"/>
      <w:divBdr>
        <w:top w:val="none" w:sz="0" w:space="0" w:color="auto"/>
        <w:left w:val="none" w:sz="0" w:space="0" w:color="auto"/>
        <w:bottom w:val="none" w:sz="0" w:space="0" w:color="auto"/>
        <w:right w:val="none" w:sz="0" w:space="0" w:color="auto"/>
      </w:divBdr>
    </w:div>
    <w:div w:id="1928882223">
      <w:bodyDiv w:val="1"/>
      <w:marLeft w:val="0"/>
      <w:marRight w:val="0"/>
      <w:marTop w:val="0"/>
      <w:marBottom w:val="0"/>
      <w:divBdr>
        <w:top w:val="none" w:sz="0" w:space="0" w:color="auto"/>
        <w:left w:val="none" w:sz="0" w:space="0" w:color="auto"/>
        <w:bottom w:val="none" w:sz="0" w:space="0" w:color="auto"/>
        <w:right w:val="none" w:sz="0" w:space="0" w:color="auto"/>
      </w:divBdr>
    </w:div>
    <w:div w:id="1930307912">
      <w:bodyDiv w:val="1"/>
      <w:marLeft w:val="0"/>
      <w:marRight w:val="0"/>
      <w:marTop w:val="0"/>
      <w:marBottom w:val="0"/>
      <w:divBdr>
        <w:top w:val="none" w:sz="0" w:space="0" w:color="auto"/>
        <w:left w:val="none" w:sz="0" w:space="0" w:color="auto"/>
        <w:bottom w:val="none" w:sz="0" w:space="0" w:color="auto"/>
        <w:right w:val="none" w:sz="0" w:space="0" w:color="auto"/>
      </w:divBdr>
    </w:div>
    <w:div w:id="1930381649">
      <w:bodyDiv w:val="1"/>
      <w:marLeft w:val="0"/>
      <w:marRight w:val="0"/>
      <w:marTop w:val="0"/>
      <w:marBottom w:val="0"/>
      <w:divBdr>
        <w:top w:val="none" w:sz="0" w:space="0" w:color="auto"/>
        <w:left w:val="none" w:sz="0" w:space="0" w:color="auto"/>
        <w:bottom w:val="none" w:sz="0" w:space="0" w:color="auto"/>
        <w:right w:val="none" w:sz="0" w:space="0" w:color="auto"/>
      </w:divBdr>
    </w:div>
    <w:div w:id="1930383881">
      <w:bodyDiv w:val="1"/>
      <w:marLeft w:val="0"/>
      <w:marRight w:val="0"/>
      <w:marTop w:val="0"/>
      <w:marBottom w:val="0"/>
      <w:divBdr>
        <w:top w:val="none" w:sz="0" w:space="0" w:color="auto"/>
        <w:left w:val="none" w:sz="0" w:space="0" w:color="auto"/>
        <w:bottom w:val="none" w:sz="0" w:space="0" w:color="auto"/>
        <w:right w:val="none" w:sz="0" w:space="0" w:color="auto"/>
      </w:divBdr>
    </w:div>
    <w:div w:id="1930506629">
      <w:bodyDiv w:val="1"/>
      <w:marLeft w:val="0"/>
      <w:marRight w:val="0"/>
      <w:marTop w:val="0"/>
      <w:marBottom w:val="0"/>
      <w:divBdr>
        <w:top w:val="none" w:sz="0" w:space="0" w:color="auto"/>
        <w:left w:val="none" w:sz="0" w:space="0" w:color="auto"/>
        <w:bottom w:val="none" w:sz="0" w:space="0" w:color="auto"/>
        <w:right w:val="none" w:sz="0" w:space="0" w:color="auto"/>
      </w:divBdr>
    </w:div>
    <w:div w:id="1931236802">
      <w:bodyDiv w:val="1"/>
      <w:marLeft w:val="0"/>
      <w:marRight w:val="0"/>
      <w:marTop w:val="0"/>
      <w:marBottom w:val="0"/>
      <w:divBdr>
        <w:top w:val="none" w:sz="0" w:space="0" w:color="auto"/>
        <w:left w:val="none" w:sz="0" w:space="0" w:color="auto"/>
        <w:bottom w:val="none" w:sz="0" w:space="0" w:color="auto"/>
        <w:right w:val="none" w:sz="0" w:space="0" w:color="auto"/>
      </w:divBdr>
    </w:div>
    <w:div w:id="1931889669">
      <w:bodyDiv w:val="1"/>
      <w:marLeft w:val="0"/>
      <w:marRight w:val="0"/>
      <w:marTop w:val="0"/>
      <w:marBottom w:val="0"/>
      <w:divBdr>
        <w:top w:val="none" w:sz="0" w:space="0" w:color="auto"/>
        <w:left w:val="none" w:sz="0" w:space="0" w:color="auto"/>
        <w:bottom w:val="none" w:sz="0" w:space="0" w:color="auto"/>
        <w:right w:val="none" w:sz="0" w:space="0" w:color="auto"/>
      </w:divBdr>
    </w:div>
    <w:div w:id="1932078766">
      <w:bodyDiv w:val="1"/>
      <w:marLeft w:val="0"/>
      <w:marRight w:val="0"/>
      <w:marTop w:val="0"/>
      <w:marBottom w:val="0"/>
      <w:divBdr>
        <w:top w:val="none" w:sz="0" w:space="0" w:color="auto"/>
        <w:left w:val="none" w:sz="0" w:space="0" w:color="auto"/>
        <w:bottom w:val="none" w:sz="0" w:space="0" w:color="auto"/>
        <w:right w:val="none" w:sz="0" w:space="0" w:color="auto"/>
      </w:divBdr>
    </w:div>
    <w:div w:id="1933468946">
      <w:bodyDiv w:val="1"/>
      <w:marLeft w:val="0"/>
      <w:marRight w:val="0"/>
      <w:marTop w:val="0"/>
      <w:marBottom w:val="0"/>
      <w:divBdr>
        <w:top w:val="none" w:sz="0" w:space="0" w:color="auto"/>
        <w:left w:val="none" w:sz="0" w:space="0" w:color="auto"/>
        <w:bottom w:val="none" w:sz="0" w:space="0" w:color="auto"/>
        <w:right w:val="none" w:sz="0" w:space="0" w:color="auto"/>
      </w:divBdr>
    </w:div>
    <w:div w:id="1933539316">
      <w:bodyDiv w:val="1"/>
      <w:marLeft w:val="0"/>
      <w:marRight w:val="0"/>
      <w:marTop w:val="0"/>
      <w:marBottom w:val="0"/>
      <w:divBdr>
        <w:top w:val="none" w:sz="0" w:space="0" w:color="auto"/>
        <w:left w:val="none" w:sz="0" w:space="0" w:color="auto"/>
        <w:bottom w:val="none" w:sz="0" w:space="0" w:color="auto"/>
        <w:right w:val="none" w:sz="0" w:space="0" w:color="auto"/>
      </w:divBdr>
    </w:div>
    <w:div w:id="1933782371">
      <w:bodyDiv w:val="1"/>
      <w:marLeft w:val="0"/>
      <w:marRight w:val="0"/>
      <w:marTop w:val="0"/>
      <w:marBottom w:val="0"/>
      <w:divBdr>
        <w:top w:val="none" w:sz="0" w:space="0" w:color="auto"/>
        <w:left w:val="none" w:sz="0" w:space="0" w:color="auto"/>
        <w:bottom w:val="none" w:sz="0" w:space="0" w:color="auto"/>
        <w:right w:val="none" w:sz="0" w:space="0" w:color="auto"/>
      </w:divBdr>
    </w:div>
    <w:div w:id="1933856891">
      <w:bodyDiv w:val="1"/>
      <w:marLeft w:val="0"/>
      <w:marRight w:val="0"/>
      <w:marTop w:val="0"/>
      <w:marBottom w:val="0"/>
      <w:divBdr>
        <w:top w:val="none" w:sz="0" w:space="0" w:color="auto"/>
        <w:left w:val="none" w:sz="0" w:space="0" w:color="auto"/>
        <w:bottom w:val="none" w:sz="0" w:space="0" w:color="auto"/>
        <w:right w:val="none" w:sz="0" w:space="0" w:color="auto"/>
      </w:divBdr>
    </w:div>
    <w:div w:id="1933972415">
      <w:bodyDiv w:val="1"/>
      <w:marLeft w:val="0"/>
      <w:marRight w:val="0"/>
      <w:marTop w:val="0"/>
      <w:marBottom w:val="0"/>
      <w:divBdr>
        <w:top w:val="none" w:sz="0" w:space="0" w:color="auto"/>
        <w:left w:val="none" w:sz="0" w:space="0" w:color="auto"/>
        <w:bottom w:val="none" w:sz="0" w:space="0" w:color="auto"/>
        <w:right w:val="none" w:sz="0" w:space="0" w:color="auto"/>
      </w:divBdr>
    </w:div>
    <w:div w:id="1935360208">
      <w:bodyDiv w:val="1"/>
      <w:marLeft w:val="0"/>
      <w:marRight w:val="0"/>
      <w:marTop w:val="0"/>
      <w:marBottom w:val="0"/>
      <w:divBdr>
        <w:top w:val="none" w:sz="0" w:space="0" w:color="auto"/>
        <w:left w:val="none" w:sz="0" w:space="0" w:color="auto"/>
        <w:bottom w:val="none" w:sz="0" w:space="0" w:color="auto"/>
        <w:right w:val="none" w:sz="0" w:space="0" w:color="auto"/>
      </w:divBdr>
    </w:div>
    <w:div w:id="1936134154">
      <w:bodyDiv w:val="1"/>
      <w:marLeft w:val="0"/>
      <w:marRight w:val="0"/>
      <w:marTop w:val="0"/>
      <w:marBottom w:val="0"/>
      <w:divBdr>
        <w:top w:val="none" w:sz="0" w:space="0" w:color="auto"/>
        <w:left w:val="none" w:sz="0" w:space="0" w:color="auto"/>
        <w:bottom w:val="none" w:sz="0" w:space="0" w:color="auto"/>
        <w:right w:val="none" w:sz="0" w:space="0" w:color="auto"/>
      </w:divBdr>
    </w:div>
    <w:div w:id="1936278138">
      <w:bodyDiv w:val="1"/>
      <w:marLeft w:val="0"/>
      <w:marRight w:val="0"/>
      <w:marTop w:val="0"/>
      <w:marBottom w:val="0"/>
      <w:divBdr>
        <w:top w:val="none" w:sz="0" w:space="0" w:color="auto"/>
        <w:left w:val="none" w:sz="0" w:space="0" w:color="auto"/>
        <w:bottom w:val="none" w:sz="0" w:space="0" w:color="auto"/>
        <w:right w:val="none" w:sz="0" w:space="0" w:color="auto"/>
      </w:divBdr>
    </w:div>
    <w:div w:id="1937862524">
      <w:bodyDiv w:val="1"/>
      <w:marLeft w:val="0"/>
      <w:marRight w:val="0"/>
      <w:marTop w:val="0"/>
      <w:marBottom w:val="0"/>
      <w:divBdr>
        <w:top w:val="none" w:sz="0" w:space="0" w:color="auto"/>
        <w:left w:val="none" w:sz="0" w:space="0" w:color="auto"/>
        <w:bottom w:val="none" w:sz="0" w:space="0" w:color="auto"/>
        <w:right w:val="none" w:sz="0" w:space="0" w:color="auto"/>
      </w:divBdr>
    </w:div>
    <w:div w:id="1937906581">
      <w:bodyDiv w:val="1"/>
      <w:marLeft w:val="0"/>
      <w:marRight w:val="0"/>
      <w:marTop w:val="0"/>
      <w:marBottom w:val="0"/>
      <w:divBdr>
        <w:top w:val="none" w:sz="0" w:space="0" w:color="auto"/>
        <w:left w:val="none" w:sz="0" w:space="0" w:color="auto"/>
        <w:bottom w:val="none" w:sz="0" w:space="0" w:color="auto"/>
        <w:right w:val="none" w:sz="0" w:space="0" w:color="auto"/>
      </w:divBdr>
    </w:div>
    <w:div w:id="1938559879">
      <w:bodyDiv w:val="1"/>
      <w:marLeft w:val="0"/>
      <w:marRight w:val="0"/>
      <w:marTop w:val="0"/>
      <w:marBottom w:val="0"/>
      <w:divBdr>
        <w:top w:val="none" w:sz="0" w:space="0" w:color="auto"/>
        <w:left w:val="none" w:sz="0" w:space="0" w:color="auto"/>
        <w:bottom w:val="none" w:sz="0" w:space="0" w:color="auto"/>
        <w:right w:val="none" w:sz="0" w:space="0" w:color="auto"/>
      </w:divBdr>
    </w:div>
    <w:div w:id="1938709494">
      <w:bodyDiv w:val="1"/>
      <w:marLeft w:val="0"/>
      <w:marRight w:val="0"/>
      <w:marTop w:val="0"/>
      <w:marBottom w:val="0"/>
      <w:divBdr>
        <w:top w:val="none" w:sz="0" w:space="0" w:color="auto"/>
        <w:left w:val="none" w:sz="0" w:space="0" w:color="auto"/>
        <w:bottom w:val="none" w:sz="0" w:space="0" w:color="auto"/>
        <w:right w:val="none" w:sz="0" w:space="0" w:color="auto"/>
      </w:divBdr>
    </w:div>
    <w:div w:id="1939289214">
      <w:bodyDiv w:val="1"/>
      <w:marLeft w:val="0"/>
      <w:marRight w:val="0"/>
      <w:marTop w:val="0"/>
      <w:marBottom w:val="0"/>
      <w:divBdr>
        <w:top w:val="none" w:sz="0" w:space="0" w:color="auto"/>
        <w:left w:val="none" w:sz="0" w:space="0" w:color="auto"/>
        <w:bottom w:val="none" w:sz="0" w:space="0" w:color="auto"/>
        <w:right w:val="none" w:sz="0" w:space="0" w:color="auto"/>
      </w:divBdr>
    </w:div>
    <w:div w:id="1940214592">
      <w:bodyDiv w:val="1"/>
      <w:marLeft w:val="0"/>
      <w:marRight w:val="0"/>
      <w:marTop w:val="0"/>
      <w:marBottom w:val="0"/>
      <w:divBdr>
        <w:top w:val="none" w:sz="0" w:space="0" w:color="auto"/>
        <w:left w:val="none" w:sz="0" w:space="0" w:color="auto"/>
        <w:bottom w:val="none" w:sz="0" w:space="0" w:color="auto"/>
        <w:right w:val="none" w:sz="0" w:space="0" w:color="auto"/>
      </w:divBdr>
    </w:div>
    <w:div w:id="1941335198">
      <w:bodyDiv w:val="1"/>
      <w:marLeft w:val="0"/>
      <w:marRight w:val="0"/>
      <w:marTop w:val="0"/>
      <w:marBottom w:val="0"/>
      <w:divBdr>
        <w:top w:val="none" w:sz="0" w:space="0" w:color="auto"/>
        <w:left w:val="none" w:sz="0" w:space="0" w:color="auto"/>
        <w:bottom w:val="none" w:sz="0" w:space="0" w:color="auto"/>
        <w:right w:val="none" w:sz="0" w:space="0" w:color="auto"/>
      </w:divBdr>
    </w:div>
    <w:div w:id="1942104535">
      <w:bodyDiv w:val="1"/>
      <w:marLeft w:val="0"/>
      <w:marRight w:val="0"/>
      <w:marTop w:val="0"/>
      <w:marBottom w:val="0"/>
      <w:divBdr>
        <w:top w:val="none" w:sz="0" w:space="0" w:color="auto"/>
        <w:left w:val="none" w:sz="0" w:space="0" w:color="auto"/>
        <w:bottom w:val="none" w:sz="0" w:space="0" w:color="auto"/>
        <w:right w:val="none" w:sz="0" w:space="0" w:color="auto"/>
      </w:divBdr>
    </w:div>
    <w:div w:id="1942369826">
      <w:bodyDiv w:val="1"/>
      <w:marLeft w:val="0"/>
      <w:marRight w:val="0"/>
      <w:marTop w:val="0"/>
      <w:marBottom w:val="0"/>
      <w:divBdr>
        <w:top w:val="none" w:sz="0" w:space="0" w:color="auto"/>
        <w:left w:val="none" w:sz="0" w:space="0" w:color="auto"/>
        <w:bottom w:val="none" w:sz="0" w:space="0" w:color="auto"/>
        <w:right w:val="none" w:sz="0" w:space="0" w:color="auto"/>
      </w:divBdr>
    </w:div>
    <w:div w:id="1942494348">
      <w:bodyDiv w:val="1"/>
      <w:marLeft w:val="0"/>
      <w:marRight w:val="0"/>
      <w:marTop w:val="0"/>
      <w:marBottom w:val="0"/>
      <w:divBdr>
        <w:top w:val="none" w:sz="0" w:space="0" w:color="auto"/>
        <w:left w:val="none" w:sz="0" w:space="0" w:color="auto"/>
        <w:bottom w:val="none" w:sz="0" w:space="0" w:color="auto"/>
        <w:right w:val="none" w:sz="0" w:space="0" w:color="auto"/>
      </w:divBdr>
    </w:div>
    <w:div w:id="1942642389">
      <w:bodyDiv w:val="1"/>
      <w:marLeft w:val="0"/>
      <w:marRight w:val="0"/>
      <w:marTop w:val="0"/>
      <w:marBottom w:val="0"/>
      <w:divBdr>
        <w:top w:val="none" w:sz="0" w:space="0" w:color="auto"/>
        <w:left w:val="none" w:sz="0" w:space="0" w:color="auto"/>
        <w:bottom w:val="none" w:sz="0" w:space="0" w:color="auto"/>
        <w:right w:val="none" w:sz="0" w:space="0" w:color="auto"/>
      </w:divBdr>
    </w:div>
    <w:div w:id="1943102157">
      <w:bodyDiv w:val="1"/>
      <w:marLeft w:val="0"/>
      <w:marRight w:val="0"/>
      <w:marTop w:val="0"/>
      <w:marBottom w:val="0"/>
      <w:divBdr>
        <w:top w:val="none" w:sz="0" w:space="0" w:color="auto"/>
        <w:left w:val="none" w:sz="0" w:space="0" w:color="auto"/>
        <w:bottom w:val="none" w:sz="0" w:space="0" w:color="auto"/>
        <w:right w:val="none" w:sz="0" w:space="0" w:color="auto"/>
      </w:divBdr>
    </w:div>
    <w:div w:id="1943536609">
      <w:bodyDiv w:val="1"/>
      <w:marLeft w:val="0"/>
      <w:marRight w:val="0"/>
      <w:marTop w:val="0"/>
      <w:marBottom w:val="0"/>
      <w:divBdr>
        <w:top w:val="none" w:sz="0" w:space="0" w:color="auto"/>
        <w:left w:val="none" w:sz="0" w:space="0" w:color="auto"/>
        <w:bottom w:val="none" w:sz="0" w:space="0" w:color="auto"/>
        <w:right w:val="none" w:sz="0" w:space="0" w:color="auto"/>
      </w:divBdr>
    </w:div>
    <w:div w:id="1943562703">
      <w:bodyDiv w:val="1"/>
      <w:marLeft w:val="0"/>
      <w:marRight w:val="0"/>
      <w:marTop w:val="0"/>
      <w:marBottom w:val="0"/>
      <w:divBdr>
        <w:top w:val="none" w:sz="0" w:space="0" w:color="auto"/>
        <w:left w:val="none" w:sz="0" w:space="0" w:color="auto"/>
        <w:bottom w:val="none" w:sz="0" w:space="0" w:color="auto"/>
        <w:right w:val="none" w:sz="0" w:space="0" w:color="auto"/>
      </w:divBdr>
    </w:div>
    <w:div w:id="1943954372">
      <w:bodyDiv w:val="1"/>
      <w:marLeft w:val="0"/>
      <w:marRight w:val="0"/>
      <w:marTop w:val="0"/>
      <w:marBottom w:val="0"/>
      <w:divBdr>
        <w:top w:val="none" w:sz="0" w:space="0" w:color="auto"/>
        <w:left w:val="none" w:sz="0" w:space="0" w:color="auto"/>
        <w:bottom w:val="none" w:sz="0" w:space="0" w:color="auto"/>
        <w:right w:val="none" w:sz="0" w:space="0" w:color="auto"/>
      </w:divBdr>
    </w:div>
    <w:div w:id="1944266366">
      <w:bodyDiv w:val="1"/>
      <w:marLeft w:val="0"/>
      <w:marRight w:val="0"/>
      <w:marTop w:val="0"/>
      <w:marBottom w:val="0"/>
      <w:divBdr>
        <w:top w:val="none" w:sz="0" w:space="0" w:color="auto"/>
        <w:left w:val="none" w:sz="0" w:space="0" w:color="auto"/>
        <w:bottom w:val="none" w:sz="0" w:space="0" w:color="auto"/>
        <w:right w:val="none" w:sz="0" w:space="0" w:color="auto"/>
      </w:divBdr>
    </w:div>
    <w:div w:id="1944266943">
      <w:bodyDiv w:val="1"/>
      <w:marLeft w:val="0"/>
      <w:marRight w:val="0"/>
      <w:marTop w:val="0"/>
      <w:marBottom w:val="0"/>
      <w:divBdr>
        <w:top w:val="none" w:sz="0" w:space="0" w:color="auto"/>
        <w:left w:val="none" w:sz="0" w:space="0" w:color="auto"/>
        <w:bottom w:val="none" w:sz="0" w:space="0" w:color="auto"/>
        <w:right w:val="none" w:sz="0" w:space="0" w:color="auto"/>
      </w:divBdr>
    </w:div>
    <w:div w:id="1944651115">
      <w:bodyDiv w:val="1"/>
      <w:marLeft w:val="0"/>
      <w:marRight w:val="0"/>
      <w:marTop w:val="0"/>
      <w:marBottom w:val="0"/>
      <w:divBdr>
        <w:top w:val="none" w:sz="0" w:space="0" w:color="auto"/>
        <w:left w:val="none" w:sz="0" w:space="0" w:color="auto"/>
        <w:bottom w:val="none" w:sz="0" w:space="0" w:color="auto"/>
        <w:right w:val="none" w:sz="0" w:space="0" w:color="auto"/>
      </w:divBdr>
    </w:div>
    <w:div w:id="1944805911">
      <w:bodyDiv w:val="1"/>
      <w:marLeft w:val="0"/>
      <w:marRight w:val="0"/>
      <w:marTop w:val="0"/>
      <w:marBottom w:val="0"/>
      <w:divBdr>
        <w:top w:val="none" w:sz="0" w:space="0" w:color="auto"/>
        <w:left w:val="none" w:sz="0" w:space="0" w:color="auto"/>
        <w:bottom w:val="none" w:sz="0" w:space="0" w:color="auto"/>
        <w:right w:val="none" w:sz="0" w:space="0" w:color="auto"/>
      </w:divBdr>
    </w:div>
    <w:div w:id="1944878207">
      <w:bodyDiv w:val="1"/>
      <w:marLeft w:val="0"/>
      <w:marRight w:val="0"/>
      <w:marTop w:val="0"/>
      <w:marBottom w:val="0"/>
      <w:divBdr>
        <w:top w:val="none" w:sz="0" w:space="0" w:color="auto"/>
        <w:left w:val="none" w:sz="0" w:space="0" w:color="auto"/>
        <w:bottom w:val="none" w:sz="0" w:space="0" w:color="auto"/>
        <w:right w:val="none" w:sz="0" w:space="0" w:color="auto"/>
      </w:divBdr>
    </w:div>
    <w:div w:id="1945533720">
      <w:bodyDiv w:val="1"/>
      <w:marLeft w:val="0"/>
      <w:marRight w:val="0"/>
      <w:marTop w:val="0"/>
      <w:marBottom w:val="0"/>
      <w:divBdr>
        <w:top w:val="none" w:sz="0" w:space="0" w:color="auto"/>
        <w:left w:val="none" w:sz="0" w:space="0" w:color="auto"/>
        <w:bottom w:val="none" w:sz="0" w:space="0" w:color="auto"/>
        <w:right w:val="none" w:sz="0" w:space="0" w:color="auto"/>
      </w:divBdr>
    </w:div>
    <w:div w:id="1945652667">
      <w:bodyDiv w:val="1"/>
      <w:marLeft w:val="0"/>
      <w:marRight w:val="0"/>
      <w:marTop w:val="0"/>
      <w:marBottom w:val="0"/>
      <w:divBdr>
        <w:top w:val="none" w:sz="0" w:space="0" w:color="auto"/>
        <w:left w:val="none" w:sz="0" w:space="0" w:color="auto"/>
        <w:bottom w:val="none" w:sz="0" w:space="0" w:color="auto"/>
        <w:right w:val="none" w:sz="0" w:space="0" w:color="auto"/>
      </w:divBdr>
    </w:div>
    <w:div w:id="1946230527">
      <w:bodyDiv w:val="1"/>
      <w:marLeft w:val="0"/>
      <w:marRight w:val="0"/>
      <w:marTop w:val="0"/>
      <w:marBottom w:val="0"/>
      <w:divBdr>
        <w:top w:val="none" w:sz="0" w:space="0" w:color="auto"/>
        <w:left w:val="none" w:sz="0" w:space="0" w:color="auto"/>
        <w:bottom w:val="none" w:sz="0" w:space="0" w:color="auto"/>
        <w:right w:val="none" w:sz="0" w:space="0" w:color="auto"/>
      </w:divBdr>
    </w:div>
    <w:div w:id="1946419376">
      <w:bodyDiv w:val="1"/>
      <w:marLeft w:val="0"/>
      <w:marRight w:val="0"/>
      <w:marTop w:val="0"/>
      <w:marBottom w:val="0"/>
      <w:divBdr>
        <w:top w:val="none" w:sz="0" w:space="0" w:color="auto"/>
        <w:left w:val="none" w:sz="0" w:space="0" w:color="auto"/>
        <w:bottom w:val="none" w:sz="0" w:space="0" w:color="auto"/>
        <w:right w:val="none" w:sz="0" w:space="0" w:color="auto"/>
      </w:divBdr>
    </w:div>
    <w:div w:id="1946569768">
      <w:bodyDiv w:val="1"/>
      <w:marLeft w:val="0"/>
      <w:marRight w:val="0"/>
      <w:marTop w:val="0"/>
      <w:marBottom w:val="0"/>
      <w:divBdr>
        <w:top w:val="none" w:sz="0" w:space="0" w:color="auto"/>
        <w:left w:val="none" w:sz="0" w:space="0" w:color="auto"/>
        <w:bottom w:val="none" w:sz="0" w:space="0" w:color="auto"/>
        <w:right w:val="none" w:sz="0" w:space="0" w:color="auto"/>
      </w:divBdr>
    </w:div>
    <w:div w:id="1946813239">
      <w:bodyDiv w:val="1"/>
      <w:marLeft w:val="0"/>
      <w:marRight w:val="0"/>
      <w:marTop w:val="0"/>
      <w:marBottom w:val="0"/>
      <w:divBdr>
        <w:top w:val="none" w:sz="0" w:space="0" w:color="auto"/>
        <w:left w:val="none" w:sz="0" w:space="0" w:color="auto"/>
        <w:bottom w:val="none" w:sz="0" w:space="0" w:color="auto"/>
        <w:right w:val="none" w:sz="0" w:space="0" w:color="auto"/>
      </w:divBdr>
    </w:div>
    <w:div w:id="1946882590">
      <w:bodyDiv w:val="1"/>
      <w:marLeft w:val="0"/>
      <w:marRight w:val="0"/>
      <w:marTop w:val="0"/>
      <w:marBottom w:val="0"/>
      <w:divBdr>
        <w:top w:val="none" w:sz="0" w:space="0" w:color="auto"/>
        <w:left w:val="none" w:sz="0" w:space="0" w:color="auto"/>
        <w:bottom w:val="none" w:sz="0" w:space="0" w:color="auto"/>
        <w:right w:val="none" w:sz="0" w:space="0" w:color="auto"/>
      </w:divBdr>
    </w:div>
    <w:div w:id="1947233314">
      <w:bodyDiv w:val="1"/>
      <w:marLeft w:val="0"/>
      <w:marRight w:val="0"/>
      <w:marTop w:val="0"/>
      <w:marBottom w:val="0"/>
      <w:divBdr>
        <w:top w:val="none" w:sz="0" w:space="0" w:color="auto"/>
        <w:left w:val="none" w:sz="0" w:space="0" w:color="auto"/>
        <w:bottom w:val="none" w:sz="0" w:space="0" w:color="auto"/>
        <w:right w:val="none" w:sz="0" w:space="0" w:color="auto"/>
      </w:divBdr>
    </w:div>
    <w:div w:id="1948152139">
      <w:bodyDiv w:val="1"/>
      <w:marLeft w:val="0"/>
      <w:marRight w:val="0"/>
      <w:marTop w:val="0"/>
      <w:marBottom w:val="0"/>
      <w:divBdr>
        <w:top w:val="none" w:sz="0" w:space="0" w:color="auto"/>
        <w:left w:val="none" w:sz="0" w:space="0" w:color="auto"/>
        <w:bottom w:val="none" w:sz="0" w:space="0" w:color="auto"/>
        <w:right w:val="none" w:sz="0" w:space="0" w:color="auto"/>
      </w:divBdr>
    </w:div>
    <w:div w:id="1948197040">
      <w:bodyDiv w:val="1"/>
      <w:marLeft w:val="0"/>
      <w:marRight w:val="0"/>
      <w:marTop w:val="0"/>
      <w:marBottom w:val="0"/>
      <w:divBdr>
        <w:top w:val="none" w:sz="0" w:space="0" w:color="auto"/>
        <w:left w:val="none" w:sz="0" w:space="0" w:color="auto"/>
        <w:bottom w:val="none" w:sz="0" w:space="0" w:color="auto"/>
        <w:right w:val="none" w:sz="0" w:space="0" w:color="auto"/>
      </w:divBdr>
    </w:div>
    <w:div w:id="1948805640">
      <w:bodyDiv w:val="1"/>
      <w:marLeft w:val="0"/>
      <w:marRight w:val="0"/>
      <w:marTop w:val="0"/>
      <w:marBottom w:val="0"/>
      <w:divBdr>
        <w:top w:val="none" w:sz="0" w:space="0" w:color="auto"/>
        <w:left w:val="none" w:sz="0" w:space="0" w:color="auto"/>
        <w:bottom w:val="none" w:sz="0" w:space="0" w:color="auto"/>
        <w:right w:val="none" w:sz="0" w:space="0" w:color="auto"/>
      </w:divBdr>
    </w:div>
    <w:div w:id="1949314672">
      <w:bodyDiv w:val="1"/>
      <w:marLeft w:val="0"/>
      <w:marRight w:val="0"/>
      <w:marTop w:val="0"/>
      <w:marBottom w:val="0"/>
      <w:divBdr>
        <w:top w:val="none" w:sz="0" w:space="0" w:color="auto"/>
        <w:left w:val="none" w:sz="0" w:space="0" w:color="auto"/>
        <w:bottom w:val="none" w:sz="0" w:space="0" w:color="auto"/>
        <w:right w:val="none" w:sz="0" w:space="0" w:color="auto"/>
      </w:divBdr>
    </w:div>
    <w:div w:id="1951161602">
      <w:bodyDiv w:val="1"/>
      <w:marLeft w:val="0"/>
      <w:marRight w:val="0"/>
      <w:marTop w:val="0"/>
      <w:marBottom w:val="0"/>
      <w:divBdr>
        <w:top w:val="none" w:sz="0" w:space="0" w:color="auto"/>
        <w:left w:val="none" w:sz="0" w:space="0" w:color="auto"/>
        <w:bottom w:val="none" w:sz="0" w:space="0" w:color="auto"/>
        <w:right w:val="none" w:sz="0" w:space="0" w:color="auto"/>
      </w:divBdr>
    </w:div>
    <w:div w:id="1951426955">
      <w:bodyDiv w:val="1"/>
      <w:marLeft w:val="0"/>
      <w:marRight w:val="0"/>
      <w:marTop w:val="0"/>
      <w:marBottom w:val="0"/>
      <w:divBdr>
        <w:top w:val="none" w:sz="0" w:space="0" w:color="auto"/>
        <w:left w:val="none" w:sz="0" w:space="0" w:color="auto"/>
        <w:bottom w:val="none" w:sz="0" w:space="0" w:color="auto"/>
        <w:right w:val="none" w:sz="0" w:space="0" w:color="auto"/>
      </w:divBdr>
    </w:div>
    <w:div w:id="1951623150">
      <w:bodyDiv w:val="1"/>
      <w:marLeft w:val="0"/>
      <w:marRight w:val="0"/>
      <w:marTop w:val="0"/>
      <w:marBottom w:val="0"/>
      <w:divBdr>
        <w:top w:val="none" w:sz="0" w:space="0" w:color="auto"/>
        <w:left w:val="none" w:sz="0" w:space="0" w:color="auto"/>
        <w:bottom w:val="none" w:sz="0" w:space="0" w:color="auto"/>
        <w:right w:val="none" w:sz="0" w:space="0" w:color="auto"/>
      </w:divBdr>
    </w:div>
    <w:div w:id="1952124116">
      <w:bodyDiv w:val="1"/>
      <w:marLeft w:val="0"/>
      <w:marRight w:val="0"/>
      <w:marTop w:val="0"/>
      <w:marBottom w:val="0"/>
      <w:divBdr>
        <w:top w:val="none" w:sz="0" w:space="0" w:color="auto"/>
        <w:left w:val="none" w:sz="0" w:space="0" w:color="auto"/>
        <w:bottom w:val="none" w:sz="0" w:space="0" w:color="auto"/>
        <w:right w:val="none" w:sz="0" w:space="0" w:color="auto"/>
      </w:divBdr>
    </w:div>
    <w:div w:id="1952127111">
      <w:bodyDiv w:val="1"/>
      <w:marLeft w:val="0"/>
      <w:marRight w:val="0"/>
      <w:marTop w:val="0"/>
      <w:marBottom w:val="0"/>
      <w:divBdr>
        <w:top w:val="none" w:sz="0" w:space="0" w:color="auto"/>
        <w:left w:val="none" w:sz="0" w:space="0" w:color="auto"/>
        <w:bottom w:val="none" w:sz="0" w:space="0" w:color="auto"/>
        <w:right w:val="none" w:sz="0" w:space="0" w:color="auto"/>
      </w:divBdr>
    </w:div>
    <w:div w:id="1952858392">
      <w:bodyDiv w:val="1"/>
      <w:marLeft w:val="0"/>
      <w:marRight w:val="0"/>
      <w:marTop w:val="0"/>
      <w:marBottom w:val="0"/>
      <w:divBdr>
        <w:top w:val="none" w:sz="0" w:space="0" w:color="auto"/>
        <w:left w:val="none" w:sz="0" w:space="0" w:color="auto"/>
        <w:bottom w:val="none" w:sz="0" w:space="0" w:color="auto"/>
        <w:right w:val="none" w:sz="0" w:space="0" w:color="auto"/>
      </w:divBdr>
    </w:div>
    <w:div w:id="1952930298">
      <w:bodyDiv w:val="1"/>
      <w:marLeft w:val="0"/>
      <w:marRight w:val="0"/>
      <w:marTop w:val="0"/>
      <w:marBottom w:val="0"/>
      <w:divBdr>
        <w:top w:val="none" w:sz="0" w:space="0" w:color="auto"/>
        <w:left w:val="none" w:sz="0" w:space="0" w:color="auto"/>
        <w:bottom w:val="none" w:sz="0" w:space="0" w:color="auto"/>
        <w:right w:val="none" w:sz="0" w:space="0" w:color="auto"/>
      </w:divBdr>
    </w:div>
    <w:div w:id="1953392917">
      <w:bodyDiv w:val="1"/>
      <w:marLeft w:val="0"/>
      <w:marRight w:val="0"/>
      <w:marTop w:val="0"/>
      <w:marBottom w:val="0"/>
      <w:divBdr>
        <w:top w:val="none" w:sz="0" w:space="0" w:color="auto"/>
        <w:left w:val="none" w:sz="0" w:space="0" w:color="auto"/>
        <w:bottom w:val="none" w:sz="0" w:space="0" w:color="auto"/>
        <w:right w:val="none" w:sz="0" w:space="0" w:color="auto"/>
      </w:divBdr>
    </w:div>
    <w:div w:id="1954094526">
      <w:bodyDiv w:val="1"/>
      <w:marLeft w:val="0"/>
      <w:marRight w:val="0"/>
      <w:marTop w:val="0"/>
      <w:marBottom w:val="0"/>
      <w:divBdr>
        <w:top w:val="none" w:sz="0" w:space="0" w:color="auto"/>
        <w:left w:val="none" w:sz="0" w:space="0" w:color="auto"/>
        <w:bottom w:val="none" w:sz="0" w:space="0" w:color="auto"/>
        <w:right w:val="none" w:sz="0" w:space="0" w:color="auto"/>
      </w:divBdr>
    </w:div>
    <w:div w:id="1956865697">
      <w:bodyDiv w:val="1"/>
      <w:marLeft w:val="0"/>
      <w:marRight w:val="0"/>
      <w:marTop w:val="0"/>
      <w:marBottom w:val="0"/>
      <w:divBdr>
        <w:top w:val="none" w:sz="0" w:space="0" w:color="auto"/>
        <w:left w:val="none" w:sz="0" w:space="0" w:color="auto"/>
        <w:bottom w:val="none" w:sz="0" w:space="0" w:color="auto"/>
        <w:right w:val="none" w:sz="0" w:space="0" w:color="auto"/>
      </w:divBdr>
    </w:div>
    <w:div w:id="1958216547">
      <w:bodyDiv w:val="1"/>
      <w:marLeft w:val="0"/>
      <w:marRight w:val="0"/>
      <w:marTop w:val="0"/>
      <w:marBottom w:val="0"/>
      <w:divBdr>
        <w:top w:val="none" w:sz="0" w:space="0" w:color="auto"/>
        <w:left w:val="none" w:sz="0" w:space="0" w:color="auto"/>
        <w:bottom w:val="none" w:sz="0" w:space="0" w:color="auto"/>
        <w:right w:val="none" w:sz="0" w:space="0" w:color="auto"/>
      </w:divBdr>
    </w:div>
    <w:div w:id="1958759855">
      <w:bodyDiv w:val="1"/>
      <w:marLeft w:val="0"/>
      <w:marRight w:val="0"/>
      <w:marTop w:val="0"/>
      <w:marBottom w:val="0"/>
      <w:divBdr>
        <w:top w:val="none" w:sz="0" w:space="0" w:color="auto"/>
        <w:left w:val="none" w:sz="0" w:space="0" w:color="auto"/>
        <w:bottom w:val="none" w:sz="0" w:space="0" w:color="auto"/>
        <w:right w:val="none" w:sz="0" w:space="0" w:color="auto"/>
      </w:divBdr>
    </w:div>
    <w:div w:id="1959069298">
      <w:bodyDiv w:val="1"/>
      <w:marLeft w:val="0"/>
      <w:marRight w:val="0"/>
      <w:marTop w:val="0"/>
      <w:marBottom w:val="0"/>
      <w:divBdr>
        <w:top w:val="none" w:sz="0" w:space="0" w:color="auto"/>
        <w:left w:val="none" w:sz="0" w:space="0" w:color="auto"/>
        <w:bottom w:val="none" w:sz="0" w:space="0" w:color="auto"/>
        <w:right w:val="none" w:sz="0" w:space="0" w:color="auto"/>
      </w:divBdr>
    </w:div>
    <w:div w:id="1959487455">
      <w:bodyDiv w:val="1"/>
      <w:marLeft w:val="0"/>
      <w:marRight w:val="0"/>
      <w:marTop w:val="0"/>
      <w:marBottom w:val="0"/>
      <w:divBdr>
        <w:top w:val="none" w:sz="0" w:space="0" w:color="auto"/>
        <w:left w:val="none" w:sz="0" w:space="0" w:color="auto"/>
        <w:bottom w:val="none" w:sz="0" w:space="0" w:color="auto"/>
        <w:right w:val="none" w:sz="0" w:space="0" w:color="auto"/>
      </w:divBdr>
    </w:div>
    <w:div w:id="1960140633">
      <w:bodyDiv w:val="1"/>
      <w:marLeft w:val="0"/>
      <w:marRight w:val="0"/>
      <w:marTop w:val="0"/>
      <w:marBottom w:val="0"/>
      <w:divBdr>
        <w:top w:val="none" w:sz="0" w:space="0" w:color="auto"/>
        <w:left w:val="none" w:sz="0" w:space="0" w:color="auto"/>
        <w:bottom w:val="none" w:sz="0" w:space="0" w:color="auto"/>
        <w:right w:val="none" w:sz="0" w:space="0" w:color="auto"/>
      </w:divBdr>
    </w:div>
    <w:div w:id="1960378380">
      <w:bodyDiv w:val="1"/>
      <w:marLeft w:val="0"/>
      <w:marRight w:val="0"/>
      <w:marTop w:val="0"/>
      <w:marBottom w:val="0"/>
      <w:divBdr>
        <w:top w:val="none" w:sz="0" w:space="0" w:color="auto"/>
        <w:left w:val="none" w:sz="0" w:space="0" w:color="auto"/>
        <w:bottom w:val="none" w:sz="0" w:space="0" w:color="auto"/>
        <w:right w:val="none" w:sz="0" w:space="0" w:color="auto"/>
      </w:divBdr>
    </w:div>
    <w:div w:id="1961640794">
      <w:bodyDiv w:val="1"/>
      <w:marLeft w:val="0"/>
      <w:marRight w:val="0"/>
      <w:marTop w:val="0"/>
      <w:marBottom w:val="0"/>
      <w:divBdr>
        <w:top w:val="none" w:sz="0" w:space="0" w:color="auto"/>
        <w:left w:val="none" w:sz="0" w:space="0" w:color="auto"/>
        <w:bottom w:val="none" w:sz="0" w:space="0" w:color="auto"/>
        <w:right w:val="none" w:sz="0" w:space="0" w:color="auto"/>
      </w:divBdr>
    </w:div>
    <w:div w:id="1962884041">
      <w:bodyDiv w:val="1"/>
      <w:marLeft w:val="0"/>
      <w:marRight w:val="0"/>
      <w:marTop w:val="0"/>
      <w:marBottom w:val="0"/>
      <w:divBdr>
        <w:top w:val="none" w:sz="0" w:space="0" w:color="auto"/>
        <w:left w:val="none" w:sz="0" w:space="0" w:color="auto"/>
        <w:bottom w:val="none" w:sz="0" w:space="0" w:color="auto"/>
        <w:right w:val="none" w:sz="0" w:space="0" w:color="auto"/>
      </w:divBdr>
    </w:div>
    <w:div w:id="1962957979">
      <w:bodyDiv w:val="1"/>
      <w:marLeft w:val="0"/>
      <w:marRight w:val="0"/>
      <w:marTop w:val="0"/>
      <w:marBottom w:val="0"/>
      <w:divBdr>
        <w:top w:val="none" w:sz="0" w:space="0" w:color="auto"/>
        <w:left w:val="none" w:sz="0" w:space="0" w:color="auto"/>
        <w:bottom w:val="none" w:sz="0" w:space="0" w:color="auto"/>
        <w:right w:val="none" w:sz="0" w:space="0" w:color="auto"/>
      </w:divBdr>
    </w:div>
    <w:div w:id="1963002549">
      <w:bodyDiv w:val="1"/>
      <w:marLeft w:val="0"/>
      <w:marRight w:val="0"/>
      <w:marTop w:val="0"/>
      <w:marBottom w:val="0"/>
      <w:divBdr>
        <w:top w:val="none" w:sz="0" w:space="0" w:color="auto"/>
        <w:left w:val="none" w:sz="0" w:space="0" w:color="auto"/>
        <w:bottom w:val="none" w:sz="0" w:space="0" w:color="auto"/>
        <w:right w:val="none" w:sz="0" w:space="0" w:color="auto"/>
      </w:divBdr>
    </w:div>
    <w:div w:id="1963874657">
      <w:bodyDiv w:val="1"/>
      <w:marLeft w:val="0"/>
      <w:marRight w:val="0"/>
      <w:marTop w:val="0"/>
      <w:marBottom w:val="0"/>
      <w:divBdr>
        <w:top w:val="none" w:sz="0" w:space="0" w:color="auto"/>
        <w:left w:val="none" w:sz="0" w:space="0" w:color="auto"/>
        <w:bottom w:val="none" w:sz="0" w:space="0" w:color="auto"/>
        <w:right w:val="none" w:sz="0" w:space="0" w:color="auto"/>
      </w:divBdr>
    </w:div>
    <w:div w:id="1964000951">
      <w:bodyDiv w:val="1"/>
      <w:marLeft w:val="0"/>
      <w:marRight w:val="0"/>
      <w:marTop w:val="0"/>
      <w:marBottom w:val="0"/>
      <w:divBdr>
        <w:top w:val="none" w:sz="0" w:space="0" w:color="auto"/>
        <w:left w:val="none" w:sz="0" w:space="0" w:color="auto"/>
        <w:bottom w:val="none" w:sz="0" w:space="0" w:color="auto"/>
        <w:right w:val="none" w:sz="0" w:space="0" w:color="auto"/>
      </w:divBdr>
    </w:div>
    <w:div w:id="1965578544">
      <w:bodyDiv w:val="1"/>
      <w:marLeft w:val="0"/>
      <w:marRight w:val="0"/>
      <w:marTop w:val="0"/>
      <w:marBottom w:val="0"/>
      <w:divBdr>
        <w:top w:val="none" w:sz="0" w:space="0" w:color="auto"/>
        <w:left w:val="none" w:sz="0" w:space="0" w:color="auto"/>
        <w:bottom w:val="none" w:sz="0" w:space="0" w:color="auto"/>
        <w:right w:val="none" w:sz="0" w:space="0" w:color="auto"/>
      </w:divBdr>
    </w:div>
    <w:div w:id="1966543783">
      <w:bodyDiv w:val="1"/>
      <w:marLeft w:val="0"/>
      <w:marRight w:val="0"/>
      <w:marTop w:val="0"/>
      <w:marBottom w:val="0"/>
      <w:divBdr>
        <w:top w:val="none" w:sz="0" w:space="0" w:color="auto"/>
        <w:left w:val="none" w:sz="0" w:space="0" w:color="auto"/>
        <w:bottom w:val="none" w:sz="0" w:space="0" w:color="auto"/>
        <w:right w:val="none" w:sz="0" w:space="0" w:color="auto"/>
      </w:divBdr>
    </w:div>
    <w:div w:id="1966812425">
      <w:bodyDiv w:val="1"/>
      <w:marLeft w:val="0"/>
      <w:marRight w:val="0"/>
      <w:marTop w:val="0"/>
      <w:marBottom w:val="0"/>
      <w:divBdr>
        <w:top w:val="none" w:sz="0" w:space="0" w:color="auto"/>
        <w:left w:val="none" w:sz="0" w:space="0" w:color="auto"/>
        <w:bottom w:val="none" w:sz="0" w:space="0" w:color="auto"/>
        <w:right w:val="none" w:sz="0" w:space="0" w:color="auto"/>
      </w:divBdr>
    </w:div>
    <w:div w:id="1967151652">
      <w:bodyDiv w:val="1"/>
      <w:marLeft w:val="0"/>
      <w:marRight w:val="0"/>
      <w:marTop w:val="0"/>
      <w:marBottom w:val="0"/>
      <w:divBdr>
        <w:top w:val="none" w:sz="0" w:space="0" w:color="auto"/>
        <w:left w:val="none" w:sz="0" w:space="0" w:color="auto"/>
        <w:bottom w:val="none" w:sz="0" w:space="0" w:color="auto"/>
        <w:right w:val="none" w:sz="0" w:space="0" w:color="auto"/>
      </w:divBdr>
    </w:div>
    <w:div w:id="1967276441">
      <w:bodyDiv w:val="1"/>
      <w:marLeft w:val="0"/>
      <w:marRight w:val="0"/>
      <w:marTop w:val="0"/>
      <w:marBottom w:val="0"/>
      <w:divBdr>
        <w:top w:val="none" w:sz="0" w:space="0" w:color="auto"/>
        <w:left w:val="none" w:sz="0" w:space="0" w:color="auto"/>
        <w:bottom w:val="none" w:sz="0" w:space="0" w:color="auto"/>
        <w:right w:val="none" w:sz="0" w:space="0" w:color="auto"/>
      </w:divBdr>
    </w:div>
    <w:div w:id="1967813591">
      <w:bodyDiv w:val="1"/>
      <w:marLeft w:val="0"/>
      <w:marRight w:val="0"/>
      <w:marTop w:val="0"/>
      <w:marBottom w:val="0"/>
      <w:divBdr>
        <w:top w:val="none" w:sz="0" w:space="0" w:color="auto"/>
        <w:left w:val="none" w:sz="0" w:space="0" w:color="auto"/>
        <w:bottom w:val="none" w:sz="0" w:space="0" w:color="auto"/>
        <w:right w:val="none" w:sz="0" w:space="0" w:color="auto"/>
      </w:divBdr>
    </w:div>
    <w:div w:id="1968194858">
      <w:bodyDiv w:val="1"/>
      <w:marLeft w:val="0"/>
      <w:marRight w:val="0"/>
      <w:marTop w:val="0"/>
      <w:marBottom w:val="0"/>
      <w:divBdr>
        <w:top w:val="none" w:sz="0" w:space="0" w:color="auto"/>
        <w:left w:val="none" w:sz="0" w:space="0" w:color="auto"/>
        <w:bottom w:val="none" w:sz="0" w:space="0" w:color="auto"/>
        <w:right w:val="none" w:sz="0" w:space="0" w:color="auto"/>
      </w:divBdr>
    </w:div>
    <w:div w:id="1968393914">
      <w:bodyDiv w:val="1"/>
      <w:marLeft w:val="0"/>
      <w:marRight w:val="0"/>
      <w:marTop w:val="0"/>
      <w:marBottom w:val="0"/>
      <w:divBdr>
        <w:top w:val="none" w:sz="0" w:space="0" w:color="auto"/>
        <w:left w:val="none" w:sz="0" w:space="0" w:color="auto"/>
        <w:bottom w:val="none" w:sz="0" w:space="0" w:color="auto"/>
        <w:right w:val="none" w:sz="0" w:space="0" w:color="auto"/>
      </w:divBdr>
    </w:div>
    <w:div w:id="1969119484">
      <w:bodyDiv w:val="1"/>
      <w:marLeft w:val="0"/>
      <w:marRight w:val="0"/>
      <w:marTop w:val="0"/>
      <w:marBottom w:val="0"/>
      <w:divBdr>
        <w:top w:val="none" w:sz="0" w:space="0" w:color="auto"/>
        <w:left w:val="none" w:sz="0" w:space="0" w:color="auto"/>
        <w:bottom w:val="none" w:sz="0" w:space="0" w:color="auto"/>
        <w:right w:val="none" w:sz="0" w:space="0" w:color="auto"/>
      </w:divBdr>
    </w:div>
    <w:div w:id="1969897935">
      <w:bodyDiv w:val="1"/>
      <w:marLeft w:val="0"/>
      <w:marRight w:val="0"/>
      <w:marTop w:val="0"/>
      <w:marBottom w:val="0"/>
      <w:divBdr>
        <w:top w:val="none" w:sz="0" w:space="0" w:color="auto"/>
        <w:left w:val="none" w:sz="0" w:space="0" w:color="auto"/>
        <w:bottom w:val="none" w:sz="0" w:space="0" w:color="auto"/>
        <w:right w:val="none" w:sz="0" w:space="0" w:color="auto"/>
      </w:divBdr>
    </w:div>
    <w:div w:id="1970283427">
      <w:bodyDiv w:val="1"/>
      <w:marLeft w:val="0"/>
      <w:marRight w:val="0"/>
      <w:marTop w:val="0"/>
      <w:marBottom w:val="0"/>
      <w:divBdr>
        <w:top w:val="none" w:sz="0" w:space="0" w:color="auto"/>
        <w:left w:val="none" w:sz="0" w:space="0" w:color="auto"/>
        <w:bottom w:val="none" w:sz="0" w:space="0" w:color="auto"/>
        <w:right w:val="none" w:sz="0" w:space="0" w:color="auto"/>
      </w:divBdr>
    </w:div>
    <w:div w:id="1970548690">
      <w:bodyDiv w:val="1"/>
      <w:marLeft w:val="0"/>
      <w:marRight w:val="0"/>
      <w:marTop w:val="0"/>
      <w:marBottom w:val="0"/>
      <w:divBdr>
        <w:top w:val="none" w:sz="0" w:space="0" w:color="auto"/>
        <w:left w:val="none" w:sz="0" w:space="0" w:color="auto"/>
        <w:bottom w:val="none" w:sz="0" w:space="0" w:color="auto"/>
        <w:right w:val="none" w:sz="0" w:space="0" w:color="auto"/>
      </w:divBdr>
    </w:div>
    <w:div w:id="1971010173">
      <w:bodyDiv w:val="1"/>
      <w:marLeft w:val="0"/>
      <w:marRight w:val="0"/>
      <w:marTop w:val="0"/>
      <w:marBottom w:val="0"/>
      <w:divBdr>
        <w:top w:val="none" w:sz="0" w:space="0" w:color="auto"/>
        <w:left w:val="none" w:sz="0" w:space="0" w:color="auto"/>
        <w:bottom w:val="none" w:sz="0" w:space="0" w:color="auto"/>
        <w:right w:val="none" w:sz="0" w:space="0" w:color="auto"/>
      </w:divBdr>
    </w:div>
    <w:div w:id="1971015309">
      <w:bodyDiv w:val="1"/>
      <w:marLeft w:val="0"/>
      <w:marRight w:val="0"/>
      <w:marTop w:val="0"/>
      <w:marBottom w:val="0"/>
      <w:divBdr>
        <w:top w:val="none" w:sz="0" w:space="0" w:color="auto"/>
        <w:left w:val="none" w:sz="0" w:space="0" w:color="auto"/>
        <w:bottom w:val="none" w:sz="0" w:space="0" w:color="auto"/>
        <w:right w:val="none" w:sz="0" w:space="0" w:color="auto"/>
      </w:divBdr>
    </w:div>
    <w:div w:id="1971473297">
      <w:bodyDiv w:val="1"/>
      <w:marLeft w:val="0"/>
      <w:marRight w:val="0"/>
      <w:marTop w:val="0"/>
      <w:marBottom w:val="0"/>
      <w:divBdr>
        <w:top w:val="none" w:sz="0" w:space="0" w:color="auto"/>
        <w:left w:val="none" w:sz="0" w:space="0" w:color="auto"/>
        <w:bottom w:val="none" w:sz="0" w:space="0" w:color="auto"/>
        <w:right w:val="none" w:sz="0" w:space="0" w:color="auto"/>
      </w:divBdr>
    </w:div>
    <w:div w:id="1972711256">
      <w:bodyDiv w:val="1"/>
      <w:marLeft w:val="0"/>
      <w:marRight w:val="0"/>
      <w:marTop w:val="0"/>
      <w:marBottom w:val="0"/>
      <w:divBdr>
        <w:top w:val="none" w:sz="0" w:space="0" w:color="auto"/>
        <w:left w:val="none" w:sz="0" w:space="0" w:color="auto"/>
        <w:bottom w:val="none" w:sz="0" w:space="0" w:color="auto"/>
        <w:right w:val="none" w:sz="0" w:space="0" w:color="auto"/>
      </w:divBdr>
    </w:div>
    <w:div w:id="1973363997">
      <w:bodyDiv w:val="1"/>
      <w:marLeft w:val="0"/>
      <w:marRight w:val="0"/>
      <w:marTop w:val="0"/>
      <w:marBottom w:val="0"/>
      <w:divBdr>
        <w:top w:val="none" w:sz="0" w:space="0" w:color="auto"/>
        <w:left w:val="none" w:sz="0" w:space="0" w:color="auto"/>
        <w:bottom w:val="none" w:sz="0" w:space="0" w:color="auto"/>
        <w:right w:val="none" w:sz="0" w:space="0" w:color="auto"/>
      </w:divBdr>
    </w:div>
    <w:div w:id="1973512723">
      <w:bodyDiv w:val="1"/>
      <w:marLeft w:val="0"/>
      <w:marRight w:val="0"/>
      <w:marTop w:val="0"/>
      <w:marBottom w:val="0"/>
      <w:divBdr>
        <w:top w:val="none" w:sz="0" w:space="0" w:color="auto"/>
        <w:left w:val="none" w:sz="0" w:space="0" w:color="auto"/>
        <w:bottom w:val="none" w:sz="0" w:space="0" w:color="auto"/>
        <w:right w:val="none" w:sz="0" w:space="0" w:color="auto"/>
      </w:divBdr>
    </w:div>
    <w:div w:id="1973560491">
      <w:bodyDiv w:val="1"/>
      <w:marLeft w:val="0"/>
      <w:marRight w:val="0"/>
      <w:marTop w:val="0"/>
      <w:marBottom w:val="0"/>
      <w:divBdr>
        <w:top w:val="none" w:sz="0" w:space="0" w:color="auto"/>
        <w:left w:val="none" w:sz="0" w:space="0" w:color="auto"/>
        <w:bottom w:val="none" w:sz="0" w:space="0" w:color="auto"/>
        <w:right w:val="none" w:sz="0" w:space="0" w:color="auto"/>
      </w:divBdr>
    </w:div>
    <w:div w:id="1974096388">
      <w:bodyDiv w:val="1"/>
      <w:marLeft w:val="0"/>
      <w:marRight w:val="0"/>
      <w:marTop w:val="0"/>
      <w:marBottom w:val="0"/>
      <w:divBdr>
        <w:top w:val="none" w:sz="0" w:space="0" w:color="auto"/>
        <w:left w:val="none" w:sz="0" w:space="0" w:color="auto"/>
        <w:bottom w:val="none" w:sz="0" w:space="0" w:color="auto"/>
        <w:right w:val="none" w:sz="0" w:space="0" w:color="auto"/>
      </w:divBdr>
    </w:div>
    <w:div w:id="1974477029">
      <w:bodyDiv w:val="1"/>
      <w:marLeft w:val="0"/>
      <w:marRight w:val="0"/>
      <w:marTop w:val="0"/>
      <w:marBottom w:val="0"/>
      <w:divBdr>
        <w:top w:val="none" w:sz="0" w:space="0" w:color="auto"/>
        <w:left w:val="none" w:sz="0" w:space="0" w:color="auto"/>
        <w:bottom w:val="none" w:sz="0" w:space="0" w:color="auto"/>
        <w:right w:val="none" w:sz="0" w:space="0" w:color="auto"/>
      </w:divBdr>
    </w:div>
    <w:div w:id="1974670798">
      <w:bodyDiv w:val="1"/>
      <w:marLeft w:val="0"/>
      <w:marRight w:val="0"/>
      <w:marTop w:val="0"/>
      <w:marBottom w:val="0"/>
      <w:divBdr>
        <w:top w:val="none" w:sz="0" w:space="0" w:color="auto"/>
        <w:left w:val="none" w:sz="0" w:space="0" w:color="auto"/>
        <w:bottom w:val="none" w:sz="0" w:space="0" w:color="auto"/>
        <w:right w:val="none" w:sz="0" w:space="0" w:color="auto"/>
      </w:divBdr>
    </w:div>
    <w:div w:id="1975061906">
      <w:bodyDiv w:val="1"/>
      <w:marLeft w:val="0"/>
      <w:marRight w:val="0"/>
      <w:marTop w:val="0"/>
      <w:marBottom w:val="0"/>
      <w:divBdr>
        <w:top w:val="none" w:sz="0" w:space="0" w:color="auto"/>
        <w:left w:val="none" w:sz="0" w:space="0" w:color="auto"/>
        <w:bottom w:val="none" w:sz="0" w:space="0" w:color="auto"/>
        <w:right w:val="none" w:sz="0" w:space="0" w:color="auto"/>
      </w:divBdr>
    </w:div>
    <w:div w:id="1975062572">
      <w:bodyDiv w:val="1"/>
      <w:marLeft w:val="0"/>
      <w:marRight w:val="0"/>
      <w:marTop w:val="0"/>
      <w:marBottom w:val="0"/>
      <w:divBdr>
        <w:top w:val="none" w:sz="0" w:space="0" w:color="auto"/>
        <w:left w:val="none" w:sz="0" w:space="0" w:color="auto"/>
        <w:bottom w:val="none" w:sz="0" w:space="0" w:color="auto"/>
        <w:right w:val="none" w:sz="0" w:space="0" w:color="auto"/>
      </w:divBdr>
    </w:div>
    <w:div w:id="1975282630">
      <w:bodyDiv w:val="1"/>
      <w:marLeft w:val="0"/>
      <w:marRight w:val="0"/>
      <w:marTop w:val="0"/>
      <w:marBottom w:val="0"/>
      <w:divBdr>
        <w:top w:val="none" w:sz="0" w:space="0" w:color="auto"/>
        <w:left w:val="none" w:sz="0" w:space="0" w:color="auto"/>
        <w:bottom w:val="none" w:sz="0" w:space="0" w:color="auto"/>
        <w:right w:val="none" w:sz="0" w:space="0" w:color="auto"/>
      </w:divBdr>
    </w:div>
    <w:div w:id="1975598932">
      <w:bodyDiv w:val="1"/>
      <w:marLeft w:val="0"/>
      <w:marRight w:val="0"/>
      <w:marTop w:val="0"/>
      <w:marBottom w:val="0"/>
      <w:divBdr>
        <w:top w:val="none" w:sz="0" w:space="0" w:color="auto"/>
        <w:left w:val="none" w:sz="0" w:space="0" w:color="auto"/>
        <w:bottom w:val="none" w:sz="0" w:space="0" w:color="auto"/>
        <w:right w:val="none" w:sz="0" w:space="0" w:color="auto"/>
      </w:divBdr>
    </w:div>
    <w:div w:id="1975673486">
      <w:bodyDiv w:val="1"/>
      <w:marLeft w:val="0"/>
      <w:marRight w:val="0"/>
      <w:marTop w:val="0"/>
      <w:marBottom w:val="0"/>
      <w:divBdr>
        <w:top w:val="none" w:sz="0" w:space="0" w:color="auto"/>
        <w:left w:val="none" w:sz="0" w:space="0" w:color="auto"/>
        <w:bottom w:val="none" w:sz="0" w:space="0" w:color="auto"/>
        <w:right w:val="none" w:sz="0" w:space="0" w:color="auto"/>
      </w:divBdr>
    </w:div>
    <w:div w:id="1975864124">
      <w:bodyDiv w:val="1"/>
      <w:marLeft w:val="0"/>
      <w:marRight w:val="0"/>
      <w:marTop w:val="0"/>
      <w:marBottom w:val="0"/>
      <w:divBdr>
        <w:top w:val="none" w:sz="0" w:space="0" w:color="auto"/>
        <w:left w:val="none" w:sz="0" w:space="0" w:color="auto"/>
        <w:bottom w:val="none" w:sz="0" w:space="0" w:color="auto"/>
        <w:right w:val="none" w:sz="0" w:space="0" w:color="auto"/>
      </w:divBdr>
    </w:div>
    <w:div w:id="1975940835">
      <w:bodyDiv w:val="1"/>
      <w:marLeft w:val="0"/>
      <w:marRight w:val="0"/>
      <w:marTop w:val="0"/>
      <w:marBottom w:val="0"/>
      <w:divBdr>
        <w:top w:val="none" w:sz="0" w:space="0" w:color="auto"/>
        <w:left w:val="none" w:sz="0" w:space="0" w:color="auto"/>
        <w:bottom w:val="none" w:sz="0" w:space="0" w:color="auto"/>
        <w:right w:val="none" w:sz="0" w:space="0" w:color="auto"/>
      </w:divBdr>
    </w:div>
    <w:div w:id="1976134592">
      <w:bodyDiv w:val="1"/>
      <w:marLeft w:val="0"/>
      <w:marRight w:val="0"/>
      <w:marTop w:val="0"/>
      <w:marBottom w:val="0"/>
      <w:divBdr>
        <w:top w:val="none" w:sz="0" w:space="0" w:color="auto"/>
        <w:left w:val="none" w:sz="0" w:space="0" w:color="auto"/>
        <w:bottom w:val="none" w:sz="0" w:space="0" w:color="auto"/>
        <w:right w:val="none" w:sz="0" w:space="0" w:color="auto"/>
      </w:divBdr>
    </w:div>
    <w:div w:id="1976371723">
      <w:bodyDiv w:val="1"/>
      <w:marLeft w:val="0"/>
      <w:marRight w:val="0"/>
      <w:marTop w:val="0"/>
      <w:marBottom w:val="0"/>
      <w:divBdr>
        <w:top w:val="none" w:sz="0" w:space="0" w:color="auto"/>
        <w:left w:val="none" w:sz="0" w:space="0" w:color="auto"/>
        <w:bottom w:val="none" w:sz="0" w:space="0" w:color="auto"/>
        <w:right w:val="none" w:sz="0" w:space="0" w:color="auto"/>
      </w:divBdr>
      <w:divsChild>
        <w:div w:id="1079256807">
          <w:marLeft w:val="0"/>
          <w:marRight w:val="0"/>
          <w:marTop w:val="0"/>
          <w:marBottom w:val="0"/>
          <w:divBdr>
            <w:top w:val="none" w:sz="0" w:space="0" w:color="auto"/>
            <w:left w:val="none" w:sz="0" w:space="0" w:color="auto"/>
            <w:bottom w:val="none" w:sz="0" w:space="0" w:color="auto"/>
            <w:right w:val="none" w:sz="0" w:space="0" w:color="auto"/>
          </w:divBdr>
        </w:div>
      </w:divsChild>
    </w:div>
    <w:div w:id="1976371822">
      <w:bodyDiv w:val="1"/>
      <w:marLeft w:val="0"/>
      <w:marRight w:val="0"/>
      <w:marTop w:val="0"/>
      <w:marBottom w:val="0"/>
      <w:divBdr>
        <w:top w:val="none" w:sz="0" w:space="0" w:color="auto"/>
        <w:left w:val="none" w:sz="0" w:space="0" w:color="auto"/>
        <w:bottom w:val="none" w:sz="0" w:space="0" w:color="auto"/>
        <w:right w:val="none" w:sz="0" w:space="0" w:color="auto"/>
      </w:divBdr>
    </w:div>
    <w:div w:id="1976835814">
      <w:bodyDiv w:val="1"/>
      <w:marLeft w:val="0"/>
      <w:marRight w:val="0"/>
      <w:marTop w:val="0"/>
      <w:marBottom w:val="0"/>
      <w:divBdr>
        <w:top w:val="none" w:sz="0" w:space="0" w:color="auto"/>
        <w:left w:val="none" w:sz="0" w:space="0" w:color="auto"/>
        <w:bottom w:val="none" w:sz="0" w:space="0" w:color="auto"/>
        <w:right w:val="none" w:sz="0" w:space="0" w:color="auto"/>
      </w:divBdr>
    </w:div>
    <w:div w:id="1977293959">
      <w:bodyDiv w:val="1"/>
      <w:marLeft w:val="0"/>
      <w:marRight w:val="0"/>
      <w:marTop w:val="0"/>
      <w:marBottom w:val="0"/>
      <w:divBdr>
        <w:top w:val="none" w:sz="0" w:space="0" w:color="auto"/>
        <w:left w:val="none" w:sz="0" w:space="0" w:color="auto"/>
        <w:bottom w:val="none" w:sz="0" w:space="0" w:color="auto"/>
        <w:right w:val="none" w:sz="0" w:space="0" w:color="auto"/>
      </w:divBdr>
    </w:div>
    <w:div w:id="1977442416">
      <w:bodyDiv w:val="1"/>
      <w:marLeft w:val="0"/>
      <w:marRight w:val="0"/>
      <w:marTop w:val="0"/>
      <w:marBottom w:val="0"/>
      <w:divBdr>
        <w:top w:val="none" w:sz="0" w:space="0" w:color="auto"/>
        <w:left w:val="none" w:sz="0" w:space="0" w:color="auto"/>
        <w:bottom w:val="none" w:sz="0" w:space="0" w:color="auto"/>
        <w:right w:val="none" w:sz="0" w:space="0" w:color="auto"/>
      </w:divBdr>
    </w:div>
    <w:div w:id="1977759561">
      <w:bodyDiv w:val="1"/>
      <w:marLeft w:val="0"/>
      <w:marRight w:val="0"/>
      <w:marTop w:val="0"/>
      <w:marBottom w:val="0"/>
      <w:divBdr>
        <w:top w:val="none" w:sz="0" w:space="0" w:color="auto"/>
        <w:left w:val="none" w:sz="0" w:space="0" w:color="auto"/>
        <w:bottom w:val="none" w:sz="0" w:space="0" w:color="auto"/>
        <w:right w:val="none" w:sz="0" w:space="0" w:color="auto"/>
      </w:divBdr>
    </w:div>
    <w:div w:id="1977876755">
      <w:bodyDiv w:val="1"/>
      <w:marLeft w:val="0"/>
      <w:marRight w:val="0"/>
      <w:marTop w:val="0"/>
      <w:marBottom w:val="0"/>
      <w:divBdr>
        <w:top w:val="none" w:sz="0" w:space="0" w:color="auto"/>
        <w:left w:val="none" w:sz="0" w:space="0" w:color="auto"/>
        <w:bottom w:val="none" w:sz="0" w:space="0" w:color="auto"/>
        <w:right w:val="none" w:sz="0" w:space="0" w:color="auto"/>
      </w:divBdr>
    </w:div>
    <w:div w:id="1979603603">
      <w:bodyDiv w:val="1"/>
      <w:marLeft w:val="0"/>
      <w:marRight w:val="0"/>
      <w:marTop w:val="0"/>
      <w:marBottom w:val="0"/>
      <w:divBdr>
        <w:top w:val="none" w:sz="0" w:space="0" w:color="auto"/>
        <w:left w:val="none" w:sz="0" w:space="0" w:color="auto"/>
        <w:bottom w:val="none" w:sz="0" w:space="0" w:color="auto"/>
        <w:right w:val="none" w:sz="0" w:space="0" w:color="auto"/>
      </w:divBdr>
    </w:div>
    <w:div w:id="1981962226">
      <w:bodyDiv w:val="1"/>
      <w:marLeft w:val="0"/>
      <w:marRight w:val="0"/>
      <w:marTop w:val="0"/>
      <w:marBottom w:val="0"/>
      <w:divBdr>
        <w:top w:val="none" w:sz="0" w:space="0" w:color="auto"/>
        <w:left w:val="none" w:sz="0" w:space="0" w:color="auto"/>
        <w:bottom w:val="none" w:sz="0" w:space="0" w:color="auto"/>
        <w:right w:val="none" w:sz="0" w:space="0" w:color="auto"/>
      </w:divBdr>
    </w:div>
    <w:div w:id="1982494786">
      <w:bodyDiv w:val="1"/>
      <w:marLeft w:val="0"/>
      <w:marRight w:val="0"/>
      <w:marTop w:val="0"/>
      <w:marBottom w:val="0"/>
      <w:divBdr>
        <w:top w:val="none" w:sz="0" w:space="0" w:color="auto"/>
        <w:left w:val="none" w:sz="0" w:space="0" w:color="auto"/>
        <w:bottom w:val="none" w:sz="0" w:space="0" w:color="auto"/>
        <w:right w:val="none" w:sz="0" w:space="0" w:color="auto"/>
      </w:divBdr>
    </w:div>
    <w:div w:id="1982925049">
      <w:bodyDiv w:val="1"/>
      <w:marLeft w:val="0"/>
      <w:marRight w:val="0"/>
      <w:marTop w:val="0"/>
      <w:marBottom w:val="0"/>
      <w:divBdr>
        <w:top w:val="none" w:sz="0" w:space="0" w:color="auto"/>
        <w:left w:val="none" w:sz="0" w:space="0" w:color="auto"/>
        <w:bottom w:val="none" w:sz="0" w:space="0" w:color="auto"/>
        <w:right w:val="none" w:sz="0" w:space="0" w:color="auto"/>
      </w:divBdr>
    </w:div>
    <w:div w:id="1982996075">
      <w:bodyDiv w:val="1"/>
      <w:marLeft w:val="0"/>
      <w:marRight w:val="0"/>
      <w:marTop w:val="0"/>
      <w:marBottom w:val="0"/>
      <w:divBdr>
        <w:top w:val="none" w:sz="0" w:space="0" w:color="auto"/>
        <w:left w:val="none" w:sz="0" w:space="0" w:color="auto"/>
        <w:bottom w:val="none" w:sz="0" w:space="0" w:color="auto"/>
        <w:right w:val="none" w:sz="0" w:space="0" w:color="auto"/>
      </w:divBdr>
    </w:div>
    <w:div w:id="1983193960">
      <w:bodyDiv w:val="1"/>
      <w:marLeft w:val="0"/>
      <w:marRight w:val="0"/>
      <w:marTop w:val="0"/>
      <w:marBottom w:val="0"/>
      <w:divBdr>
        <w:top w:val="none" w:sz="0" w:space="0" w:color="auto"/>
        <w:left w:val="none" w:sz="0" w:space="0" w:color="auto"/>
        <w:bottom w:val="none" w:sz="0" w:space="0" w:color="auto"/>
        <w:right w:val="none" w:sz="0" w:space="0" w:color="auto"/>
      </w:divBdr>
    </w:div>
    <w:div w:id="1983268884">
      <w:bodyDiv w:val="1"/>
      <w:marLeft w:val="0"/>
      <w:marRight w:val="0"/>
      <w:marTop w:val="0"/>
      <w:marBottom w:val="0"/>
      <w:divBdr>
        <w:top w:val="none" w:sz="0" w:space="0" w:color="auto"/>
        <w:left w:val="none" w:sz="0" w:space="0" w:color="auto"/>
        <w:bottom w:val="none" w:sz="0" w:space="0" w:color="auto"/>
        <w:right w:val="none" w:sz="0" w:space="0" w:color="auto"/>
      </w:divBdr>
    </w:div>
    <w:div w:id="1983390171">
      <w:bodyDiv w:val="1"/>
      <w:marLeft w:val="0"/>
      <w:marRight w:val="0"/>
      <w:marTop w:val="0"/>
      <w:marBottom w:val="0"/>
      <w:divBdr>
        <w:top w:val="none" w:sz="0" w:space="0" w:color="auto"/>
        <w:left w:val="none" w:sz="0" w:space="0" w:color="auto"/>
        <w:bottom w:val="none" w:sz="0" w:space="0" w:color="auto"/>
        <w:right w:val="none" w:sz="0" w:space="0" w:color="auto"/>
      </w:divBdr>
    </w:div>
    <w:div w:id="1983852373">
      <w:bodyDiv w:val="1"/>
      <w:marLeft w:val="0"/>
      <w:marRight w:val="0"/>
      <w:marTop w:val="0"/>
      <w:marBottom w:val="0"/>
      <w:divBdr>
        <w:top w:val="none" w:sz="0" w:space="0" w:color="auto"/>
        <w:left w:val="none" w:sz="0" w:space="0" w:color="auto"/>
        <w:bottom w:val="none" w:sz="0" w:space="0" w:color="auto"/>
        <w:right w:val="none" w:sz="0" w:space="0" w:color="auto"/>
      </w:divBdr>
    </w:div>
    <w:div w:id="1984313435">
      <w:bodyDiv w:val="1"/>
      <w:marLeft w:val="0"/>
      <w:marRight w:val="0"/>
      <w:marTop w:val="0"/>
      <w:marBottom w:val="0"/>
      <w:divBdr>
        <w:top w:val="none" w:sz="0" w:space="0" w:color="auto"/>
        <w:left w:val="none" w:sz="0" w:space="0" w:color="auto"/>
        <w:bottom w:val="none" w:sz="0" w:space="0" w:color="auto"/>
        <w:right w:val="none" w:sz="0" w:space="0" w:color="auto"/>
      </w:divBdr>
    </w:div>
    <w:div w:id="1984650858">
      <w:bodyDiv w:val="1"/>
      <w:marLeft w:val="0"/>
      <w:marRight w:val="0"/>
      <w:marTop w:val="0"/>
      <w:marBottom w:val="0"/>
      <w:divBdr>
        <w:top w:val="none" w:sz="0" w:space="0" w:color="auto"/>
        <w:left w:val="none" w:sz="0" w:space="0" w:color="auto"/>
        <w:bottom w:val="none" w:sz="0" w:space="0" w:color="auto"/>
        <w:right w:val="none" w:sz="0" w:space="0" w:color="auto"/>
      </w:divBdr>
    </w:div>
    <w:div w:id="1985156682">
      <w:bodyDiv w:val="1"/>
      <w:marLeft w:val="0"/>
      <w:marRight w:val="0"/>
      <w:marTop w:val="0"/>
      <w:marBottom w:val="0"/>
      <w:divBdr>
        <w:top w:val="none" w:sz="0" w:space="0" w:color="auto"/>
        <w:left w:val="none" w:sz="0" w:space="0" w:color="auto"/>
        <w:bottom w:val="none" w:sz="0" w:space="0" w:color="auto"/>
        <w:right w:val="none" w:sz="0" w:space="0" w:color="auto"/>
      </w:divBdr>
    </w:div>
    <w:div w:id="1985305431">
      <w:bodyDiv w:val="1"/>
      <w:marLeft w:val="0"/>
      <w:marRight w:val="0"/>
      <w:marTop w:val="0"/>
      <w:marBottom w:val="0"/>
      <w:divBdr>
        <w:top w:val="none" w:sz="0" w:space="0" w:color="auto"/>
        <w:left w:val="none" w:sz="0" w:space="0" w:color="auto"/>
        <w:bottom w:val="none" w:sz="0" w:space="0" w:color="auto"/>
        <w:right w:val="none" w:sz="0" w:space="0" w:color="auto"/>
      </w:divBdr>
    </w:div>
    <w:div w:id="1985350649">
      <w:bodyDiv w:val="1"/>
      <w:marLeft w:val="0"/>
      <w:marRight w:val="0"/>
      <w:marTop w:val="0"/>
      <w:marBottom w:val="0"/>
      <w:divBdr>
        <w:top w:val="none" w:sz="0" w:space="0" w:color="auto"/>
        <w:left w:val="none" w:sz="0" w:space="0" w:color="auto"/>
        <w:bottom w:val="none" w:sz="0" w:space="0" w:color="auto"/>
        <w:right w:val="none" w:sz="0" w:space="0" w:color="auto"/>
      </w:divBdr>
    </w:div>
    <w:div w:id="1986007905">
      <w:bodyDiv w:val="1"/>
      <w:marLeft w:val="0"/>
      <w:marRight w:val="0"/>
      <w:marTop w:val="0"/>
      <w:marBottom w:val="0"/>
      <w:divBdr>
        <w:top w:val="none" w:sz="0" w:space="0" w:color="auto"/>
        <w:left w:val="none" w:sz="0" w:space="0" w:color="auto"/>
        <w:bottom w:val="none" w:sz="0" w:space="0" w:color="auto"/>
        <w:right w:val="none" w:sz="0" w:space="0" w:color="auto"/>
      </w:divBdr>
    </w:div>
    <w:div w:id="1986273370">
      <w:bodyDiv w:val="1"/>
      <w:marLeft w:val="0"/>
      <w:marRight w:val="0"/>
      <w:marTop w:val="0"/>
      <w:marBottom w:val="0"/>
      <w:divBdr>
        <w:top w:val="none" w:sz="0" w:space="0" w:color="auto"/>
        <w:left w:val="none" w:sz="0" w:space="0" w:color="auto"/>
        <w:bottom w:val="none" w:sz="0" w:space="0" w:color="auto"/>
        <w:right w:val="none" w:sz="0" w:space="0" w:color="auto"/>
      </w:divBdr>
    </w:div>
    <w:div w:id="1986424143">
      <w:bodyDiv w:val="1"/>
      <w:marLeft w:val="0"/>
      <w:marRight w:val="0"/>
      <w:marTop w:val="0"/>
      <w:marBottom w:val="0"/>
      <w:divBdr>
        <w:top w:val="none" w:sz="0" w:space="0" w:color="auto"/>
        <w:left w:val="none" w:sz="0" w:space="0" w:color="auto"/>
        <w:bottom w:val="none" w:sz="0" w:space="0" w:color="auto"/>
        <w:right w:val="none" w:sz="0" w:space="0" w:color="auto"/>
      </w:divBdr>
    </w:div>
    <w:div w:id="1986424220">
      <w:bodyDiv w:val="1"/>
      <w:marLeft w:val="0"/>
      <w:marRight w:val="0"/>
      <w:marTop w:val="0"/>
      <w:marBottom w:val="0"/>
      <w:divBdr>
        <w:top w:val="none" w:sz="0" w:space="0" w:color="auto"/>
        <w:left w:val="none" w:sz="0" w:space="0" w:color="auto"/>
        <w:bottom w:val="none" w:sz="0" w:space="0" w:color="auto"/>
        <w:right w:val="none" w:sz="0" w:space="0" w:color="auto"/>
      </w:divBdr>
    </w:div>
    <w:div w:id="1988778919">
      <w:bodyDiv w:val="1"/>
      <w:marLeft w:val="0"/>
      <w:marRight w:val="0"/>
      <w:marTop w:val="0"/>
      <w:marBottom w:val="0"/>
      <w:divBdr>
        <w:top w:val="none" w:sz="0" w:space="0" w:color="auto"/>
        <w:left w:val="none" w:sz="0" w:space="0" w:color="auto"/>
        <w:bottom w:val="none" w:sz="0" w:space="0" w:color="auto"/>
        <w:right w:val="none" w:sz="0" w:space="0" w:color="auto"/>
      </w:divBdr>
    </w:div>
    <w:div w:id="1988900001">
      <w:bodyDiv w:val="1"/>
      <w:marLeft w:val="0"/>
      <w:marRight w:val="0"/>
      <w:marTop w:val="0"/>
      <w:marBottom w:val="0"/>
      <w:divBdr>
        <w:top w:val="none" w:sz="0" w:space="0" w:color="auto"/>
        <w:left w:val="none" w:sz="0" w:space="0" w:color="auto"/>
        <w:bottom w:val="none" w:sz="0" w:space="0" w:color="auto"/>
        <w:right w:val="none" w:sz="0" w:space="0" w:color="auto"/>
      </w:divBdr>
    </w:div>
    <w:div w:id="1988975772">
      <w:bodyDiv w:val="1"/>
      <w:marLeft w:val="0"/>
      <w:marRight w:val="0"/>
      <w:marTop w:val="0"/>
      <w:marBottom w:val="0"/>
      <w:divBdr>
        <w:top w:val="none" w:sz="0" w:space="0" w:color="auto"/>
        <w:left w:val="none" w:sz="0" w:space="0" w:color="auto"/>
        <w:bottom w:val="none" w:sz="0" w:space="0" w:color="auto"/>
        <w:right w:val="none" w:sz="0" w:space="0" w:color="auto"/>
      </w:divBdr>
    </w:div>
    <w:div w:id="1990207328">
      <w:bodyDiv w:val="1"/>
      <w:marLeft w:val="0"/>
      <w:marRight w:val="0"/>
      <w:marTop w:val="0"/>
      <w:marBottom w:val="0"/>
      <w:divBdr>
        <w:top w:val="none" w:sz="0" w:space="0" w:color="auto"/>
        <w:left w:val="none" w:sz="0" w:space="0" w:color="auto"/>
        <w:bottom w:val="none" w:sz="0" w:space="0" w:color="auto"/>
        <w:right w:val="none" w:sz="0" w:space="0" w:color="auto"/>
      </w:divBdr>
    </w:div>
    <w:div w:id="1990665758">
      <w:bodyDiv w:val="1"/>
      <w:marLeft w:val="0"/>
      <w:marRight w:val="0"/>
      <w:marTop w:val="0"/>
      <w:marBottom w:val="0"/>
      <w:divBdr>
        <w:top w:val="none" w:sz="0" w:space="0" w:color="auto"/>
        <w:left w:val="none" w:sz="0" w:space="0" w:color="auto"/>
        <w:bottom w:val="none" w:sz="0" w:space="0" w:color="auto"/>
        <w:right w:val="none" w:sz="0" w:space="0" w:color="auto"/>
      </w:divBdr>
    </w:div>
    <w:div w:id="1990858348">
      <w:bodyDiv w:val="1"/>
      <w:marLeft w:val="0"/>
      <w:marRight w:val="0"/>
      <w:marTop w:val="0"/>
      <w:marBottom w:val="0"/>
      <w:divBdr>
        <w:top w:val="none" w:sz="0" w:space="0" w:color="auto"/>
        <w:left w:val="none" w:sz="0" w:space="0" w:color="auto"/>
        <w:bottom w:val="none" w:sz="0" w:space="0" w:color="auto"/>
        <w:right w:val="none" w:sz="0" w:space="0" w:color="auto"/>
      </w:divBdr>
    </w:div>
    <w:div w:id="1991211219">
      <w:bodyDiv w:val="1"/>
      <w:marLeft w:val="0"/>
      <w:marRight w:val="0"/>
      <w:marTop w:val="0"/>
      <w:marBottom w:val="0"/>
      <w:divBdr>
        <w:top w:val="none" w:sz="0" w:space="0" w:color="auto"/>
        <w:left w:val="none" w:sz="0" w:space="0" w:color="auto"/>
        <w:bottom w:val="none" w:sz="0" w:space="0" w:color="auto"/>
        <w:right w:val="none" w:sz="0" w:space="0" w:color="auto"/>
      </w:divBdr>
    </w:div>
    <w:div w:id="1991252439">
      <w:bodyDiv w:val="1"/>
      <w:marLeft w:val="0"/>
      <w:marRight w:val="0"/>
      <w:marTop w:val="0"/>
      <w:marBottom w:val="0"/>
      <w:divBdr>
        <w:top w:val="none" w:sz="0" w:space="0" w:color="auto"/>
        <w:left w:val="none" w:sz="0" w:space="0" w:color="auto"/>
        <w:bottom w:val="none" w:sz="0" w:space="0" w:color="auto"/>
        <w:right w:val="none" w:sz="0" w:space="0" w:color="auto"/>
      </w:divBdr>
    </w:div>
    <w:div w:id="1991396573">
      <w:bodyDiv w:val="1"/>
      <w:marLeft w:val="0"/>
      <w:marRight w:val="0"/>
      <w:marTop w:val="0"/>
      <w:marBottom w:val="0"/>
      <w:divBdr>
        <w:top w:val="none" w:sz="0" w:space="0" w:color="auto"/>
        <w:left w:val="none" w:sz="0" w:space="0" w:color="auto"/>
        <w:bottom w:val="none" w:sz="0" w:space="0" w:color="auto"/>
        <w:right w:val="none" w:sz="0" w:space="0" w:color="auto"/>
      </w:divBdr>
    </w:div>
    <w:div w:id="1991712244">
      <w:bodyDiv w:val="1"/>
      <w:marLeft w:val="0"/>
      <w:marRight w:val="0"/>
      <w:marTop w:val="0"/>
      <w:marBottom w:val="0"/>
      <w:divBdr>
        <w:top w:val="none" w:sz="0" w:space="0" w:color="auto"/>
        <w:left w:val="none" w:sz="0" w:space="0" w:color="auto"/>
        <w:bottom w:val="none" w:sz="0" w:space="0" w:color="auto"/>
        <w:right w:val="none" w:sz="0" w:space="0" w:color="auto"/>
      </w:divBdr>
    </w:div>
    <w:div w:id="1992252047">
      <w:bodyDiv w:val="1"/>
      <w:marLeft w:val="0"/>
      <w:marRight w:val="0"/>
      <w:marTop w:val="0"/>
      <w:marBottom w:val="0"/>
      <w:divBdr>
        <w:top w:val="none" w:sz="0" w:space="0" w:color="auto"/>
        <w:left w:val="none" w:sz="0" w:space="0" w:color="auto"/>
        <w:bottom w:val="none" w:sz="0" w:space="0" w:color="auto"/>
        <w:right w:val="none" w:sz="0" w:space="0" w:color="auto"/>
      </w:divBdr>
    </w:div>
    <w:div w:id="1992370931">
      <w:bodyDiv w:val="1"/>
      <w:marLeft w:val="0"/>
      <w:marRight w:val="0"/>
      <w:marTop w:val="0"/>
      <w:marBottom w:val="0"/>
      <w:divBdr>
        <w:top w:val="none" w:sz="0" w:space="0" w:color="auto"/>
        <w:left w:val="none" w:sz="0" w:space="0" w:color="auto"/>
        <w:bottom w:val="none" w:sz="0" w:space="0" w:color="auto"/>
        <w:right w:val="none" w:sz="0" w:space="0" w:color="auto"/>
      </w:divBdr>
    </w:div>
    <w:div w:id="1993681899">
      <w:bodyDiv w:val="1"/>
      <w:marLeft w:val="0"/>
      <w:marRight w:val="0"/>
      <w:marTop w:val="0"/>
      <w:marBottom w:val="0"/>
      <w:divBdr>
        <w:top w:val="none" w:sz="0" w:space="0" w:color="auto"/>
        <w:left w:val="none" w:sz="0" w:space="0" w:color="auto"/>
        <w:bottom w:val="none" w:sz="0" w:space="0" w:color="auto"/>
        <w:right w:val="none" w:sz="0" w:space="0" w:color="auto"/>
      </w:divBdr>
    </w:div>
    <w:div w:id="1993830066">
      <w:bodyDiv w:val="1"/>
      <w:marLeft w:val="0"/>
      <w:marRight w:val="0"/>
      <w:marTop w:val="0"/>
      <w:marBottom w:val="0"/>
      <w:divBdr>
        <w:top w:val="none" w:sz="0" w:space="0" w:color="auto"/>
        <w:left w:val="none" w:sz="0" w:space="0" w:color="auto"/>
        <w:bottom w:val="none" w:sz="0" w:space="0" w:color="auto"/>
        <w:right w:val="none" w:sz="0" w:space="0" w:color="auto"/>
      </w:divBdr>
    </w:div>
    <w:div w:id="1993871094">
      <w:bodyDiv w:val="1"/>
      <w:marLeft w:val="0"/>
      <w:marRight w:val="0"/>
      <w:marTop w:val="0"/>
      <w:marBottom w:val="0"/>
      <w:divBdr>
        <w:top w:val="none" w:sz="0" w:space="0" w:color="auto"/>
        <w:left w:val="none" w:sz="0" w:space="0" w:color="auto"/>
        <w:bottom w:val="none" w:sz="0" w:space="0" w:color="auto"/>
        <w:right w:val="none" w:sz="0" w:space="0" w:color="auto"/>
      </w:divBdr>
    </w:div>
    <w:div w:id="1994288429">
      <w:bodyDiv w:val="1"/>
      <w:marLeft w:val="0"/>
      <w:marRight w:val="0"/>
      <w:marTop w:val="0"/>
      <w:marBottom w:val="0"/>
      <w:divBdr>
        <w:top w:val="none" w:sz="0" w:space="0" w:color="auto"/>
        <w:left w:val="none" w:sz="0" w:space="0" w:color="auto"/>
        <w:bottom w:val="none" w:sz="0" w:space="0" w:color="auto"/>
        <w:right w:val="none" w:sz="0" w:space="0" w:color="auto"/>
      </w:divBdr>
    </w:div>
    <w:div w:id="1995256091">
      <w:bodyDiv w:val="1"/>
      <w:marLeft w:val="0"/>
      <w:marRight w:val="0"/>
      <w:marTop w:val="0"/>
      <w:marBottom w:val="0"/>
      <w:divBdr>
        <w:top w:val="none" w:sz="0" w:space="0" w:color="auto"/>
        <w:left w:val="none" w:sz="0" w:space="0" w:color="auto"/>
        <w:bottom w:val="none" w:sz="0" w:space="0" w:color="auto"/>
        <w:right w:val="none" w:sz="0" w:space="0" w:color="auto"/>
      </w:divBdr>
    </w:div>
    <w:div w:id="1995260912">
      <w:bodyDiv w:val="1"/>
      <w:marLeft w:val="0"/>
      <w:marRight w:val="0"/>
      <w:marTop w:val="0"/>
      <w:marBottom w:val="0"/>
      <w:divBdr>
        <w:top w:val="none" w:sz="0" w:space="0" w:color="auto"/>
        <w:left w:val="none" w:sz="0" w:space="0" w:color="auto"/>
        <w:bottom w:val="none" w:sz="0" w:space="0" w:color="auto"/>
        <w:right w:val="none" w:sz="0" w:space="0" w:color="auto"/>
      </w:divBdr>
    </w:div>
    <w:div w:id="1996373491">
      <w:bodyDiv w:val="1"/>
      <w:marLeft w:val="0"/>
      <w:marRight w:val="0"/>
      <w:marTop w:val="0"/>
      <w:marBottom w:val="0"/>
      <w:divBdr>
        <w:top w:val="none" w:sz="0" w:space="0" w:color="auto"/>
        <w:left w:val="none" w:sz="0" w:space="0" w:color="auto"/>
        <w:bottom w:val="none" w:sz="0" w:space="0" w:color="auto"/>
        <w:right w:val="none" w:sz="0" w:space="0" w:color="auto"/>
      </w:divBdr>
    </w:div>
    <w:div w:id="1996955325">
      <w:bodyDiv w:val="1"/>
      <w:marLeft w:val="0"/>
      <w:marRight w:val="0"/>
      <w:marTop w:val="0"/>
      <w:marBottom w:val="0"/>
      <w:divBdr>
        <w:top w:val="none" w:sz="0" w:space="0" w:color="auto"/>
        <w:left w:val="none" w:sz="0" w:space="0" w:color="auto"/>
        <w:bottom w:val="none" w:sz="0" w:space="0" w:color="auto"/>
        <w:right w:val="none" w:sz="0" w:space="0" w:color="auto"/>
      </w:divBdr>
    </w:div>
    <w:div w:id="1997101086">
      <w:bodyDiv w:val="1"/>
      <w:marLeft w:val="0"/>
      <w:marRight w:val="0"/>
      <w:marTop w:val="0"/>
      <w:marBottom w:val="0"/>
      <w:divBdr>
        <w:top w:val="none" w:sz="0" w:space="0" w:color="auto"/>
        <w:left w:val="none" w:sz="0" w:space="0" w:color="auto"/>
        <w:bottom w:val="none" w:sz="0" w:space="0" w:color="auto"/>
        <w:right w:val="none" w:sz="0" w:space="0" w:color="auto"/>
      </w:divBdr>
    </w:div>
    <w:div w:id="1997491569">
      <w:bodyDiv w:val="1"/>
      <w:marLeft w:val="0"/>
      <w:marRight w:val="0"/>
      <w:marTop w:val="0"/>
      <w:marBottom w:val="0"/>
      <w:divBdr>
        <w:top w:val="none" w:sz="0" w:space="0" w:color="auto"/>
        <w:left w:val="none" w:sz="0" w:space="0" w:color="auto"/>
        <w:bottom w:val="none" w:sz="0" w:space="0" w:color="auto"/>
        <w:right w:val="none" w:sz="0" w:space="0" w:color="auto"/>
      </w:divBdr>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
    <w:div w:id="1999265733">
      <w:bodyDiv w:val="1"/>
      <w:marLeft w:val="0"/>
      <w:marRight w:val="0"/>
      <w:marTop w:val="0"/>
      <w:marBottom w:val="0"/>
      <w:divBdr>
        <w:top w:val="none" w:sz="0" w:space="0" w:color="auto"/>
        <w:left w:val="none" w:sz="0" w:space="0" w:color="auto"/>
        <w:bottom w:val="none" w:sz="0" w:space="0" w:color="auto"/>
        <w:right w:val="none" w:sz="0" w:space="0" w:color="auto"/>
      </w:divBdr>
    </w:div>
    <w:div w:id="1999504539">
      <w:bodyDiv w:val="1"/>
      <w:marLeft w:val="0"/>
      <w:marRight w:val="0"/>
      <w:marTop w:val="0"/>
      <w:marBottom w:val="0"/>
      <w:divBdr>
        <w:top w:val="none" w:sz="0" w:space="0" w:color="auto"/>
        <w:left w:val="none" w:sz="0" w:space="0" w:color="auto"/>
        <w:bottom w:val="none" w:sz="0" w:space="0" w:color="auto"/>
        <w:right w:val="none" w:sz="0" w:space="0" w:color="auto"/>
      </w:divBdr>
    </w:div>
    <w:div w:id="2000304543">
      <w:bodyDiv w:val="1"/>
      <w:marLeft w:val="0"/>
      <w:marRight w:val="0"/>
      <w:marTop w:val="0"/>
      <w:marBottom w:val="0"/>
      <w:divBdr>
        <w:top w:val="none" w:sz="0" w:space="0" w:color="auto"/>
        <w:left w:val="none" w:sz="0" w:space="0" w:color="auto"/>
        <w:bottom w:val="none" w:sz="0" w:space="0" w:color="auto"/>
        <w:right w:val="none" w:sz="0" w:space="0" w:color="auto"/>
      </w:divBdr>
    </w:div>
    <w:div w:id="2000573916">
      <w:bodyDiv w:val="1"/>
      <w:marLeft w:val="0"/>
      <w:marRight w:val="0"/>
      <w:marTop w:val="0"/>
      <w:marBottom w:val="0"/>
      <w:divBdr>
        <w:top w:val="none" w:sz="0" w:space="0" w:color="auto"/>
        <w:left w:val="none" w:sz="0" w:space="0" w:color="auto"/>
        <w:bottom w:val="none" w:sz="0" w:space="0" w:color="auto"/>
        <w:right w:val="none" w:sz="0" w:space="0" w:color="auto"/>
      </w:divBdr>
    </w:div>
    <w:div w:id="2001692190">
      <w:bodyDiv w:val="1"/>
      <w:marLeft w:val="0"/>
      <w:marRight w:val="0"/>
      <w:marTop w:val="0"/>
      <w:marBottom w:val="0"/>
      <w:divBdr>
        <w:top w:val="none" w:sz="0" w:space="0" w:color="auto"/>
        <w:left w:val="none" w:sz="0" w:space="0" w:color="auto"/>
        <w:bottom w:val="none" w:sz="0" w:space="0" w:color="auto"/>
        <w:right w:val="none" w:sz="0" w:space="0" w:color="auto"/>
      </w:divBdr>
    </w:div>
    <w:div w:id="2002002230">
      <w:bodyDiv w:val="1"/>
      <w:marLeft w:val="0"/>
      <w:marRight w:val="0"/>
      <w:marTop w:val="0"/>
      <w:marBottom w:val="0"/>
      <w:divBdr>
        <w:top w:val="none" w:sz="0" w:space="0" w:color="auto"/>
        <w:left w:val="none" w:sz="0" w:space="0" w:color="auto"/>
        <w:bottom w:val="none" w:sz="0" w:space="0" w:color="auto"/>
        <w:right w:val="none" w:sz="0" w:space="0" w:color="auto"/>
      </w:divBdr>
    </w:div>
    <w:div w:id="2002387736">
      <w:bodyDiv w:val="1"/>
      <w:marLeft w:val="0"/>
      <w:marRight w:val="0"/>
      <w:marTop w:val="0"/>
      <w:marBottom w:val="0"/>
      <w:divBdr>
        <w:top w:val="none" w:sz="0" w:space="0" w:color="auto"/>
        <w:left w:val="none" w:sz="0" w:space="0" w:color="auto"/>
        <w:bottom w:val="none" w:sz="0" w:space="0" w:color="auto"/>
        <w:right w:val="none" w:sz="0" w:space="0" w:color="auto"/>
      </w:divBdr>
    </w:div>
    <w:div w:id="2002806907">
      <w:bodyDiv w:val="1"/>
      <w:marLeft w:val="0"/>
      <w:marRight w:val="0"/>
      <w:marTop w:val="0"/>
      <w:marBottom w:val="0"/>
      <w:divBdr>
        <w:top w:val="none" w:sz="0" w:space="0" w:color="auto"/>
        <w:left w:val="none" w:sz="0" w:space="0" w:color="auto"/>
        <w:bottom w:val="none" w:sz="0" w:space="0" w:color="auto"/>
        <w:right w:val="none" w:sz="0" w:space="0" w:color="auto"/>
      </w:divBdr>
    </w:div>
    <w:div w:id="2003971070">
      <w:bodyDiv w:val="1"/>
      <w:marLeft w:val="0"/>
      <w:marRight w:val="0"/>
      <w:marTop w:val="0"/>
      <w:marBottom w:val="0"/>
      <w:divBdr>
        <w:top w:val="none" w:sz="0" w:space="0" w:color="auto"/>
        <w:left w:val="none" w:sz="0" w:space="0" w:color="auto"/>
        <w:bottom w:val="none" w:sz="0" w:space="0" w:color="auto"/>
        <w:right w:val="none" w:sz="0" w:space="0" w:color="auto"/>
      </w:divBdr>
    </w:div>
    <w:div w:id="2004165644">
      <w:bodyDiv w:val="1"/>
      <w:marLeft w:val="0"/>
      <w:marRight w:val="0"/>
      <w:marTop w:val="0"/>
      <w:marBottom w:val="0"/>
      <w:divBdr>
        <w:top w:val="none" w:sz="0" w:space="0" w:color="auto"/>
        <w:left w:val="none" w:sz="0" w:space="0" w:color="auto"/>
        <w:bottom w:val="none" w:sz="0" w:space="0" w:color="auto"/>
        <w:right w:val="none" w:sz="0" w:space="0" w:color="auto"/>
      </w:divBdr>
    </w:div>
    <w:div w:id="2004237215">
      <w:bodyDiv w:val="1"/>
      <w:marLeft w:val="0"/>
      <w:marRight w:val="0"/>
      <w:marTop w:val="0"/>
      <w:marBottom w:val="0"/>
      <w:divBdr>
        <w:top w:val="none" w:sz="0" w:space="0" w:color="auto"/>
        <w:left w:val="none" w:sz="0" w:space="0" w:color="auto"/>
        <w:bottom w:val="none" w:sz="0" w:space="0" w:color="auto"/>
        <w:right w:val="none" w:sz="0" w:space="0" w:color="auto"/>
      </w:divBdr>
    </w:div>
    <w:div w:id="2004237394">
      <w:bodyDiv w:val="1"/>
      <w:marLeft w:val="0"/>
      <w:marRight w:val="0"/>
      <w:marTop w:val="0"/>
      <w:marBottom w:val="0"/>
      <w:divBdr>
        <w:top w:val="none" w:sz="0" w:space="0" w:color="auto"/>
        <w:left w:val="none" w:sz="0" w:space="0" w:color="auto"/>
        <w:bottom w:val="none" w:sz="0" w:space="0" w:color="auto"/>
        <w:right w:val="none" w:sz="0" w:space="0" w:color="auto"/>
      </w:divBdr>
    </w:div>
    <w:div w:id="2004819021">
      <w:bodyDiv w:val="1"/>
      <w:marLeft w:val="0"/>
      <w:marRight w:val="0"/>
      <w:marTop w:val="0"/>
      <w:marBottom w:val="0"/>
      <w:divBdr>
        <w:top w:val="none" w:sz="0" w:space="0" w:color="auto"/>
        <w:left w:val="none" w:sz="0" w:space="0" w:color="auto"/>
        <w:bottom w:val="none" w:sz="0" w:space="0" w:color="auto"/>
        <w:right w:val="none" w:sz="0" w:space="0" w:color="auto"/>
      </w:divBdr>
    </w:div>
    <w:div w:id="2005009149">
      <w:bodyDiv w:val="1"/>
      <w:marLeft w:val="0"/>
      <w:marRight w:val="0"/>
      <w:marTop w:val="0"/>
      <w:marBottom w:val="0"/>
      <w:divBdr>
        <w:top w:val="none" w:sz="0" w:space="0" w:color="auto"/>
        <w:left w:val="none" w:sz="0" w:space="0" w:color="auto"/>
        <w:bottom w:val="none" w:sz="0" w:space="0" w:color="auto"/>
        <w:right w:val="none" w:sz="0" w:space="0" w:color="auto"/>
      </w:divBdr>
    </w:div>
    <w:div w:id="2005737476">
      <w:bodyDiv w:val="1"/>
      <w:marLeft w:val="0"/>
      <w:marRight w:val="0"/>
      <w:marTop w:val="0"/>
      <w:marBottom w:val="0"/>
      <w:divBdr>
        <w:top w:val="none" w:sz="0" w:space="0" w:color="auto"/>
        <w:left w:val="none" w:sz="0" w:space="0" w:color="auto"/>
        <w:bottom w:val="none" w:sz="0" w:space="0" w:color="auto"/>
        <w:right w:val="none" w:sz="0" w:space="0" w:color="auto"/>
      </w:divBdr>
    </w:div>
    <w:div w:id="2007323717">
      <w:bodyDiv w:val="1"/>
      <w:marLeft w:val="0"/>
      <w:marRight w:val="0"/>
      <w:marTop w:val="0"/>
      <w:marBottom w:val="0"/>
      <w:divBdr>
        <w:top w:val="none" w:sz="0" w:space="0" w:color="auto"/>
        <w:left w:val="none" w:sz="0" w:space="0" w:color="auto"/>
        <w:bottom w:val="none" w:sz="0" w:space="0" w:color="auto"/>
        <w:right w:val="none" w:sz="0" w:space="0" w:color="auto"/>
      </w:divBdr>
    </w:div>
    <w:div w:id="2007591387">
      <w:bodyDiv w:val="1"/>
      <w:marLeft w:val="0"/>
      <w:marRight w:val="0"/>
      <w:marTop w:val="0"/>
      <w:marBottom w:val="0"/>
      <w:divBdr>
        <w:top w:val="none" w:sz="0" w:space="0" w:color="auto"/>
        <w:left w:val="none" w:sz="0" w:space="0" w:color="auto"/>
        <w:bottom w:val="none" w:sz="0" w:space="0" w:color="auto"/>
        <w:right w:val="none" w:sz="0" w:space="0" w:color="auto"/>
      </w:divBdr>
    </w:div>
    <w:div w:id="2007973156">
      <w:bodyDiv w:val="1"/>
      <w:marLeft w:val="0"/>
      <w:marRight w:val="0"/>
      <w:marTop w:val="0"/>
      <w:marBottom w:val="0"/>
      <w:divBdr>
        <w:top w:val="none" w:sz="0" w:space="0" w:color="auto"/>
        <w:left w:val="none" w:sz="0" w:space="0" w:color="auto"/>
        <w:bottom w:val="none" w:sz="0" w:space="0" w:color="auto"/>
        <w:right w:val="none" w:sz="0" w:space="0" w:color="auto"/>
      </w:divBdr>
    </w:div>
    <w:div w:id="2008241626">
      <w:bodyDiv w:val="1"/>
      <w:marLeft w:val="0"/>
      <w:marRight w:val="0"/>
      <w:marTop w:val="0"/>
      <w:marBottom w:val="0"/>
      <w:divBdr>
        <w:top w:val="none" w:sz="0" w:space="0" w:color="auto"/>
        <w:left w:val="none" w:sz="0" w:space="0" w:color="auto"/>
        <w:bottom w:val="none" w:sz="0" w:space="0" w:color="auto"/>
        <w:right w:val="none" w:sz="0" w:space="0" w:color="auto"/>
      </w:divBdr>
    </w:div>
    <w:div w:id="2008555070">
      <w:bodyDiv w:val="1"/>
      <w:marLeft w:val="0"/>
      <w:marRight w:val="0"/>
      <w:marTop w:val="0"/>
      <w:marBottom w:val="0"/>
      <w:divBdr>
        <w:top w:val="none" w:sz="0" w:space="0" w:color="auto"/>
        <w:left w:val="none" w:sz="0" w:space="0" w:color="auto"/>
        <w:bottom w:val="none" w:sz="0" w:space="0" w:color="auto"/>
        <w:right w:val="none" w:sz="0" w:space="0" w:color="auto"/>
      </w:divBdr>
    </w:div>
    <w:div w:id="2009017704">
      <w:bodyDiv w:val="1"/>
      <w:marLeft w:val="0"/>
      <w:marRight w:val="0"/>
      <w:marTop w:val="0"/>
      <w:marBottom w:val="0"/>
      <w:divBdr>
        <w:top w:val="none" w:sz="0" w:space="0" w:color="auto"/>
        <w:left w:val="none" w:sz="0" w:space="0" w:color="auto"/>
        <w:bottom w:val="none" w:sz="0" w:space="0" w:color="auto"/>
        <w:right w:val="none" w:sz="0" w:space="0" w:color="auto"/>
      </w:divBdr>
    </w:div>
    <w:div w:id="2009825211">
      <w:bodyDiv w:val="1"/>
      <w:marLeft w:val="0"/>
      <w:marRight w:val="0"/>
      <w:marTop w:val="0"/>
      <w:marBottom w:val="0"/>
      <w:divBdr>
        <w:top w:val="none" w:sz="0" w:space="0" w:color="auto"/>
        <w:left w:val="none" w:sz="0" w:space="0" w:color="auto"/>
        <w:bottom w:val="none" w:sz="0" w:space="0" w:color="auto"/>
        <w:right w:val="none" w:sz="0" w:space="0" w:color="auto"/>
      </w:divBdr>
    </w:div>
    <w:div w:id="2009941739">
      <w:bodyDiv w:val="1"/>
      <w:marLeft w:val="0"/>
      <w:marRight w:val="0"/>
      <w:marTop w:val="0"/>
      <w:marBottom w:val="0"/>
      <w:divBdr>
        <w:top w:val="none" w:sz="0" w:space="0" w:color="auto"/>
        <w:left w:val="none" w:sz="0" w:space="0" w:color="auto"/>
        <w:bottom w:val="none" w:sz="0" w:space="0" w:color="auto"/>
        <w:right w:val="none" w:sz="0" w:space="0" w:color="auto"/>
      </w:divBdr>
    </w:div>
    <w:div w:id="2010016740">
      <w:bodyDiv w:val="1"/>
      <w:marLeft w:val="0"/>
      <w:marRight w:val="0"/>
      <w:marTop w:val="0"/>
      <w:marBottom w:val="0"/>
      <w:divBdr>
        <w:top w:val="none" w:sz="0" w:space="0" w:color="auto"/>
        <w:left w:val="none" w:sz="0" w:space="0" w:color="auto"/>
        <w:bottom w:val="none" w:sz="0" w:space="0" w:color="auto"/>
        <w:right w:val="none" w:sz="0" w:space="0" w:color="auto"/>
      </w:divBdr>
    </w:div>
    <w:div w:id="2010936745">
      <w:bodyDiv w:val="1"/>
      <w:marLeft w:val="0"/>
      <w:marRight w:val="0"/>
      <w:marTop w:val="0"/>
      <w:marBottom w:val="0"/>
      <w:divBdr>
        <w:top w:val="none" w:sz="0" w:space="0" w:color="auto"/>
        <w:left w:val="none" w:sz="0" w:space="0" w:color="auto"/>
        <w:bottom w:val="none" w:sz="0" w:space="0" w:color="auto"/>
        <w:right w:val="none" w:sz="0" w:space="0" w:color="auto"/>
      </w:divBdr>
    </w:div>
    <w:div w:id="2011132899">
      <w:bodyDiv w:val="1"/>
      <w:marLeft w:val="0"/>
      <w:marRight w:val="0"/>
      <w:marTop w:val="0"/>
      <w:marBottom w:val="0"/>
      <w:divBdr>
        <w:top w:val="none" w:sz="0" w:space="0" w:color="auto"/>
        <w:left w:val="none" w:sz="0" w:space="0" w:color="auto"/>
        <w:bottom w:val="none" w:sz="0" w:space="0" w:color="auto"/>
        <w:right w:val="none" w:sz="0" w:space="0" w:color="auto"/>
      </w:divBdr>
    </w:div>
    <w:div w:id="2011785302">
      <w:bodyDiv w:val="1"/>
      <w:marLeft w:val="0"/>
      <w:marRight w:val="0"/>
      <w:marTop w:val="0"/>
      <w:marBottom w:val="0"/>
      <w:divBdr>
        <w:top w:val="none" w:sz="0" w:space="0" w:color="auto"/>
        <w:left w:val="none" w:sz="0" w:space="0" w:color="auto"/>
        <w:bottom w:val="none" w:sz="0" w:space="0" w:color="auto"/>
        <w:right w:val="none" w:sz="0" w:space="0" w:color="auto"/>
      </w:divBdr>
    </w:div>
    <w:div w:id="2012028480">
      <w:bodyDiv w:val="1"/>
      <w:marLeft w:val="0"/>
      <w:marRight w:val="0"/>
      <w:marTop w:val="0"/>
      <w:marBottom w:val="0"/>
      <w:divBdr>
        <w:top w:val="none" w:sz="0" w:space="0" w:color="auto"/>
        <w:left w:val="none" w:sz="0" w:space="0" w:color="auto"/>
        <w:bottom w:val="none" w:sz="0" w:space="0" w:color="auto"/>
        <w:right w:val="none" w:sz="0" w:space="0" w:color="auto"/>
      </w:divBdr>
    </w:div>
    <w:div w:id="2012640012">
      <w:bodyDiv w:val="1"/>
      <w:marLeft w:val="0"/>
      <w:marRight w:val="0"/>
      <w:marTop w:val="0"/>
      <w:marBottom w:val="0"/>
      <w:divBdr>
        <w:top w:val="none" w:sz="0" w:space="0" w:color="auto"/>
        <w:left w:val="none" w:sz="0" w:space="0" w:color="auto"/>
        <w:bottom w:val="none" w:sz="0" w:space="0" w:color="auto"/>
        <w:right w:val="none" w:sz="0" w:space="0" w:color="auto"/>
      </w:divBdr>
    </w:div>
    <w:div w:id="2012683419">
      <w:bodyDiv w:val="1"/>
      <w:marLeft w:val="0"/>
      <w:marRight w:val="0"/>
      <w:marTop w:val="0"/>
      <w:marBottom w:val="0"/>
      <w:divBdr>
        <w:top w:val="none" w:sz="0" w:space="0" w:color="auto"/>
        <w:left w:val="none" w:sz="0" w:space="0" w:color="auto"/>
        <w:bottom w:val="none" w:sz="0" w:space="0" w:color="auto"/>
        <w:right w:val="none" w:sz="0" w:space="0" w:color="auto"/>
      </w:divBdr>
    </w:div>
    <w:div w:id="2012952187">
      <w:bodyDiv w:val="1"/>
      <w:marLeft w:val="0"/>
      <w:marRight w:val="0"/>
      <w:marTop w:val="0"/>
      <w:marBottom w:val="0"/>
      <w:divBdr>
        <w:top w:val="none" w:sz="0" w:space="0" w:color="auto"/>
        <w:left w:val="none" w:sz="0" w:space="0" w:color="auto"/>
        <w:bottom w:val="none" w:sz="0" w:space="0" w:color="auto"/>
        <w:right w:val="none" w:sz="0" w:space="0" w:color="auto"/>
      </w:divBdr>
    </w:div>
    <w:div w:id="2013756814">
      <w:bodyDiv w:val="1"/>
      <w:marLeft w:val="0"/>
      <w:marRight w:val="0"/>
      <w:marTop w:val="0"/>
      <w:marBottom w:val="0"/>
      <w:divBdr>
        <w:top w:val="none" w:sz="0" w:space="0" w:color="auto"/>
        <w:left w:val="none" w:sz="0" w:space="0" w:color="auto"/>
        <w:bottom w:val="none" w:sz="0" w:space="0" w:color="auto"/>
        <w:right w:val="none" w:sz="0" w:space="0" w:color="auto"/>
      </w:divBdr>
    </w:div>
    <w:div w:id="2013988620">
      <w:bodyDiv w:val="1"/>
      <w:marLeft w:val="0"/>
      <w:marRight w:val="0"/>
      <w:marTop w:val="0"/>
      <w:marBottom w:val="0"/>
      <w:divBdr>
        <w:top w:val="none" w:sz="0" w:space="0" w:color="auto"/>
        <w:left w:val="none" w:sz="0" w:space="0" w:color="auto"/>
        <w:bottom w:val="none" w:sz="0" w:space="0" w:color="auto"/>
        <w:right w:val="none" w:sz="0" w:space="0" w:color="auto"/>
      </w:divBdr>
    </w:div>
    <w:div w:id="2015103766">
      <w:bodyDiv w:val="1"/>
      <w:marLeft w:val="0"/>
      <w:marRight w:val="0"/>
      <w:marTop w:val="0"/>
      <w:marBottom w:val="0"/>
      <w:divBdr>
        <w:top w:val="none" w:sz="0" w:space="0" w:color="auto"/>
        <w:left w:val="none" w:sz="0" w:space="0" w:color="auto"/>
        <w:bottom w:val="none" w:sz="0" w:space="0" w:color="auto"/>
        <w:right w:val="none" w:sz="0" w:space="0" w:color="auto"/>
      </w:divBdr>
    </w:div>
    <w:div w:id="2015104314">
      <w:bodyDiv w:val="1"/>
      <w:marLeft w:val="0"/>
      <w:marRight w:val="0"/>
      <w:marTop w:val="0"/>
      <w:marBottom w:val="0"/>
      <w:divBdr>
        <w:top w:val="none" w:sz="0" w:space="0" w:color="auto"/>
        <w:left w:val="none" w:sz="0" w:space="0" w:color="auto"/>
        <w:bottom w:val="none" w:sz="0" w:space="0" w:color="auto"/>
        <w:right w:val="none" w:sz="0" w:space="0" w:color="auto"/>
      </w:divBdr>
    </w:div>
    <w:div w:id="2015260831">
      <w:bodyDiv w:val="1"/>
      <w:marLeft w:val="0"/>
      <w:marRight w:val="0"/>
      <w:marTop w:val="0"/>
      <w:marBottom w:val="0"/>
      <w:divBdr>
        <w:top w:val="none" w:sz="0" w:space="0" w:color="auto"/>
        <w:left w:val="none" w:sz="0" w:space="0" w:color="auto"/>
        <w:bottom w:val="none" w:sz="0" w:space="0" w:color="auto"/>
        <w:right w:val="none" w:sz="0" w:space="0" w:color="auto"/>
      </w:divBdr>
    </w:div>
    <w:div w:id="2015523231">
      <w:bodyDiv w:val="1"/>
      <w:marLeft w:val="0"/>
      <w:marRight w:val="0"/>
      <w:marTop w:val="0"/>
      <w:marBottom w:val="0"/>
      <w:divBdr>
        <w:top w:val="none" w:sz="0" w:space="0" w:color="auto"/>
        <w:left w:val="none" w:sz="0" w:space="0" w:color="auto"/>
        <w:bottom w:val="none" w:sz="0" w:space="0" w:color="auto"/>
        <w:right w:val="none" w:sz="0" w:space="0" w:color="auto"/>
      </w:divBdr>
    </w:div>
    <w:div w:id="2016034189">
      <w:bodyDiv w:val="1"/>
      <w:marLeft w:val="0"/>
      <w:marRight w:val="0"/>
      <w:marTop w:val="0"/>
      <w:marBottom w:val="0"/>
      <w:divBdr>
        <w:top w:val="none" w:sz="0" w:space="0" w:color="auto"/>
        <w:left w:val="none" w:sz="0" w:space="0" w:color="auto"/>
        <w:bottom w:val="none" w:sz="0" w:space="0" w:color="auto"/>
        <w:right w:val="none" w:sz="0" w:space="0" w:color="auto"/>
      </w:divBdr>
    </w:div>
    <w:div w:id="2016300793">
      <w:bodyDiv w:val="1"/>
      <w:marLeft w:val="0"/>
      <w:marRight w:val="0"/>
      <w:marTop w:val="0"/>
      <w:marBottom w:val="0"/>
      <w:divBdr>
        <w:top w:val="none" w:sz="0" w:space="0" w:color="auto"/>
        <w:left w:val="none" w:sz="0" w:space="0" w:color="auto"/>
        <w:bottom w:val="none" w:sz="0" w:space="0" w:color="auto"/>
        <w:right w:val="none" w:sz="0" w:space="0" w:color="auto"/>
      </w:divBdr>
    </w:div>
    <w:div w:id="2016491251">
      <w:bodyDiv w:val="1"/>
      <w:marLeft w:val="0"/>
      <w:marRight w:val="0"/>
      <w:marTop w:val="0"/>
      <w:marBottom w:val="0"/>
      <w:divBdr>
        <w:top w:val="none" w:sz="0" w:space="0" w:color="auto"/>
        <w:left w:val="none" w:sz="0" w:space="0" w:color="auto"/>
        <w:bottom w:val="none" w:sz="0" w:space="0" w:color="auto"/>
        <w:right w:val="none" w:sz="0" w:space="0" w:color="auto"/>
      </w:divBdr>
    </w:div>
    <w:div w:id="2016689210">
      <w:bodyDiv w:val="1"/>
      <w:marLeft w:val="0"/>
      <w:marRight w:val="0"/>
      <w:marTop w:val="0"/>
      <w:marBottom w:val="0"/>
      <w:divBdr>
        <w:top w:val="none" w:sz="0" w:space="0" w:color="auto"/>
        <w:left w:val="none" w:sz="0" w:space="0" w:color="auto"/>
        <w:bottom w:val="none" w:sz="0" w:space="0" w:color="auto"/>
        <w:right w:val="none" w:sz="0" w:space="0" w:color="auto"/>
      </w:divBdr>
    </w:div>
    <w:div w:id="2016767576">
      <w:bodyDiv w:val="1"/>
      <w:marLeft w:val="0"/>
      <w:marRight w:val="0"/>
      <w:marTop w:val="0"/>
      <w:marBottom w:val="0"/>
      <w:divBdr>
        <w:top w:val="none" w:sz="0" w:space="0" w:color="auto"/>
        <w:left w:val="none" w:sz="0" w:space="0" w:color="auto"/>
        <w:bottom w:val="none" w:sz="0" w:space="0" w:color="auto"/>
        <w:right w:val="none" w:sz="0" w:space="0" w:color="auto"/>
      </w:divBdr>
    </w:div>
    <w:div w:id="2016805567">
      <w:bodyDiv w:val="1"/>
      <w:marLeft w:val="0"/>
      <w:marRight w:val="0"/>
      <w:marTop w:val="0"/>
      <w:marBottom w:val="0"/>
      <w:divBdr>
        <w:top w:val="none" w:sz="0" w:space="0" w:color="auto"/>
        <w:left w:val="none" w:sz="0" w:space="0" w:color="auto"/>
        <w:bottom w:val="none" w:sz="0" w:space="0" w:color="auto"/>
        <w:right w:val="none" w:sz="0" w:space="0" w:color="auto"/>
      </w:divBdr>
    </w:div>
    <w:div w:id="2016953941">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727479">
      <w:bodyDiv w:val="1"/>
      <w:marLeft w:val="0"/>
      <w:marRight w:val="0"/>
      <w:marTop w:val="0"/>
      <w:marBottom w:val="0"/>
      <w:divBdr>
        <w:top w:val="none" w:sz="0" w:space="0" w:color="auto"/>
        <w:left w:val="none" w:sz="0" w:space="0" w:color="auto"/>
        <w:bottom w:val="none" w:sz="0" w:space="0" w:color="auto"/>
        <w:right w:val="none" w:sz="0" w:space="0" w:color="auto"/>
      </w:divBdr>
    </w:div>
    <w:div w:id="2017731822">
      <w:bodyDiv w:val="1"/>
      <w:marLeft w:val="0"/>
      <w:marRight w:val="0"/>
      <w:marTop w:val="0"/>
      <w:marBottom w:val="0"/>
      <w:divBdr>
        <w:top w:val="none" w:sz="0" w:space="0" w:color="auto"/>
        <w:left w:val="none" w:sz="0" w:space="0" w:color="auto"/>
        <w:bottom w:val="none" w:sz="0" w:space="0" w:color="auto"/>
        <w:right w:val="none" w:sz="0" w:space="0" w:color="auto"/>
      </w:divBdr>
    </w:div>
    <w:div w:id="2017876039">
      <w:bodyDiv w:val="1"/>
      <w:marLeft w:val="0"/>
      <w:marRight w:val="0"/>
      <w:marTop w:val="0"/>
      <w:marBottom w:val="0"/>
      <w:divBdr>
        <w:top w:val="none" w:sz="0" w:space="0" w:color="auto"/>
        <w:left w:val="none" w:sz="0" w:space="0" w:color="auto"/>
        <w:bottom w:val="none" w:sz="0" w:space="0" w:color="auto"/>
        <w:right w:val="none" w:sz="0" w:space="0" w:color="auto"/>
      </w:divBdr>
    </w:div>
    <w:div w:id="2018457023">
      <w:bodyDiv w:val="1"/>
      <w:marLeft w:val="0"/>
      <w:marRight w:val="0"/>
      <w:marTop w:val="0"/>
      <w:marBottom w:val="0"/>
      <w:divBdr>
        <w:top w:val="none" w:sz="0" w:space="0" w:color="auto"/>
        <w:left w:val="none" w:sz="0" w:space="0" w:color="auto"/>
        <w:bottom w:val="none" w:sz="0" w:space="0" w:color="auto"/>
        <w:right w:val="none" w:sz="0" w:space="0" w:color="auto"/>
      </w:divBdr>
    </w:div>
    <w:div w:id="2019194424">
      <w:bodyDiv w:val="1"/>
      <w:marLeft w:val="0"/>
      <w:marRight w:val="0"/>
      <w:marTop w:val="0"/>
      <w:marBottom w:val="0"/>
      <w:divBdr>
        <w:top w:val="none" w:sz="0" w:space="0" w:color="auto"/>
        <w:left w:val="none" w:sz="0" w:space="0" w:color="auto"/>
        <w:bottom w:val="none" w:sz="0" w:space="0" w:color="auto"/>
        <w:right w:val="none" w:sz="0" w:space="0" w:color="auto"/>
      </w:divBdr>
    </w:div>
    <w:div w:id="2020421062">
      <w:bodyDiv w:val="1"/>
      <w:marLeft w:val="0"/>
      <w:marRight w:val="0"/>
      <w:marTop w:val="0"/>
      <w:marBottom w:val="0"/>
      <w:divBdr>
        <w:top w:val="none" w:sz="0" w:space="0" w:color="auto"/>
        <w:left w:val="none" w:sz="0" w:space="0" w:color="auto"/>
        <w:bottom w:val="none" w:sz="0" w:space="0" w:color="auto"/>
        <w:right w:val="none" w:sz="0" w:space="0" w:color="auto"/>
      </w:divBdr>
    </w:div>
    <w:div w:id="2020698141">
      <w:bodyDiv w:val="1"/>
      <w:marLeft w:val="0"/>
      <w:marRight w:val="0"/>
      <w:marTop w:val="0"/>
      <w:marBottom w:val="0"/>
      <w:divBdr>
        <w:top w:val="none" w:sz="0" w:space="0" w:color="auto"/>
        <w:left w:val="none" w:sz="0" w:space="0" w:color="auto"/>
        <w:bottom w:val="none" w:sz="0" w:space="0" w:color="auto"/>
        <w:right w:val="none" w:sz="0" w:space="0" w:color="auto"/>
      </w:divBdr>
    </w:div>
    <w:div w:id="2020887147">
      <w:bodyDiv w:val="1"/>
      <w:marLeft w:val="0"/>
      <w:marRight w:val="0"/>
      <w:marTop w:val="0"/>
      <w:marBottom w:val="0"/>
      <w:divBdr>
        <w:top w:val="none" w:sz="0" w:space="0" w:color="auto"/>
        <w:left w:val="none" w:sz="0" w:space="0" w:color="auto"/>
        <w:bottom w:val="none" w:sz="0" w:space="0" w:color="auto"/>
        <w:right w:val="none" w:sz="0" w:space="0" w:color="auto"/>
      </w:divBdr>
    </w:div>
    <w:div w:id="2020892520">
      <w:bodyDiv w:val="1"/>
      <w:marLeft w:val="0"/>
      <w:marRight w:val="0"/>
      <w:marTop w:val="0"/>
      <w:marBottom w:val="0"/>
      <w:divBdr>
        <w:top w:val="none" w:sz="0" w:space="0" w:color="auto"/>
        <w:left w:val="none" w:sz="0" w:space="0" w:color="auto"/>
        <w:bottom w:val="none" w:sz="0" w:space="0" w:color="auto"/>
        <w:right w:val="none" w:sz="0" w:space="0" w:color="auto"/>
      </w:divBdr>
    </w:div>
    <w:div w:id="2021085401">
      <w:bodyDiv w:val="1"/>
      <w:marLeft w:val="0"/>
      <w:marRight w:val="0"/>
      <w:marTop w:val="0"/>
      <w:marBottom w:val="0"/>
      <w:divBdr>
        <w:top w:val="none" w:sz="0" w:space="0" w:color="auto"/>
        <w:left w:val="none" w:sz="0" w:space="0" w:color="auto"/>
        <w:bottom w:val="none" w:sz="0" w:space="0" w:color="auto"/>
        <w:right w:val="none" w:sz="0" w:space="0" w:color="auto"/>
      </w:divBdr>
    </w:div>
    <w:div w:id="2021277664">
      <w:bodyDiv w:val="1"/>
      <w:marLeft w:val="0"/>
      <w:marRight w:val="0"/>
      <w:marTop w:val="0"/>
      <w:marBottom w:val="0"/>
      <w:divBdr>
        <w:top w:val="none" w:sz="0" w:space="0" w:color="auto"/>
        <w:left w:val="none" w:sz="0" w:space="0" w:color="auto"/>
        <w:bottom w:val="none" w:sz="0" w:space="0" w:color="auto"/>
        <w:right w:val="none" w:sz="0" w:space="0" w:color="auto"/>
      </w:divBdr>
    </w:div>
    <w:div w:id="2021466288">
      <w:bodyDiv w:val="1"/>
      <w:marLeft w:val="0"/>
      <w:marRight w:val="0"/>
      <w:marTop w:val="0"/>
      <w:marBottom w:val="0"/>
      <w:divBdr>
        <w:top w:val="none" w:sz="0" w:space="0" w:color="auto"/>
        <w:left w:val="none" w:sz="0" w:space="0" w:color="auto"/>
        <w:bottom w:val="none" w:sz="0" w:space="0" w:color="auto"/>
        <w:right w:val="none" w:sz="0" w:space="0" w:color="auto"/>
      </w:divBdr>
    </w:div>
    <w:div w:id="2021540127">
      <w:bodyDiv w:val="1"/>
      <w:marLeft w:val="0"/>
      <w:marRight w:val="0"/>
      <w:marTop w:val="0"/>
      <w:marBottom w:val="0"/>
      <w:divBdr>
        <w:top w:val="none" w:sz="0" w:space="0" w:color="auto"/>
        <w:left w:val="none" w:sz="0" w:space="0" w:color="auto"/>
        <w:bottom w:val="none" w:sz="0" w:space="0" w:color="auto"/>
        <w:right w:val="none" w:sz="0" w:space="0" w:color="auto"/>
      </w:divBdr>
    </w:div>
    <w:div w:id="2021854811">
      <w:bodyDiv w:val="1"/>
      <w:marLeft w:val="0"/>
      <w:marRight w:val="0"/>
      <w:marTop w:val="0"/>
      <w:marBottom w:val="0"/>
      <w:divBdr>
        <w:top w:val="none" w:sz="0" w:space="0" w:color="auto"/>
        <w:left w:val="none" w:sz="0" w:space="0" w:color="auto"/>
        <w:bottom w:val="none" w:sz="0" w:space="0" w:color="auto"/>
        <w:right w:val="none" w:sz="0" w:space="0" w:color="auto"/>
      </w:divBdr>
    </w:div>
    <w:div w:id="2023241000">
      <w:bodyDiv w:val="1"/>
      <w:marLeft w:val="0"/>
      <w:marRight w:val="0"/>
      <w:marTop w:val="0"/>
      <w:marBottom w:val="0"/>
      <w:divBdr>
        <w:top w:val="none" w:sz="0" w:space="0" w:color="auto"/>
        <w:left w:val="none" w:sz="0" w:space="0" w:color="auto"/>
        <w:bottom w:val="none" w:sz="0" w:space="0" w:color="auto"/>
        <w:right w:val="none" w:sz="0" w:space="0" w:color="auto"/>
      </w:divBdr>
    </w:div>
    <w:div w:id="2024086868">
      <w:bodyDiv w:val="1"/>
      <w:marLeft w:val="0"/>
      <w:marRight w:val="0"/>
      <w:marTop w:val="0"/>
      <w:marBottom w:val="0"/>
      <w:divBdr>
        <w:top w:val="none" w:sz="0" w:space="0" w:color="auto"/>
        <w:left w:val="none" w:sz="0" w:space="0" w:color="auto"/>
        <w:bottom w:val="none" w:sz="0" w:space="0" w:color="auto"/>
        <w:right w:val="none" w:sz="0" w:space="0" w:color="auto"/>
      </w:divBdr>
    </w:div>
    <w:div w:id="2024476720">
      <w:bodyDiv w:val="1"/>
      <w:marLeft w:val="0"/>
      <w:marRight w:val="0"/>
      <w:marTop w:val="0"/>
      <w:marBottom w:val="0"/>
      <w:divBdr>
        <w:top w:val="none" w:sz="0" w:space="0" w:color="auto"/>
        <w:left w:val="none" w:sz="0" w:space="0" w:color="auto"/>
        <w:bottom w:val="none" w:sz="0" w:space="0" w:color="auto"/>
        <w:right w:val="none" w:sz="0" w:space="0" w:color="auto"/>
      </w:divBdr>
    </w:div>
    <w:div w:id="2025201341">
      <w:bodyDiv w:val="1"/>
      <w:marLeft w:val="0"/>
      <w:marRight w:val="0"/>
      <w:marTop w:val="0"/>
      <w:marBottom w:val="0"/>
      <w:divBdr>
        <w:top w:val="none" w:sz="0" w:space="0" w:color="auto"/>
        <w:left w:val="none" w:sz="0" w:space="0" w:color="auto"/>
        <w:bottom w:val="none" w:sz="0" w:space="0" w:color="auto"/>
        <w:right w:val="none" w:sz="0" w:space="0" w:color="auto"/>
      </w:divBdr>
    </w:div>
    <w:div w:id="2025980973">
      <w:bodyDiv w:val="1"/>
      <w:marLeft w:val="0"/>
      <w:marRight w:val="0"/>
      <w:marTop w:val="0"/>
      <w:marBottom w:val="0"/>
      <w:divBdr>
        <w:top w:val="none" w:sz="0" w:space="0" w:color="auto"/>
        <w:left w:val="none" w:sz="0" w:space="0" w:color="auto"/>
        <w:bottom w:val="none" w:sz="0" w:space="0" w:color="auto"/>
        <w:right w:val="none" w:sz="0" w:space="0" w:color="auto"/>
      </w:divBdr>
    </w:div>
    <w:div w:id="2026204491">
      <w:bodyDiv w:val="1"/>
      <w:marLeft w:val="0"/>
      <w:marRight w:val="0"/>
      <w:marTop w:val="0"/>
      <w:marBottom w:val="0"/>
      <w:divBdr>
        <w:top w:val="none" w:sz="0" w:space="0" w:color="auto"/>
        <w:left w:val="none" w:sz="0" w:space="0" w:color="auto"/>
        <w:bottom w:val="none" w:sz="0" w:space="0" w:color="auto"/>
        <w:right w:val="none" w:sz="0" w:space="0" w:color="auto"/>
      </w:divBdr>
    </w:div>
    <w:div w:id="2026398950">
      <w:bodyDiv w:val="1"/>
      <w:marLeft w:val="0"/>
      <w:marRight w:val="0"/>
      <w:marTop w:val="0"/>
      <w:marBottom w:val="0"/>
      <w:divBdr>
        <w:top w:val="none" w:sz="0" w:space="0" w:color="auto"/>
        <w:left w:val="none" w:sz="0" w:space="0" w:color="auto"/>
        <w:bottom w:val="none" w:sz="0" w:space="0" w:color="auto"/>
        <w:right w:val="none" w:sz="0" w:space="0" w:color="auto"/>
      </w:divBdr>
    </w:div>
    <w:div w:id="2026782372">
      <w:bodyDiv w:val="1"/>
      <w:marLeft w:val="0"/>
      <w:marRight w:val="0"/>
      <w:marTop w:val="0"/>
      <w:marBottom w:val="0"/>
      <w:divBdr>
        <w:top w:val="none" w:sz="0" w:space="0" w:color="auto"/>
        <w:left w:val="none" w:sz="0" w:space="0" w:color="auto"/>
        <w:bottom w:val="none" w:sz="0" w:space="0" w:color="auto"/>
        <w:right w:val="none" w:sz="0" w:space="0" w:color="auto"/>
      </w:divBdr>
    </w:div>
    <w:div w:id="2026789272">
      <w:bodyDiv w:val="1"/>
      <w:marLeft w:val="0"/>
      <w:marRight w:val="0"/>
      <w:marTop w:val="0"/>
      <w:marBottom w:val="0"/>
      <w:divBdr>
        <w:top w:val="none" w:sz="0" w:space="0" w:color="auto"/>
        <w:left w:val="none" w:sz="0" w:space="0" w:color="auto"/>
        <w:bottom w:val="none" w:sz="0" w:space="0" w:color="auto"/>
        <w:right w:val="none" w:sz="0" w:space="0" w:color="auto"/>
      </w:divBdr>
    </w:div>
    <w:div w:id="2026862448">
      <w:bodyDiv w:val="1"/>
      <w:marLeft w:val="0"/>
      <w:marRight w:val="0"/>
      <w:marTop w:val="0"/>
      <w:marBottom w:val="0"/>
      <w:divBdr>
        <w:top w:val="none" w:sz="0" w:space="0" w:color="auto"/>
        <w:left w:val="none" w:sz="0" w:space="0" w:color="auto"/>
        <w:bottom w:val="none" w:sz="0" w:space="0" w:color="auto"/>
        <w:right w:val="none" w:sz="0" w:space="0" w:color="auto"/>
      </w:divBdr>
    </w:div>
    <w:div w:id="2027094023">
      <w:bodyDiv w:val="1"/>
      <w:marLeft w:val="0"/>
      <w:marRight w:val="0"/>
      <w:marTop w:val="0"/>
      <w:marBottom w:val="0"/>
      <w:divBdr>
        <w:top w:val="none" w:sz="0" w:space="0" w:color="auto"/>
        <w:left w:val="none" w:sz="0" w:space="0" w:color="auto"/>
        <w:bottom w:val="none" w:sz="0" w:space="0" w:color="auto"/>
        <w:right w:val="none" w:sz="0" w:space="0" w:color="auto"/>
      </w:divBdr>
    </w:div>
    <w:div w:id="2028872801">
      <w:bodyDiv w:val="1"/>
      <w:marLeft w:val="0"/>
      <w:marRight w:val="0"/>
      <w:marTop w:val="0"/>
      <w:marBottom w:val="0"/>
      <w:divBdr>
        <w:top w:val="none" w:sz="0" w:space="0" w:color="auto"/>
        <w:left w:val="none" w:sz="0" w:space="0" w:color="auto"/>
        <w:bottom w:val="none" w:sz="0" w:space="0" w:color="auto"/>
        <w:right w:val="none" w:sz="0" w:space="0" w:color="auto"/>
      </w:divBdr>
    </w:div>
    <w:div w:id="2029404283">
      <w:bodyDiv w:val="1"/>
      <w:marLeft w:val="0"/>
      <w:marRight w:val="0"/>
      <w:marTop w:val="0"/>
      <w:marBottom w:val="0"/>
      <w:divBdr>
        <w:top w:val="none" w:sz="0" w:space="0" w:color="auto"/>
        <w:left w:val="none" w:sz="0" w:space="0" w:color="auto"/>
        <w:bottom w:val="none" w:sz="0" w:space="0" w:color="auto"/>
        <w:right w:val="none" w:sz="0" w:space="0" w:color="auto"/>
      </w:divBdr>
    </w:div>
    <w:div w:id="2029404447">
      <w:bodyDiv w:val="1"/>
      <w:marLeft w:val="0"/>
      <w:marRight w:val="0"/>
      <w:marTop w:val="0"/>
      <w:marBottom w:val="0"/>
      <w:divBdr>
        <w:top w:val="none" w:sz="0" w:space="0" w:color="auto"/>
        <w:left w:val="none" w:sz="0" w:space="0" w:color="auto"/>
        <w:bottom w:val="none" w:sz="0" w:space="0" w:color="auto"/>
        <w:right w:val="none" w:sz="0" w:space="0" w:color="auto"/>
      </w:divBdr>
    </w:div>
    <w:div w:id="2029914428">
      <w:bodyDiv w:val="1"/>
      <w:marLeft w:val="0"/>
      <w:marRight w:val="0"/>
      <w:marTop w:val="0"/>
      <w:marBottom w:val="0"/>
      <w:divBdr>
        <w:top w:val="none" w:sz="0" w:space="0" w:color="auto"/>
        <w:left w:val="none" w:sz="0" w:space="0" w:color="auto"/>
        <w:bottom w:val="none" w:sz="0" w:space="0" w:color="auto"/>
        <w:right w:val="none" w:sz="0" w:space="0" w:color="auto"/>
      </w:divBdr>
    </w:div>
    <w:div w:id="2030250326">
      <w:bodyDiv w:val="1"/>
      <w:marLeft w:val="0"/>
      <w:marRight w:val="0"/>
      <w:marTop w:val="0"/>
      <w:marBottom w:val="0"/>
      <w:divBdr>
        <w:top w:val="none" w:sz="0" w:space="0" w:color="auto"/>
        <w:left w:val="none" w:sz="0" w:space="0" w:color="auto"/>
        <w:bottom w:val="none" w:sz="0" w:space="0" w:color="auto"/>
        <w:right w:val="none" w:sz="0" w:space="0" w:color="auto"/>
      </w:divBdr>
    </w:div>
    <w:div w:id="2031179719">
      <w:bodyDiv w:val="1"/>
      <w:marLeft w:val="0"/>
      <w:marRight w:val="0"/>
      <w:marTop w:val="0"/>
      <w:marBottom w:val="0"/>
      <w:divBdr>
        <w:top w:val="none" w:sz="0" w:space="0" w:color="auto"/>
        <w:left w:val="none" w:sz="0" w:space="0" w:color="auto"/>
        <w:bottom w:val="none" w:sz="0" w:space="0" w:color="auto"/>
        <w:right w:val="none" w:sz="0" w:space="0" w:color="auto"/>
      </w:divBdr>
    </w:div>
    <w:div w:id="2031451251">
      <w:bodyDiv w:val="1"/>
      <w:marLeft w:val="0"/>
      <w:marRight w:val="0"/>
      <w:marTop w:val="0"/>
      <w:marBottom w:val="0"/>
      <w:divBdr>
        <w:top w:val="none" w:sz="0" w:space="0" w:color="auto"/>
        <w:left w:val="none" w:sz="0" w:space="0" w:color="auto"/>
        <w:bottom w:val="none" w:sz="0" w:space="0" w:color="auto"/>
        <w:right w:val="none" w:sz="0" w:space="0" w:color="auto"/>
      </w:divBdr>
    </w:div>
    <w:div w:id="2033801821">
      <w:bodyDiv w:val="1"/>
      <w:marLeft w:val="0"/>
      <w:marRight w:val="0"/>
      <w:marTop w:val="0"/>
      <w:marBottom w:val="0"/>
      <w:divBdr>
        <w:top w:val="none" w:sz="0" w:space="0" w:color="auto"/>
        <w:left w:val="none" w:sz="0" w:space="0" w:color="auto"/>
        <w:bottom w:val="none" w:sz="0" w:space="0" w:color="auto"/>
        <w:right w:val="none" w:sz="0" w:space="0" w:color="auto"/>
      </w:divBdr>
    </w:div>
    <w:div w:id="2034259479">
      <w:bodyDiv w:val="1"/>
      <w:marLeft w:val="0"/>
      <w:marRight w:val="0"/>
      <w:marTop w:val="0"/>
      <w:marBottom w:val="0"/>
      <w:divBdr>
        <w:top w:val="none" w:sz="0" w:space="0" w:color="auto"/>
        <w:left w:val="none" w:sz="0" w:space="0" w:color="auto"/>
        <w:bottom w:val="none" w:sz="0" w:space="0" w:color="auto"/>
        <w:right w:val="none" w:sz="0" w:space="0" w:color="auto"/>
      </w:divBdr>
    </w:div>
    <w:div w:id="2034568634">
      <w:bodyDiv w:val="1"/>
      <w:marLeft w:val="0"/>
      <w:marRight w:val="0"/>
      <w:marTop w:val="0"/>
      <w:marBottom w:val="0"/>
      <w:divBdr>
        <w:top w:val="none" w:sz="0" w:space="0" w:color="auto"/>
        <w:left w:val="none" w:sz="0" w:space="0" w:color="auto"/>
        <w:bottom w:val="none" w:sz="0" w:space="0" w:color="auto"/>
        <w:right w:val="none" w:sz="0" w:space="0" w:color="auto"/>
      </w:divBdr>
    </w:div>
    <w:div w:id="2035841105">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37193449">
      <w:bodyDiv w:val="1"/>
      <w:marLeft w:val="0"/>
      <w:marRight w:val="0"/>
      <w:marTop w:val="0"/>
      <w:marBottom w:val="0"/>
      <w:divBdr>
        <w:top w:val="none" w:sz="0" w:space="0" w:color="auto"/>
        <w:left w:val="none" w:sz="0" w:space="0" w:color="auto"/>
        <w:bottom w:val="none" w:sz="0" w:space="0" w:color="auto"/>
        <w:right w:val="none" w:sz="0" w:space="0" w:color="auto"/>
      </w:divBdr>
    </w:div>
    <w:div w:id="2037267713">
      <w:bodyDiv w:val="1"/>
      <w:marLeft w:val="0"/>
      <w:marRight w:val="0"/>
      <w:marTop w:val="0"/>
      <w:marBottom w:val="0"/>
      <w:divBdr>
        <w:top w:val="none" w:sz="0" w:space="0" w:color="auto"/>
        <w:left w:val="none" w:sz="0" w:space="0" w:color="auto"/>
        <w:bottom w:val="none" w:sz="0" w:space="0" w:color="auto"/>
        <w:right w:val="none" w:sz="0" w:space="0" w:color="auto"/>
      </w:divBdr>
    </w:div>
    <w:div w:id="2039038806">
      <w:bodyDiv w:val="1"/>
      <w:marLeft w:val="0"/>
      <w:marRight w:val="0"/>
      <w:marTop w:val="0"/>
      <w:marBottom w:val="0"/>
      <w:divBdr>
        <w:top w:val="none" w:sz="0" w:space="0" w:color="auto"/>
        <w:left w:val="none" w:sz="0" w:space="0" w:color="auto"/>
        <w:bottom w:val="none" w:sz="0" w:space="0" w:color="auto"/>
        <w:right w:val="none" w:sz="0" w:space="0" w:color="auto"/>
      </w:divBdr>
    </w:div>
    <w:div w:id="2039239701">
      <w:bodyDiv w:val="1"/>
      <w:marLeft w:val="0"/>
      <w:marRight w:val="0"/>
      <w:marTop w:val="0"/>
      <w:marBottom w:val="0"/>
      <w:divBdr>
        <w:top w:val="none" w:sz="0" w:space="0" w:color="auto"/>
        <w:left w:val="none" w:sz="0" w:space="0" w:color="auto"/>
        <w:bottom w:val="none" w:sz="0" w:space="0" w:color="auto"/>
        <w:right w:val="none" w:sz="0" w:space="0" w:color="auto"/>
      </w:divBdr>
    </w:div>
    <w:div w:id="2039887980">
      <w:bodyDiv w:val="1"/>
      <w:marLeft w:val="0"/>
      <w:marRight w:val="0"/>
      <w:marTop w:val="0"/>
      <w:marBottom w:val="0"/>
      <w:divBdr>
        <w:top w:val="none" w:sz="0" w:space="0" w:color="auto"/>
        <w:left w:val="none" w:sz="0" w:space="0" w:color="auto"/>
        <w:bottom w:val="none" w:sz="0" w:space="0" w:color="auto"/>
        <w:right w:val="none" w:sz="0" w:space="0" w:color="auto"/>
      </w:divBdr>
    </w:div>
    <w:div w:id="2040086609">
      <w:bodyDiv w:val="1"/>
      <w:marLeft w:val="0"/>
      <w:marRight w:val="0"/>
      <w:marTop w:val="0"/>
      <w:marBottom w:val="0"/>
      <w:divBdr>
        <w:top w:val="none" w:sz="0" w:space="0" w:color="auto"/>
        <w:left w:val="none" w:sz="0" w:space="0" w:color="auto"/>
        <w:bottom w:val="none" w:sz="0" w:space="0" w:color="auto"/>
        <w:right w:val="none" w:sz="0" w:space="0" w:color="auto"/>
      </w:divBdr>
    </w:div>
    <w:div w:id="2040430282">
      <w:bodyDiv w:val="1"/>
      <w:marLeft w:val="0"/>
      <w:marRight w:val="0"/>
      <w:marTop w:val="0"/>
      <w:marBottom w:val="0"/>
      <w:divBdr>
        <w:top w:val="none" w:sz="0" w:space="0" w:color="auto"/>
        <w:left w:val="none" w:sz="0" w:space="0" w:color="auto"/>
        <w:bottom w:val="none" w:sz="0" w:space="0" w:color="auto"/>
        <w:right w:val="none" w:sz="0" w:space="0" w:color="auto"/>
      </w:divBdr>
    </w:div>
    <w:div w:id="2040861549">
      <w:bodyDiv w:val="1"/>
      <w:marLeft w:val="0"/>
      <w:marRight w:val="0"/>
      <w:marTop w:val="0"/>
      <w:marBottom w:val="0"/>
      <w:divBdr>
        <w:top w:val="none" w:sz="0" w:space="0" w:color="auto"/>
        <w:left w:val="none" w:sz="0" w:space="0" w:color="auto"/>
        <w:bottom w:val="none" w:sz="0" w:space="0" w:color="auto"/>
        <w:right w:val="none" w:sz="0" w:space="0" w:color="auto"/>
      </w:divBdr>
    </w:div>
    <w:div w:id="2040886637">
      <w:bodyDiv w:val="1"/>
      <w:marLeft w:val="0"/>
      <w:marRight w:val="0"/>
      <w:marTop w:val="0"/>
      <w:marBottom w:val="0"/>
      <w:divBdr>
        <w:top w:val="none" w:sz="0" w:space="0" w:color="auto"/>
        <w:left w:val="none" w:sz="0" w:space="0" w:color="auto"/>
        <w:bottom w:val="none" w:sz="0" w:space="0" w:color="auto"/>
        <w:right w:val="none" w:sz="0" w:space="0" w:color="auto"/>
      </w:divBdr>
    </w:div>
    <w:div w:id="2040931534">
      <w:bodyDiv w:val="1"/>
      <w:marLeft w:val="0"/>
      <w:marRight w:val="0"/>
      <w:marTop w:val="0"/>
      <w:marBottom w:val="0"/>
      <w:divBdr>
        <w:top w:val="none" w:sz="0" w:space="0" w:color="auto"/>
        <w:left w:val="none" w:sz="0" w:space="0" w:color="auto"/>
        <w:bottom w:val="none" w:sz="0" w:space="0" w:color="auto"/>
        <w:right w:val="none" w:sz="0" w:space="0" w:color="auto"/>
      </w:divBdr>
    </w:div>
    <w:div w:id="2040932166">
      <w:bodyDiv w:val="1"/>
      <w:marLeft w:val="0"/>
      <w:marRight w:val="0"/>
      <w:marTop w:val="0"/>
      <w:marBottom w:val="0"/>
      <w:divBdr>
        <w:top w:val="none" w:sz="0" w:space="0" w:color="auto"/>
        <w:left w:val="none" w:sz="0" w:space="0" w:color="auto"/>
        <w:bottom w:val="none" w:sz="0" w:space="0" w:color="auto"/>
        <w:right w:val="none" w:sz="0" w:space="0" w:color="auto"/>
      </w:divBdr>
    </w:div>
    <w:div w:id="2041130316">
      <w:bodyDiv w:val="1"/>
      <w:marLeft w:val="0"/>
      <w:marRight w:val="0"/>
      <w:marTop w:val="0"/>
      <w:marBottom w:val="0"/>
      <w:divBdr>
        <w:top w:val="none" w:sz="0" w:space="0" w:color="auto"/>
        <w:left w:val="none" w:sz="0" w:space="0" w:color="auto"/>
        <w:bottom w:val="none" w:sz="0" w:space="0" w:color="auto"/>
        <w:right w:val="none" w:sz="0" w:space="0" w:color="auto"/>
      </w:divBdr>
    </w:div>
    <w:div w:id="2041276691">
      <w:bodyDiv w:val="1"/>
      <w:marLeft w:val="0"/>
      <w:marRight w:val="0"/>
      <w:marTop w:val="0"/>
      <w:marBottom w:val="0"/>
      <w:divBdr>
        <w:top w:val="none" w:sz="0" w:space="0" w:color="auto"/>
        <w:left w:val="none" w:sz="0" w:space="0" w:color="auto"/>
        <w:bottom w:val="none" w:sz="0" w:space="0" w:color="auto"/>
        <w:right w:val="none" w:sz="0" w:space="0" w:color="auto"/>
      </w:divBdr>
    </w:div>
    <w:div w:id="2041467304">
      <w:bodyDiv w:val="1"/>
      <w:marLeft w:val="0"/>
      <w:marRight w:val="0"/>
      <w:marTop w:val="0"/>
      <w:marBottom w:val="0"/>
      <w:divBdr>
        <w:top w:val="none" w:sz="0" w:space="0" w:color="auto"/>
        <w:left w:val="none" w:sz="0" w:space="0" w:color="auto"/>
        <w:bottom w:val="none" w:sz="0" w:space="0" w:color="auto"/>
        <w:right w:val="none" w:sz="0" w:space="0" w:color="auto"/>
      </w:divBdr>
    </w:div>
    <w:div w:id="2041516671">
      <w:bodyDiv w:val="1"/>
      <w:marLeft w:val="0"/>
      <w:marRight w:val="0"/>
      <w:marTop w:val="0"/>
      <w:marBottom w:val="0"/>
      <w:divBdr>
        <w:top w:val="none" w:sz="0" w:space="0" w:color="auto"/>
        <w:left w:val="none" w:sz="0" w:space="0" w:color="auto"/>
        <w:bottom w:val="none" w:sz="0" w:space="0" w:color="auto"/>
        <w:right w:val="none" w:sz="0" w:space="0" w:color="auto"/>
      </w:divBdr>
    </w:div>
    <w:div w:id="2041658512">
      <w:bodyDiv w:val="1"/>
      <w:marLeft w:val="0"/>
      <w:marRight w:val="0"/>
      <w:marTop w:val="0"/>
      <w:marBottom w:val="0"/>
      <w:divBdr>
        <w:top w:val="none" w:sz="0" w:space="0" w:color="auto"/>
        <w:left w:val="none" w:sz="0" w:space="0" w:color="auto"/>
        <w:bottom w:val="none" w:sz="0" w:space="0" w:color="auto"/>
        <w:right w:val="none" w:sz="0" w:space="0" w:color="auto"/>
      </w:divBdr>
    </w:div>
    <w:div w:id="2041709694">
      <w:bodyDiv w:val="1"/>
      <w:marLeft w:val="0"/>
      <w:marRight w:val="0"/>
      <w:marTop w:val="0"/>
      <w:marBottom w:val="0"/>
      <w:divBdr>
        <w:top w:val="none" w:sz="0" w:space="0" w:color="auto"/>
        <w:left w:val="none" w:sz="0" w:space="0" w:color="auto"/>
        <w:bottom w:val="none" w:sz="0" w:space="0" w:color="auto"/>
        <w:right w:val="none" w:sz="0" w:space="0" w:color="auto"/>
      </w:divBdr>
    </w:div>
    <w:div w:id="2042364558">
      <w:bodyDiv w:val="1"/>
      <w:marLeft w:val="0"/>
      <w:marRight w:val="0"/>
      <w:marTop w:val="0"/>
      <w:marBottom w:val="0"/>
      <w:divBdr>
        <w:top w:val="none" w:sz="0" w:space="0" w:color="auto"/>
        <w:left w:val="none" w:sz="0" w:space="0" w:color="auto"/>
        <w:bottom w:val="none" w:sz="0" w:space="0" w:color="auto"/>
        <w:right w:val="none" w:sz="0" w:space="0" w:color="auto"/>
      </w:divBdr>
    </w:div>
    <w:div w:id="2043046224">
      <w:bodyDiv w:val="1"/>
      <w:marLeft w:val="0"/>
      <w:marRight w:val="0"/>
      <w:marTop w:val="0"/>
      <w:marBottom w:val="0"/>
      <w:divBdr>
        <w:top w:val="none" w:sz="0" w:space="0" w:color="auto"/>
        <w:left w:val="none" w:sz="0" w:space="0" w:color="auto"/>
        <w:bottom w:val="none" w:sz="0" w:space="0" w:color="auto"/>
        <w:right w:val="none" w:sz="0" w:space="0" w:color="auto"/>
      </w:divBdr>
    </w:div>
    <w:div w:id="2043088704">
      <w:bodyDiv w:val="1"/>
      <w:marLeft w:val="0"/>
      <w:marRight w:val="0"/>
      <w:marTop w:val="0"/>
      <w:marBottom w:val="0"/>
      <w:divBdr>
        <w:top w:val="none" w:sz="0" w:space="0" w:color="auto"/>
        <w:left w:val="none" w:sz="0" w:space="0" w:color="auto"/>
        <w:bottom w:val="none" w:sz="0" w:space="0" w:color="auto"/>
        <w:right w:val="none" w:sz="0" w:space="0" w:color="auto"/>
      </w:divBdr>
    </w:div>
    <w:div w:id="2043090746">
      <w:bodyDiv w:val="1"/>
      <w:marLeft w:val="0"/>
      <w:marRight w:val="0"/>
      <w:marTop w:val="0"/>
      <w:marBottom w:val="0"/>
      <w:divBdr>
        <w:top w:val="none" w:sz="0" w:space="0" w:color="auto"/>
        <w:left w:val="none" w:sz="0" w:space="0" w:color="auto"/>
        <w:bottom w:val="none" w:sz="0" w:space="0" w:color="auto"/>
        <w:right w:val="none" w:sz="0" w:space="0" w:color="auto"/>
      </w:divBdr>
    </w:div>
    <w:div w:id="2044279652">
      <w:bodyDiv w:val="1"/>
      <w:marLeft w:val="0"/>
      <w:marRight w:val="0"/>
      <w:marTop w:val="0"/>
      <w:marBottom w:val="0"/>
      <w:divBdr>
        <w:top w:val="none" w:sz="0" w:space="0" w:color="auto"/>
        <w:left w:val="none" w:sz="0" w:space="0" w:color="auto"/>
        <w:bottom w:val="none" w:sz="0" w:space="0" w:color="auto"/>
        <w:right w:val="none" w:sz="0" w:space="0" w:color="auto"/>
      </w:divBdr>
    </w:div>
    <w:div w:id="2044477064">
      <w:bodyDiv w:val="1"/>
      <w:marLeft w:val="0"/>
      <w:marRight w:val="0"/>
      <w:marTop w:val="0"/>
      <w:marBottom w:val="0"/>
      <w:divBdr>
        <w:top w:val="none" w:sz="0" w:space="0" w:color="auto"/>
        <w:left w:val="none" w:sz="0" w:space="0" w:color="auto"/>
        <w:bottom w:val="none" w:sz="0" w:space="0" w:color="auto"/>
        <w:right w:val="none" w:sz="0" w:space="0" w:color="auto"/>
      </w:divBdr>
    </w:div>
    <w:div w:id="2044935660">
      <w:bodyDiv w:val="1"/>
      <w:marLeft w:val="0"/>
      <w:marRight w:val="0"/>
      <w:marTop w:val="0"/>
      <w:marBottom w:val="0"/>
      <w:divBdr>
        <w:top w:val="none" w:sz="0" w:space="0" w:color="auto"/>
        <w:left w:val="none" w:sz="0" w:space="0" w:color="auto"/>
        <w:bottom w:val="none" w:sz="0" w:space="0" w:color="auto"/>
        <w:right w:val="none" w:sz="0" w:space="0" w:color="auto"/>
      </w:divBdr>
    </w:div>
    <w:div w:id="2045127831">
      <w:bodyDiv w:val="1"/>
      <w:marLeft w:val="0"/>
      <w:marRight w:val="0"/>
      <w:marTop w:val="0"/>
      <w:marBottom w:val="0"/>
      <w:divBdr>
        <w:top w:val="none" w:sz="0" w:space="0" w:color="auto"/>
        <w:left w:val="none" w:sz="0" w:space="0" w:color="auto"/>
        <w:bottom w:val="none" w:sz="0" w:space="0" w:color="auto"/>
        <w:right w:val="none" w:sz="0" w:space="0" w:color="auto"/>
      </w:divBdr>
    </w:div>
    <w:div w:id="2045205246">
      <w:bodyDiv w:val="1"/>
      <w:marLeft w:val="0"/>
      <w:marRight w:val="0"/>
      <w:marTop w:val="0"/>
      <w:marBottom w:val="0"/>
      <w:divBdr>
        <w:top w:val="none" w:sz="0" w:space="0" w:color="auto"/>
        <w:left w:val="none" w:sz="0" w:space="0" w:color="auto"/>
        <w:bottom w:val="none" w:sz="0" w:space="0" w:color="auto"/>
        <w:right w:val="none" w:sz="0" w:space="0" w:color="auto"/>
      </w:divBdr>
    </w:div>
    <w:div w:id="2045398367">
      <w:bodyDiv w:val="1"/>
      <w:marLeft w:val="0"/>
      <w:marRight w:val="0"/>
      <w:marTop w:val="0"/>
      <w:marBottom w:val="0"/>
      <w:divBdr>
        <w:top w:val="none" w:sz="0" w:space="0" w:color="auto"/>
        <w:left w:val="none" w:sz="0" w:space="0" w:color="auto"/>
        <w:bottom w:val="none" w:sz="0" w:space="0" w:color="auto"/>
        <w:right w:val="none" w:sz="0" w:space="0" w:color="auto"/>
      </w:divBdr>
    </w:div>
    <w:div w:id="2045405040">
      <w:bodyDiv w:val="1"/>
      <w:marLeft w:val="0"/>
      <w:marRight w:val="0"/>
      <w:marTop w:val="0"/>
      <w:marBottom w:val="0"/>
      <w:divBdr>
        <w:top w:val="none" w:sz="0" w:space="0" w:color="auto"/>
        <w:left w:val="none" w:sz="0" w:space="0" w:color="auto"/>
        <w:bottom w:val="none" w:sz="0" w:space="0" w:color="auto"/>
        <w:right w:val="none" w:sz="0" w:space="0" w:color="auto"/>
      </w:divBdr>
    </w:div>
    <w:div w:id="2045472512">
      <w:bodyDiv w:val="1"/>
      <w:marLeft w:val="0"/>
      <w:marRight w:val="0"/>
      <w:marTop w:val="0"/>
      <w:marBottom w:val="0"/>
      <w:divBdr>
        <w:top w:val="none" w:sz="0" w:space="0" w:color="auto"/>
        <w:left w:val="none" w:sz="0" w:space="0" w:color="auto"/>
        <w:bottom w:val="none" w:sz="0" w:space="0" w:color="auto"/>
        <w:right w:val="none" w:sz="0" w:space="0" w:color="auto"/>
      </w:divBdr>
    </w:div>
    <w:div w:id="2045522882">
      <w:bodyDiv w:val="1"/>
      <w:marLeft w:val="0"/>
      <w:marRight w:val="0"/>
      <w:marTop w:val="0"/>
      <w:marBottom w:val="0"/>
      <w:divBdr>
        <w:top w:val="none" w:sz="0" w:space="0" w:color="auto"/>
        <w:left w:val="none" w:sz="0" w:space="0" w:color="auto"/>
        <w:bottom w:val="none" w:sz="0" w:space="0" w:color="auto"/>
        <w:right w:val="none" w:sz="0" w:space="0" w:color="auto"/>
      </w:divBdr>
    </w:div>
    <w:div w:id="2045980628">
      <w:bodyDiv w:val="1"/>
      <w:marLeft w:val="0"/>
      <w:marRight w:val="0"/>
      <w:marTop w:val="0"/>
      <w:marBottom w:val="0"/>
      <w:divBdr>
        <w:top w:val="none" w:sz="0" w:space="0" w:color="auto"/>
        <w:left w:val="none" w:sz="0" w:space="0" w:color="auto"/>
        <w:bottom w:val="none" w:sz="0" w:space="0" w:color="auto"/>
        <w:right w:val="none" w:sz="0" w:space="0" w:color="auto"/>
      </w:divBdr>
    </w:div>
    <w:div w:id="2046060804">
      <w:bodyDiv w:val="1"/>
      <w:marLeft w:val="0"/>
      <w:marRight w:val="0"/>
      <w:marTop w:val="0"/>
      <w:marBottom w:val="0"/>
      <w:divBdr>
        <w:top w:val="none" w:sz="0" w:space="0" w:color="auto"/>
        <w:left w:val="none" w:sz="0" w:space="0" w:color="auto"/>
        <w:bottom w:val="none" w:sz="0" w:space="0" w:color="auto"/>
        <w:right w:val="none" w:sz="0" w:space="0" w:color="auto"/>
      </w:divBdr>
    </w:div>
    <w:div w:id="2046785992">
      <w:bodyDiv w:val="1"/>
      <w:marLeft w:val="0"/>
      <w:marRight w:val="0"/>
      <w:marTop w:val="0"/>
      <w:marBottom w:val="0"/>
      <w:divBdr>
        <w:top w:val="none" w:sz="0" w:space="0" w:color="auto"/>
        <w:left w:val="none" w:sz="0" w:space="0" w:color="auto"/>
        <w:bottom w:val="none" w:sz="0" w:space="0" w:color="auto"/>
        <w:right w:val="none" w:sz="0" w:space="0" w:color="auto"/>
      </w:divBdr>
    </w:div>
    <w:div w:id="2047027148">
      <w:bodyDiv w:val="1"/>
      <w:marLeft w:val="0"/>
      <w:marRight w:val="0"/>
      <w:marTop w:val="0"/>
      <w:marBottom w:val="0"/>
      <w:divBdr>
        <w:top w:val="none" w:sz="0" w:space="0" w:color="auto"/>
        <w:left w:val="none" w:sz="0" w:space="0" w:color="auto"/>
        <w:bottom w:val="none" w:sz="0" w:space="0" w:color="auto"/>
        <w:right w:val="none" w:sz="0" w:space="0" w:color="auto"/>
      </w:divBdr>
    </w:div>
    <w:div w:id="2048556058">
      <w:bodyDiv w:val="1"/>
      <w:marLeft w:val="0"/>
      <w:marRight w:val="0"/>
      <w:marTop w:val="0"/>
      <w:marBottom w:val="0"/>
      <w:divBdr>
        <w:top w:val="none" w:sz="0" w:space="0" w:color="auto"/>
        <w:left w:val="none" w:sz="0" w:space="0" w:color="auto"/>
        <w:bottom w:val="none" w:sz="0" w:space="0" w:color="auto"/>
        <w:right w:val="none" w:sz="0" w:space="0" w:color="auto"/>
      </w:divBdr>
    </w:div>
    <w:div w:id="2048870710">
      <w:bodyDiv w:val="1"/>
      <w:marLeft w:val="0"/>
      <w:marRight w:val="0"/>
      <w:marTop w:val="0"/>
      <w:marBottom w:val="0"/>
      <w:divBdr>
        <w:top w:val="none" w:sz="0" w:space="0" w:color="auto"/>
        <w:left w:val="none" w:sz="0" w:space="0" w:color="auto"/>
        <w:bottom w:val="none" w:sz="0" w:space="0" w:color="auto"/>
        <w:right w:val="none" w:sz="0" w:space="0" w:color="auto"/>
      </w:divBdr>
    </w:div>
    <w:div w:id="2048986581">
      <w:bodyDiv w:val="1"/>
      <w:marLeft w:val="0"/>
      <w:marRight w:val="0"/>
      <w:marTop w:val="0"/>
      <w:marBottom w:val="0"/>
      <w:divBdr>
        <w:top w:val="none" w:sz="0" w:space="0" w:color="auto"/>
        <w:left w:val="none" w:sz="0" w:space="0" w:color="auto"/>
        <w:bottom w:val="none" w:sz="0" w:space="0" w:color="auto"/>
        <w:right w:val="none" w:sz="0" w:space="0" w:color="auto"/>
      </w:divBdr>
    </w:div>
    <w:div w:id="2049455137">
      <w:bodyDiv w:val="1"/>
      <w:marLeft w:val="0"/>
      <w:marRight w:val="0"/>
      <w:marTop w:val="0"/>
      <w:marBottom w:val="0"/>
      <w:divBdr>
        <w:top w:val="none" w:sz="0" w:space="0" w:color="auto"/>
        <w:left w:val="none" w:sz="0" w:space="0" w:color="auto"/>
        <w:bottom w:val="none" w:sz="0" w:space="0" w:color="auto"/>
        <w:right w:val="none" w:sz="0" w:space="0" w:color="auto"/>
      </w:divBdr>
    </w:div>
    <w:div w:id="2049791474">
      <w:bodyDiv w:val="1"/>
      <w:marLeft w:val="0"/>
      <w:marRight w:val="0"/>
      <w:marTop w:val="0"/>
      <w:marBottom w:val="0"/>
      <w:divBdr>
        <w:top w:val="none" w:sz="0" w:space="0" w:color="auto"/>
        <w:left w:val="none" w:sz="0" w:space="0" w:color="auto"/>
        <w:bottom w:val="none" w:sz="0" w:space="0" w:color="auto"/>
        <w:right w:val="none" w:sz="0" w:space="0" w:color="auto"/>
      </w:divBdr>
    </w:div>
    <w:div w:id="2049835735">
      <w:bodyDiv w:val="1"/>
      <w:marLeft w:val="0"/>
      <w:marRight w:val="0"/>
      <w:marTop w:val="0"/>
      <w:marBottom w:val="0"/>
      <w:divBdr>
        <w:top w:val="none" w:sz="0" w:space="0" w:color="auto"/>
        <w:left w:val="none" w:sz="0" w:space="0" w:color="auto"/>
        <w:bottom w:val="none" w:sz="0" w:space="0" w:color="auto"/>
        <w:right w:val="none" w:sz="0" w:space="0" w:color="auto"/>
      </w:divBdr>
    </w:div>
    <w:div w:id="2050252292">
      <w:bodyDiv w:val="1"/>
      <w:marLeft w:val="0"/>
      <w:marRight w:val="0"/>
      <w:marTop w:val="0"/>
      <w:marBottom w:val="0"/>
      <w:divBdr>
        <w:top w:val="none" w:sz="0" w:space="0" w:color="auto"/>
        <w:left w:val="none" w:sz="0" w:space="0" w:color="auto"/>
        <w:bottom w:val="none" w:sz="0" w:space="0" w:color="auto"/>
        <w:right w:val="none" w:sz="0" w:space="0" w:color="auto"/>
      </w:divBdr>
    </w:div>
    <w:div w:id="2050378518">
      <w:bodyDiv w:val="1"/>
      <w:marLeft w:val="0"/>
      <w:marRight w:val="0"/>
      <w:marTop w:val="0"/>
      <w:marBottom w:val="0"/>
      <w:divBdr>
        <w:top w:val="none" w:sz="0" w:space="0" w:color="auto"/>
        <w:left w:val="none" w:sz="0" w:space="0" w:color="auto"/>
        <w:bottom w:val="none" w:sz="0" w:space="0" w:color="auto"/>
        <w:right w:val="none" w:sz="0" w:space="0" w:color="auto"/>
      </w:divBdr>
    </w:div>
    <w:div w:id="2050572676">
      <w:bodyDiv w:val="1"/>
      <w:marLeft w:val="0"/>
      <w:marRight w:val="0"/>
      <w:marTop w:val="0"/>
      <w:marBottom w:val="0"/>
      <w:divBdr>
        <w:top w:val="none" w:sz="0" w:space="0" w:color="auto"/>
        <w:left w:val="none" w:sz="0" w:space="0" w:color="auto"/>
        <w:bottom w:val="none" w:sz="0" w:space="0" w:color="auto"/>
        <w:right w:val="none" w:sz="0" w:space="0" w:color="auto"/>
      </w:divBdr>
    </w:div>
    <w:div w:id="2050954936">
      <w:bodyDiv w:val="1"/>
      <w:marLeft w:val="0"/>
      <w:marRight w:val="0"/>
      <w:marTop w:val="0"/>
      <w:marBottom w:val="0"/>
      <w:divBdr>
        <w:top w:val="none" w:sz="0" w:space="0" w:color="auto"/>
        <w:left w:val="none" w:sz="0" w:space="0" w:color="auto"/>
        <w:bottom w:val="none" w:sz="0" w:space="0" w:color="auto"/>
        <w:right w:val="none" w:sz="0" w:space="0" w:color="auto"/>
      </w:divBdr>
    </w:div>
    <w:div w:id="2051344514">
      <w:bodyDiv w:val="1"/>
      <w:marLeft w:val="0"/>
      <w:marRight w:val="0"/>
      <w:marTop w:val="0"/>
      <w:marBottom w:val="0"/>
      <w:divBdr>
        <w:top w:val="none" w:sz="0" w:space="0" w:color="auto"/>
        <w:left w:val="none" w:sz="0" w:space="0" w:color="auto"/>
        <w:bottom w:val="none" w:sz="0" w:space="0" w:color="auto"/>
        <w:right w:val="none" w:sz="0" w:space="0" w:color="auto"/>
      </w:divBdr>
    </w:div>
    <w:div w:id="2051612082">
      <w:bodyDiv w:val="1"/>
      <w:marLeft w:val="0"/>
      <w:marRight w:val="0"/>
      <w:marTop w:val="0"/>
      <w:marBottom w:val="0"/>
      <w:divBdr>
        <w:top w:val="none" w:sz="0" w:space="0" w:color="auto"/>
        <w:left w:val="none" w:sz="0" w:space="0" w:color="auto"/>
        <w:bottom w:val="none" w:sz="0" w:space="0" w:color="auto"/>
        <w:right w:val="none" w:sz="0" w:space="0" w:color="auto"/>
      </w:divBdr>
    </w:div>
    <w:div w:id="2051680742">
      <w:bodyDiv w:val="1"/>
      <w:marLeft w:val="0"/>
      <w:marRight w:val="0"/>
      <w:marTop w:val="0"/>
      <w:marBottom w:val="0"/>
      <w:divBdr>
        <w:top w:val="none" w:sz="0" w:space="0" w:color="auto"/>
        <w:left w:val="none" w:sz="0" w:space="0" w:color="auto"/>
        <w:bottom w:val="none" w:sz="0" w:space="0" w:color="auto"/>
        <w:right w:val="none" w:sz="0" w:space="0" w:color="auto"/>
      </w:divBdr>
    </w:div>
    <w:div w:id="2051806110">
      <w:bodyDiv w:val="1"/>
      <w:marLeft w:val="0"/>
      <w:marRight w:val="0"/>
      <w:marTop w:val="0"/>
      <w:marBottom w:val="0"/>
      <w:divBdr>
        <w:top w:val="none" w:sz="0" w:space="0" w:color="auto"/>
        <w:left w:val="none" w:sz="0" w:space="0" w:color="auto"/>
        <w:bottom w:val="none" w:sz="0" w:space="0" w:color="auto"/>
        <w:right w:val="none" w:sz="0" w:space="0" w:color="auto"/>
      </w:divBdr>
    </w:div>
    <w:div w:id="2051952542">
      <w:bodyDiv w:val="1"/>
      <w:marLeft w:val="0"/>
      <w:marRight w:val="0"/>
      <w:marTop w:val="0"/>
      <w:marBottom w:val="0"/>
      <w:divBdr>
        <w:top w:val="none" w:sz="0" w:space="0" w:color="auto"/>
        <w:left w:val="none" w:sz="0" w:space="0" w:color="auto"/>
        <w:bottom w:val="none" w:sz="0" w:space="0" w:color="auto"/>
        <w:right w:val="none" w:sz="0" w:space="0" w:color="auto"/>
      </w:divBdr>
    </w:div>
    <w:div w:id="2053073241">
      <w:bodyDiv w:val="1"/>
      <w:marLeft w:val="0"/>
      <w:marRight w:val="0"/>
      <w:marTop w:val="0"/>
      <w:marBottom w:val="0"/>
      <w:divBdr>
        <w:top w:val="none" w:sz="0" w:space="0" w:color="auto"/>
        <w:left w:val="none" w:sz="0" w:space="0" w:color="auto"/>
        <w:bottom w:val="none" w:sz="0" w:space="0" w:color="auto"/>
        <w:right w:val="none" w:sz="0" w:space="0" w:color="auto"/>
      </w:divBdr>
    </w:div>
    <w:div w:id="2053311654">
      <w:bodyDiv w:val="1"/>
      <w:marLeft w:val="0"/>
      <w:marRight w:val="0"/>
      <w:marTop w:val="0"/>
      <w:marBottom w:val="0"/>
      <w:divBdr>
        <w:top w:val="none" w:sz="0" w:space="0" w:color="auto"/>
        <w:left w:val="none" w:sz="0" w:space="0" w:color="auto"/>
        <w:bottom w:val="none" w:sz="0" w:space="0" w:color="auto"/>
        <w:right w:val="none" w:sz="0" w:space="0" w:color="auto"/>
      </w:divBdr>
    </w:div>
    <w:div w:id="2054115928">
      <w:bodyDiv w:val="1"/>
      <w:marLeft w:val="0"/>
      <w:marRight w:val="0"/>
      <w:marTop w:val="0"/>
      <w:marBottom w:val="0"/>
      <w:divBdr>
        <w:top w:val="none" w:sz="0" w:space="0" w:color="auto"/>
        <w:left w:val="none" w:sz="0" w:space="0" w:color="auto"/>
        <w:bottom w:val="none" w:sz="0" w:space="0" w:color="auto"/>
        <w:right w:val="none" w:sz="0" w:space="0" w:color="auto"/>
      </w:divBdr>
    </w:div>
    <w:div w:id="2054577927">
      <w:bodyDiv w:val="1"/>
      <w:marLeft w:val="0"/>
      <w:marRight w:val="0"/>
      <w:marTop w:val="0"/>
      <w:marBottom w:val="0"/>
      <w:divBdr>
        <w:top w:val="none" w:sz="0" w:space="0" w:color="auto"/>
        <w:left w:val="none" w:sz="0" w:space="0" w:color="auto"/>
        <w:bottom w:val="none" w:sz="0" w:space="0" w:color="auto"/>
        <w:right w:val="none" w:sz="0" w:space="0" w:color="auto"/>
      </w:divBdr>
    </w:div>
    <w:div w:id="2055546020">
      <w:bodyDiv w:val="1"/>
      <w:marLeft w:val="0"/>
      <w:marRight w:val="0"/>
      <w:marTop w:val="0"/>
      <w:marBottom w:val="0"/>
      <w:divBdr>
        <w:top w:val="none" w:sz="0" w:space="0" w:color="auto"/>
        <w:left w:val="none" w:sz="0" w:space="0" w:color="auto"/>
        <w:bottom w:val="none" w:sz="0" w:space="0" w:color="auto"/>
        <w:right w:val="none" w:sz="0" w:space="0" w:color="auto"/>
      </w:divBdr>
    </w:div>
    <w:div w:id="2055807675">
      <w:bodyDiv w:val="1"/>
      <w:marLeft w:val="0"/>
      <w:marRight w:val="0"/>
      <w:marTop w:val="0"/>
      <w:marBottom w:val="0"/>
      <w:divBdr>
        <w:top w:val="none" w:sz="0" w:space="0" w:color="auto"/>
        <w:left w:val="none" w:sz="0" w:space="0" w:color="auto"/>
        <w:bottom w:val="none" w:sz="0" w:space="0" w:color="auto"/>
        <w:right w:val="none" w:sz="0" w:space="0" w:color="auto"/>
      </w:divBdr>
    </w:div>
    <w:div w:id="2056273566">
      <w:bodyDiv w:val="1"/>
      <w:marLeft w:val="0"/>
      <w:marRight w:val="0"/>
      <w:marTop w:val="0"/>
      <w:marBottom w:val="0"/>
      <w:divBdr>
        <w:top w:val="none" w:sz="0" w:space="0" w:color="auto"/>
        <w:left w:val="none" w:sz="0" w:space="0" w:color="auto"/>
        <w:bottom w:val="none" w:sz="0" w:space="0" w:color="auto"/>
        <w:right w:val="none" w:sz="0" w:space="0" w:color="auto"/>
      </w:divBdr>
    </w:div>
    <w:div w:id="2056466542">
      <w:bodyDiv w:val="1"/>
      <w:marLeft w:val="0"/>
      <w:marRight w:val="0"/>
      <w:marTop w:val="0"/>
      <w:marBottom w:val="0"/>
      <w:divBdr>
        <w:top w:val="none" w:sz="0" w:space="0" w:color="auto"/>
        <w:left w:val="none" w:sz="0" w:space="0" w:color="auto"/>
        <w:bottom w:val="none" w:sz="0" w:space="0" w:color="auto"/>
        <w:right w:val="none" w:sz="0" w:space="0" w:color="auto"/>
      </w:divBdr>
    </w:div>
    <w:div w:id="2057194741">
      <w:bodyDiv w:val="1"/>
      <w:marLeft w:val="0"/>
      <w:marRight w:val="0"/>
      <w:marTop w:val="0"/>
      <w:marBottom w:val="0"/>
      <w:divBdr>
        <w:top w:val="none" w:sz="0" w:space="0" w:color="auto"/>
        <w:left w:val="none" w:sz="0" w:space="0" w:color="auto"/>
        <w:bottom w:val="none" w:sz="0" w:space="0" w:color="auto"/>
        <w:right w:val="none" w:sz="0" w:space="0" w:color="auto"/>
      </w:divBdr>
    </w:div>
    <w:div w:id="2057270953">
      <w:bodyDiv w:val="1"/>
      <w:marLeft w:val="0"/>
      <w:marRight w:val="0"/>
      <w:marTop w:val="0"/>
      <w:marBottom w:val="0"/>
      <w:divBdr>
        <w:top w:val="none" w:sz="0" w:space="0" w:color="auto"/>
        <w:left w:val="none" w:sz="0" w:space="0" w:color="auto"/>
        <w:bottom w:val="none" w:sz="0" w:space="0" w:color="auto"/>
        <w:right w:val="none" w:sz="0" w:space="0" w:color="auto"/>
      </w:divBdr>
    </w:div>
    <w:div w:id="2057582815">
      <w:bodyDiv w:val="1"/>
      <w:marLeft w:val="0"/>
      <w:marRight w:val="0"/>
      <w:marTop w:val="0"/>
      <w:marBottom w:val="0"/>
      <w:divBdr>
        <w:top w:val="none" w:sz="0" w:space="0" w:color="auto"/>
        <w:left w:val="none" w:sz="0" w:space="0" w:color="auto"/>
        <w:bottom w:val="none" w:sz="0" w:space="0" w:color="auto"/>
        <w:right w:val="none" w:sz="0" w:space="0" w:color="auto"/>
      </w:divBdr>
    </w:div>
    <w:div w:id="2058158257">
      <w:bodyDiv w:val="1"/>
      <w:marLeft w:val="0"/>
      <w:marRight w:val="0"/>
      <w:marTop w:val="0"/>
      <w:marBottom w:val="0"/>
      <w:divBdr>
        <w:top w:val="none" w:sz="0" w:space="0" w:color="auto"/>
        <w:left w:val="none" w:sz="0" w:space="0" w:color="auto"/>
        <w:bottom w:val="none" w:sz="0" w:space="0" w:color="auto"/>
        <w:right w:val="none" w:sz="0" w:space="0" w:color="auto"/>
      </w:divBdr>
    </w:div>
    <w:div w:id="2058772313">
      <w:bodyDiv w:val="1"/>
      <w:marLeft w:val="0"/>
      <w:marRight w:val="0"/>
      <w:marTop w:val="0"/>
      <w:marBottom w:val="0"/>
      <w:divBdr>
        <w:top w:val="none" w:sz="0" w:space="0" w:color="auto"/>
        <w:left w:val="none" w:sz="0" w:space="0" w:color="auto"/>
        <w:bottom w:val="none" w:sz="0" w:space="0" w:color="auto"/>
        <w:right w:val="none" w:sz="0" w:space="0" w:color="auto"/>
      </w:divBdr>
    </w:div>
    <w:div w:id="2058772893">
      <w:bodyDiv w:val="1"/>
      <w:marLeft w:val="0"/>
      <w:marRight w:val="0"/>
      <w:marTop w:val="0"/>
      <w:marBottom w:val="0"/>
      <w:divBdr>
        <w:top w:val="none" w:sz="0" w:space="0" w:color="auto"/>
        <w:left w:val="none" w:sz="0" w:space="0" w:color="auto"/>
        <w:bottom w:val="none" w:sz="0" w:space="0" w:color="auto"/>
        <w:right w:val="none" w:sz="0" w:space="0" w:color="auto"/>
      </w:divBdr>
    </w:div>
    <w:div w:id="2059084806">
      <w:bodyDiv w:val="1"/>
      <w:marLeft w:val="0"/>
      <w:marRight w:val="0"/>
      <w:marTop w:val="0"/>
      <w:marBottom w:val="0"/>
      <w:divBdr>
        <w:top w:val="none" w:sz="0" w:space="0" w:color="auto"/>
        <w:left w:val="none" w:sz="0" w:space="0" w:color="auto"/>
        <w:bottom w:val="none" w:sz="0" w:space="0" w:color="auto"/>
        <w:right w:val="none" w:sz="0" w:space="0" w:color="auto"/>
      </w:divBdr>
    </w:div>
    <w:div w:id="2059238073">
      <w:bodyDiv w:val="1"/>
      <w:marLeft w:val="0"/>
      <w:marRight w:val="0"/>
      <w:marTop w:val="0"/>
      <w:marBottom w:val="0"/>
      <w:divBdr>
        <w:top w:val="none" w:sz="0" w:space="0" w:color="auto"/>
        <w:left w:val="none" w:sz="0" w:space="0" w:color="auto"/>
        <w:bottom w:val="none" w:sz="0" w:space="0" w:color="auto"/>
        <w:right w:val="none" w:sz="0" w:space="0" w:color="auto"/>
      </w:divBdr>
    </w:div>
    <w:div w:id="2059551440">
      <w:bodyDiv w:val="1"/>
      <w:marLeft w:val="0"/>
      <w:marRight w:val="0"/>
      <w:marTop w:val="0"/>
      <w:marBottom w:val="0"/>
      <w:divBdr>
        <w:top w:val="none" w:sz="0" w:space="0" w:color="auto"/>
        <w:left w:val="none" w:sz="0" w:space="0" w:color="auto"/>
        <w:bottom w:val="none" w:sz="0" w:space="0" w:color="auto"/>
        <w:right w:val="none" w:sz="0" w:space="0" w:color="auto"/>
      </w:divBdr>
    </w:div>
    <w:div w:id="2059891154">
      <w:bodyDiv w:val="1"/>
      <w:marLeft w:val="0"/>
      <w:marRight w:val="0"/>
      <w:marTop w:val="0"/>
      <w:marBottom w:val="0"/>
      <w:divBdr>
        <w:top w:val="none" w:sz="0" w:space="0" w:color="auto"/>
        <w:left w:val="none" w:sz="0" w:space="0" w:color="auto"/>
        <w:bottom w:val="none" w:sz="0" w:space="0" w:color="auto"/>
        <w:right w:val="none" w:sz="0" w:space="0" w:color="auto"/>
      </w:divBdr>
    </w:div>
    <w:div w:id="2060933484">
      <w:bodyDiv w:val="1"/>
      <w:marLeft w:val="0"/>
      <w:marRight w:val="0"/>
      <w:marTop w:val="0"/>
      <w:marBottom w:val="0"/>
      <w:divBdr>
        <w:top w:val="none" w:sz="0" w:space="0" w:color="auto"/>
        <w:left w:val="none" w:sz="0" w:space="0" w:color="auto"/>
        <w:bottom w:val="none" w:sz="0" w:space="0" w:color="auto"/>
        <w:right w:val="none" w:sz="0" w:space="0" w:color="auto"/>
      </w:divBdr>
    </w:div>
    <w:div w:id="2062165858">
      <w:bodyDiv w:val="1"/>
      <w:marLeft w:val="0"/>
      <w:marRight w:val="0"/>
      <w:marTop w:val="0"/>
      <w:marBottom w:val="0"/>
      <w:divBdr>
        <w:top w:val="none" w:sz="0" w:space="0" w:color="auto"/>
        <w:left w:val="none" w:sz="0" w:space="0" w:color="auto"/>
        <w:bottom w:val="none" w:sz="0" w:space="0" w:color="auto"/>
        <w:right w:val="none" w:sz="0" w:space="0" w:color="auto"/>
      </w:divBdr>
    </w:div>
    <w:div w:id="2062752960">
      <w:bodyDiv w:val="1"/>
      <w:marLeft w:val="0"/>
      <w:marRight w:val="0"/>
      <w:marTop w:val="0"/>
      <w:marBottom w:val="0"/>
      <w:divBdr>
        <w:top w:val="none" w:sz="0" w:space="0" w:color="auto"/>
        <w:left w:val="none" w:sz="0" w:space="0" w:color="auto"/>
        <w:bottom w:val="none" w:sz="0" w:space="0" w:color="auto"/>
        <w:right w:val="none" w:sz="0" w:space="0" w:color="auto"/>
      </w:divBdr>
    </w:div>
    <w:div w:id="2064714397">
      <w:bodyDiv w:val="1"/>
      <w:marLeft w:val="0"/>
      <w:marRight w:val="0"/>
      <w:marTop w:val="0"/>
      <w:marBottom w:val="0"/>
      <w:divBdr>
        <w:top w:val="none" w:sz="0" w:space="0" w:color="auto"/>
        <w:left w:val="none" w:sz="0" w:space="0" w:color="auto"/>
        <w:bottom w:val="none" w:sz="0" w:space="0" w:color="auto"/>
        <w:right w:val="none" w:sz="0" w:space="0" w:color="auto"/>
      </w:divBdr>
    </w:div>
    <w:div w:id="2064719821">
      <w:bodyDiv w:val="1"/>
      <w:marLeft w:val="0"/>
      <w:marRight w:val="0"/>
      <w:marTop w:val="0"/>
      <w:marBottom w:val="0"/>
      <w:divBdr>
        <w:top w:val="none" w:sz="0" w:space="0" w:color="auto"/>
        <w:left w:val="none" w:sz="0" w:space="0" w:color="auto"/>
        <w:bottom w:val="none" w:sz="0" w:space="0" w:color="auto"/>
        <w:right w:val="none" w:sz="0" w:space="0" w:color="auto"/>
      </w:divBdr>
    </w:div>
    <w:div w:id="2065566070">
      <w:bodyDiv w:val="1"/>
      <w:marLeft w:val="0"/>
      <w:marRight w:val="0"/>
      <w:marTop w:val="0"/>
      <w:marBottom w:val="0"/>
      <w:divBdr>
        <w:top w:val="none" w:sz="0" w:space="0" w:color="auto"/>
        <w:left w:val="none" w:sz="0" w:space="0" w:color="auto"/>
        <w:bottom w:val="none" w:sz="0" w:space="0" w:color="auto"/>
        <w:right w:val="none" w:sz="0" w:space="0" w:color="auto"/>
      </w:divBdr>
    </w:div>
    <w:div w:id="2066030286">
      <w:bodyDiv w:val="1"/>
      <w:marLeft w:val="0"/>
      <w:marRight w:val="0"/>
      <w:marTop w:val="0"/>
      <w:marBottom w:val="0"/>
      <w:divBdr>
        <w:top w:val="none" w:sz="0" w:space="0" w:color="auto"/>
        <w:left w:val="none" w:sz="0" w:space="0" w:color="auto"/>
        <w:bottom w:val="none" w:sz="0" w:space="0" w:color="auto"/>
        <w:right w:val="none" w:sz="0" w:space="0" w:color="auto"/>
      </w:divBdr>
    </w:div>
    <w:div w:id="2066367255">
      <w:bodyDiv w:val="1"/>
      <w:marLeft w:val="0"/>
      <w:marRight w:val="0"/>
      <w:marTop w:val="0"/>
      <w:marBottom w:val="0"/>
      <w:divBdr>
        <w:top w:val="none" w:sz="0" w:space="0" w:color="auto"/>
        <w:left w:val="none" w:sz="0" w:space="0" w:color="auto"/>
        <w:bottom w:val="none" w:sz="0" w:space="0" w:color="auto"/>
        <w:right w:val="none" w:sz="0" w:space="0" w:color="auto"/>
      </w:divBdr>
    </w:div>
    <w:div w:id="2066373407">
      <w:bodyDiv w:val="1"/>
      <w:marLeft w:val="0"/>
      <w:marRight w:val="0"/>
      <w:marTop w:val="0"/>
      <w:marBottom w:val="0"/>
      <w:divBdr>
        <w:top w:val="none" w:sz="0" w:space="0" w:color="auto"/>
        <w:left w:val="none" w:sz="0" w:space="0" w:color="auto"/>
        <w:bottom w:val="none" w:sz="0" w:space="0" w:color="auto"/>
        <w:right w:val="none" w:sz="0" w:space="0" w:color="auto"/>
      </w:divBdr>
    </w:div>
    <w:div w:id="2066681708">
      <w:bodyDiv w:val="1"/>
      <w:marLeft w:val="0"/>
      <w:marRight w:val="0"/>
      <w:marTop w:val="0"/>
      <w:marBottom w:val="0"/>
      <w:divBdr>
        <w:top w:val="none" w:sz="0" w:space="0" w:color="auto"/>
        <w:left w:val="none" w:sz="0" w:space="0" w:color="auto"/>
        <w:bottom w:val="none" w:sz="0" w:space="0" w:color="auto"/>
        <w:right w:val="none" w:sz="0" w:space="0" w:color="auto"/>
      </w:divBdr>
    </w:div>
    <w:div w:id="2067144190">
      <w:bodyDiv w:val="1"/>
      <w:marLeft w:val="0"/>
      <w:marRight w:val="0"/>
      <w:marTop w:val="0"/>
      <w:marBottom w:val="0"/>
      <w:divBdr>
        <w:top w:val="none" w:sz="0" w:space="0" w:color="auto"/>
        <w:left w:val="none" w:sz="0" w:space="0" w:color="auto"/>
        <w:bottom w:val="none" w:sz="0" w:space="0" w:color="auto"/>
        <w:right w:val="none" w:sz="0" w:space="0" w:color="auto"/>
      </w:divBdr>
    </w:div>
    <w:div w:id="2067214490">
      <w:bodyDiv w:val="1"/>
      <w:marLeft w:val="0"/>
      <w:marRight w:val="0"/>
      <w:marTop w:val="0"/>
      <w:marBottom w:val="0"/>
      <w:divBdr>
        <w:top w:val="none" w:sz="0" w:space="0" w:color="auto"/>
        <w:left w:val="none" w:sz="0" w:space="0" w:color="auto"/>
        <w:bottom w:val="none" w:sz="0" w:space="0" w:color="auto"/>
        <w:right w:val="none" w:sz="0" w:space="0" w:color="auto"/>
      </w:divBdr>
    </w:div>
    <w:div w:id="2067798932">
      <w:bodyDiv w:val="1"/>
      <w:marLeft w:val="0"/>
      <w:marRight w:val="0"/>
      <w:marTop w:val="0"/>
      <w:marBottom w:val="0"/>
      <w:divBdr>
        <w:top w:val="none" w:sz="0" w:space="0" w:color="auto"/>
        <w:left w:val="none" w:sz="0" w:space="0" w:color="auto"/>
        <w:bottom w:val="none" w:sz="0" w:space="0" w:color="auto"/>
        <w:right w:val="none" w:sz="0" w:space="0" w:color="auto"/>
      </w:divBdr>
    </w:div>
    <w:div w:id="2067802291">
      <w:bodyDiv w:val="1"/>
      <w:marLeft w:val="0"/>
      <w:marRight w:val="0"/>
      <w:marTop w:val="0"/>
      <w:marBottom w:val="0"/>
      <w:divBdr>
        <w:top w:val="none" w:sz="0" w:space="0" w:color="auto"/>
        <w:left w:val="none" w:sz="0" w:space="0" w:color="auto"/>
        <w:bottom w:val="none" w:sz="0" w:space="0" w:color="auto"/>
        <w:right w:val="none" w:sz="0" w:space="0" w:color="auto"/>
      </w:divBdr>
    </w:div>
    <w:div w:id="2068408356">
      <w:bodyDiv w:val="1"/>
      <w:marLeft w:val="0"/>
      <w:marRight w:val="0"/>
      <w:marTop w:val="0"/>
      <w:marBottom w:val="0"/>
      <w:divBdr>
        <w:top w:val="none" w:sz="0" w:space="0" w:color="auto"/>
        <w:left w:val="none" w:sz="0" w:space="0" w:color="auto"/>
        <w:bottom w:val="none" w:sz="0" w:space="0" w:color="auto"/>
        <w:right w:val="none" w:sz="0" w:space="0" w:color="auto"/>
      </w:divBdr>
    </w:div>
    <w:div w:id="2068527883">
      <w:bodyDiv w:val="1"/>
      <w:marLeft w:val="0"/>
      <w:marRight w:val="0"/>
      <w:marTop w:val="0"/>
      <w:marBottom w:val="0"/>
      <w:divBdr>
        <w:top w:val="none" w:sz="0" w:space="0" w:color="auto"/>
        <w:left w:val="none" w:sz="0" w:space="0" w:color="auto"/>
        <w:bottom w:val="none" w:sz="0" w:space="0" w:color="auto"/>
        <w:right w:val="none" w:sz="0" w:space="0" w:color="auto"/>
      </w:divBdr>
    </w:div>
    <w:div w:id="2068798437">
      <w:bodyDiv w:val="1"/>
      <w:marLeft w:val="0"/>
      <w:marRight w:val="0"/>
      <w:marTop w:val="0"/>
      <w:marBottom w:val="0"/>
      <w:divBdr>
        <w:top w:val="none" w:sz="0" w:space="0" w:color="auto"/>
        <w:left w:val="none" w:sz="0" w:space="0" w:color="auto"/>
        <w:bottom w:val="none" w:sz="0" w:space="0" w:color="auto"/>
        <w:right w:val="none" w:sz="0" w:space="0" w:color="auto"/>
      </w:divBdr>
    </w:div>
    <w:div w:id="2069524677">
      <w:bodyDiv w:val="1"/>
      <w:marLeft w:val="0"/>
      <w:marRight w:val="0"/>
      <w:marTop w:val="0"/>
      <w:marBottom w:val="0"/>
      <w:divBdr>
        <w:top w:val="none" w:sz="0" w:space="0" w:color="auto"/>
        <w:left w:val="none" w:sz="0" w:space="0" w:color="auto"/>
        <w:bottom w:val="none" w:sz="0" w:space="0" w:color="auto"/>
        <w:right w:val="none" w:sz="0" w:space="0" w:color="auto"/>
      </w:divBdr>
    </w:div>
    <w:div w:id="2069644362">
      <w:bodyDiv w:val="1"/>
      <w:marLeft w:val="0"/>
      <w:marRight w:val="0"/>
      <w:marTop w:val="0"/>
      <w:marBottom w:val="0"/>
      <w:divBdr>
        <w:top w:val="none" w:sz="0" w:space="0" w:color="auto"/>
        <w:left w:val="none" w:sz="0" w:space="0" w:color="auto"/>
        <w:bottom w:val="none" w:sz="0" w:space="0" w:color="auto"/>
        <w:right w:val="none" w:sz="0" w:space="0" w:color="auto"/>
      </w:divBdr>
    </w:div>
    <w:div w:id="2070182737">
      <w:bodyDiv w:val="1"/>
      <w:marLeft w:val="0"/>
      <w:marRight w:val="0"/>
      <w:marTop w:val="0"/>
      <w:marBottom w:val="0"/>
      <w:divBdr>
        <w:top w:val="none" w:sz="0" w:space="0" w:color="auto"/>
        <w:left w:val="none" w:sz="0" w:space="0" w:color="auto"/>
        <w:bottom w:val="none" w:sz="0" w:space="0" w:color="auto"/>
        <w:right w:val="none" w:sz="0" w:space="0" w:color="auto"/>
      </w:divBdr>
    </w:div>
    <w:div w:id="2070494088">
      <w:bodyDiv w:val="1"/>
      <w:marLeft w:val="0"/>
      <w:marRight w:val="0"/>
      <w:marTop w:val="0"/>
      <w:marBottom w:val="0"/>
      <w:divBdr>
        <w:top w:val="none" w:sz="0" w:space="0" w:color="auto"/>
        <w:left w:val="none" w:sz="0" w:space="0" w:color="auto"/>
        <w:bottom w:val="none" w:sz="0" w:space="0" w:color="auto"/>
        <w:right w:val="none" w:sz="0" w:space="0" w:color="auto"/>
      </w:divBdr>
    </w:div>
    <w:div w:id="2071348193">
      <w:bodyDiv w:val="1"/>
      <w:marLeft w:val="0"/>
      <w:marRight w:val="0"/>
      <w:marTop w:val="0"/>
      <w:marBottom w:val="0"/>
      <w:divBdr>
        <w:top w:val="none" w:sz="0" w:space="0" w:color="auto"/>
        <w:left w:val="none" w:sz="0" w:space="0" w:color="auto"/>
        <w:bottom w:val="none" w:sz="0" w:space="0" w:color="auto"/>
        <w:right w:val="none" w:sz="0" w:space="0" w:color="auto"/>
      </w:divBdr>
    </w:div>
    <w:div w:id="2072069451">
      <w:bodyDiv w:val="1"/>
      <w:marLeft w:val="0"/>
      <w:marRight w:val="0"/>
      <w:marTop w:val="0"/>
      <w:marBottom w:val="0"/>
      <w:divBdr>
        <w:top w:val="none" w:sz="0" w:space="0" w:color="auto"/>
        <w:left w:val="none" w:sz="0" w:space="0" w:color="auto"/>
        <w:bottom w:val="none" w:sz="0" w:space="0" w:color="auto"/>
        <w:right w:val="none" w:sz="0" w:space="0" w:color="auto"/>
      </w:divBdr>
    </w:div>
    <w:div w:id="2073187509">
      <w:bodyDiv w:val="1"/>
      <w:marLeft w:val="0"/>
      <w:marRight w:val="0"/>
      <w:marTop w:val="0"/>
      <w:marBottom w:val="0"/>
      <w:divBdr>
        <w:top w:val="none" w:sz="0" w:space="0" w:color="auto"/>
        <w:left w:val="none" w:sz="0" w:space="0" w:color="auto"/>
        <w:bottom w:val="none" w:sz="0" w:space="0" w:color="auto"/>
        <w:right w:val="none" w:sz="0" w:space="0" w:color="auto"/>
      </w:divBdr>
    </w:div>
    <w:div w:id="2073308543">
      <w:bodyDiv w:val="1"/>
      <w:marLeft w:val="0"/>
      <w:marRight w:val="0"/>
      <w:marTop w:val="0"/>
      <w:marBottom w:val="0"/>
      <w:divBdr>
        <w:top w:val="none" w:sz="0" w:space="0" w:color="auto"/>
        <w:left w:val="none" w:sz="0" w:space="0" w:color="auto"/>
        <w:bottom w:val="none" w:sz="0" w:space="0" w:color="auto"/>
        <w:right w:val="none" w:sz="0" w:space="0" w:color="auto"/>
      </w:divBdr>
    </w:div>
    <w:div w:id="2074346663">
      <w:bodyDiv w:val="1"/>
      <w:marLeft w:val="0"/>
      <w:marRight w:val="0"/>
      <w:marTop w:val="0"/>
      <w:marBottom w:val="0"/>
      <w:divBdr>
        <w:top w:val="none" w:sz="0" w:space="0" w:color="auto"/>
        <w:left w:val="none" w:sz="0" w:space="0" w:color="auto"/>
        <w:bottom w:val="none" w:sz="0" w:space="0" w:color="auto"/>
        <w:right w:val="none" w:sz="0" w:space="0" w:color="auto"/>
      </w:divBdr>
    </w:div>
    <w:div w:id="2074504737">
      <w:bodyDiv w:val="1"/>
      <w:marLeft w:val="0"/>
      <w:marRight w:val="0"/>
      <w:marTop w:val="0"/>
      <w:marBottom w:val="0"/>
      <w:divBdr>
        <w:top w:val="none" w:sz="0" w:space="0" w:color="auto"/>
        <w:left w:val="none" w:sz="0" w:space="0" w:color="auto"/>
        <w:bottom w:val="none" w:sz="0" w:space="0" w:color="auto"/>
        <w:right w:val="none" w:sz="0" w:space="0" w:color="auto"/>
      </w:divBdr>
    </w:div>
    <w:div w:id="2076123500">
      <w:bodyDiv w:val="1"/>
      <w:marLeft w:val="0"/>
      <w:marRight w:val="0"/>
      <w:marTop w:val="0"/>
      <w:marBottom w:val="0"/>
      <w:divBdr>
        <w:top w:val="none" w:sz="0" w:space="0" w:color="auto"/>
        <w:left w:val="none" w:sz="0" w:space="0" w:color="auto"/>
        <w:bottom w:val="none" w:sz="0" w:space="0" w:color="auto"/>
        <w:right w:val="none" w:sz="0" w:space="0" w:color="auto"/>
      </w:divBdr>
    </w:div>
    <w:div w:id="2076512905">
      <w:bodyDiv w:val="1"/>
      <w:marLeft w:val="0"/>
      <w:marRight w:val="0"/>
      <w:marTop w:val="0"/>
      <w:marBottom w:val="0"/>
      <w:divBdr>
        <w:top w:val="none" w:sz="0" w:space="0" w:color="auto"/>
        <w:left w:val="none" w:sz="0" w:space="0" w:color="auto"/>
        <w:bottom w:val="none" w:sz="0" w:space="0" w:color="auto"/>
        <w:right w:val="none" w:sz="0" w:space="0" w:color="auto"/>
      </w:divBdr>
    </w:div>
    <w:div w:id="2076514641">
      <w:bodyDiv w:val="1"/>
      <w:marLeft w:val="0"/>
      <w:marRight w:val="0"/>
      <w:marTop w:val="0"/>
      <w:marBottom w:val="0"/>
      <w:divBdr>
        <w:top w:val="none" w:sz="0" w:space="0" w:color="auto"/>
        <w:left w:val="none" w:sz="0" w:space="0" w:color="auto"/>
        <w:bottom w:val="none" w:sz="0" w:space="0" w:color="auto"/>
        <w:right w:val="none" w:sz="0" w:space="0" w:color="auto"/>
      </w:divBdr>
    </w:div>
    <w:div w:id="2076705901">
      <w:bodyDiv w:val="1"/>
      <w:marLeft w:val="0"/>
      <w:marRight w:val="0"/>
      <w:marTop w:val="0"/>
      <w:marBottom w:val="0"/>
      <w:divBdr>
        <w:top w:val="none" w:sz="0" w:space="0" w:color="auto"/>
        <w:left w:val="none" w:sz="0" w:space="0" w:color="auto"/>
        <w:bottom w:val="none" w:sz="0" w:space="0" w:color="auto"/>
        <w:right w:val="none" w:sz="0" w:space="0" w:color="auto"/>
      </w:divBdr>
    </w:div>
    <w:div w:id="2078280133">
      <w:bodyDiv w:val="1"/>
      <w:marLeft w:val="0"/>
      <w:marRight w:val="0"/>
      <w:marTop w:val="0"/>
      <w:marBottom w:val="0"/>
      <w:divBdr>
        <w:top w:val="none" w:sz="0" w:space="0" w:color="auto"/>
        <w:left w:val="none" w:sz="0" w:space="0" w:color="auto"/>
        <w:bottom w:val="none" w:sz="0" w:space="0" w:color="auto"/>
        <w:right w:val="none" w:sz="0" w:space="0" w:color="auto"/>
      </w:divBdr>
    </w:div>
    <w:div w:id="2078479154">
      <w:bodyDiv w:val="1"/>
      <w:marLeft w:val="0"/>
      <w:marRight w:val="0"/>
      <w:marTop w:val="0"/>
      <w:marBottom w:val="0"/>
      <w:divBdr>
        <w:top w:val="none" w:sz="0" w:space="0" w:color="auto"/>
        <w:left w:val="none" w:sz="0" w:space="0" w:color="auto"/>
        <w:bottom w:val="none" w:sz="0" w:space="0" w:color="auto"/>
        <w:right w:val="none" w:sz="0" w:space="0" w:color="auto"/>
      </w:divBdr>
    </w:div>
    <w:div w:id="2079938576">
      <w:bodyDiv w:val="1"/>
      <w:marLeft w:val="0"/>
      <w:marRight w:val="0"/>
      <w:marTop w:val="0"/>
      <w:marBottom w:val="0"/>
      <w:divBdr>
        <w:top w:val="none" w:sz="0" w:space="0" w:color="auto"/>
        <w:left w:val="none" w:sz="0" w:space="0" w:color="auto"/>
        <w:bottom w:val="none" w:sz="0" w:space="0" w:color="auto"/>
        <w:right w:val="none" w:sz="0" w:space="0" w:color="auto"/>
      </w:divBdr>
    </w:div>
    <w:div w:id="2080056024">
      <w:bodyDiv w:val="1"/>
      <w:marLeft w:val="0"/>
      <w:marRight w:val="0"/>
      <w:marTop w:val="0"/>
      <w:marBottom w:val="0"/>
      <w:divBdr>
        <w:top w:val="none" w:sz="0" w:space="0" w:color="auto"/>
        <w:left w:val="none" w:sz="0" w:space="0" w:color="auto"/>
        <w:bottom w:val="none" w:sz="0" w:space="0" w:color="auto"/>
        <w:right w:val="none" w:sz="0" w:space="0" w:color="auto"/>
      </w:divBdr>
    </w:div>
    <w:div w:id="2080209857">
      <w:bodyDiv w:val="1"/>
      <w:marLeft w:val="0"/>
      <w:marRight w:val="0"/>
      <w:marTop w:val="0"/>
      <w:marBottom w:val="0"/>
      <w:divBdr>
        <w:top w:val="none" w:sz="0" w:space="0" w:color="auto"/>
        <w:left w:val="none" w:sz="0" w:space="0" w:color="auto"/>
        <w:bottom w:val="none" w:sz="0" w:space="0" w:color="auto"/>
        <w:right w:val="none" w:sz="0" w:space="0" w:color="auto"/>
      </w:divBdr>
    </w:div>
    <w:div w:id="2080515100">
      <w:bodyDiv w:val="1"/>
      <w:marLeft w:val="0"/>
      <w:marRight w:val="0"/>
      <w:marTop w:val="0"/>
      <w:marBottom w:val="0"/>
      <w:divBdr>
        <w:top w:val="none" w:sz="0" w:space="0" w:color="auto"/>
        <w:left w:val="none" w:sz="0" w:space="0" w:color="auto"/>
        <w:bottom w:val="none" w:sz="0" w:space="0" w:color="auto"/>
        <w:right w:val="none" w:sz="0" w:space="0" w:color="auto"/>
      </w:divBdr>
    </w:div>
    <w:div w:id="2080713182">
      <w:bodyDiv w:val="1"/>
      <w:marLeft w:val="0"/>
      <w:marRight w:val="0"/>
      <w:marTop w:val="0"/>
      <w:marBottom w:val="0"/>
      <w:divBdr>
        <w:top w:val="none" w:sz="0" w:space="0" w:color="auto"/>
        <w:left w:val="none" w:sz="0" w:space="0" w:color="auto"/>
        <w:bottom w:val="none" w:sz="0" w:space="0" w:color="auto"/>
        <w:right w:val="none" w:sz="0" w:space="0" w:color="auto"/>
      </w:divBdr>
    </w:div>
    <w:div w:id="2081832450">
      <w:bodyDiv w:val="1"/>
      <w:marLeft w:val="0"/>
      <w:marRight w:val="0"/>
      <w:marTop w:val="0"/>
      <w:marBottom w:val="0"/>
      <w:divBdr>
        <w:top w:val="none" w:sz="0" w:space="0" w:color="auto"/>
        <w:left w:val="none" w:sz="0" w:space="0" w:color="auto"/>
        <w:bottom w:val="none" w:sz="0" w:space="0" w:color="auto"/>
        <w:right w:val="none" w:sz="0" w:space="0" w:color="auto"/>
      </w:divBdr>
    </w:div>
    <w:div w:id="2082016185">
      <w:bodyDiv w:val="1"/>
      <w:marLeft w:val="0"/>
      <w:marRight w:val="0"/>
      <w:marTop w:val="0"/>
      <w:marBottom w:val="0"/>
      <w:divBdr>
        <w:top w:val="none" w:sz="0" w:space="0" w:color="auto"/>
        <w:left w:val="none" w:sz="0" w:space="0" w:color="auto"/>
        <w:bottom w:val="none" w:sz="0" w:space="0" w:color="auto"/>
        <w:right w:val="none" w:sz="0" w:space="0" w:color="auto"/>
      </w:divBdr>
    </w:div>
    <w:div w:id="2082020715">
      <w:bodyDiv w:val="1"/>
      <w:marLeft w:val="0"/>
      <w:marRight w:val="0"/>
      <w:marTop w:val="0"/>
      <w:marBottom w:val="0"/>
      <w:divBdr>
        <w:top w:val="none" w:sz="0" w:space="0" w:color="auto"/>
        <w:left w:val="none" w:sz="0" w:space="0" w:color="auto"/>
        <w:bottom w:val="none" w:sz="0" w:space="0" w:color="auto"/>
        <w:right w:val="none" w:sz="0" w:space="0" w:color="auto"/>
      </w:divBdr>
    </w:div>
    <w:div w:id="2082484435">
      <w:bodyDiv w:val="1"/>
      <w:marLeft w:val="0"/>
      <w:marRight w:val="0"/>
      <w:marTop w:val="0"/>
      <w:marBottom w:val="0"/>
      <w:divBdr>
        <w:top w:val="none" w:sz="0" w:space="0" w:color="auto"/>
        <w:left w:val="none" w:sz="0" w:space="0" w:color="auto"/>
        <w:bottom w:val="none" w:sz="0" w:space="0" w:color="auto"/>
        <w:right w:val="none" w:sz="0" w:space="0" w:color="auto"/>
      </w:divBdr>
    </w:div>
    <w:div w:id="2083019346">
      <w:bodyDiv w:val="1"/>
      <w:marLeft w:val="0"/>
      <w:marRight w:val="0"/>
      <w:marTop w:val="0"/>
      <w:marBottom w:val="0"/>
      <w:divBdr>
        <w:top w:val="none" w:sz="0" w:space="0" w:color="auto"/>
        <w:left w:val="none" w:sz="0" w:space="0" w:color="auto"/>
        <w:bottom w:val="none" w:sz="0" w:space="0" w:color="auto"/>
        <w:right w:val="none" w:sz="0" w:space="0" w:color="auto"/>
      </w:divBdr>
    </w:div>
    <w:div w:id="2083679798">
      <w:bodyDiv w:val="1"/>
      <w:marLeft w:val="0"/>
      <w:marRight w:val="0"/>
      <w:marTop w:val="0"/>
      <w:marBottom w:val="0"/>
      <w:divBdr>
        <w:top w:val="none" w:sz="0" w:space="0" w:color="auto"/>
        <w:left w:val="none" w:sz="0" w:space="0" w:color="auto"/>
        <w:bottom w:val="none" w:sz="0" w:space="0" w:color="auto"/>
        <w:right w:val="none" w:sz="0" w:space="0" w:color="auto"/>
      </w:divBdr>
    </w:div>
    <w:div w:id="2084181338">
      <w:bodyDiv w:val="1"/>
      <w:marLeft w:val="0"/>
      <w:marRight w:val="0"/>
      <w:marTop w:val="0"/>
      <w:marBottom w:val="0"/>
      <w:divBdr>
        <w:top w:val="none" w:sz="0" w:space="0" w:color="auto"/>
        <w:left w:val="none" w:sz="0" w:space="0" w:color="auto"/>
        <w:bottom w:val="none" w:sz="0" w:space="0" w:color="auto"/>
        <w:right w:val="none" w:sz="0" w:space="0" w:color="auto"/>
      </w:divBdr>
    </w:div>
    <w:div w:id="2085838749">
      <w:bodyDiv w:val="1"/>
      <w:marLeft w:val="0"/>
      <w:marRight w:val="0"/>
      <w:marTop w:val="0"/>
      <w:marBottom w:val="0"/>
      <w:divBdr>
        <w:top w:val="none" w:sz="0" w:space="0" w:color="auto"/>
        <w:left w:val="none" w:sz="0" w:space="0" w:color="auto"/>
        <w:bottom w:val="none" w:sz="0" w:space="0" w:color="auto"/>
        <w:right w:val="none" w:sz="0" w:space="0" w:color="auto"/>
      </w:divBdr>
    </w:div>
    <w:div w:id="2086756805">
      <w:bodyDiv w:val="1"/>
      <w:marLeft w:val="0"/>
      <w:marRight w:val="0"/>
      <w:marTop w:val="0"/>
      <w:marBottom w:val="0"/>
      <w:divBdr>
        <w:top w:val="none" w:sz="0" w:space="0" w:color="auto"/>
        <w:left w:val="none" w:sz="0" w:space="0" w:color="auto"/>
        <w:bottom w:val="none" w:sz="0" w:space="0" w:color="auto"/>
        <w:right w:val="none" w:sz="0" w:space="0" w:color="auto"/>
      </w:divBdr>
    </w:div>
    <w:div w:id="2087796950">
      <w:bodyDiv w:val="1"/>
      <w:marLeft w:val="0"/>
      <w:marRight w:val="0"/>
      <w:marTop w:val="0"/>
      <w:marBottom w:val="0"/>
      <w:divBdr>
        <w:top w:val="none" w:sz="0" w:space="0" w:color="auto"/>
        <w:left w:val="none" w:sz="0" w:space="0" w:color="auto"/>
        <w:bottom w:val="none" w:sz="0" w:space="0" w:color="auto"/>
        <w:right w:val="none" w:sz="0" w:space="0" w:color="auto"/>
      </w:divBdr>
    </w:div>
    <w:div w:id="2087802697">
      <w:bodyDiv w:val="1"/>
      <w:marLeft w:val="0"/>
      <w:marRight w:val="0"/>
      <w:marTop w:val="0"/>
      <w:marBottom w:val="0"/>
      <w:divBdr>
        <w:top w:val="none" w:sz="0" w:space="0" w:color="auto"/>
        <w:left w:val="none" w:sz="0" w:space="0" w:color="auto"/>
        <w:bottom w:val="none" w:sz="0" w:space="0" w:color="auto"/>
        <w:right w:val="none" w:sz="0" w:space="0" w:color="auto"/>
      </w:divBdr>
    </w:div>
    <w:div w:id="2087918660">
      <w:bodyDiv w:val="1"/>
      <w:marLeft w:val="0"/>
      <w:marRight w:val="0"/>
      <w:marTop w:val="0"/>
      <w:marBottom w:val="0"/>
      <w:divBdr>
        <w:top w:val="none" w:sz="0" w:space="0" w:color="auto"/>
        <w:left w:val="none" w:sz="0" w:space="0" w:color="auto"/>
        <w:bottom w:val="none" w:sz="0" w:space="0" w:color="auto"/>
        <w:right w:val="none" w:sz="0" w:space="0" w:color="auto"/>
      </w:divBdr>
    </w:div>
    <w:div w:id="2088265144">
      <w:bodyDiv w:val="1"/>
      <w:marLeft w:val="0"/>
      <w:marRight w:val="0"/>
      <w:marTop w:val="0"/>
      <w:marBottom w:val="0"/>
      <w:divBdr>
        <w:top w:val="none" w:sz="0" w:space="0" w:color="auto"/>
        <w:left w:val="none" w:sz="0" w:space="0" w:color="auto"/>
        <w:bottom w:val="none" w:sz="0" w:space="0" w:color="auto"/>
        <w:right w:val="none" w:sz="0" w:space="0" w:color="auto"/>
      </w:divBdr>
    </w:div>
    <w:div w:id="2088267126">
      <w:bodyDiv w:val="1"/>
      <w:marLeft w:val="0"/>
      <w:marRight w:val="0"/>
      <w:marTop w:val="0"/>
      <w:marBottom w:val="0"/>
      <w:divBdr>
        <w:top w:val="none" w:sz="0" w:space="0" w:color="auto"/>
        <w:left w:val="none" w:sz="0" w:space="0" w:color="auto"/>
        <w:bottom w:val="none" w:sz="0" w:space="0" w:color="auto"/>
        <w:right w:val="none" w:sz="0" w:space="0" w:color="auto"/>
      </w:divBdr>
    </w:div>
    <w:div w:id="2088651096">
      <w:bodyDiv w:val="1"/>
      <w:marLeft w:val="0"/>
      <w:marRight w:val="0"/>
      <w:marTop w:val="0"/>
      <w:marBottom w:val="0"/>
      <w:divBdr>
        <w:top w:val="none" w:sz="0" w:space="0" w:color="auto"/>
        <w:left w:val="none" w:sz="0" w:space="0" w:color="auto"/>
        <w:bottom w:val="none" w:sz="0" w:space="0" w:color="auto"/>
        <w:right w:val="none" w:sz="0" w:space="0" w:color="auto"/>
      </w:divBdr>
    </w:div>
    <w:div w:id="2089040115">
      <w:bodyDiv w:val="1"/>
      <w:marLeft w:val="0"/>
      <w:marRight w:val="0"/>
      <w:marTop w:val="0"/>
      <w:marBottom w:val="0"/>
      <w:divBdr>
        <w:top w:val="none" w:sz="0" w:space="0" w:color="auto"/>
        <w:left w:val="none" w:sz="0" w:space="0" w:color="auto"/>
        <w:bottom w:val="none" w:sz="0" w:space="0" w:color="auto"/>
        <w:right w:val="none" w:sz="0" w:space="0" w:color="auto"/>
      </w:divBdr>
    </w:div>
    <w:div w:id="2089108069">
      <w:bodyDiv w:val="1"/>
      <w:marLeft w:val="0"/>
      <w:marRight w:val="0"/>
      <w:marTop w:val="0"/>
      <w:marBottom w:val="0"/>
      <w:divBdr>
        <w:top w:val="none" w:sz="0" w:space="0" w:color="auto"/>
        <w:left w:val="none" w:sz="0" w:space="0" w:color="auto"/>
        <w:bottom w:val="none" w:sz="0" w:space="0" w:color="auto"/>
        <w:right w:val="none" w:sz="0" w:space="0" w:color="auto"/>
      </w:divBdr>
    </w:div>
    <w:div w:id="2089305502">
      <w:bodyDiv w:val="1"/>
      <w:marLeft w:val="0"/>
      <w:marRight w:val="0"/>
      <w:marTop w:val="0"/>
      <w:marBottom w:val="0"/>
      <w:divBdr>
        <w:top w:val="none" w:sz="0" w:space="0" w:color="auto"/>
        <w:left w:val="none" w:sz="0" w:space="0" w:color="auto"/>
        <w:bottom w:val="none" w:sz="0" w:space="0" w:color="auto"/>
        <w:right w:val="none" w:sz="0" w:space="0" w:color="auto"/>
      </w:divBdr>
    </w:div>
    <w:div w:id="2089616697">
      <w:bodyDiv w:val="1"/>
      <w:marLeft w:val="0"/>
      <w:marRight w:val="0"/>
      <w:marTop w:val="0"/>
      <w:marBottom w:val="0"/>
      <w:divBdr>
        <w:top w:val="none" w:sz="0" w:space="0" w:color="auto"/>
        <w:left w:val="none" w:sz="0" w:space="0" w:color="auto"/>
        <w:bottom w:val="none" w:sz="0" w:space="0" w:color="auto"/>
        <w:right w:val="none" w:sz="0" w:space="0" w:color="auto"/>
      </w:divBdr>
    </w:div>
    <w:div w:id="2090228138">
      <w:bodyDiv w:val="1"/>
      <w:marLeft w:val="0"/>
      <w:marRight w:val="0"/>
      <w:marTop w:val="0"/>
      <w:marBottom w:val="0"/>
      <w:divBdr>
        <w:top w:val="none" w:sz="0" w:space="0" w:color="auto"/>
        <w:left w:val="none" w:sz="0" w:space="0" w:color="auto"/>
        <w:bottom w:val="none" w:sz="0" w:space="0" w:color="auto"/>
        <w:right w:val="none" w:sz="0" w:space="0" w:color="auto"/>
      </w:divBdr>
    </w:div>
    <w:div w:id="2090423362">
      <w:bodyDiv w:val="1"/>
      <w:marLeft w:val="0"/>
      <w:marRight w:val="0"/>
      <w:marTop w:val="0"/>
      <w:marBottom w:val="0"/>
      <w:divBdr>
        <w:top w:val="none" w:sz="0" w:space="0" w:color="auto"/>
        <w:left w:val="none" w:sz="0" w:space="0" w:color="auto"/>
        <w:bottom w:val="none" w:sz="0" w:space="0" w:color="auto"/>
        <w:right w:val="none" w:sz="0" w:space="0" w:color="auto"/>
      </w:divBdr>
    </w:div>
    <w:div w:id="2090762161">
      <w:bodyDiv w:val="1"/>
      <w:marLeft w:val="0"/>
      <w:marRight w:val="0"/>
      <w:marTop w:val="0"/>
      <w:marBottom w:val="0"/>
      <w:divBdr>
        <w:top w:val="none" w:sz="0" w:space="0" w:color="auto"/>
        <w:left w:val="none" w:sz="0" w:space="0" w:color="auto"/>
        <w:bottom w:val="none" w:sz="0" w:space="0" w:color="auto"/>
        <w:right w:val="none" w:sz="0" w:space="0" w:color="auto"/>
      </w:divBdr>
    </w:div>
    <w:div w:id="2091385137">
      <w:bodyDiv w:val="1"/>
      <w:marLeft w:val="0"/>
      <w:marRight w:val="0"/>
      <w:marTop w:val="0"/>
      <w:marBottom w:val="0"/>
      <w:divBdr>
        <w:top w:val="none" w:sz="0" w:space="0" w:color="auto"/>
        <w:left w:val="none" w:sz="0" w:space="0" w:color="auto"/>
        <w:bottom w:val="none" w:sz="0" w:space="0" w:color="auto"/>
        <w:right w:val="none" w:sz="0" w:space="0" w:color="auto"/>
      </w:divBdr>
    </w:div>
    <w:div w:id="2091540363">
      <w:bodyDiv w:val="1"/>
      <w:marLeft w:val="0"/>
      <w:marRight w:val="0"/>
      <w:marTop w:val="0"/>
      <w:marBottom w:val="0"/>
      <w:divBdr>
        <w:top w:val="none" w:sz="0" w:space="0" w:color="auto"/>
        <w:left w:val="none" w:sz="0" w:space="0" w:color="auto"/>
        <w:bottom w:val="none" w:sz="0" w:space="0" w:color="auto"/>
        <w:right w:val="none" w:sz="0" w:space="0" w:color="auto"/>
      </w:divBdr>
    </w:div>
    <w:div w:id="2092072441">
      <w:bodyDiv w:val="1"/>
      <w:marLeft w:val="0"/>
      <w:marRight w:val="0"/>
      <w:marTop w:val="0"/>
      <w:marBottom w:val="0"/>
      <w:divBdr>
        <w:top w:val="none" w:sz="0" w:space="0" w:color="auto"/>
        <w:left w:val="none" w:sz="0" w:space="0" w:color="auto"/>
        <w:bottom w:val="none" w:sz="0" w:space="0" w:color="auto"/>
        <w:right w:val="none" w:sz="0" w:space="0" w:color="auto"/>
      </w:divBdr>
    </w:div>
    <w:div w:id="2092461149">
      <w:bodyDiv w:val="1"/>
      <w:marLeft w:val="0"/>
      <w:marRight w:val="0"/>
      <w:marTop w:val="0"/>
      <w:marBottom w:val="0"/>
      <w:divBdr>
        <w:top w:val="none" w:sz="0" w:space="0" w:color="auto"/>
        <w:left w:val="none" w:sz="0" w:space="0" w:color="auto"/>
        <w:bottom w:val="none" w:sz="0" w:space="0" w:color="auto"/>
        <w:right w:val="none" w:sz="0" w:space="0" w:color="auto"/>
      </w:divBdr>
    </w:div>
    <w:div w:id="2092578333">
      <w:bodyDiv w:val="1"/>
      <w:marLeft w:val="0"/>
      <w:marRight w:val="0"/>
      <w:marTop w:val="0"/>
      <w:marBottom w:val="0"/>
      <w:divBdr>
        <w:top w:val="none" w:sz="0" w:space="0" w:color="auto"/>
        <w:left w:val="none" w:sz="0" w:space="0" w:color="auto"/>
        <w:bottom w:val="none" w:sz="0" w:space="0" w:color="auto"/>
        <w:right w:val="none" w:sz="0" w:space="0" w:color="auto"/>
      </w:divBdr>
    </w:div>
    <w:div w:id="2092697817">
      <w:bodyDiv w:val="1"/>
      <w:marLeft w:val="0"/>
      <w:marRight w:val="0"/>
      <w:marTop w:val="0"/>
      <w:marBottom w:val="0"/>
      <w:divBdr>
        <w:top w:val="none" w:sz="0" w:space="0" w:color="auto"/>
        <w:left w:val="none" w:sz="0" w:space="0" w:color="auto"/>
        <w:bottom w:val="none" w:sz="0" w:space="0" w:color="auto"/>
        <w:right w:val="none" w:sz="0" w:space="0" w:color="auto"/>
      </w:divBdr>
    </w:div>
    <w:div w:id="2093382496">
      <w:bodyDiv w:val="1"/>
      <w:marLeft w:val="0"/>
      <w:marRight w:val="0"/>
      <w:marTop w:val="0"/>
      <w:marBottom w:val="0"/>
      <w:divBdr>
        <w:top w:val="none" w:sz="0" w:space="0" w:color="auto"/>
        <w:left w:val="none" w:sz="0" w:space="0" w:color="auto"/>
        <w:bottom w:val="none" w:sz="0" w:space="0" w:color="auto"/>
        <w:right w:val="none" w:sz="0" w:space="0" w:color="auto"/>
      </w:divBdr>
    </w:div>
    <w:div w:id="2094084826">
      <w:bodyDiv w:val="1"/>
      <w:marLeft w:val="0"/>
      <w:marRight w:val="0"/>
      <w:marTop w:val="0"/>
      <w:marBottom w:val="0"/>
      <w:divBdr>
        <w:top w:val="none" w:sz="0" w:space="0" w:color="auto"/>
        <w:left w:val="none" w:sz="0" w:space="0" w:color="auto"/>
        <w:bottom w:val="none" w:sz="0" w:space="0" w:color="auto"/>
        <w:right w:val="none" w:sz="0" w:space="0" w:color="auto"/>
      </w:divBdr>
    </w:div>
    <w:div w:id="2095471732">
      <w:bodyDiv w:val="1"/>
      <w:marLeft w:val="0"/>
      <w:marRight w:val="0"/>
      <w:marTop w:val="0"/>
      <w:marBottom w:val="0"/>
      <w:divBdr>
        <w:top w:val="none" w:sz="0" w:space="0" w:color="auto"/>
        <w:left w:val="none" w:sz="0" w:space="0" w:color="auto"/>
        <w:bottom w:val="none" w:sz="0" w:space="0" w:color="auto"/>
        <w:right w:val="none" w:sz="0" w:space="0" w:color="auto"/>
      </w:divBdr>
    </w:div>
    <w:div w:id="2095588947">
      <w:bodyDiv w:val="1"/>
      <w:marLeft w:val="0"/>
      <w:marRight w:val="0"/>
      <w:marTop w:val="0"/>
      <w:marBottom w:val="0"/>
      <w:divBdr>
        <w:top w:val="none" w:sz="0" w:space="0" w:color="auto"/>
        <w:left w:val="none" w:sz="0" w:space="0" w:color="auto"/>
        <w:bottom w:val="none" w:sz="0" w:space="0" w:color="auto"/>
        <w:right w:val="none" w:sz="0" w:space="0" w:color="auto"/>
      </w:divBdr>
    </w:div>
    <w:div w:id="2096046334">
      <w:bodyDiv w:val="1"/>
      <w:marLeft w:val="0"/>
      <w:marRight w:val="0"/>
      <w:marTop w:val="0"/>
      <w:marBottom w:val="0"/>
      <w:divBdr>
        <w:top w:val="none" w:sz="0" w:space="0" w:color="auto"/>
        <w:left w:val="none" w:sz="0" w:space="0" w:color="auto"/>
        <w:bottom w:val="none" w:sz="0" w:space="0" w:color="auto"/>
        <w:right w:val="none" w:sz="0" w:space="0" w:color="auto"/>
      </w:divBdr>
    </w:div>
    <w:div w:id="2096051173">
      <w:bodyDiv w:val="1"/>
      <w:marLeft w:val="0"/>
      <w:marRight w:val="0"/>
      <w:marTop w:val="0"/>
      <w:marBottom w:val="0"/>
      <w:divBdr>
        <w:top w:val="none" w:sz="0" w:space="0" w:color="auto"/>
        <w:left w:val="none" w:sz="0" w:space="0" w:color="auto"/>
        <w:bottom w:val="none" w:sz="0" w:space="0" w:color="auto"/>
        <w:right w:val="none" w:sz="0" w:space="0" w:color="auto"/>
      </w:divBdr>
    </w:div>
    <w:div w:id="2097092102">
      <w:bodyDiv w:val="1"/>
      <w:marLeft w:val="0"/>
      <w:marRight w:val="0"/>
      <w:marTop w:val="0"/>
      <w:marBottom w:val="0"/>
      <w:divBdr>
        <w:top w:val="none" w:sz="0" w:space="0" w:color="auto"/>
        <w:left w:val="none" w:sz="0" w:space="0" w:color="auto"/>
        <w:bottom w:val="none" w:sz="0" w:space="0" w:color="auto"/>
        <w:right w:val="none" w:sz="0" w:space="0" w:color="auto"/>
      </w:divBdr>
    </w:div>
    <w:div w:id="2097557642">
      <w:bodyDiv w:val="1"/>
      <w:marLeft w:val="0"/>
      <w:marRight w:val="0"/>
      <w:marTop w:val="0"/>
      <w:marBottom w:val="0"/>
      <w:divBdr>
        <w:top w:val="none" w:sz="0" w:space="0" w:color="auto"/>
        <w:left w:val="none" w:sz="0" w:space="0" w:color="auto"/>
        <w:bottom w:val="none" w:sz="0" w:space="0" w:color="auto"/>
        <w:right w:val="none" w:sz="0" w:space="0" w:color="auto"/>
      </w:divBdr>
    </w:div>
    <w:div w:id="2097703980">
      <w:bodyDiv w:val="1"/>
      <w:marLeft w:val="0"/>
      <w:marRight w:val="0"/>
      <w:marTop w:val="0"/>
      <w:marBottom w:val="0"/>
      <w:divBdr>
        <w:top w:val="none" w:sz="0" w:space="0" w:color="auto"/>
        <w:left w:val="none" w:sz="0" w:space="0" w:color="auto"/>
        <w:bottom w:val="none" w:sz="0" w:space="0" w:color="auto"/>
        <w:right w:val="none" w:sz="0" w:space="0" w:color="auto"/>
      </w:divBdr>
    </w:div>
    <w:div w:id="2098013448">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 w:id="2098403349">
      <w:bodyDiv w:val="1"/>
      <w:marLeft w:val="0"/>
      <w:marRight w:val="0"/>
      <w:marTop w:val="0"/>
      <w:marBottom w:val="0"/>
      <w:divBdr>
        <w:top w:val="none" w:sz="0" w:space="0" w:color="auto"/>
        <w:left w:val="none" w:sz="0" w:space="0" w:color="auto"/>
        <w:bottom w:val="none" w:sz="0" w:space="0" w:color="auto"/>
        <w:right w:val="none" w:sz="0" w:space="0" w:color="auto"/>
      </w:divBdr>
    </w:div>
    <w:div w:id="2098626274">
      <w:bodyDiv w:val="1"/>
      <w:marLeft w:val="0"/>
      <w:marRight w:val="0"/>
      <w:marTop w:val="0"/>
      <w:marBottom w:val="0"/>
      <w:divBdr>
        <w:top w:val="none" w:sz="0" w:space="0" w:color="auto"/>
        <w:left w:val="none" w:sz="0" w:space="0" w:color="auto"/>
        <w:bottom w:val="none" w:sz="0" w:space="0" w:color="auto"/>
        <w:right w:val="none" w:sz="0" w:space="0" w:color="auto"/>
      </w:divBdr>
    </w:div>
    <w:div w:id="2098749011">
      <w:bodyDiv w:val="1"/>
      <w:marLeft w:val="0"/>
      <w:marRight w:val="0"/>
      <w:marTop w:val="0"/>
      <w:marBottom w:val="0"/>
      <w:divBdr>
        <w:top w:val="none" w:sz="0" w:space="0" w:color="auto"/>
        <w:left w:val="none" w:sz="0" w:space="0" w:color="auto"/>
        <w:bottom w:val="none" w:sz="0" w:space="0" w:color="auto"/>
        <w:right w:val="none" w:sz="0" w:space="0" w:color="auto"/>
      </w:divBdr>
    </w:div>
    <w:div w:id="2098817393">
      <w:bodyDiv w:val="1"/>
      <w:marLeft w:val="0"/>
      <w:marRight w:val="0"/>
      <w:marTop w:val="0"/>
      <w:marBottom w:val="0"/>
      <w:divBdr>
        <w:top w:val="none" w:sz="0" w:space="0" w:color="auto"/>
        <w:left w:val="none" w:sz="0" w:space="0" w:color="auto"/>
        <w:bottom w:val="none" w:sz="0" w:space="0" w:color="auto"/>
        <w:right w:val="none" w:sz="0" w:space="0" w:color="auto"/>
      </w:divBdr>
    </w:div>
    <w:div w:id="2098942943">
      <w:bodyDiv w:val="1"/>
      <w:marLeft w:val="0"/>
      <w:marRight w:val="0"/>
      <w:marTop w:val="0"/>
      <w:marBottom w:val="0"/>
      <w:divBdr>
        <w:top w:val="none" w:sz="0" w:space="0" w:color="auto"/>
        <w:left w:val="none" w:sz="0" w:space="0" w:color="auto"/>
        <w:bottom w:val="none" w:sz="0" w:space="0" w:color="auto"/>
        <w:right w:val="none" w:sz="0" w:space="0" w:color="auto"/>
      </w:divBdr>
    </w:div>
    <w:div w:id="2099138139">
      <w:bodyDiv w:val="1"/>
      <w:marLeft w:val="0"/>
      <w:marRight w:val="0"/>
      <w:marTop w:val="0"/>
      <w:marBottom w:val="0"/>
      <w:divBdr>
        <w:top w:val="none" w:sz="0" w:space="0" w:color="auto"/>
        <w:left w:val="none" w:sz="0" w:space="0" w:color="auto"/>
        <w:bottom w:val="none" w:sz="0" w:space="0" w:color="auto"/>
        <w:right w:val="none" w:sz="0" w:space="0" w:color="auto"/>
      </w:divBdr>
    </w:div>
    <w:div w:id="2099250919">
      <w:bodyDiv w:val="1"/>
      <w:marLeft w:val="0"/>
      <w:marRight w:val="0"/>
      <w:marTop w:val="0"/>
      <w:marBottom w:val="0"/>
      <w:divBdr>
        <w:top w:val="none" w:sz="0" w:space="0" w:color="auto"/>
        <w:left w:val="none" w:sz="0" w:space="0" w:color="auto"/>
        <w:bottom w:val="none" w:sz="0" w:space="0" w:color="auto"/>
        <w:right w:val="none" w:sz="0" w:space="0" w:color="auto"/>
      </w:divBdr>
    </w:div>
    <w:div w:id="2099401676">
      <w:bodyDiv w:val="1"/>
      <w:marLeft w:val="0"/>
      <w:marRight w:val="0"/>
      <w:marTop w:val="0"/>
      <w:marBottom w:val="0"/>
      <w:divBdr>
        <w:top w:val="none" w:sz="0" w:space="0" w:color="auto"/>
        <w:left w:val="none" w:sz="0" w:space="0" w:color="auto"/>
        <w:bottom w:val="none" w:sz="0" w:space="0" w:color="auto"/>
        <w:right w:val="none" w:sz="0" w:space="0" w:color="auto"/>
      </w:divBdr>
    </w:div>
    <w:div w:id="2099906423">
      <w:bodyDiv w:val="1"/>
      <w:marLeft w:val="0"/>
      <w:marRight w:val="0"/>
      <w:marTop w:val="0"/>
      <w:marBottom w:val="0"/>
      <w:divBdr>
        <w:top w:val="none" w:sz="0" w:space="0" w:color="auto"/>
        <w:left w:val="none" w:sz="0" w:space="0" w:color="auto"/>
        <w:bottom w:val="none" w:sz="0" w:space="0" w:color="auto"/>
        <w:right w:val="none" w:sz="0" w:space="0" w:color="auto"/>
      </w:divBdr>
    </w:div>
    <w:div w:id="2099981642">
      <w:bodyDiv w:val="1"/>
      <w:marLeft w:val="0"/>
      <w:marRight w:val="0"/>
      <w:marTop w:val="0"/>
      <w:marBottom w:val="0"/>
      <w:divBdr>
        <w:top w:val="none" w:sz="0" w:space="0" w:color="auto"/>
        <w:left w:val="none" w:sz="0" w:space="0" w:color="auto"/>
        <w:bottom w:val="none" w:sz="0" w:space="0" w:color="auto"/>
        <w:right w:val="none" w:sz="0" w:space="0" w:color="auto"/>
      </w:divBdr>
    </w:div>
    <w:div w:id="2099986118">
      <w:bodyDiv w:val="1"/>
      <w:marLeft w:val="0"/>
      <w:marRight w:val="0"/>
      <w:marTop w:val="0"/>
      <w:marBottom w:val="0"/>
      <w:divBdr>
        <w:top w:val="none" w:sz="0" w:space="0" w:color="auto"/>
        <w:left w:val="none" w:sz="0" w:space="0" w:color="auto"/>
        <w:bottom w:val="none" w:sz="0" w:space="0" w:color="auto"/>
        <w:right w:val="none" w:sz="0" w:space="0" w:color="auto"/>
      </w:divBdr>
    </w:div>
    <w:div w:id="2100061217">
      <w:bodyDiv w:val="1"/>
      <w:marLeft w:val="0"/>
      <w:marRight w:val="0"/>
      <w:marTop w:val="0"/>
      <w:marBottom w:val="0"/>
      <w:divBdr>
        <w:top w:val="none" w:sz="0" w:space="0" w:color="auto"/>
        <w:left w:val="none" w:sz="0" w:space="0" w:color="auto"/>
        <w:bottom w:val="none" w:sz="0" w:space="0" w:color="auto"/>
        <w:right w:val="none" w:sz="0" w:space="0" w:color="auto"/>
      </w:divBdr>
    </w:div>
    <w:div w:id="2100565968">
      <w:bodyDiv w:val="1"/>
      <w:marLeft w:val="0"/>
      <w:marRight w:val="0"/>
      <w:marTop w:val="0"/>
      <w:marBottom w:val="0"/>
      <w:divBdr>
        <w:top w:val="none" w:sz="0" w:space="0" w:color="auto"/>
        <w:left w:val="none" w:sz="0" w:space="0" w:color="auto"/>
        <w:bottom w:val="none" w:sz="0" w:space="0" w:color="auto"/>
        <w:right w:val="none" w:sz="0" w:space="0" w:color="auto"/>
      </w:divBdr>
    </w:div>
    <w:div w:id="2101101649">
      <w:bodyDiv w:val="1"/>
      <w:marLeft w:val="0"/>
      <w:marRight w:val="0"/>
      <w:marTop w:val="0"/>
      <w:marBottom w:val="0"/>
      <w:divBdr>
        <w:top w:val="none" w:sz="0" w:space="0" w:color="auto"/>
        <w:left w:val="none" w:sz="0" w:space="0" w:color="auto"/>
        <w:bottom w:val="none" w:sz="0" w:space="0" w:color="auto"/>
        <w:right w:val="none" w:sz="0" w:space="0" w:color="auto"/>
      </w:divBdr>
    </w:div>
    <w:div w:id="2101441107">
      <w:bodyDiv w:val="1"/>
      <w:marLeft w:val="0"/>
      <w:marRight w:val="0"/>
      <w:marTop w:val="0"/>
      <w:marBottom w:val="0"/>
      <w:divBdr>
        <w:top w:val="none" w:sz="0" w:space="0" w:color="auto"/>
        <w:left w:val="none" w:sz="0" w:space="0" w:color="auto"/>
        <w:bottom w:val="none" w:sz="0" w:space="0" w:color="auto"/>
        <w:right w:val="none" w:sz="0" w:space="0" w:color="auto"/>
      </w:divBdr>
    </w:div>
    <w:div w:id="2101754028">
      <w:bodyDiv w:val="1"/>
      <w:marLeft w:val="0"/>
      <w:marRight w:val="0"/>
      <w:marTop w:val="0"/>
      <w:marBottom w:val="0"/>
      <w:divBdr>
        <w:top w:val="none" w:sz="0" w:space="0" w:color="auto"/>
        <w:left w:val="none" w:sz="0" w:space="0" w:color="auto"/>
        <w:bottom w:val="none" w:sz="0" w:space="0" w:color="auto"/>
        <w:right w:val="none" w:sz="0" w:space="0" w:color="auto"/>
      </w:divBdr>
    </w:div>
    <w:div w:id="2102487889">
      <w:bodyDiv w:val="1"/>
      <w:marLeft w:val="0"/>
      <w:marRight w:val="0"/>
      <w:marTop w:val="0"/>
      <w:marBottom w:val="0"/>
      <w:divBdr>
        <w:top w:val="none" w:sz="0" w:space="0" w:color="auto"/>
        <w:left w:val="none" w:sz="0" w:space="0" w:color="auto"/>
        <w:bottom w:val="none" w:sz="0" w:space="0" w:color="auto"/>
        <w:right w:val="none" w:sz="0" w:space="0" w:color="auto"/>
      </w:divBdr>
    </w:div>
    <w:div w:id="2102529143">
      <w:bodyDiv w:val="1"/>
      <w:marLeft w:val="0"/>
      <w:marRight w:val="0"/>
      <w:marTop w:val="0"/>
      <w:marBottom w:val="0"/>
      <w:divBdr>
        <w:top w:val="none" w:sz="0" w:space="0" w:color="auto"/>
        <w:left w:val="none" w:sz="0" w:space="0" w:color="auto"/>
        <w:bottom w:val="none" w:sz="0" w:space="0" w:color="auto"/>
        <w:right w:val="none" w:sz="0" w:space="0" w:color="auto"/>
      </w:divBdr>
    </w:div>
    <w:div w:id="2102679699">
      <w:bodyDiv w:val="1"/>
      <w:marLeft w:val="0"/>
      <w:marRight w:val="0"/>
      <w:marTop w:val="0"/>
      <w:marBottom w:val="0"/>
      <w:divBdr>
        <w:top w:val="none" w:sz="0" w:space="0" w:color="auto"/>
        <w:left w:val="none" w:sz="0" w:space="0" w:color="auto"/>
        <w:bottom w:val="none" w:sz="0" w:space="0" w:color="auto"/>
        <w:right w:val="none" w:sz="0" w:space="0" w:color="auto"/>
      </w:divBdr>
    </w:div>
    <w:div w:id="2103328905">
      <w:bodyDiv w:val="1"/>
      <w:marLeft w:val="0"/>
      <w:marRight w:val="0"/>
      <w:marTop w:val="0"/>
      <w:marBottom w:val="0"/>
      <w:divBdr>
        <w:top w:val="none" w:sz="0" w:space="0" w:color="auto"/>
        <w:left w:val="none" w:sz="0" w:space="0" w:color="auto"/>
        <w:bottom w:val="none" w:sz="0" w:space="0" w:color="auto"/>
        <w:right w:val="none" w:sz="0" w:space="0" w:color="auto"/>
      </w:divBdr>
    </w:div>
    <w:div w:id="2104034891">
      <w:bodyDiv w:val="1"/>
      <w:marLeft w:val="0"/>
      <w:marRight w:val="0"/>
      <w:marTop w:val="0"/>
      <w:marBottom w:val="0"/>
      <w:divBdr>
        <w:top w:val="none" w:sz="0" w:space="0" w:color="auto"/>
        <w:left w:val="none" w:sz="0" w:space="0" w:color="auto"/>
        <w:bottom w:val="none" w:sz="0" w:space="0" w:color="auto"/>
        <w:right w:val="none" w:sz="0" w:space="0" w:color="auto"/>
      </w:divBdr>
    </w:div>
    <w:div w:id="2104296085">
      <w:bodyDiv w:val="1"/>
      <w:marLeft w:val="0"/>
      <w:marRight w:val="0"/>
      <w:marTop w:val="0"/>
      <w:marBottom w:val="0"/>
      <w:divBdr>
        <w:top w:val="none" w:sz="0" w:space="0" w:color="auto"/>
        <w:left w:val="none" w:sz="0" w:space="0" w:color="auto"/>
        <w:bottom w:val="none" w:sz="0" w:space="0" w:color="auto"/>
        <w:right w:val="none" w:sz="0" w:space="0" w:color="auto"/>
      </w:divBdr>
    </w:div>
    <w:div w:id="2104300176">
      <w:bodyDiv w:val="1"/>
      <w:marLeft w:val="0"/>
      <w:marRight w:val="0"/>
      <w:marTop w:val="0"/>
      <w:marBottom w:val="0"/>
      <w:divBdr>
        <w:top w:val="none" w:sz="0" w:space="0" w:color="auto"/>
        <w:left w:val="none" w:sz="0" w:space="0" w:color="auto"/>
        <w:bottom w:val="none" w:sz="0" w:space="0" w:color="auto"/>
        <w:right w:val="none" w:sz="0" w:space="0" w:color="auto"/>
      </w:divBdr>
    </w:div>
    <w:div w:id="2104572428">
      <w:bodyDiv w:val="1"/>
      <w:marLeft w:val="0"/>
      <w:marRight w:val="0"/>
      <w:marTop w:val="0"/>
      <w:marBottom w:val="0"/>
      <w:divBdr>
        <w:top w:val="none" w:sz="0" w:space="0" w:color="auto"/>
        <w:left w:val="none" w:sz="0" w:space="0" w:color="auto"/>
        <w:bottom w:val="none" w:sz="0" w:space="0" w:color="auto"/>
        <w:right w:val="none" w:sz="0" w:space="0" w:color="auto"/>
      </w:divBdr>
    </w:div>
    <w:div w:id="2104717710">
      <w:bodyDiv w:val="1"/>
      <w:marLeft w:val="0"/>
      <w:marRight w:val="0"/>
      <w:marTop w:val="0"/>
      <w:marBottom w:val="0"/>
      <w:divBdr>
        <w:top w:val="none" w:sz="0" w:space="0" w:color="auto"/>
        <w:left w:val="none" w:sz="0" w:space="0" w:color="auto"/>
        <w:bottom w:val="none" w:sz="0" w:space="0" w:color="auto"/>
        <w:right w:val="none" w:sz="0" w:space="0" w:color="auto"/>
      </w:divBdr>
    </w:div>
    <w:div w:id="2105344699">
      <w:bodyDiv w:val="1"/>
      <w:marLeft w:val="0"/>
      <w:marRight w:val="0"/>
      <w:marTop w:val="0"/>
      <w:marBottom w:val="0"/>
      <w:divBdr>
        <w:top w:val="none" w:sz="0" w:space="0" w:color="auto"/>
        <w:left w:val="none" w:sz="0" w:space="0" w:color="auto"/>
        <w:bottom w:val="none" w:sz="0" w:space="0" w:color="auto"/>
        <w:right w:val="none" w:sz="0" w:space="0" w:color="auto"/>
      </w:divBdr>
    </w:div>
    <w:div w:id="2105420478">
      <w:bodyDiv w:val="1"/>
      <w:marLeft w:val="0"/>
      <w:marRight w:val="0"/>
      <w:marTop w:val="0"/>
      <w:marBottom w:val="0"/>
      <w:divBdr>
        <w:top w:val="none" w:sz="0" w:space="0" w:color="auto"/>
        <w:left w:val="none" w:sz="0" w:space="0" w:color="auto"/>
        <w:bottom w:val="none" w:sz="0" w:space="0" w:color="auto"/>
        <w:right w:val="none" w:sz="0" w:space="0" w:color="auto"/>
      </w:divBdr>
    </w:div>
    <w:div w:id="2105874819">
      <w:bodyDiv w:val="1"/>
      <w:marLeft w:val="0"/>
      <w:marRight w:val="0"/>
      <w:marTop w:val="0"/>
      <w:marBottom w:val="0"/>
      <w:divBdr>
        <w:top w:val="none" w:sz="0" w:space="0" w:color="auto"/>
        <w:left w:val="none" w:sz="0" w:space="0" w:color="auto"/>
        <w:bottom w:val="none" w:sz="0" w:space="0" w:color="auto"/>
        <w:right w:val="none" w:sz="0" w:space="0" w:color="auto"/>
      </w:divBdr>
    </w:div>
    <w:div w:id="2106924949">
      <w:bodyDiv w:val="1"/>
      <w:marLeft w:val="0"/>
      <w:marRight w:val="0"/>
      <w:marTop w:val="0"/>
      <w:marBottom w:val="0"/>
      <w:divBdr>
        <w:top w:val="none" w:sz="0" w:space="0" w:color="auto"/>
        <w:left w:val="none" w:sz="0" w:space="0" w:color="auto"/>
        <w:bottom w:val="none" w:sz="0" w:space="0" w:color="auto"/>
        <w:right w:val="none" w:sz="0" w:space="0" w:color="auto"/>
      </w:divBdr>
    </w:div>
    <w:div w:id="2107461892">
      <w:bodyDiv w:val="1"/>
      <w:marLeft w:val="0"/>
      <w:marRight w:val="0"/>
      <w:marTop w:val="0"/>
      <w:marBottom w:val="0"/>
      <w:divBdr>
        <w:top w:val="none" w:sz="0" w:space="0" w:color="auto"/>
        <w:left w:val="none" w:sz="0" w:space="0" w:color="auto"/>
        <w:bottom w:val="none" w:sz="0" w:space="0" w:color="auto"/>
        <w:right w:val="none" w:sz="0" w:space="0" w:color="auto"/>
      </w:divBdr>
    </w:div>
    <w:div w:id="2107724426">
      <w:bodyDiv w:val="1"/>
      <w:marLeft w:val="0"/>
      <w:marRight w:val="0"/>
      <w:marTop w:val="0"/>
      <w:marBottom w:val="0"/>
      <w:divBdr>
        <w:top w:val="none" w:sz="0" w:space="0" w:color="auto"/>
        <w:left w:val="none" w:sz="0" w:space="0" w:color="auto"/>
        <w:bottom w:val="none" w:sz="0" w:space="0" w:color="auto"/>
        <w:right w:val="none" w:sz="0" w:space="0" w:color="auto"/>
      </w:divBdr>
    </w:div>
    <w:div w:id="2107774388">
      <w:bodyDiv w:val="1"/>
      <w:marLeft w:val="0"/>
      <w:marRight w:val="0"/>
      <w:marTop w:val="0"/>
      <w:marBottom w:val="0"/>
      <w:divBdr>
        <w:top w:val="none" w:sz="0" w:space="0" w:color="auto"/>
        <w:left w:val="none" w:sz="0" w:space="0" w:color="auto"/>
        <w:bottom w:val="none" w:sz="0" w:space="0" w:color="auto"/>
        <w:right w:val="none" w:sz="0" w:space="0" w:color="auto"/>
      </w:divBdr>
    </w:div>
    <w:div w:id="2108844845">
      <w:bodyDiv w:val="1"/>
      <w:marLeft w:val="0"/>
      <w:marRight w:val="0"/>
      <w:marTop w:val="0"/>
      <w:marBottom w:val="0"/>
      <w:divBdr>
        <w:top w:val="none" w:sz="0" w:space="0" w:color="auto"/>
        <w:left w:val="none" w:sz="0" w:space="0" w:color="auto"/>
        <w:bottom w:val="none" w:sz="0" w:space="0" w:color="auto"/>
        <w:right w:val="none" w:sz="0" w:space="0" w:color="auto"/>
      </w:divBdr>
    </w:div>
    <w:div w:id="2108963252">
      <w:bodyDiv w:val="1"/>
      <w:marLeft w:val="0"/>
      <w:marRight w:val="0"/>
      <w:marTop w:val="0"/>
      <w:marBottom w:val="0"/>
      <w:divBdr>
        <w:top w:val="none" w:sz="0" w:space="0" w:color="auto"/>
        <w:left w:val="none" w:sz="0" w:space="0" w:color="auto"/>
        <w:bottom w:val="none" w:sz="0" w:space="0" w:color="auto"/>
        <w:right w:val="none" w:sz="0" w:space="0" w:color="auto"/>
      </w:divBdr>
    </w:div>
    <w:div w:id="2109159210">
      <w:bodyDiv w:val="1"/>
      <w:marLeft w:val="0"/>
      <w:marRight w:val="0"/>
      <w:marTop w:val="0"/>
      <w:marBottom w:val="0"/>
      <w:divBdr>
        <w:top w:val="none" w:sz="0" w:space="0" w:color="auto"/>
        <w:left w:val="none" w:sz="0" w:space="0" w:color="auto"/>
        <w:bottom w:val="none" w:sz="0" w:space="0" w:color="auto"/>
        <w:right w:val="none" w:sz="0" w:space="0" w:color="auto"/>
      </w:divBdr>
    </w:div>
    <w:div w:id="2109348885">
      <w:bodyDiv w:val="1"/>
      <w:marLeft w:val="0"/>
      <w:marRight w:val="0"/>
      <w:marTop w:val="0"/>
      <w:marBottom w:val="0"/>
      <w:divBdr>
        <w:top w:val="none" w:sz="0" w:space="0" w:color="auto"/>
        <w:left w:val="none" w:sz="0" w:space="0" w:color="auto"/>
        <w:bottom w:val="none" w:sz="0" w:space="0" w:color="auto"/>
        <w:right w:val="none" w:sz="0" w:space="0" w:color="auto"/>
      </w:divBdr>
    </w:div>
    <w:div w:id="2109429221">
      <w:bodyDiv w:val="1"/>
      <w:marLeft w:val="0"/>
      <w:marRight w:val="0"/>
      <w:marTop w:val="0"/>
      <w:marBottom w:val="0"/>
      <w:divBdr>
        <w:top w:val="none" w:sz="0" w:space="0" w:color="auto"/>
        <w:left w:val="none" w:sz="0" w:space="0" w:color="auto"/>
        <w:bottom w:val="none" w:sz="0" w:space="0" w:color="auto"/>
        <w:right w:val="none" w:sz="0" w:space="0" w:color="auto"/>
      </w:divBdr>
    </w:div>
    <w:div w:id="2109499027">
      <w:bodyDiv w:val="1"/>
      <w:marLeft w:val="0"/>
      <w:marRight w:val="0"/>
      <w:marTop w:val="0"/>
      <w:marBottom w:val="0"/>
      <w:divBdr>
        <w:top w:val="none" w:sz="0" w:space="0" w:color="auto"/>
        <w:left w:val="none" w:sz="0" w:space="0" w:color="auto"/>
        <w:bottom w:val="none" w:sz="0" w:space="0" w:color="auto"/>
        <w:right w:val="none" w:sz="0" w:space="0" w:color="auto"/>
      </w:divBdr>
    </w:div>
    <w:div w:id="2109815363">
      <w:bodyDiv w:val="1"/>
      <w:marLeft w:val="0"/>
      <w:marRight w:val="0"/>
      <w:marTop w:val="0"/>
      <w:marBottom w:val="0"/>
      <w:divBdr>
        <w:top w:val="none" w:sz="0" w:space="0" w:color="auto"/>
        <w:left w:val="none" w:sz="0" w:space="0" w:color="auto"/>
        <w:bottom w:val="none" w:sz="0" w:space="0" w:color="auto"/>
        <w:right w:val="none" w:sz="0" w:space="0" w:color="auto"/>
      </w:divBdr>
    </w:div>
    <w:div w:id="2110158887">
      <w:bodyDiv w:val="1"/>
      <w:marLeft w:val="0"/>
      <w:marRight w:val="0"/>
      <w:marTop w:val="0"/>
      <w:marBottom w:val="0"/>
      <w:divBdr>
        <w:top w:val="none" w:sz="0" w:space="0" w:color="auto"/>
        <w:left w:val="none" w:sz="0" w:space="0" w:color="auto"/>
        <w:bottom w:val="none" w:sz="0" w:space="0" w:color="auto"/>
        <w:right w:val="none" w:sz="0" w:space="0" w:color="auto"/>
      </w:divBdr>
    </w:div>
    <w:div w:id="2111123925">
      <w:bodyDiv w:val="1"/>
      <w:marLeft w:val="0"/>
      <w:marRight w:val="0"/>
      <w:marTop w:val="0"/>
      <w:marBottom w:val="0"/>
      <w:divBdr>
        <w:top w:val="none" w:sz="0" w:space="0" w:color="auto"/>
        <w:left w:val="none" w:sz="0" w:space="0" w:color="auto"/>
        <w:bottom w:val="none" w:sz="0" w:space="0" w:color="auto"/>
        <w:right w:val="none" w:sz="0" w:space="0" w:color="auto"/>
      </w:divBdr>
    </w:div>
    <w:div w:id="2111505704">
      <w:bodyDiv w:val="1"/>
      <w:marLeft w:val="0"/>
      <w:marRight w:val="0"/>
      <w:marTop w:val="0"/>
      <w:marBottom w:val="0"/>
      <w:divBdr>
        <w:top w:val="none" w:sz="0" w:space="0" w:color="auto"/>
        <w:left w:val="none" w:sz="0" w:space="0" w:color="auto"/>
        <w:bottom w:val="none" w:sz="0" w:space="0" w:color="auto"/>
        <w:right w:val="none" w:sz="0" w:space="0" w:color="auto"/>
      </w:divBdr>
    </w:div>
    <w:div w:id="2111898745">
      <w:bodyDiv w:val="1"/>
      <w:marLeft w:val="0"/>
      <w:marRight w:val="0"/>
      <w:marTop w:val="0"/>
      <w:marBottom w:val="0"/>
      <w:divBdr>
        <w:top w:val="none" w:sz="0" w:space="0" w:color="auto"/>
        <w:left w:val="none" w:sz="0" w:space="0" w:color="auto"/>
        <w:bottom w:val="none" w:sz="0" w:space="0" w:color="auto"/>
        <w:right w:val="none" w:sz="0" w:space="0" w:color="auto"/>
      </w:divBdr>
    </w:div>
    <w:div w:id="2112124904">
      <w:bodyDiv w:val="1"/>
      <w:marLeft w:val="0"/>
      <w:marRight w:val="0"/>
      <w:marTop w:val="0"/>
      <w:marBottom w:val="0"/>
      <w:divBdr>
        <w:top w:val="none" w:sz="0" w:space="0" w:color="auto"/>
        <w:left w:val="none" w:sz="0" w:space="0" w:color="auto"/>
        <w:bottom w:val="none" w:sz="0" w:space="0" w:color="auto"/>
        <w:right w:val="none" w:sz="0" w:space="0" w:color="auto"/>
      </w:divBdr>
    </w:div>
    <w:div w:id="2112167802">
      <w:bodyDiv w:val="1"/>
      <w:marLeft w:val="0"/>
      <w:marRight w:val="0"/>
      <w:marTop w:val="0"/>
      <w:marBottom w:val="0"/>
      <w:divBdr>
        <w:top w:val="none" w:sz="0" w:space="0" w:color="auto"/>
        <w:left w:val="none" w:sz="0" w:space="0" w:color="auto"/>
        <w:bottom w:val="none" w:sz="0" w:space="0" w:color="auto"/>
        <w:right w:val="none" w:sz="0" w:space="0" w:color="auto"/>
      </w:divBdr>
    </w:div>
    <w:div w:id="2112235483">
      <w:bodyDiv w:val="1"/>
      <w:marLeft w:val="0"/>
      <w:marRight w:val="0"/>
      <w:marTop w:val="0"/>
      <w:marBottom w:val="0"/>
      <w:divBdr>
        <w:top w:val="none" w:sz="0" w:space="0" w:color="auto"/>
        <w:left w:val="none" w:sz="0" w:space="0" w:color="auto"/>
        <w:bottom w:val="none" w:sz="0" w:space="0" w:color="auto"/>
        <w:right w:val="none" w:sz="0" w:space="0" w:color="auto"/>
      </w:divBdr>
    </w:div>
    <w:div w:id="2112357008">
      <w:bodyDiv w:val="1"/>
      <w:marLeft w:val="0"/>
      <w:marRight w:val="0"/>
      <w:marTop w:val="0"/>
      <w:marBottom w:val="0"/>
      <w:divBdr>
        <w:top w:val="none" w:sz="0" w:space="0" w:color="auto"/>
        <w:left w:val="none" w:sz="0" w:space="0" w:color="auto"/>
        <w:bottom w:val="none" w:sz="0" w:space="0" w:color="auto"/>
        <w:right w:val="none" w:sz="0" w:space="0" w:color="auto"/>
      </w:divBdr>
    </w:div>
    <w:div w:id="2112583169">
      <w:bodyDiv w:val="1"/>
      <w:marLeft w:val="0"/>
      <w:marRight w:val="0"/>
      <w:marTop w:val="0"/>
      <w:marBottom w:val="0"/>
      <w:divBdr>
        <w:top w:val="none" w:sz="0" w:space="0" w:color="auto"/>
        <w:left w:val="none" w:sz="0" w:space="0" w:color="auto"/>
        <w:bottom w:val="none" w:sz="0" w:space="0" w:color="auto"/>
        <w:right w:val="none" w:sz="0" w:space="0" w:color="auto"/>
      </w:divBdr>
    </w:div>
    <w:div w:id="2113083387">
      <w:bodyDiv w:val="1"/>
      <w:marLeft w:val="0"/>
      <w:marRight w:val="0"/>
      <w:marTop w:val="0"/>
      <w:marBottom w:val="0"/>
      <w:divBdr>
        <w:top w:val="none" w:sz="0" w:space="0" w:color="auto"/>
        <w:left w:val="none" w:sz="0" w:space="0" w:color="auto"/>
        <w:bottom w:val="none" w:sz="0" w:space="0" w:color="auto"/>
        <w:right w:val="none" w:sz="0" w:space="0" w:color="auto"/>
      </w:divBdr>
    </w:div>
    <w:div w:id="2113163354">
      <w:bodyDiv w:val="1"/>
      <w:marLeft w:val="0"/>
      <w:marRight w:val="0"/>
      <w:marTop w:val="0"/>
      <w:marBottom w:val="0"/>
      <w:divBdr>
        <w:top w:val="none" w:sz="0" w:space="0" w:color="auto"/>
        <w:left w:val="none" w:sz="0" w:space="0" w:color="auto"/>
        <w:bottom w:val="none" w:sz="0" w:space="0" w:color="auto"/>
        <w:right w:val="none" w:sz="0" w:space="0" w:color="auto"/>
      </w:divBdr>
    </w:div>
    <w:div w:id="2113275931">
      <w:bodyDiv w:val="1"/>
      <w:marLeft w:val="0"/>
      <w:marRight w:val="0"/>
      <w:marTop w:val="0"/>
      <w:marBottom w:val="0"/>
      <w:divBdr>
        <w:top w:val="none" w:sz="0" w:space="0" w:color="auto"/>
        <w:left w:val="none" w:sz="0" w:space="0" w:color="auto"/>
        <w:bottom w:val="none" w:sz="0" w:space="0" w:color="auto"/>
        <w:right w:val="none" w:sz="0" w:space="0" w:color="auto"/>
      </w:divBdr>
    </w:div>
    <w:div w:id="2113277120">
      <w:bodyDiv w:val="1"/>
      <w:marLeft w:val="0"/>
      <w:marRight w:val="0"/>
      <w:marTop w:val="0"/>
      <w:marBottom w:val="0"/>
      <w:divBdr>
        <w:top w:val="none" w:sz="0" w:space="0" w:color="auto"/>
        <w:left w:val="none" w:sz="0" w:space="0" w:color="auto"/>
        <w:bottom w:val="none" w:sz="0" w:space="0" w:color="auto"/>
        <w:right w:val="none" w:sz="0" w:space="0" w:color="auto"/>
      </w:divBdr>
    </w:div>
    <w:div w:id="2114129526">
      <w:bodyDiv w:val="1"/>
      <w:marLeft w:val="0"/>
      <w:marRight w:val="0"/>
      <w:marTop w:val="0"/>
      <w:marBottom w:val="0"/>
      <w:divBdr>
        <w:top w:val="none" w:sz="0" w:space="0" w:color="auto"/>
        <w:left w:val="none" w:sz="0" w:space="0" w:color="auto"/>
        <w:bottom w:val="none" w:sz="0" w:space="0" w:color="auto"/>
        <w:right w:val="none" w:sz="0" w:space="0" w:color="auto"/>
      </w:divBdr>
    </w:div>
    <w:div w:id="2114354307">
      <w:bodyDiv w:val="1"/>
      <w:marLeft w:val="0"/>
      <w:marRight w:val="0"/>
      <w:marTop w:val="0"/>
      <w:marBottom w:val="0"/>
      <w:divBdr>
        <w:top w:val="none" w:sz="0" w:space="0" w:color="auto"/>
        <w:left w:val="none" w:sz="0" w:space="0" w:color="auto"/>
        <w:bottom w:val="none" w:sz="0" w:space="0" w:color="auto"/>
        <w:right w:val="none" w:sz="0" w:space="0" w:color="auto"/>
      </w:divBdr>
    </w:div>
    <w:div w:id="2115127576">
      <w:bodyDiv w:val="1"/>
      <w:marLeft w:val="0"/>
      <w:marRight w:val="0"/>
      <w:marTop w:val="0"/>
      <w:marBottom w:val="0"/>
      <w:divBdr>
        <w:top w:val="none" w:sz="0" w:space="0" w:color="auto"/>
        <w:left w:val="none" w:sz="0" w:space="0" w:color="auto"/>
        <w:bottom w:val="none" w:sz="0" w:space="0" w:color="auto"/>
        <w:right w:val="none" w:sz="0" w:space="0" w:color="auto"/>
      </w:divBdr>
    </w:div>
    <w:div w:id="2115205910">
      <w:bodyDiv w:val="1"/>
      <w:marLeft w:val="0"/>
      <w:marRight w:val="0"/>
      <w:marTop w:val="0"/>
      <w:marBottom w:val="0"/>
      <w:divBdr>
        <w:top w:val="none" w:sz="0" w:space="0" w:color="auto"/>
        <w:left w:val="none" w:sz="0" w:space="0" w:color="auto"/>
        <w:bottom w:val="none" w:sz="0" w:space="0" w:color="auto"/>
        <w:right w:val="none" w:sz="0" w:space="0" w:color="auto"/>
      </w:divBdr>
    </w:div>
    <w:div w:id="2115397930">
      <w:bodyDiv w:val="1"/>
      <w:marLeft w:val="0"/>
      <w:marRight w:val="0"/>
      <w:marTop w:val="0"/>
      <w:marBottom w:val="0"/>
      <w:divBdr>
        <w:top w:val="none" w:sz="0" w:space="0" w:color="auto"/>
        <w:left w:val="none" w:sz="0" w:space="0" w:color="auto"/>
        <w:bottom w:val="none" w:sz="0" w:space="0" w:color="auto"/>
        <w:right w:val="none" w:sz="0" w:space="0" w:color="auto"/>
      </w:divBdr>
    </w:div>
    <w:div w:id="2116896624">
      <w:bodyDiv w:val="1"/>
      <w:marLeft w:val="0"/>
      <w:marRight w:val="0"/>
      <w:marTop w:val="0"/>
      <w:marBottom w:val="0"/>
      <w:divBdr>
        <w:top w:val="none" w:sz="0" w:space="0" w:color="auto"/>
        <w:left w:val="none" w:sz="0" w:space="0" w:color="auto"/>
        <w:bottom w:val="none" w:sz="0" w:space="0" w:color="auto"/>
        <w:right w:val="none" w:sz="0" w:space="0" w:color="auto"/>
      </w:divBdr>
    </w:div>
    <w:div w:id="2116944406">
      <w:bodyDiv w:val="1"/>
      <w:marLeft w:val="0"/>
      <w:marRight w:val="0"/>
      <w:marTop w:val="0"/>
      <w:marBottom w:val="0"/>
      <w:divBdr>
        <w:top w:val="none" w:sz="0" w:space="0" w:color="auto"/>
        <w:left w:val="none" w:sz="0" w:space="0" w:color="auto"/>
        <w:bottom w:val="none" w:sz="0" w:space="0" w:color="auto"/>
        <w:right w:val="none" w:sz="0" w:space="0" w:color="auto"/>
      </w:divBdr>
    </w:div>
    <w:div w:id="2117021994">
      <w:bodyDiv w:val="1"/>
      <w:marLeft w:val="0"/>
      <w:marRight w:val="0"/>
      <w:marTop w:val="0"/>
      <w:marBottom w:val="0"/>
      <w:divBdr>
        <w:top w:val="none" w:sz="0" w:space="0" w:color="auto"/>
        <w:left w:val="none" w:sz="0" w:space="0" w:color="auto"/>
        <w:bottom w:val="none" w:sz="0" w:space="0" w:color="auto"/>
        <w:right w:val="none" w:sz="0" w:space="0" w:color="auto"/>
      </w:divBdr>
    </w:div>
    <w:div w:id="2117167229">
      <w:bodyDiv w:val="1"/>
      <w:marLeft w:val="0"/>
      <w:marRight w:val="0"/>
      <w:marTop w:val="0"/>
      <w:marBottom w:val="0"/>
      <w:divBdr>
        <w:top w:val="none" w:sz="0" w:space="0" w:color="auto"/>
        <w:left w:val="none" w:sz="0" w:space="0" w:color="auto"/>
        <w:bottom w:val="none" w:sz="0" w:space="0" w:color="auto"/>
        <w:right w:val="none" w:sz="0" w:space="0" w:color="auto"/>
      </w:divBdr>
    </w:div>
    <w:div w:id="2118020029">
      <w:bodyDiv w:val="1"/>
      <w:marLeft w:val="0"/>
      <w:marRight w:val="0"/>
      <w:marTop w:val="0"/>
      <w:marBottom w:val="0"/>
      <w:divBdr>
        <w:top w:val="none" w:sz="0" w:space="0" w:color="auto"/>
        <w:left w:val="none" w:sz="0" w:space="0" w:color="auto"/>
        <w:bottom w:val="none" w:sz="0" w:space="0" w:color="auto"/>
        <w:right w:val="none" w:sz="0" w:space="0" w:color="auto"/>
      </w:divBdr>
    </w:div>
    <w:div w:id="2118403039">
      <w:bodyDiv w:val="1"/>
      <w:marLeft w:val="0"/>
      <w:marRight w:val="0"/>
      <w:marTop w:val="0"/>
      <w:marBottom w:val="0"/>
      <w:divBdr>
        <w:top w:val="none" w:sz="0" w:space="0" w:color="auto"/>
        <w:left w:val="none" w:sz="0" w:space="0" w:color="auto"/>
        <w:bottom w:val="none" w:sz="0" w:space="0" w:color="auto"/>
        <w:right w:val="none" w:sz="0" w:space="0" w:color="auto"/>
      </w:divBdr>
    </w:div>
    <w:div w:id="2118525514">
      <w:bodyDiv w:val="1"/>
      <w:marLeft w:val="0"/>
      <w:marRight w:val="0"/>
      <w:marTop w:val="0"/>
      <w:marBottom w:val="0"/>
      <w:divBdr>
        <w:top w:val="none" w:sz="0" w:space="0" w:color="auto"/>
        <w:left w:val="none" w:sz="0" w:space="0" w:color="auto"/>
        <w:bottom w:val="none" w:sz="0" w:space="0" w:color="auto"/>
        <w:right w:val="none" w:sz="0" w:space="0" w:color="auto"/>
      </w:divBdr>
    </w:div>
    <w:div w:id="2120445676">
      <w:bodyDiv w:val="1"/>
      <w:marLeft w:val="0"/>
      <w:marRight w:val="0"/>
      <w:marTop w:val="0"/>
      <w:marBottom w:val="0"/>
      <w:divBdr>
        <w:top w:val="none" w:sz="0" w:space="0" w:color="auto"/>
        <w:left w:val="none" w:sz="0" w:space="0" w:color="auto"/>
        <w:bottom w:val="none" w:sz="0" w:space="0" w:color="auto"/>
        <w:right w:val="none" w:sz="0" w:space="0" w:color="auto"/>
      </w:divBdr>
    </w:div>
    <w:div w:id="2121099247">
      <w:bodyDiv w:val="1"/>
      <w:marLeft w:val="0"/>
      <w:marRight w:val="0"/>
      <w:marTop w:val="0"/>
      <w:marBottom w:val="0"/>
      <w:divBdr>
        <w:top w:val="none" w:sz="0" w:space="0" w:color="auto"/>
        <w:left w:val="none" w:sz="0" w:space="0" w:color="auto"/>
        <w:bottom w:val="none" w:sz="0" w:space="0" w:color="auto"/>
        <w:right w:val="none" w:sz="0" w:space="0" w:color="auto"/>
      </w:divBdr>
    </w:div>
    <w:div w:id="2121341406">
      <w:bodyDiv w:val="1"/>
      <w:marLeft w:val="0"/>
      <w:marRight w:val="0"/>
      <w:marTop w:val="0"/>
      <w:marBottom w:val="0"/>
      <w:divBdr>
        <w:top w:val="none" w:sz="0" w:space="0" w:color="auto"/>
        <w:left w:val="none" w:sz="0" w:space="0" w:color="auto"/>
        <w:bottom w:val="none" w:sz="0" w:space="0" w:color="auto"/>
        <w:right w:val="none" w:sz="0" w:space="0" w:color="auto"/>
      </w:divBdr>
    </w:div>
    <w:div w:id="2121410685">
      <w:bodyDiv w:val="1"/>
      <w:marLeft w:val="0"/>
      <w:marRight w:val="0"/>
      <w:marTop w:val="0"/>
      <w:marBottom w:val="0"/>
      <w:divBdr>
        <w:top w:val="none" w:sz="0" w:space="0" w:color="auto"/>
        <w:left w:val="none" w:sz="0" w:space="0" w:color="auto"/>
        <w:bottom w:val="none" w:sz="0" w:space="0" w:color="auto"/>
        <w:right w:val="none" w:sz="0" w:space="0" w:color="auto"/>
      </w:divBdr>
    </w:div>
    <w:div w:id="2123524835">
      <w:bodyDiv w:val="1"/>
      <w:marLeft w:val="0"/>
      <w:marRight w:val="0"/>
      <w:marTop w:val="0"/>
      <w:marBottom w:val="0"/>
      <w:divBdr>
        <w:top w:val="none" w:sz="0" w:space="0" w:color="auto"/>
        <w:left w:val="none" w:sz="0" w:space="0" w:color="auto"/>
        <w:bottom w:val="none" w:sz="0" w:space="0" w:color="auto"/>
        <w:right w:val="none" w:sz="0" w:space="0" w:color="auto"/>
      </w:divBdr>
    </w:div>
    <w:div w:id="2123764370">
      <w:bodyDiv w:val="1"/>
      <w:marLeft w:val="0"/>
      <w:marRight w:val="0"/>
      <w:marTop w:val="0"/>
      <w:marBottom w:val="0"/>
      <w:divBdr>
        <w:top w:val="none" w:sz="0" w:space="0" w:color="auto"/>
        <w:left w:val="none" w:sz="0" w:space="0" w:color="auto"/>
        <w:bottom w:val="none" w:sz="0" w:space="0" w:color="auto"/>
        <w:right w:val="none" w:sz="0" w:space="0" w:color="auto"/>
      </w:divBdr>
    </w:div>
    <w:div w:id="2124882390">
      <w:bodyDiv w:val="1"/>
      <w:marLeft w:val="0"/>
      <w:marRight w:val="0"/>
      <w:marTop w:val="0"/>
      <w:marBottom w:val="0"/>
      <w:divBdr>
        <w:top w:val="none" w:sz="0" w:space="0" w:color="auto"/>
        <w:left w:val="none" w:sz="0" w:space="0" w:color="auto"/>
        <w:bottom w:val="none" w:sz="0" w:space="0" w:color="auto"/>
        <w:right w:val="none" w:sz="0" w:space="0" w:color="auto"/>
      </w:divBdr>
    </w:div>
    <w:div w:id="2125071247">
      <w:bodyDiv w:val="1"/>
      <w:marLeft w:val="0"/>
      <w:marRight w:val="0"/>
      <w:marTop w:val="0"/>
      <w:marBottom w:val="0"/>
      <w:divBdr>
        <w:top w:val="none" w:sz="0" w:space="0" w:color="auto"/>
        <w:left w:val="none" w:sz="0" w:space="0" w:color="auto"/>
        <w:bottom w:val="none" w:sz="0" w:space="0" w:color="auto"/>
        <w:right w:val="none" w:sz="0" w:space="0" w:color="auto"/>
      </w:divBdr>
    </w:div>
    <w:div w:id="2125494482">
      <w:bodyDiv w:val="1"/>
      <w:marLeft w:val="0"/>
      <w:marRight w:val="0"/>
      <w:marTop w:val="0"/>
      <w:marBottom w:val="0"/>
      <w:divBdr>
        <w:top w:val="none" w:sz="0" w:space="0" w:color="auto"/>
        <w:left w:val="none" w:sz="0" w:space="0" w:color="auto"/>
        <w:bottom w:val="none" w:sz="0" w:space="0" w:color="auto"/>
        <w:right w:val="none" w:sz="0" w:space="0" w:color="auto"/>
      </w:divBdr>
    </w:div>
    <w:div w:id="2126922460">
      <w:bodyDiv w:val="1"/>
      <w:marLeft w:val="0"/>
      <w:marRight w:val="0"/>
      <w:marTop w:val="0"/>
      <w:marBottom w:val="0"/>
      <w:divBdr>
        <w:top w:val="none" w:sz="0" w:space="0" w:color="auto"/>
        <w:left w:val="none" w:sz="0" w:space="0" w:color="auto"/>
        <w:bottom w:val="none" w:sz="0" w:space="0" w:color="auto"/>
        <w:right w:val="none" w:sz="0" w:space="0" w:color="auto"/>
      </w:divBdr>
    </w:div>
    <w:div w:id="2127236853">
      <w:bodyDiv w:val="1"/>
      <w:marLeft w:val="0"/>
      <w:marRight w:val="0"/>
      <w:marTop w:val="0"/>
      <w:marBottom w:val="0"/>
      <w:divBdr>
        <w:top w:val="none" w:sz="0" w:space="0" w:color="auto"/>
        <w:left w:val="none" w:sz="0" w:space="0" w:color="auto"/>
        <w:bottom w:val="none" w:sz="0" w:space="0" w:color="auto"/>
        <w:right w:val="none" w:sz="0" w:space="0" w:color="auto"/>
      </w:divBdr>
    </w:div>
    <w:div w:id="2127312336">
      <w:bodyDiv w:val="1"/>
      <w:marLeft w:val="0"/>
      <w:marRight w:val="0"/>
      <w:marTop w:val="0"/>
      <w:marBottom w:val="0"/>
      <w:divBdr>
        <w:top w:val="none" w:sz="0" w:space="0" w:color="auto"/>
        <w:left w:val="none" w:sz="0" w:space="0" w:color="auto"/>
        <w:bottom w:val="none" w:sz="0" w:space="0" w:color="auto"/>
        <w:right w:val="none" w:sz="0" w:space="0" w:color="auto"/>
      </w:divBdr>
    </w:div>
    <w:div w:id="2127657776">
      <w:bodyDiv w:val="1"/>
      <w:marLeft w:val="0"/>
      <w:marRight w:val="0"/>
      <w:marTop w:val="0"/>
      <w:marBottom w:val="0"/>
      <w:divBdr>
        <w:top w:val="none" w:sz="0" w:space="0" w:color="auto"/>
        <w:left w:val="none" w:sz="0" w:space="0" w:color="auto"/>
        <w:bottom w:val="none" w:sz="0" w:space="0" w:color="auto"/>
        <w:right w:val="none" w:sz="0" w:space="0" w:color="auto"/>
      </w:divBdr>
    </w:div>
    <w:div w:id="2127842518">
      <w:bodyDiv w:val="1"/>
      <w:marLeft w:val="0"/>
      <w:marRight w:val="0"/>
      <w:marTop w:val="0"/>
      <w:marBottom w:val="0"/>
      <w:divBdr>
        <w:top w:val="none" w:sz="0" w:space="0" w:color="auto"/>
        <w:left w:val="none" w:sz="0" w:space="0" w:color="auto"/>
        <w:bottom w:val="none" w:sz="0" w:space="0" w:color="auto"/>
        <w:right w:val="none" w:sz="0" w:space="0" w:color="auto"/>
      </w:divBdr>
    </w:div>
    <w:div w:id="2127969946">
      <w:bodyDiv w:val="1"/>
      <w:marLeft w:val="0"/>
      <w:marRight w:val="0"/>
      <w:marTop w:val="0"/>
      <w:marBottom w:val="0"/>
      <w:divBdr>
        <w:top w:val="none" w:sz="0" w:space="0" w:color="auto"/>
        <w:left w:val="none" w:sz="0" w:space="0" w:color="auto"/>
        <w:bottom w:val="none" w:sz="0" w:space="0" w:color="auto"/>
        <w:right w:val="none" w:sz="0" w:space="0" w:color="auto"/>
      </w:divBdr>
    </w:div>
    <w:div w:id="2128890239">
      <w:bodyDiv w:val="1"/>
      <w:marLeft w:val="0"/>
      <w:marRight w:val="0"/>
      <w:marTop w:val="0"/>
      <w:marBottom w:val="0"/>
      <w:divBdr>
        <w:top w:val="none" w:sz="0" w:space="0" w:color="auto"/>
        <w:left w:val="none" w:sz="0" w:space="0" w:color="auto"/>
        <w:bottom w:val="none" w:sz="0" w:space="0" w:color="auto"/>
        <w:right w:val="none" w:sz="0" w:space="0" w:color="auto"/>
      </w:divBdr>
    </w:div>
    <w:div w:id="2129003417">
      <w:bodyDiv w:val="1"/>
      <w:marLeft w:val="0"/>
      <w:marRight w:val="0"/>
      <w:marTop w:val="0"/>
      <w:marBottom w:val="0"/>
      <w:divBdr>
        <w:top w:val="none" w:sz="0" w:space="0" w:color="auto"/>
        <w:left w:val="none" w:sz="0" w:space="0" w:color="auto"/>
        <w:bottom w:val="none" w:sz="0" w:space="0" w:color="auto"/>
        <w:right w:val="none" w:sz="0" w:space="0" w:color="auto"/>
      </w:divBdr>
    </w:div>
    <w:div w:id="2129620321">
      <w:bodyDiv w:val="1"/>
      <w:marLeft w:val="0"/>
      <w:marRight w:val="0"/>
      <w:marTop w:val="0"/>
      <w:marBottom w:val="0"/>
      <w:divBdr>
        <w:top w:val="none" w:sz="0" w:space="0" w:color="auto"/>
        <w:left w:val="none" w:sz="0" w:space="0" w:color="auto"/>
        <w:bottom w:val="none" w:sz="0" w:space="0" w:color="auto"/>
        <w:right w:val="none" w:sz="0" w:space="0" w:color="auto"/>
      </w:divBdr>
    </w:div>
    <w:div w:id="2129857897">
      <w:bodyDiv w:val="1"/>
      <w:marLeft w:val="0"/>
      <w:marRight w:val="0"/>
      <w:marTop w:val="0"/>
      <w:marBottom w:val="0"/>
      <w:divBdr>
        <w:top w:val="none" w:sz="0" w:space="0" w:color="auto"/>
        <w:left w:val="none" w:sz="0" w:space="0" w:color="auto"/>
        <w:bottom w:val="none" w:sz="0" w:space="0" w:color="auto"/>
        <w:right w:val="none" w:sz="0" w:space="0" w:color="auto"/>
      </w:divBdr>
    </w:div>
    <w:div w:id="2129859482">
      <w:bodyDiv w:val="1"/>
      <w:marLeft w:val="0"/>
      <w:marRight w:val="0"/>
      <w:marTop w:val="0"/>
      <w:marBottom w:val="0"/>
      <w:divBdr>
        <w:top w:val="none" w:sz="0" w:space="0" w:color="auto"/>
        <w:left w:val="none" w:sz="0" w:space="0" w:color="auto"/>
        <w:bottom w:val="none" w:sz="0" w:space="0" w:color="auto"/>
        <w:right w:val="none" w:sz="0" w:space="0" w:color="auto"/>
      </w:divBdr>
    </w:div>
    <w:div w:id="2129884248">
      <w:bodyDiv w:val="1"/>
      <w:marLeft w:val="0"/>
      <w:marRight w:val="0"/>
      <w:marTop w:val="0"/>
      <w:marBottom w:val="0"/>
      <w:divBdr>
        <w:top w:val="none" w:sz="0" w:space="0" w:color="auto"/>
        <w:left w:val="none" w:sz="0" w:space="0" w:color="auto"/>
        <w:bottom w:val="none" w:sz="0" w:space="0" w:color="auto"/>
        <w:right w:val="none" w:sz="0" w:space="0" w:color="auto"/>
      </w:divBdr>
    </w:div>
    <w:div w:id="2130010612">
      <w:bodyDiv w:val="1"/>
      <w:marLeft w:val="0"/>
      <w:marRight w:val="0"/>
      <w:marTop w:val="0"/>
      <w:marBottom w:val="0"/>
      <w:divBdr>
        <w:top w:val="none" w:sz="0" w:space="0" w:color="auto"/>
        <w:left w:val="none" w:sz="0" w:space="0" w:color="auto"/>
        <w:bottom w:val="none" w:sz="0" w:space="0" w:color="auto"/>
        <w:right w:val="none" w:sz="0" w:space="0" w:color="auto"/>
      </w:divBdr>
    </w:div>
    <w:div w:id="2130319907">
      <w:bodyDiv w:val="1"/>
      <w:marLeft w:val="0"/>
      <w:marRight w:val="0"/>
      <w:marTop w:val="0"/>
      <w:marBottom w:val="0"/>
      <w:divBdr>
        <w:top w:val="none" w:sz="0" w:space="0" w:color="auto"/>
        <w:left w:val="none" w:sz="0" w:space="0" w:color="auto"/>
        <w:bottom w:val="none" w:sz="0" w:space="0" w:color="auto"/>
        <w:right w:val="none" w:sz="0" w:space="0" w:color="auto"/>
      </w:divBdr>
    </w:div>
    <w:div w:id="2130856401">
      <w:bodyDiv w:val="1"/>
      <w:marLeft w:val="0"/>
      <w:marRight w:val="0"/>
      <w:marTop w:val="0"/>
      <w:marBottom w:val="0"/>
      <w:divBdr>
        <w:top w:val="none" w:sz="0" w:space="0" w:color="auto"/>
        <w:left w:val="none" w:sz="0" w:space="0" w:color="auto"/>
        <w:bottom w:val="none" w:sz="0" w:space="0" w:color="auto"/>
        <w:right w:val="none" w:sz="0" w:space="0" w:color="auto"/>
      </w:divBdr>
    </w:div>
    <w:div w:id="2130933072">
      <w:bodyDiv w:val="1"/>
      <w:marLeft w:val="0"/>
      <w:marRight w:val="0"/>
      <w:marTop w:val="0"/>
      <w:marBottom w:val="0"/>
      <w:divBdr>
        <w:top w:val="none" w:sz="0" w:space="0" w:color="auto"/>
        <w:left w:val="none" w:sz="0" w:space="0" w:color="auto"/>
        <w:bottom w:val="none" w:sz="0" w:space="0" w:color="auto"/>
        <w:right w:val="none" w:sz="0" w:space="0" w:color="auto"/>
      </w:divBdr>
    </w:div>
    <w:div w:id="2131049473">
      <w:bodyDiv w:val="1"/>
      <w:marLeft w:val="0"/>
      <w:marRight w:val="0"/>
      <w:marTop w:val="0"/>
      <w:marBottom w:val="0"/>
      <w:divBdr>
        <w:top w:val="none" w:sz="0" w:space="0" w:color="auto"/>
        <w:left w:val="none" w:sz="0" w:space="0" w:color="auto"/>
        <w:bottom w:val="none" w:sz="0" w:space="0" w:color="auto"/>
        <w:right w:val="none" w:sz="0" w:space="0" w:color="auto"/>
      </w:divBdr>
    </w:div>
    <w:div w:id="2131507971">
      <w:bodyDiv w:val="1"/>
      <w:marLeft w:val="0"/>
      <w:marRight w:val="0"/>
      <w:marTop w:val="0"/>
      <w:marBottom w:val="0"/>
      <w:divBdr>
        <w:top w:val="none" w:sz="0" w:space="0" w:color="auto"/>
        <w:left w:val="none" w:sz="0" w:space="0" w:color="auto"/>
        <w:bottom w:val="none" w:sz="0" w:space="0" w:color="auto"/>
        <w:right w:val="none" w:sz="0" w:space="0" w:color="auto"/>
      </w:divBdr>
    </w:div>
    <w:div w:id="2131705712">
      <w:bodyDiv w:val="1"/>
      <w:marLeft w:val="0"/>
      <w:marRight w:val="0"/>
      <w:marTop w:val="0"/>
      <w:marBottom w:val="0"/>
      <w:divBdr>
        <w:top w:val="none" w:sz="0" w:space="0" w:color="auto"/>
        <w:left w:val="none" w:sz="0" w:space="0" w:color="auto"/>
        <w:bottom w:val="none" w:sz="0" w:space="0" w:color="auto"/>
        <w:right w:val="none" w:sz="0" w:space="0" w:color="auto"/>
      </w:divBdr>
    </w:div>
    <w:div w:id="2131778974">
      <w:bodyDiv w:val="1"/>
      <w:marLeft w:val="0"/>
      <w:marRight w:val="0"/>
      <w:marTop w:val="0"/>
      <w:marBottom w:val="0"/>
      <w:divBdr>
        <w:top w:val="none" w:sz="0" w:space="0" w:color="auto"/>
        <w:left w:val="none" w:sz="0" w:space="0" w:color="auto"/>
        <w:bottom w:val="none" w:sz="0" w:space="0" w:color="auto"/>
        <w:right w:val="none" w:sz="0" w:space="0" w:color="auto"/>
      </w:divBdr>
    </w:div>
    <w:div w:id="2132166515">
      <w:bodyDiv w:val="1"/>
      <w:marLeft w:val="0"/>
      <w:marRight w:val="0"/>
      <w:marTop w:val="0"/>
      <w:marBottom w:val="0"/>
      <w:divBdr>
        <w:top w:val="none" w:sz="0" w:space="0" w:color="auto"/>
        <w:left w:val="none" w:sz="0" w:space="0" w:color="auto"/>
        <w:bottom w:val="none" w:sz="0" w:space="0" w:color="auto"/>
        <w:right w:val="none" w:sz="0" w:space="0" w:color="auto"/>
      </w:divBdr>
    </w:div>
    <w:div w:id="2132244140">
      <w:bodyDiv w:val="1"/>
      <w:marLeft w:val="0"/>
      <w:marRight w:val="0"/>
      <w:marTop w:val="0"/>
      <w:marBottom w:val="0"/>
      <w:divBdr>
        <w:top w:val="none" w:sz="0" w:space="0" w:color="auto"/>
        <w:left w:val="none" w:sz="0" w:space="0" w:color="auto"/>
        <w:bottom w:val="none" w:sz="0" w:space="0" w:color="auto"/>
        <w:right w:val="none" w:sz="0" w:space="0" w:color="auto"/>
      </w:divBdr>
    </w:div>
    <w:div w:id="2133285182">
      <w:bodyDiv w:val="1"/>
      <w:marLeft w:val="0"/>
      <w:marRight w:val="0"/>
      <w:marTop w:val="0"/>
      <w:marBottom w:val="0"/>
      <w:divBdr>
        <w:top w:val="none" w:sz="0" w:space="0" w:color="auto"/>
        <w:left w:val="none" w:sz="0" w:space="0" w:color="auto"/>
        <w:bottom w:val="none" w:sz="0" w:space="0" w:color="auto"/>
        <w:right w:val="none" w:sz="0" w:space="0" w:color="auto"/>
      </w:divBdr>
    </w:div>
    <w:div w:id="2133555299">
      <w:bodyDiv w:val="1"/>
      <w:marLeft w:val="0"/>
      <w:marRight w:val="0"/>
      <w:marTop w:val="0"/>
      <w:marBottom w:val="0"/>
      <w:divBdr>
        <w:top w:val="none" w:sz="0" w:space="0" w:color="auto"/>
        <w:left w:val="none" w:sz="0" w:space="0" w:color="auto"/>
        <w:bottom w:val="none" w:sz="0" w:space="0" w:color="auto"/>
        <w:right w:val="none" w:sz="0" w:space="0" w:color="auto"/>
      </w:divBdr>
    </w:div>
    <w:div w:id="2133592880">
      <w:bodyDiv w:val="1"/>
      <w:marLeft w:val="0"/>
      <w:marRight w:val="0"/>
      <w:marTop w:val="0"/>
      <w:marBottom w:val="0"/>
      <w:divBdr>
        <w:top w:val="none" w:sz="0" w:space="0" w:color="auto"/>
        <w:left w:val="none" w:sz="0" w:space="0" w:color="auto"/>
        <w:bottom w:val="none" w:sz="0" w:space="0" w:color="auto"/>
        <w:right w:val="none" w:sz="0" w:space="0" w:color="auto"/>
      </w:divBdr>
    </w:div>
    <w:div w:id="2133789402">
      <w:bodyDiv w:val="1"/>
      <w:marLeft w:val="0"/>
      <w:marRight w:val="0"/>
      <w:marTop w:val="0"/>
      <w:marBottom w:val="0"/>
      <w:divBdr>
        <w:top w:val="none" w:sz="0" w:space="0" w:color="auto"/>
        <w:left w:val="none" w:sz="0" w:space="0" w:color="auto"/>
        <w:bottom w:val="none" w:sz="0" w:space="0" w:color="auto"/>
        <w:right w:val="none" w:sz="0" w:space="0" w:color="auto"/>
      </w:divBdr>
    </w:div>
    <w:div w:id="2133862267">
      <w:bodyDiv w:val="1"/>
      <w:marLeft w:val="0"/>
      <w:marRight w:val="0"/>
      <w:marTop w:val="0"/>
      <w:marBottom w:val="0"/>
      <w:divBdr>
        <w:top w:val="none" w:sz="0" w:space="0" w:color="auto"/>
        <w:left w:val="none" w:sz="0" w:space="0" w:color="auto"/>
        <w:bottom w:val="none" w:sz="0" w:space="0" w:color="auto"/>
        <w:right w:val="none" w:sz="0" w:space="0" w:color="auto"/>
      </w:divBdr>
    </w:div>
    <w:div w:id="2134323018">
      <w:bodyDiv w:val="1"/>
      <w:marLeft w:val="0"/>
      <w:marRight w:val="0"/>
      <w:marTop w:val="0"/>
      <w:marBottom w:val="0"/>
      <w:divBdr>
        <w:top w:val="none" w:sz="0" w:space="0" w:color="auto"/>
        <w:left w:val="none" w:sz="0" w:space="0" w:color="auto"/>
        <w:bottom w:val="none" w:sz="0" w:space="0" w:color="auto"/>
        <w:right w:val="none" w:sz="0" w:space="0" w:color="auto"/>
      </w:divBdr>
    </w:div>
    <w:div w:id="2134591871">
      <w:bodyDiv w:val="1"/>
      <w:marLeft w:val="0"/>
      <w:marRight w:val="0"/>
      <w:marTop w:val="0"/>
      <w:marBottom w:val="0"/>
      <w:divBdr>
        <w:top w:val="none" w:sz="0" w:space="0" w:color="auto"/>
        <w:left w:val="none" w:sz="0" w:space="0" w:color="auto"/>
        <w:bottom w:val="none" w:sz="0" w:space="0" w:color="auto"/>
        <w:right w:val="none" w:sz="0" w:space="0" w:color="auto"/>
      </w:divBdr>
    </w:div>
    <w:div w:id="2134669342">
      <w:bodyDiv w:val="1"/>
      <w:marLeft w:val="0"/>
      <w:marRight w:val="0"/>
      <w:marTop w:val="0"/>
      <w:marBottom w:val="0"/>
      <w:divBdr>
        <w:top w:val="none" w:sz="0" w:space="0" w:color="auto"/>
        <w:left w:val="none" w:sz="0" w:space="0" w:color="auto"/>
        <w:bottom w:val="none" w:sz="0" w:space="0" w:color="auto"/>
        <w:right w:val="none" w:sz="0" w:space="0" w:color="auto"/>
      </w:divBdr>
    </w:div>
    <w:div w:id="2134933280">
      <w:bodyDiv w:val="1"/>
      <w:marLeft w:val="0"/>
      <w:marRight w:val="0"/>
      <w:marTop w:val="0"/>
      <w:marBottom w:val="0"/>
      <w:divBdr>
        <w:top w:val="none" w:sz="0" w:space="0" w:color="auto"/>
        <w:left w:val="none" w:sz="0" w:space="0" w:color="auto"/>
        <w:bottom w:val="none" w:sz="0" w:space="0" w:color="auto"/>
        <w:right w:val="none" w:sz="0" w:space="0" w:color="auto"/>
      </w:divBdr>
    </w:div>
    <w:div w:id="2135129402">
      <w:bodyDiv w:val="1"/>
      <w:marLeft w:val="0"/>
      <w:marRight w:val="0"/>
      <w:marTop w:val="0"/>
      <w:marBottom w:val="0"/>
      <w:divBdr>
        <w:top w:val="none" w:sz="0" w:space="0" w:color="auto"/>
        <w:left w:val="none" w:sz="0" w:space="0" w:color="auto"/>
        <w:bottom w:val="none" w:sz="0" w:space="0" w:color="auto"/>
        <w:right w:val="none" w:sz="0" w:space="0" w:color="auto"/>
      </w:divBdr>
    </w:div>
    <w:div w:id="2136023377">
      <w:bodyDiv w:val="1"/>
      <w:marLeft w:val="0"/>
      <w:marRight w:val="0"/>
      <w:marTop w:val="0"/>
      <w:marBottom w:val="0"/>
      <w:divBdr>
        <w:top w:val="none" w:sz="0" w:space="0" w:color="auto"/>
        <w:left w:val="none" w:sz="0" w:space="0" w:color="auto"/>
        <w:bottom w:val="none" w:sz="0" w:space="0" w:color="auto"/>
        <w:right w:val="none" w:sz="0" w:space="0" w:color="auto"/>
      </w:divBdr>
    </w:div>
    <w:div w:id="2136826195">
      <w:bodyDiv w:val="1"/>
      <w:marLeft w:val="0"/>
      <w:marRight w:val="0"/>
      <w:marTop w:val="0"/>
      <w:marBottom w:val="0"/>
      <w:divBdr>
        <w:top w:val="none" w:sz="0" w:space="0" w:color="auto"/>
        <w:left w:val="none" w:sz="0" w:space="0" w:color="auto"/>
        <w:bottom w:val="none" w:sz="0" w:space="0" w:color="auto"/>
        <w:right w:val="none" w:sz="0" w:space="0" w:color="auto"/>
      </w:divBdr>
    </w:div>
    <w:div w:id="2137529387">
      <w:bodyDiv w:val="1"/>
      <w:marLeft w:val="0"/>
      <w:marRight w:val="0"/>
      <w:marTop w:val="0"/>
      <w:marBottom w:val="0"/>
      <w:divBdr>
        <w:top w:val="none" w:sz="0" w:space="0" w:color="auto"/>
        <w:left w:val="none" w:sz="0" w:space="0" w:color="auto"/>
        <w:bottom w:val="none" w:sz="0" w:space="0" w:color="auto"/>
        <w:right w:val="none" w:sz="0" w:space="0" w:color="auto"/>
      </w:divBdr>
    </w:div>
    <w:div w:id="2139033925">
      <w:bodyDiv w:val="1"/>
      <w:marLeft w:val="0"/>
      <w:marRight w:val="0"/>
      <w:marTop w:val="0"/>
      <w:marBottom w:val="0"/>
      <w:divBdr>
        <w:top w:val="none" w:sz="0" w:space="0" w:color="auto"/>
        <w:left w:val="none" w:sz="0" w:space="0" w:color="auto"/>
        <w:bottom w:val="none" w:sz="0" w:space="0" w:color="auto"/>
        <w:right w:val="none" w:sz="0" w:space="0" w:color="auto"/>
      </w:divBdr>
    </w:div>
    <w:div w:id="2139258794">
      <w:bodyDiv w:val="1"/>
      <w:marLeft w:val="0"/>
      <w:marRight w:val="0"/>
      <w:marTop w:val="0"/>
      <w:marBottom w:val="0"/>
      <w:divBdr>
        <w:top w:val="none" w:sz="0" w:space="0" w:color="auto"/>
        <w:left w:val="none" w:sz="0" w:space="0" w:color="auto"/>
        <w:bottom w:val="none" w:sz="0" w:space="0" w:color="auto"/>
        <w:right w:val="none" w:sz="0" w:space="0" w:color="auto"/>
      </w:divBdr>
    </w:div>
    <w:div w:id="2139642885">
      <w:bodyDiv w:val="1"/>
      <w:marLeft w:val="0"/>
      <w:marRight w:val="0"/>
      <w:marTop w:val="0"/>
      <w:marBottom w:val="0"/>
      <w:divBdr>
        <w:top w:val="none" w:sz="0" w:space="0" w:color="auto"/>
        <w:left w:val="none" w:sz="0" w:space="0" w:color="auto"/>
        <w:bottom w:val="none" w:sz="0" w:space="0" w:color="auto"/>
        <w:right w:val="none" w:sz="0" w:space="0" w:color="auto"/>
      </w:divBdr>
    </w:div>
    <w:div w:id="2139643054">
      <w:bodyDiv w:val="1"/>
      <w:marLeft w:val="0"/>
      <w:marRight w:val="0"/>
      <w:marTop w:val="0"/>
      <w:marBottom w:val="0"/>
      <w:divBdr>
        <w:top w:val="none" w:sz="0" w:space="0" w:color="auto"/>
        <w:left w:val="none" w:sz="0" w:space="0" w:color="auto"/>
        <w:bottom w:val="none" w:sz="0" w:space="0" w:color="auto"/>
        <w:right w:val="none" w:sz="0" w:space="0" w:color="auto"/>
      </w:divBdr>
    </w:div>
    <w:div w:id="2139839433">
      <w:bodyDiv w:val="1"/>
      <w:marLeft w:val="0"/>
      <w:marRight w:val="0"/>
      <w:marTop w:val="0"/>
      <w:marBottom w:val="0"/>
      <w:divBdr>
        <w:top w:val="none" w:sz="0" w:space="0" w:color="auto"/>
        <w:left w:val="none" w:sz="0" w:space="0" w:color="auto"/>
        <w:bottom w:val="none" w:sz="0" w:space="0" w:color="auto"/>
        <w:right w:val="none" w:sz="0" w:space="0" w:color="auto"/>
      </w:divBdr>
    </w:div>
    <w:div w:id="2139912689">
      <w:bodyDiv w:val="1"/>
      <w:marLeft w:val="0"/>
      <w:marRight w:val="0"/>
      <w:marTop w:val="0"/>
      <w:marBottom w:val="0"/>
      <w:divBdr>
        <w:top w:val="none" w:sz="0" w:space="0" w:color="auto"/>
        <w:left w:val="none" w:sz="0" w:space="0" w:color="auto"/>
        <w:bottom w:val="none" w:sz="0" w:space="0" w:color="auto"/>
        <w:right w:val="none" w:sz="0" w:space="0" w:color="auto"/>
      </w:divBdr>
    </w:div>
    <w:div w:id="2141074519">
      <w:bodyDiv w:val="1"/>
      <w:marLeft w:val="0"/>
      <w:marRight w:val="0"/>
      <w:marTop w:val="0"/>
      <w:marBottom w:val="0"/>
      <w:divBdr>
        <w:top w:val="none" w:sz="0" w:space="0" w:color="auto"/>
        <w:left w:val="none" w:sz="0" w:space="0" w:color="auto"/>
        <w:bottom w:val="none" w:sz="0" w:space="0" w:color="auto"/>
        <w:right w:val="none" w:sz="0" w:space="0" w:color="auto"/>
      </w:divBdr>
    </w:div>
    <w:div w:id="2141682632">
      <w:bodyDiv w:val="1"/>
      <w:marLeft w:val="0"/>
      <w:marRight w:val="0"/>
      <w:marTop w:val="0"/>
      <w:marBottom w:val="0"/>
      <w:divBdr>
        <w:top w:val="none" w:sz="0" w:space="0" w:color="auto"/>
        <w:left w:val="none" w:sz="0" w:space="0" w:color="auto"/>
        <w:bottom w:val="none" w:sz="0" w:space="0" w:color="auto"/>
        <w:right w:val="none" w:sz="0" w:space="0" w:color="auto"/>
      </w:divBdr>
    </w:div>
    <w:div w:id="2141996536">
      <w:bodyDiv w:val="1"/>
      <w:marLeft w:val="0"/>
      <w:marRight w:val="0"/>
      <w:marTop w:val="0"/>
      <w:marBottom w:val="0"/>
      <w:divBdr>
        <w:top w:val="none" w:sz="0" w:space="0" w:color="auto"/>
        <w:left w:val="none" w:sz="0" w:space="0" w:color="auto"/>
        <w:bottom w:val="none" w:sz="0" w:space="0" w:color="auto"/>
        <w:right w:val="none" w:sz="0" w:space="0" w:color="auto"/>
      </w:divBdr>
    </w:div>
    <w:div w:id="2142258692">
      <w:bodyDiv w:val="1"/>
      <w:marLeft w:val="0"/>
      <w:marRight w:val="0"/>
      <w:marTop w:val="0"/>
      <w:marBottom w:val="0"/>
      <w:divBdr>
        <w:top w:val="none" w:sz="0" w:space="0" w:color="auto"/>
        <w:left w:val="none" w:sz="0" w:space="0" w:color="auto"/>
        <w:bottom w:val="none" w:sz="0" w:space="0" w:color="auto"/>
        <w:right w:val="none" w:sz="0" w:space="0" w:color="auto"/>
      </w:divBdr>
    </w:div>
    <w:div w:id="2142259696">
      <w:bodyDiv w:val="1"/>
      <w:marLeft w:val="0"/>
      <w:marRight w:val="0"/>
      <w:marTop w:val="0"/>
      <w:marBottom w:val="0"/>
      <w:divBdr>
        <w:top w:val="none" w:sz="0" w:space="0" w:color="auto"/>
        <w:left w:val="none" w:sz="0" w:space="0" w:color="auto"/>
        <w:bottom w:val="none" w:sz="0" w:space="0" w:color="auto"/>
        <w:right w:val="none" w:sz="0" w:space="0" w:color="auto"/>
      </w:divBdr>
    </w:div>
    <w:div w:id="2142337719">
      <w:bodyDiv w:val="1"/>
      <w:marLeft w:val="0"/>
      <w:marRight w:val="0"/>
      <w:marTop w:val="0"/>
      <w:marBottom w:val="0"/>
      <w:divBdr>
        <w:top w:val="none" w:sz="0" w:space="0" w:color="auto"/>
        <w:left w:val="none" w:sz="0" w:space="0" w:color="auto"/>
        <w:bottom w:val="none" w:sz="0" w:space="0" w:color="auto"/>
        <w:right w:val="none" w:sz="0" w:space="0" w:color="auto"/>
      </w:divBdr>
    </w:div>
    <w:div w:id="2142570066">
      <w:bodyDiv w:val="1"/>
      <w:marLeft w:val="0"/>
      <w:marRight w:val="0"/>
      <w:marTop w:val="0"/>
      <w:marBottom w:val="0"/>
      <w:divBdr>
        <w:top w:val="none" w:sz="0" w:space="0" w:color="auto"/>
        <w:left w:val="none" w:sz="0" w:space="0" w:color="auto"/>
        <w:bottom w:val="none" w:sz="0" w:space="0" w:color="auto"/>
        <w:right w:val="none" w:sz="0" w:space="0" w:color="auto"/>
      </w:divBdr>
    </w:div>
    <w:div w:id="2144108478">
      <w:bodyDiv w:val="1"/>
      <w:marLeft w:val="0"/>
      <w:marRight w:val="0"/>
      <w:marTop w:val="0"/>
      <w:marBottom w:val="0"/>
      <w:divBdr>
        <w:top w:val="none" w:sz="0" w:space="0" w:color="auto"/>
        <w:left w:val="none" w:sz="0" w:space="0" w:color="auto"/>
        <w:bottom w:val="none" w:sz="0" w:space="0" w:color="auto"/>
        <w:right w:val="none" w:sz="0" w:space="0" w:color="auto"/>
      </w:divBdr>
    </w:div>
    <w:div w:id="2144812262">
      <w:bodyDiv w:val="1"/>
      <w:marLeft w:val="0"/>
      <w:marRight w:val="0"/>
      <w:marTop w:val="0"/>
      <w:marBottom w:val="0"/>
      <w:divBdr>
        <w:top w:val="none" w:sz="0" w:space="0" w:color="auto"/>
        <w:left w:val="none" w:sz="0" w:space="0" w:color="auto"/>
        <w:bottom w:val="none" w:sz="0" w:space="0" w:color="auto"/>
        <w:right w:val="none" w:sz="0" w:space="0" w:color="auto"/>
      </w:divBdr>
    </w:div>
    <w:div w:id="2145151183">
      <w:bodyDiv w:val="1"/>
      <w:marLeft w:val="0"/>
      <w:marRight w:val="0"/>
      <w:marTop w:val="0"/>
      <w:marBottom w:val="0"/>
      <w:divBdr>
        <w:top w:val="none" w:sz="0" w:space="0" w:color="auto"/>
        <w:left w:val="none" w:sz="0" w:space="0" w:color="auto"/>
        <w:bottom w:val="none" w:sz="0" w:space="0" w:color="auto"/>
        <w:right w:val="none" w:sz="0" w:space="0" w:color="auto"/>
      </w:divBdr>
    </w:div>
    <w:div w:id="2145345337">
      <w:bodyDiv w:val="1"/>
      <w:marLeft w:val="0"/>
      <w:marRight w:val="0"/>
      <w:marTop w:val="0"/>
      <w:marBottom w:val="0"/>
      <w:divBdr>
        <w:top w:val="none" w:sz="0" w:space="0" w:color="auto"/>
        <w:left w:val="none" w:sz="0" w:space="0" w:color="auto"/>
        <w:bottom w:val="none" w:sz="0" w:space="0" w:color="auto"/>
        <w:right w:val="none" w:sz="0" w:space="0" w:color="auto"/>
      </w:divBdr>
    </w:div>
    <w:div w:id="214692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frc.org.uk/auditorsresponsi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frc.org.uk/auditors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CE5CC532301940862F02A27266992E" ma:contentTypeVersion="14" ma:contentTypeDescription="Create a new document." ma:contentTypeScope="" ma:versionID="1b996c669dfd22ab859e05d163d75583">
  <xsd:schema xmlns:xsd="http://www.w3.org/2001/XMLSchema" xmlns:xs="http://www.w3.org/2001/XMLSchema" xmlns:p="http://schemas.microsoft.com/office/2006/metadata/properties" xmlns:ns2="fc767eda-248f-4d69-aa6e-eb5b4241493f" xmlns:ns3="e271e2c0-6de9-46e2-86e3-0251f364abfd" targetNamespace="http://schemas.microsoft.com/office/2006/metadata/properties" ma:root="true" ma:fieldsID="d646a3dc6782f0a2e4252f857bd01481" ns2:_="" ns3:_="">
    <xsd:import namespace="fc767eda-248f-4d69-aa6e-eb5b4241493f"/>
    <xsd:import namespace="e271e2c0-6de9-46e2-86e3-0251f364a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67eda-248f-4d69-aa6e-eb5b42414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d78728-696e-440c-b1aa-9a4378b9e0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1e2c0-6de9-46e2-86e3-0251f364a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7eb700-d16d-46b6-a3d2-a6b6b3437884}" ma:internalName="TaxCatchAll" ma:showField="CatchAllData" ma:web="e271e2c0-6de9-46e2-86e3-0251f364a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67eda-248f-4d69-aa6e-eb5b4241493f">
      <Terms xmlns="http://schemas.microsoft.com/office/infopath/2007/PartnerControls"/>
    </lcf76f155ced4ddcb4097134ff3c332f>
    <TaxCatchAll xmlns="e271e2c0-6de9-46e2-86e3-0251f364abfd" xsi:nil="true"/>
  </documentManagement>
</p:properties>
</file>

<file path=customXml/itemProps1.xml><?xml version="1.0" encoding="utf-8"?>
<ds:datastoreItem xmlns:ds="http://schemas.openxmlformats.org/officeDocument/2006/customXml" ds:itemID="{A0D4F089-69DB-4B32-9D5B-3F54FA5F6EFC}">
  <ds:schemaRefs>
    <ds:schemaRef ds:uri="http://schemas.openxmlformats.org/officeDocument/2006/bibliography"/>
  </ds:schemaRefs>
</ds:datastoreItem>
</file>

<file path=customXml/itemProps2.xml><?xml version="1.0" encoding="utf-8"?>
<ds:datastoreItem xmlns:ds="http://schemas.openxmlformats.org/officeDocument/2006/customXml" ds:itemID="{2AA1C68C-6846-4ECE-82D2-72A95CFE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67eda-248f-4d69-aa6e-eb5b4241493f"/>
    <ds:schemaRef ds:uri="e271e2c0-6de9-46e2-86e3-0251f364a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7ABEB-34A9-48EC-A7DE-2DFC43A1B059}">
  <ds:schemaRefs>
    <ds:schemaRef ds:uri="http://schemas.microsoft.com/sharepoint/v3/contenttype/forms"/>
  </ds:schemaRefs>
</ds:datastoreItem>
</file>

<file path=customXml/itemProps4.xml><?xml version="1.0" encoding="utf-8"?>
<ds:datastoreItem xmlns:ds="http://schemas.openxmlformats.org/officeDocument/2006/customXml" ds:itemID="{DB647F10-8D75-4C5B-AD4A-7721EF9DD953}">
  <ds:schemaRefs>
    <ds:schemaRef ds:uri="http://schemas.microsoft.com/office/2006/metadata/properties"/>
    <ds:schemaRef ds:uri="http://schemas.microsoft.com/office/infopath/2007/PartnerControls"/>
    <ds:schemaRef ds:uri="fc767eda-248f-4d69-aa6e-eb5b4241493f"/>
    <ds:schemaRef ds:uri="e271e2c0-6de9-46e2-86e3-0251f364abf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29857</Words>
  <Characters>170190</Characters>
  <Application>Microsoft Office Word</Application>
  <DocSecurity>4</DocSecurity>
  <Lines>1418</Lines>
  <Paragraphs>399</Paragraphs>
  <ScaleCrop>false</ScaleCrop>
  <Company>Northants County Council</Company>
  <LinksUpToDate>false</LinksUpToDate>
  <CharactersWithSpaces>199648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Savage</dc:creator>
  <cp:keywords/>
  <dc:description/>
  <cp:lastModifiedBy>Starczewska-Brence Kate</cp:lastModifiedBy>
  <cp:revision>2</cp:revision>
  <cp:lastPrinted>2025-06-13T01:55:00Z</cp:lastPrinted>
  <dcterms:created xsi:type="dcterms:W3CDTF">2026-02-27T14:24:00Z</dcterms:created>
  <dcterms:modified xsi:type="dcterms:W3CDTF">2026-02-27T14:24:00Z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2023-05-02T09:20:34Z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
  </property>
  <property fmtid="{D5CDD505-2E9C-101B-9397-08002B2CF9AE}" pid="8" name="MSIP_Label_d9cd4a6a-7014-48d6-b119-9b8b87129a7e_ContentBits">
    <vt:lpwstr>0</vt:lpwstr>
  </property>
  <property fmtid="{D5CDD505-2E9C-101B-9397-08002B2CF9AE}" pid="9" name="ContentTypeId">
    <vt:lpwstr>0x01010003CE5CC532301940862F02A27266992E</vt:lpwstr>
  </property>
  <property fmtid="{D5CDD505-2E9C-101B-9397-08002B2CF9AE}" pid="10" name="MediaServiceImageTags">
    <vt:lpwstr/>
  </property>
</Properties>
</file>