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03A9" w14:textId="6CC5FBBC" w:rsidR="000E0C84" w:rsidRDefault="00B17E6B" w:rsidP="000E0C84">
      <w:pPr>
        <w:rPr>
          <w:b/>
        </w:rPr>
      </w:pPr>
      <w:r>
        <w:rPr>
          <w:b/>
        </w:rPr>
        <w:t xml:space="preserve"> </w:t>
      </w:r>
      <w:r w:rsidR="000E0C84" w:rsidRPr="000E0C84">
        <w:rPr>
          <w:b/>
        </w:rPr>
        <w:t>INTERNAL AUDIT</w:t>
      </w:r>
      <w:r w:rsidR="00B31A20">
        <w:rPr>
          <w:b/>
        </w:rPr>
        <w:t xml:space="preserve"> RECOMMENDATIONS</w:t>
      </w:r>
      <w:r w:rsidR="000E0C84" w:rsidRPr="000E0C84">
        <w:rPr>
          <w:b/>
        </w:rPr>
        <w:t xml:space="preserve"> DASHBOARD </w:t>
      </w:r>
    </w:p>
    <w:p w14:paraId="7046A51A" w14:textId="77777777" w:rsidR="00FE734F" w:rsidRDefault="00FE734F" w:rsidP="000E0C84">
      <w:pPr>
        <w:rPr>
          <w:b/>
        </w:rPr>
      </w:pPr>
    </w:p>
    <w:p w14:paraId="46B6E3D0" w14:textId="714E85D7" w:rsidR="00FE734F" w:rsidRDefault="00747ECD" w:rsidP="0056769E">
      <w:pPr>
        <w:spacing w:line="360" w:lineRule="auto"/>
      </w:pPr>
      <w:r w:rsidRPr="00FC0793">
        <w:rPr>
          <w:b/>
          <w:u w:val="single"/>
        </w:rPr>
        <w:t>Summary of Audit Outcomes Audits</w:t>
      </w:r>
      <w:r w:rsidR="00FC0793" w:rsidRPr="00FC0793">
        <w:rPr>
          <w:u w:val="single"/>
        </w:rPr>
        <w:t xml:space="preserve"> </w:t>
      </w:r>
      <w:r w:rsidR="00FC0793" w:rsidRPr="00FC0793">
        <w:rPr>
          <w:b/>
          <w:u w:val="single"/>
        </w:rPr>
        <w:t>for Mazars (from 2023/24)</w:t>
      </w:r>
      <w:r>
        <w:t xml:space="preserve"> </w:t>
      </w:r>
    </w:p>
    <w:p w14:paraId="71E7C724" w14:textId="77777777" w:rsidR="00FC0793" w:rsidRDefault="00FC0793" w:rsidP="005D0C00">
      <w:r>
        <w:t xml:space="preserve">Audits </w:t>
      </w:r>
      <w:r w:rsidR="00747ECD">
        <w:t xml:space="preserve">are graded as Unsatisfactory Assurance, Limited Assurance, Moderate Assurance or Substantial Assurance. </w:t>
      </w:r>
    </w:p>
    <w:p w14:paraId="09440FFF" w14:textId="770EFA46" w:rsidR="00A6769D" w:rsidRDefault="00747ECD" w:rsidP="005D0C00">
      <w:r>
        <w:t xml:space="preserve">Recommendations are prioritised as </w:t>
      </w:r>
      <w:r w:rsidR="00DC1F32">
        <w:t>High Priority, Medium Priority or Low Priority</w:t>
      </w:r>
      <w:r>
        <w:t xml:space="preserve"> to reflect the assessment of risk associated with the control weaknesses. </w:t>
      </w:r>
    </w:p>
    <w:p w14:paraId="14A44CF0" w14:textId="78545BA5" w:rsidR="00196286" w:rsidRDefault="00196286" w:rsidP="005D0C00"/>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3"/>
        <w:gridCol w:w="1276"/>
        <w:gridCol w:w="3686"/>
        <w:gridCol w:w="1842"/>
        <w:gridCol w:w="1560"/>
        <w:gridCol w:w="1417"/>
      </w:tblGrid>
      <w:tr w:rsidR="00196286" w:rsidRPr="000E0C84" w14:paraId="12488F55" w14:textId="77777777" w:rsidTr="007A7F18">
        <w:trPr>
          <w:trHeight w:val="207"/>
          <w:tblHeader/>
        </w:trPr>
        <w:tc>
          <w:tcPr>
            <w:tcW w:w="4603"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6BEB8401" w14:textId="0179B394" w:rsidR="00196286" w:rsidRPr="002B7CF3" w:rsidRDefault="00196286" w:rsidP="007A7F18">
            <w:pPr>
              <w:rPr>
                <w:b/>
                <w:color w:val="FFFFFF" w:themeColor="background1"/>
                <w:sz w:val="20"/>
                <w:szCs w:val="20"/>
              </w:rPr>
            </w:pPr>
            <w:r w:rsidRPr="002B7CF3">
              <w:rPr>
                <w:b/>
                <w:color w:val="FFFFFF" w:themeColor="background1"/>
                <w:sz w:val="20"/>
                <w:szCs w:val="20"/>
              </w:rPr>
              <w:t>AUDIT</w:t>
            </w:r>
            <w:r w:rsidR="006176A4">
              <w:rPr>
                <w:b/>
                <w:color w:val="FFFFFF" w:themeColor="background1"/>
                <w:sz w:val="20"/>
                <w:szCs w:val="20"/>
              </w:rPr>
              <w:t xml:space="preserve"> 23/24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45340403" w14:textId="77777777" w:rsidR="00196286" w:rsidRPr="002B7CF3" w:rsidRDefault="00196286" w:rsidP="007A7F18">
            <w:pPr>
              <w:rPr>
                <w:b/>
                <w:color w:val="FFFFFF" w:themeColor="background1"/>
                <w:sz w:val="20"/>
                <w:szCs w:val="20"/>
              </w:rPr>
            </w:pPr>
            <w:r w:rsidRPr="002B7CF3">
              <w:rPr>
                <w:b/>
                <w:color w:val="FFFFFF" w:themeColor="background1"/>
                <w:sz w:val="20"/>
                <w:szCs w:val="20"/>
              </w:rPr>
              <w:t>DATE</w:t>
            </w:r>
          </w:p>
        </w:tc>
        <w:tc>
          <w:tcPr>
            <w:tcW w:w="3686" w:type="dxa"/>
            <w:vMerge w:val="restart"/>
            <w:tcBorders>
              <w:top w:val="single" w:sz="4" w:space="0" w:color="auto"/>
              <w:left w:val="single" w:sz="4" w:space="0" w:color="auto"/>
              <w:right w:val="single" w:sz="4" w:space="0" w:color="auto"/>
            </w:tcBorders>
            <w:shd w:val="clear" w:color="auto" w:fill="CC0000"/>
            <w:vAlign w:val="center"/>
          </w:tcPr>
          <w:p w14:paraId="778AC56C" w14:textId="77777777" w:rsidR="00196286" w:rsidRPr="002B7CF3" w:rsidRDefault="00196286" w:rsidP="007A7F18">
            <w:pPr>
              <w:rPr>
                <w:b/>
                <w:color w:val="FFFFFF" w:themeColor="background1"/>
                <w:sz w:val="20"/>
                <w:szCs w:val="20"/>
              </w:rPr>
            </w:pPr>
            <w:r>
              <w:rPr>
                <w:b/>
                <w:color w:val="FFFFFF" w:themeColor="background1"/>
                <w:sz w:val="20"/>
                <w:szCs w:val="20"/>
              </w:rPr>
              <w:t>Assurance levels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CC0000"/>
          </w:tcPr>
          <w:p w14:paraId="21C4B460" w14:textId="77777777" w:rsidR="00196286" w:rsidRPr="002B7CF3" w:rsidRDefault="00196286" w:rsidP="007A7F18">
            <w:pPr>
              <w:rPr>
                <w:b/>
                <w:color w:val="FFFFFF" w:themeColor="background1"/>
                <w:sz w:val="20"/>
                <w:szCs w:val="20"/>
              </w:rPr>
            </w:pPr>
            <w:r>
              <w:rPr>
                <w:b/>
                <w:color w:val="FFFFFF" w:themeColor="background1"/>
                <w:sz w:val="20"/>
                <w:szCs w:val="20"/>
              </w:rPr>
              <w:t>Agreed Action plans</w:t>
            </w:r>
          </w:p>
        </w:tc>
      </w:tr>
      <w:tr w:rsidR="00196286" w:rsidRPr="000E0C84" w14:paraId="560F8926" w14:textId="77777777" w:rsidTr="007A7F18">
        <w:trPr>
          <w:trHeight w:val="207"/>
          <w:tblHeader/>
        </w:trPr>
        <w:tc>
          <w:tcPr>
            <w:tcW w:w="46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F7C29" w14:textId="77777777" w:rsidR="00196286" w:rsidRPr="002B7CF3" w:rsidRDefault="00196286" w:rsidP="007A7F18">
            <w:pPr>
              <w:rPr>
                <w:b/>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3AE0EC" w14:textId="77777777" w:rsidR="00196286" w:rsidRPr="002B7CF3" w:rsidRDefault="00196286" w:rsidP="007A7F18">
            <w:pPr>
              <w:rPr>
                <w:b/>
                <w:sz w:val="20"/>
                <w:szCs w:val="20"/>
              </w:rPr>
            </w:pPr>
          </w:p>
        </w:tc>
        <w:tc>
          <w:tcPr>
            <w:tcW w:w="3686" w:type="dxa"/>
            <w:vMerge/>
            <w:tcBorders>
              <w:left w:val="single" w:sz="4" w:space="0" w:color="auto"/>
              <w:bottom w:val="single" w:sz="4" w:space="0" w:color="auto"/>
              <w:right w:val="single" w:sz="4" w:space="0" w:color="auto"/>
            </w:tcBorders>
          </w:tcPr>
          <w:p w14:paraId="7CD3A821" w14:textId="77777777" w:rsidR="00196286" w:rsidRPr="002B7CF3" w:rsidRDefault="00196286" w:rsidP="007A7F18">
            <w:pPr>
              <w:jc w:val="center"/>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tcPr>
          <w:p w14:paraId="5EE5F77E" w14:textId="77777777" w:rsidR="00196286" w:rsidRPr="00922ACB" w:rsidRDefault="00196286" w:rsidP="007A7F18">
            <w:pPr>
              <w:jc w:val="center"/>
              <w:rPr>
                <w:b/>
                <w:sz w:val="20"/>
                <w:szCs w:val="20"/>
                <w:u w:val="single"/>
              </w:rPr>
            </w:pPr>
            <w:r w:rsidRPr="00A37351">
              <w:rPr>
                <w:b/>
                <w:color w:val="FFFFFF" w:themeColor="background1"/>
                <w:sz w:val="20"/>
                <w:szCs w:val="20"/>
                <w:u w:val="single"/>
              </w:rPr>
              <w:t>High</w:t>
            </w:r>
          </w:p>
        </w:tc>
        <w:tc>
          <w:tcPr>
            <w:tcW w:w="1560" w:type="dxa"/>
            <w:tcBorders>
              <w:top w:val="single" w:sz="4" w:space="0" w:color="auto"/>
              <w:left w:val="single" w:sz="4" w:space="0" w:color="auto"/>
              <w:bottom w:val="single" w:sz="4" w:space="0" w:color="auto"/>
              <w:right w:val="single" w:sz="4" w:space="0" w:color="auto"/>
            </w:tcBorders>
            <w:shd w:val="clear" w:color="auto" w:fill="FFC000"/>
            <w:vAlign w:val="center"/>
          </w:tcPr>
          <w:p w14:paraId="37548034" w14:textId="77777777" w:rsidR="00196286" w:rsidRPr="00922ACB" w:rsidRDefault="00196286" w:rsidP="007A7F18">
            <w:pPr>
              <w:jc w:val="center"/>
              <w:rPr>
                <w:b/>
                <w:sz w:val="20"/>
                <w:szCs w:val="20"/>
                <w:u w:val="single"/>
              </w:rPr>
            </w:pPr>
            <w:r w:rsidRPr="00A37351">
              <w:rPr>
                <w:b/>
                <w:color w:val="FFFFFF" w:themeColor="background1"/>
                <w:sz w:val="20"/>
                <w:szCs w:val="20"/>
                <w:u w:val="single"/>
              </w:rPr>
              <w:t>Medium</w:t>
            </w:r>
          </w:p>
        </w:tc>
        <w:tc>
          <w:tcPr>
            <w:tcW w:w="1417" w:type="dxa"/>
            <w:tcBorders>
              <w:left w:val="single" w:sz="4" w:space="0" w:color="auto"/>
              <w:bottom w:val="single" w:sz="4" w:space="0" w:color="auto"/>
              <w:right w:val="single" w:sz="4" w:space="0" w:color="auto"/>
            </w:tcBorders>
            <w:shd w:val="clear" w:color="auto" w:fill="92D050"/>
            <w:vAlign w:val="center"/>
          </w:tcPr>
          <w:p w14:paraId="3FC72627" w14:textId="77777777" w:rsidR="00196286" w:rsidRPr="00922ACB" w:rsidRDefault="00196286" w:rsidP="007A7F18">
            <w:pPr>
              <w:jc w:val="center"/>
              <w:rPr>
                <w:b/>
                <w:sz w:val="20"/>
                <w:szCs w:val="20"/>
                <w:u w:val="single"/>
              </w:rPr>
            </w:pPr>
            <w:r w:rsidRPr="00A37351">
              <w:rPr>
                <w:b/>
                <w:color w:val="FFFFFF" w:themeColor="background1"/>
                <w:sz w:val="20"/>
                <w:szCs w:val="20"/>
                <w:u w:val="single"/>
              </w:rPr>
              <w:t>Low</w:t>
            </w:r>
          </w:p>
        </w:tc>
      </w:tr>
      <w:tr w:rsidR="00196286" w:rsidRPr="000E0C84" w14:paraId="50CD1469"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2D0D4E9F" w14:textId="77777777" w:rsidR="00196286" w:rsidRPr="00A75212" w:rsidRDefault="00196286" w:rsidP="007A7F18">
            <w:pPr>
              <w:rPr>
                <w:bCs/>
                <w:sz w:val="18"/>
                <w:szCs w:val="18"/>
              </w:rPr>
            </w:pPr>
            <w:r>
              <w:rPr>
                <w:bCs/>
                <w:sz w:val="18"/>
                <w:szCs w:val="18"/>
              </w:rPr>
              <w:t xml:space="preserve">Risk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28DFF1A" w14:textId="77777777" w:rsidR="00196286" w:rsidRPr="000E0C84" w:rsidRDefault="00196286" w:rsidP="007A7F18">
            <w:pPr>
              <w:rPr>
                <w:sz w:val="18"/>
                <w:szCs w:val="18"/>
              </w:rPr>
            </w:pPr>
            <w:r>
              <w:rPr>
                <w:sz w:val="18"/>
                <w:szCs w:val="18"/>
              </w:rPr>
              <w:t>Jan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4C808460"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vAlign w:val="center"/>
          </w:tcPr>
          <w:p w14:paraId="7963417F" w14:textId="77777777" w:rsidR="00196286" w:rsidRPr="000E0C84"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FD4912E" w14:textId="77777777" w:rsidR="00196286" w:rsidRPr="000E0C84" w:rsidRDefault="00196286" w:rsidP="007A7F18">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D28F37" w14:textId="77777777" w:rsidR="00196286" w:rsidRPr="000E0C84" w:rsidRDefault="00196286" w:rsidP="007A7F18">
            <w:pPr>
              <w:jc w:val="center"/>
              <w:rPr>
                <w:sz w:val="18"/>
                <w:szCs w:val="18"/>
              </w:rPr>
            </w:pPr>
            <w:r>
              <w:rPr>
                <w:sz w:val="18"/>
                <w:szCs w:val="18"/>
              </w:rPr>
              <w:t>2</w:t>
            </w:r>
          </w:p>
        </w:tc>
      </w:tr>
      <w:tr w:rsidR="00196286" w:rsidRPr="004128C5" w14:paraId="53EF54CA"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6694DB68" w14:textId="77777777" w:rsidR="00196286" w:rsidRPr="00830BF8" w:rsidRDefault="00196286" w:rsidP="007A7F18">
            <w:pPr>
              <w:rPr>
                <w:sz w:val="18"/>
                <w:szCs w:val="18"/>
              </w:rPr>
            </w:pPr>
            <w:r>
              <w:rPr>
                <w:sz w:val="18"/>
                <w:szCs w:val="18"/>
              </w:rPr>
              <w:t>Core Financials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B207C2" w14:textId="77777777" w:rsidR="00196286" w:rsidRPr="004128C5" w:rsidRDefault="00196286" w:rsidP="007A7F18">
            <w:pPr>
              <w:rPr>
                <w:sz w:val="18"/>
                <w:szCs w:val="18"/>
              </w:rPr>
            </w:pPr>
            <w:r>
              <w:rPr>
                <w:sz w:val="18"/>
                <w:szCs w:val="18"/>
              </w:rPr>
              <w:t>March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03E09BA9" w14:textId="77777777" w:rsidR="00196286" w:rsidRPr="004128C5"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5AC05160"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1EFEA572" w14:textId="77777777" w:rsidR="00196286" w:rsidRDefault="00196286" w:rsidP="007A7F18">
            <w:pPr>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1DCA87" w14:textId="77777777" w:rsidR="00196286" w:rsidRDefault="00196286" w:rsidP="007A7F18">
            <w:pPr>
              <w:jc w:val="center"/>
              <w:rPr>
                <w:sz w:val="18"/>
                <w:szCs w:val="18"/>
              </w:rPr>
            </w:pPr>
            <w:r>
              <w:rPr>
                <w:sz w:val="18"/>
                <w:szCs w:val="18"/>
              </w:rPr>
              <w:t>3</w:t>
            </w:r>
          </w:p>
        </w:tc>
      </w:tr>
      <w:tr w:rsidR="00196286" w:rsidRPr="004128C5" w14:paraId="5C685415"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1F94A89E" w14:textId="77777777" w:rsidR="00196286" w:rsidRDefault="00196286" w:rsidP="007A7F18">
            <w:pPr>
              <w:rPr>
                <w:sz w:val="18"/>
                <w:szCs w:val="18"/>
              </w:rPr>
            </w:pPr>
            <w:r>
              <w:rPr>
                <w:sz w:val="18"/>
                <w:szCs w:val="18"/>
              </w:rPr>
              <w:t xml:space="preserve">Grievance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158A12" w14:textId="77777777" w:rsidR="00196286" w:rsidRDefault="00196286" w:rsidP="007A7F18">
            <w:pPr>
              <w:rPr>
                <w:sz w:val="18"/>
                <w:szCs w:val="18"/>
              </w:rPr>
            </w:pPr>
            <w:r>
              <w:rPr>
                <w:sz w:val="18"/>
                <w:szCs w:val="18"/>
              </w:rPr>
              <w:t>March 2024</w:t>
            </w:r>
          </w:p>
        </w:tc>
        <w:tc>
          <w:tcPr>
            <w:tcW w:w="3686" w:type="dxa"/>
            <w:tcBorders>
              <w:top w:val="single" w:sz="4" w:space="0" w:color="auto"/>
              <w:left w:val="single" w:sz="4" w:space="0" w:color="auto"/>
              <w:bottom w:val="single" w:sz="4" w:space="0" w:color="auto"/>
              <w:right w:val="single" w:sz="4" w:space="0" w:color="auto"/>
            </w:tcBorders>
            <w:shd w:val="clear" w:color="auto" w:fill="00B050"/>
          </w:tcPr>
          <w:p w14:paraId="465E91C1" w14:textId="77777777" w:rsidR="00196286" w:rsidRDefault="00196286" w:rsidP="007A7F18">
            <w:pPr>
              <w:jc w:val="center"/>
              <w:rPr>
                <w:sz w:val="18"/>
                <w:szCs w:val="18"/>
              </w:rPr>
            </w:pPr>
            <w:r>
              <w:rPr>
                <w:sz w:val="18"/>
                <w:szCs w:val="18"/>
              </w:rPr>
              <w:t>Substantial</w:t>
            </w:r>
          </w:p>
        </w:tc>
        <w:tc>
          <w:tcPr>
            <w:tcW w:w="1842" w:type="dxa"/>
            <w:tcBorders>
              <w:top w:val="single" w:sz="4" w:space="0" w:color="auto"/>
              <w:left w:val="single" w:sz="4" w:space="0" w:color="auto"/>
              <w:bottom w:val="single" w:sz="4" w:space="0" w:color="auto"/>
              <w:right w:val="single" w:sz="4" w:space="0" w:color="auto"/>
            </w:tcBorders>
          </w:tcPr>
          <w:p w14:paraId="350A8250"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F3611CC" w14:textId="77777777" w:rsidR="00196286" w:rsidRDefault="00196286" w:rsidP="007A7F18">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BE0B" w14:textId="77777777" w:rsidR="00196286" w:rsidRDefault="00196286" w:rsidP="007A7F18">
            <w:pPr>
              <w:jc w:val="center"/>
              <w:rPr>
                <w:sz w:val="18"/>
                <w:szCs w:val="18"/>
              </w:rPr>
            </w:pPr>
            <w:r>
              <w:rPr>
                <w:sz w:val="18"/>
                <w:szCs w:val="18"/>
              </w:rPr>
              <w:t>1</w:t>
            </w:r>
          </w:p>
        </w:tc>
      </w:tr>
      <w:tr w:rsidR="00196286" w:rsidRPr="004128C5" w14:paraId="3027AD05"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296E8A4A" w14:textId="77777777" w:rsidR="00196286" w:rsidRDefault="00196286" w:rsidP="007A7F18">
            <w:pPr>
              <w:rPr>
                <w:sz w:val="18"/>
                <w:szCs w:val="18"/>
              </w:rPr>
            </w:pPr>
            <w:r>
              <w:rPr>
                <w:sz w:val="18"/>
                <w:szCs w:val="18"/>
              </w:rPr>
              <w:t>Payroll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BBF880" w14:textId="77777777" w:rsidR="00196286" w:rsidRDefault="00196286" w:rsidP="007A7F18">
            <w:pPr>
              <w:rPr>
                <w:sz w:val="18"/>
                <w:szCs w:val="18"/>
              </w:rPr>
            </w:pPr>
            <w:r>
              <w:rPr>
                <w:sz w:val="18"/>
                <w:szCs w:val="18"/>
              </w:rPr>
              <w:t>April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16390225"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24140F66"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309F7A3F" w14:textId="77777777" w:rsidR="00196286" w:rsidRDefault="00196286" w:rsidP="007A7F18">
            <w:pPr>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19395" w14:textId="77777777" w:rsidR="00196286" w:rsidRDefault="00196286" w:rsidP="007A7F18">
            <w:pPr>
              <w:jc w:val="center"/>
              <w:rPr>
                <w:sz w:val="18"/>
                <w:szCs w:val="18"/>
              </w:rPr>
            </w:pPr>
            <w:r>
              <w:rPr>
                <w:sz w:val="18"/>
                <w:szCs w:val="18"/>
              </w:rPr>
              <w:t>1</w:t>
            </w:r>
          </w:p>
        </w:tc>
      </w:tr>
      <w:tr w:rsidR="00196286" w:rsidRPr="004128C5" w14:paraId="641170CD"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7D257640" w14:textId="77777777" w:rsidR="00196286" w:rsidRDefault="00196286" w:rsidP="007A7F18">
            <w:pPr>
              <w:rPr>
                <w:sz w:val="18"/>
                <w:szCs w:val="18"/>
              </w:rPr>
            </w:pPr>
            <w:r>
              <w:rPr>
                <w:sz w:val="18"/>
                <w:szCs w:val="18"/>
              </w:rPr>
              <w:t>EDI</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36627F" w14:textId="77777777" w:rsidR="00196286" w:rsidRDefault="00196286" w:rsidP="007A7F18">
            <w:pPr>
              <w:rPr>
                <w:sz w:val="18"/>
                <w:szCs w:val="18"/>
              </w:rPr>
            </w:pPr>
            <w:r>
              <w:rPr>
                <w:sz w:val="18"/>
                <w:szCs w:val="18"/>
              </w:rPr>
              <w:t>May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E6D75AF"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0848825C"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0BDB758"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2FA673" w14:textId="77777777" w:rsidR="00196286" w:rsidRDefault="00196286" w:rsidP="007A7F18">
            <w:pPr>
              <w:jc w:val="center"/>
              <w:rPr>
                <w:sz w:val="18"/>
                <w:szCs w:val="18"/>
              </w:rPr>
            </w:pPr>
            <w:r>
              <w:rPr>
                <w:sz w:val="18"/>
                <w:szCs w:val="18"/>
              </w:rPr>
              <w:t>2</w:t>
            </w:r>
          </w:p>
        </w:tc>
      </w:tr>
      <w:tr w:rsidR="00196286" w:rsidRPr="004128C5" w14:paraId="24E7BD94"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0C215F50" w14:textId="77777777" w:rsidR="00196286" w:rsidRDefault="00196286" w:rsidP="007A7F18">
            <w:pPr>
              <w:rPr>
                <w:sz w:val="18"/>
                <w:szCs w:val="18"/>
              </w:rPr>
            </w:pPr>
            <w:r>
              <w:rPr>
                <w:sz w:val="18"/>
                <w:szCs w:val="18"/>
              </w:rPr>
              <w:t>New systems Assurance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5236AF" w14:textId="77777777" w:rsidR="00196286" w:rsidRDefault="00196286" w:rsidP="007A7F18">
            <w:pPr>
              <w:rPr>
                <w:sz w:val="18"/>
                <w:szCs w:val="18"/>
              </w:rPr>
            </w:pPr>
            <w:r>
              <w:rPr>
                <w:sz w:val="18"/>
                <w:szCs w:val="18"/>
              </w:rPr>
              <w:t>May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2808C160"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72EF45A1"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604F35CF"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03E02" w14:textId="77777777" w:rsidR="00196286" w:rsidRDefault="00196286" w:rsidP="007A7F18">
            <w:pPr>
              <w:jc w:val="center"/>
              <w:rPr>
                <w:sz w:val="18"/>
                <w:szCs w:val="18"/>
              </w:rPr>
            </w:pPr>
            <w:r>
              <w:rPr>
                <w:sz w:val="18"/>
                <w:szCs w:val="18"/>
              </w:rPr>
              <w:t>0</w:t>
            </w:r>
          </w:p>
        </w:tc>
      </w:tr>
      <w:tr w:rsidR="00196286" w:rsidRPr="004128C5" w14:paraId="730AE237"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69608AFD" w14:textId="77777777" w:rsidR="00196286" w:rsidRDefault="00196286" w:rsidP="007A7F18">
            <w:pPr>
              <w:rPr>
                <w:sz w:val="18"/>
                <w:szCs w:val="18"/>
              </w:rPr>
            </w:pPr>
            <w:r w:rsidRPr="00504A10">
              <w:rPr>
                <w:sz w:val="18"/>
                <w:szCs w:val="18"/>
              </w:rPr>
              <w:t>Identity Access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C0FCE7" w14:textId="77777777" w:rsidR="00196286" w:rsidRDefault="00196286" w:rsidP="007A7F18">
            <w:pPr>
              <w:rPr>
                <w:sz w:val="18"/>
                <w:szCs w:val="18"/>
              </w:rPr>
            </w:pPr>
            <w:r>
              <w:rPr>
                <w:sz w:val="18"/>
                <w:szCs w:val="18"/>
              </w:rPr>
              <w:t>June 2024</w:t>
            </w:r>
          </w:p>
        </w:tc>
        <w:tc>
          <w:tcPr>
            <w:tcW w:w="3686" w:type="dxa"/>
            <w:tcBorders>
              <w:top w:val="single" w:sz="4" w:space="0" w:color="auto"/>
              <w:left w:val="single" w:sz="4" w:space="0" w:color="auto"/>
              <w:bottom w:val="single" w:sz="4" w:space="0" w:color="auto"/>
              <w:right w:val="single" w:sz="4" w:space="0" w:color="auto"/>
            </w:tcBorders>
            <w:shd w:val="clear" w:color="auto" w:fill="FFC000"/>
          </w:tcPr>
          <w:p w14:paraId="01B30077" w14:textId="77777777" w:rsidR="00196286" w:rsidRDefault="00196286" w:rsidP="007A7F18">
            <w:pPr>
              <w:jc w:val="center"/>
              <w:rPr>
                <w:sz w:val="18"/>
                <w:szCs w:val="18"/>
              </w:rPr>
            </w:pPr>
            <w:r>
              <w:rPr>
                <w:sz w:val="18"/>
                <w:szCs w:val="18"/>
              </w:rPr>
              <w:t>Limited</w:t>
            </w:r>
          </w:p>
        </w:tc>
        <w:tc>
          <w:tcPr>
            <w:tcW w:w="1842" w:type="dxa"/>
            <w:tcBorders>
              <w:top w:val="single" w:sz="4" w:space="0" w:color="auto"/>
              <w:left w:val="single" w:sz="4" w:space="0" w:color="auto"/>
              <w:bottom w:val="single" w:sz="4" w:space="0" w:color="auto"/>
              <w:right w:val="single" w:sz="4" w:space="0" w:color="auto"/>
            </w:tcBorders>
          </w:tcPr>
          <w:p w14:paraId="4B2580D7"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78CC8701" w14:textId="77777777" w:rsidR="00196286" w:rsidRDefault="00196286" w:rsidP="007A7F18">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642C78" w14:textId="77777777" w:rsidR="00196286" w:rsidRDefault="00196286" w:rsidP="007A7F18">
            <w:pPr>
              <w:jc w:val="center"/>
              <w:rPr>
                <w:sz w:val="18"/>
                <w:szCs w:val="18"/>
              </w:rPr>
            </w:pPr>
            <w:r>
              <w:rPr>
                <w:sz w:val="18"/>
                <w:szCs w:val="18"/>
              </w:rPr>
              <w:t>1</w:t>
            </w:r>
          </w:p>
        </w:tc>
      </w:tr>
      <w:tr w:rsidR="00196286" w:rsidRPr="004128C5" w14:paraId="5D787119" w14:textId="77777777" w:rsidTr="007A7F18">
        <w:tc>
          <w:tcPr>
            <w:tcW w:w="4603" w:type="dxa"/>
            <w:tcBorders>
              <w:top w:val="single" w:sz="4" w:space="0" w:color="auto"/>
              <w:left w:val="single" w:sz="4" w:space="0" w:color="auto"/>
              <w:bottom w:val="single" w:sz="4" w:space="0" w:color="auto"/>
              <w:right w:val="single" w:sz="4" w:space="0" w:color="auto"/>
            </w:tcBorders>
            <w:shd w:val="clear" w:color="auto" w:fill="auto"/>
          </w:tcPr>
          <w:p w14:paraId="03954408" w14:textId="77777777" w:rsidR="00196286" w:rsidRDefault="00196286" w:rsidP="007A7F18">
            <w:pPr>
              <w:rPr>
                <w:sz w:val="18"/>
                <w:szCs w:val="18"/>
              </w:rPr>
            </w:pPr>
            <w:r w:rsidRPr="008D4742">
              <w:rPr>
                <w:sz w:val="18"/>
                <w:szCs w:val="18"/>
              </w:rPr>
              <w:t>IT Asset Legacy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5F97B0" w14:textId="77777777" w:rsidR="00196286" w:rsidRDefault="00196286" w:rsidP="007A7F18">
            <w:pPr>
              <w:rPr>
                <w:sz w:val="18"/>
                <w:szCs w:val="18"/>
              </w:rPr>
            </w:pPr>
            <w:r>
              <w:rPr>
                <w:sz w:val="18"/>
                <w:szCs w:val="18"/>
              </w:rPr>
              <w:t>June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E4AF7EE" w14:textId="77777777" w:rsidR="00196286" w:rsidRDefault="00196286"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5D1639C1" w14:textId="77777777" w:rsidR="00196286" w:rsidRDefault="00196286"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38B28837" w14:textId="77777777" w:rsidR="00196286" w:rsidRDefault="00196286"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207D6C" w14:textId="77777777" w:rsidR="00196286" w:rsidRDefault="00196286" w:rsidP="007A7F18">
            <w:pPr>
              <w:jc w:val="center"/>
              <w:rPr>
                <w:sz w:val="18"/>
                <w:szCs w:val="18"/>
              </w:rPr>
            </w:pPr>
            <w:r>
              <w:rPr>
                <w:sz w:val="18"/>
                <w:szCs w:val="18"/>
              </w:rPr>
              <w:t>3</w:t>
            </w:r>
          </w:p>
        </w:tc>
      </w:tr>
    </w:tbl>
    <w:p w14:paraId="574CC4DF" w14:textId="062CD7F4" w:rsidR="00196286" w:rsidRDefault="00196286" w:rsidP="005D0C00">
      <w:pPr>
        <w:rPr>
          <w:b/>
        </w:rPr>
      </w:pP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3"/>
        <w:gridCol w:w="1276"/>
        <w:gridCol w:w="3686"/>
        <w:gridCol w:w="1842"/>
        <w:gridCol w:w="1560"/>
        <w:gridCol w:w="1417"/>
      </w:tblGrid>
      <w:tr w:rsidR="006176A4" w:rsidRPr="000E0C84" w14:paraId="4831B4FE" w14:textId="77777777" w:rsidTr="007A7F18">
        <w:trPr>
          <w:trHeight w:val="207"/>
          <w:tblHeader/>
        </w:trPr>
        <w:tc>
          <w:tcPr>
            <w:tcW w:w="4603"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7E57ED60" w14:textId="51EC78ED" w:rsidR="006176A4" w:rsidRPr="002B7CF3" w:rsidRDefault="006176A4" w:rsidP="007A7F18">
            <w:pPr>
              <w:rPr>
                <w:b/>
                <w:color w:val="FFFFFF" w:themeColor="background1"/>
                <w:sz w:val="20"/>
                <w:szCs w:val="20"/>
              </w:rPr>
            </w:pPr>
            <w:r w:rsidRPr="002B7CF3">
              <w:rPr>
                <w:b/>
                <w:color w:val="FFFFFF" w:themeColor="background1"/>
                <w:sz w:val="20"/>
                <w:szCs w:val="20"/>
              </w:rPr>
              <w:t>AUDIT</w:t>
            </w:r>
            <w:r>
              <w:rPr>
                <w:b/>
                <w:color w:val="FFFFFF" w:themeColor="background1"/>
                <w:sz w:val="20"/>
                <w:szCs w:val="20"/>
              </w:rPr>
              <w:t xml:space="preserve"> 24/25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C0000"/>
            <w:vAlign w:val="center"/>
          </w:tcPr>
          <w:p w14:paraId="0E3A7872" w14:textId="77777777" w:rsidR="006176A4" w:rsidRPr="002B7CF3" w:rsidRDefault="006176A4" w:rsidP="007A7F18">
            <w:pPr>
              <w:rPr>
                <w:b/>
                <w:color w:val="FFFFFF" w:themeColor="background1"/>
                <w:sz w:val="20"/>
                <w:szCs w:val="20"/>
              </w:rPr>
            </w:pPr>
            <w:r w:rsidRPr="002B7CF3">
              <w:rPr>
                <w:b/>
                <w:color w:val="FFFFFF" w:themeColor="background1"/>
                <w:sz w:val="20"/>
                <w:szCs w:val="20"/>
              </w:rPr>
              <w:t>DATE</w:t>
            </w:r>
          </w:p>
        </w:tc>
        <w:tc>
          <w:tcPr>
            <w:tcW w:w="3686" w:type="dxa"/>
            <w:vMerge w:val="restart"/>
            <w:tcBorders>
              <w:top w:val="single" w:sz="4" w:space="0" w:color="auto"/>
              <w:left w:val="single" w:sz="4" w:space="0" w:color="auto"/>
              <w:right w:val="single" w:sz="4" w:space="0" w:color="auto"/>
            </w:tcBorders>
            <w:shd w:val="clear" w:color="auto" w:fill="CC0000"/>
            <w:vAlign w:val="center"/>
          </w:tcPr>
          <w:p w14:paraId="742B7352" w14:textId="77777777" w:rsidR="006176A4" w:rsidRPr="002B7CF3" w:rsidRDefault="006176A4" w:rsidP="007A7F18">
            <w:pPr>
              <w:rPr>
                <w:b/>
                <w:color w:val="FFFFFF" w:themeColor="background1"/>
                <w:sz w:val="20"/>
                <w:szCs w:val="20"/>
              </w:rPr>
            </w:pPr>
            <w:r>
              <w:rPr>
                <w:b/>
                <w:color w:val="FFFFFF" w:themeColor="background1"/>
                <w:sz w:val="20"/>
                <w:szCs w:val="20"/>
              </w:rPr>
              <w:t>Assurance levels</w:t>
            </w:r>
          </w:p>
        </w:tc>
        <w:tc>
          <w:tcPr>
            <w:tcW w:w="4819" w:type="dxa"/>
            <w:gridSpan w:val="3"/>
            <w:tcBorders>
              <w:top w:val="single" w:sz="4" w:space="0" w:color="auto"/>
              <w:left w:val="single" w:sz="4" w:space="0" w:color="auto"/>
              <w:bottom w:val="single" w:sz="4" w:space="0" w:color="auto"/>
              <w:right w:val="single" w:sz="4" w:space="0" w:color="auto"/>
            </w:tcBorders>
            <w:shd w:val="clear" w:color="auto" w:fill="CC0000"/>
          </w:tcPr>
          <w:p w14:paraId="41F3FCB0" w14:textId="77777777" w:rsidR="006176A4" w:rsidRPr="002B7CF3" w:rsidRDefault="006176A4" w:rsidP="007A7F18">
            <w:pPr>
              <w:rPr>
                <w:b/>
                <w:color w:val="FFFFFF" w:themeColor="background1"/>
                <w:sz w:val="20"/>
                <w:szCs w:val="20"/>
              </w:rPr>
            </w:pPr>
            <w:r>
              <w:rPr>
                <w:b/>
                <w:color w:val="FFFFFF" w:themeColor="background1"/>
                <w:sz w:val="20"/>
                <w:szCs w:val="20"/>
              </w:rPr>
              <w:t>Agreed Action plans</w:t>
            </w:r>
          </w:p>
        </w:tc>
      </w:tr>
      <w:tr w:rsidR="006176A4" w:rsidRPr="000E0C84" w14:paraId="36D680F5" w14:textId="77777777" w:rsidTr="007A7F18">
        <w:trPr>
          <w:trHeight w:val="207"/>
          <w:tblHeader/>
        </w:trPr>
        <w:tc>
          <w:tcPr>
            <w:tcW w:w="46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951EF" w14:textId="77777777" w:rsidR="006176A4" w:rsidRPr="002B7CF3" w:rsidRDefault="006176A4" w:rsidP="007A7F18">
            <w:pPr>
              <w:rPr>
                <w:b/>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C9199D" w14:textId="77777777" w:rsidR="006176A4" w:rsidRPr="002B7CF3" w:rsidRDefault="006176A4" w:rsidP="007A7F18">
            <w:pPr>
              <w:rPr>
                <w:b/>
                <w:sz w:val="20"/>
                <w:szCs w:val="20"/>
              </w:rPr>
            </w:pPr>
          </w:p>
        </w:tc>
        <w:tc>
          <w:tcPr>
            <w:tcW w:w="3686" w:type="dxa"/>
            <w:vMerge/>
            <w:tcBorders>
              <w:left w:val="single" w:sz="4" w:space="0" w:color="auto"/>
              <w:bottom w:val="single" w:sz="4" w:space="0" w:color="auto"/>
              <w:right w:val="single" w:sz="4" w:space="0" w:color="auto"/>
            </w:tcBorders>
          </w:tcPr>
          <w:p w14:paraId="15E86312" w14:textId="77777777" w:rsidR="006176A4" w:rsidRPr="002B7CF3" w:rsidRDefault="006176A4" w:rsidP="007A7F18">
            <w:pPr>
              <w:jc w:val="center"/>
              <w:rPr>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tcPr>
          <w:p w14:paraId="0F2D6483" w14:textId="77777777" w:rsidR="006176A4" w:rsidRPr="00922ACB" w:rsidRDefault="006176A4" w:rsidP="007A7F18">
            <w:pPr>
              <w:jc w:val="center"/>
              <w:rPr>
                <w:b/>
                <w:sz w:val="20"/>
                <w:szCs w:val="20"/>
                <w:u w:val="single"/>
              </w:rPr>
            </w:pPr>
            <w:r w:rsidRPr="00A37351">
              <w:rPr>
                <w:b/>
                <w:color w:val="FFFFFF" w:themeColor="background1"/>
                <w:sz w:val="20"/>
                <w:szCs w:val="20"/>
                <w:u w:val="single"/>
              </w:rPr>
              <w:t>High</w:t>
            </w:r>
          </w:p>
        </w:tc>
        <w:tc>
          <w:tcPr>
            <w:tcW w:w="1560" w:type="dxa"/>
            <w:tcBorders>
              <w:top w:val="single" w:sz="4" w:space="0" w:color="auto"/>
              <w:left w:val="single" w:sz="4" w:space="0" w:color="auto"/>
              <w:bottom w:val="single" w:sz="4" w:space="0" w:color="auto"/>
              <w:right w:val="single" w:sz="4" w:space="0" w:color="auto"/>
            </w:tcBorders>
            <w:shd w:val="clear" w:color="auto" w:fill="FFC000"/>
            <w:vAlign w:val="center"/>
          </w:tcPr>
          <w:p w14:paraId="5B75A731" w14:textId="77777777" w:rsidR="006176A4" w:rsidRPr="00922ACB" w:rsidRDefault="006176A4" w:rsidP="007A7F18">
            <w:pPr>
              <w:jc w:val="center"/>
              <w:rPr>
                <w:b/>
                <w:sz w:val="20"/>
                <w:szCs w:val="20"/>
                <w:u w:val="single"/>
              </w:rPr>
            </w:pPr>
            <w:r w:rsidRPr="00A37351">
              <w:rPr>
                <w:b/>
                <w:color w:val="FFFFFF" w:themeColor="background1"/>
                <w:sz w:val="20"/>
                <w:szCs w:val="20"/>
                <w:u w:val="single"/>
              </w:rPr>
              <w:t>Medium</w:t>
            </w:r>
          </w:p>
        </w:tc>
        <w:tc>
          <w:tcPr>
            <w:tcW w:w="1417" w:type="dxa"/>
            <w:tcBorders>
              <w:left w:val="single" w:sz="4" w:space="0" w:color="auto"/>
              <w:bottom w:val="single" w:sz="4" w:space="0" w:color="auto"/>
              <w:right w:val="single" w:sz="4" w:space="0" w:color="auto"/>
            </w:tcBorders>
            <w:shd w:val="clear" w:color="auto" w:fill="92D050"/>
            <w:vAlign w:val="center"/>
          </w:tcPr>
          <w:p w14:paraId="4B9BE615" w14:textId="77777777" w:rsidR="006176A4" w:rsidRPr="00922ACB" w:rsidRDefault="006176A4" w:rsidP="007A7F18">
            <w:pPr>
              <w:jc w:val="center"/>
              <w:rPr>
                <w:b/>
                <w:sz w:val="20"/>
                <w:szCs w:val="20"/>
                <w:u w:val="single"/>
              </w:rPr>
            </w:pPr>
            <w:r w:rsidRPr="00A37351">
              <w:rPr>
                <w:b/>
                <w:color w:val="FFFFFF" w:themeColor="background1"/>
                <w:sz w:val="20"/>
                <w:szCs w:val="20"/>
                <w:u w:val="single"/>
              </w:rPr>
              <w:t>Low</w:t>
            </w:r>
          </w:p>
        </w:tc>
      </w:tr>
      <w:tr w:rsidR="006176A4" w:rsidRPr="000E0C84" w14:paraId="0BF80218" w14:textId="77777777" w:rsidTr="006176A4">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5E1DFBDD" w14:textId="36CB9ABA" w:rsidR="006176A4" w:rsidRPr="00A75212" w:rsidRDefault="006176A4" w:rsidP="007A7F18">
            <w:pPr>
              <w:rPr>
                <w:bCs/>
                <w:sz w:val="18"/>
                <w:szCs w:val="18"/>
              </w:rPr>
            </w:pPr>
            <w:r>
              <w:rPr>
                <w:bCs/>
                <w:sz w:val="18"/>
                <w:szCs w:val="18"/>
              </w:rPr>
              <w:t>Safeguarding</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54245A" w14:textId="00B18E0B" w:rsidR="006176A4" w:rsidRPr="000E0C84" w:rsidRDefault="006176A4" w:rsidP="007A7F18">
            <w:pPr>
              <w:rPr>
                <w:sz w:val="18"/>
                <w:szCs w:val="18"/>
              </w:rPr>
            </w:pPr>
            <w:r>
              <w:rPr>
                <w:sz w:val="18"/>
                <w:szCs w:val="18"/>
              </w:rPr>
              <w:t>Sept 2024</w:t>
            </w:r>
          </w:p>
        </w:tc>
        <w:tc>
          <w:tcPr>
            <w:tcW w:w="3686" w:type="dxa"/>
            <w:tcBorders>
              <w:top w:val="single" w:sz="4" w:space="0" w:color="auto"/>
              <w:left w:val="single" w:sz="4" w:space="0" w:color="auto"/>
              <w:bottom w:val="single" w:sz="4" w:space="0" w:color="auto"/>
              <w:right w:val="single" w:sz="4" w:space="0" w:color="auto"/>
            </w:tcBorders>
            <w:shd w:val="clear" w:color="auto" w:fill="FFC000"/>
          </w:tcPr>
          <w:p w14:paraId="1A036D16" w14:textId="4E2552EF" w:rsidR="006176A4" w:rsidRDefault="006176A4" w:rsidP="007A7F18">
            <w:pPr>
              <w:jc w:val="center"/>
              <w:rPr>
                <w:sz w:val="18"/>
                <w:szCs w:val="18"/>
              </w:rPr>
            </w:pPr>
            <w:r>
              <w:rPr>
                <w:sz w:val="18"/>
                <w:szCs w:val="18"/>
              </w:rPr>
              <w:t xml:space="preserve">Limited </w:t>
            </w:r>
          </w:p>
        </w:tc>
        <w:tc>
          <w:tcPr>
            <w:tcW w:w="1842" w:type="dxa"/>
            <w:tcBorders>
              <w:top w:val="single" w:sz="4" w:space="0" w:color="auto"/>
              <w:left w:val="single" w:sz="4" w:space="0" w:color="auto"/>
              <w:bottom w:val="single" w:sz="4" w:space="0" w:color="auto"/>
              <w:right w:val="single" w:sz="4" w:space="0" w:color="auto"/>
            </w:tcBorders>
            <w:vAlign w:val="center"/>
          </w:tcPr>
          <w:p w14:paraId="107C970C" w14:textId="23A9F5F2" w:rsidR="006176A4" w:rsidRPr="000E0C84" w:rsidRDefault="006176A4" w:rsidP="007A7F18">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16BB67BA" w14:textId="4A4D0D25" w:rsidR="006176A4" w:rsidRPr="000E0C84" w:rsidRDefault="006176A4" w:rsidP="007A7F18">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6FF2C" w14:textId="08FE222E" w:rsidR="006176A4" w:rsidRPr="000E0C84" w:rsidRDefault="006176A4" w:rsidP="007A7F18">
            <w:pPr>
              <w:jc w:val="center"/>
              <w:rPr>
                <w:sz w:val="18"/>
                <w:szCs w:val="18"/>
              </w:rPr>
            </w:pPr>
            <w:r>
              <w:rPr>
                <w:sz w:val="18"/>
                <w:szCs w:val="18"/>
              </w:rPr>
              <w:t>1</w:t>
            </w:r>
          </w:p>
        </w:tc>
      </w:tr>
      <w:tr w:rsidR="006176A4" w:rsidRPr="004128C5" w14:paraId="4AE820F0" w14:textId="77777777" w:rsidTr="00EA229C">
        <w:tc>
          <w:tcPr>
            <w:tcW w:w="4603" w:type="dxa"/>
            <w:tcBorders>
              <w:top w:val="single" w:sz="4" w:space="0" w:color="auto"/>
              <w:left w:val="single" w:sz="4" w:space="0" w:color="auto"/>
              <w:bottom w:val="single" w:sz="4" w:space="0" w:color="auto"/>
              <w:right w:val="single" w:sz="4" w:space="0" w:color="auto"/>
            </w:tcBorders>
            <w:shd w:val="clear" w:color="auto" w:fill="auto"/>
          </w:tcPr>
          <w:p w14:paraId="447514A8" w14:textId="10DF314B" w:rsidR="006176A4" w:rsidRPr="00830BF8" w:rsidRDefault="00EA229C" w:rsidP="007A7F18">
            <w:pPr>
              <w:rPr>
                <w:sz w:val="18"/>
                <w:szCs w:val="18"/>
              </w:rPr>
            </w:pPr>
            <w:r>
              <w:rPr>
                <w:sz w:val="18"/>
                <w:szCs w:val="18"/>
              </w:rPr>
              <w:t xml:space="preserve">Asset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A644E0" w14:textId="602707A8" w:rsidR="006176A4" w:rsidRPr="004128C5" w:rsidRDefault="00EA229C" w:rsidP="007A7F18">
            <w:pPr>
              <w:rPr>
                <w:sz w:val="18"/>
                <w:szCs w:val="18"/>
              </w:rPr>
            </w:pPr>
            <w:r>
              <w:rPr>
                <w:sz w:val="18"/>
                <w:szCs w:val="18"/>
              </w:rPr>
              <w:t>Oct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37AD2908" w14:textId="69F3C801" w:rsidR="006176A4" w:rsidRPr="004128C5" w:rsidRDefault="00EA229C"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090BE1B7" w14:textId="62004963" w:rsidR="006176A4" w:rsidRDefault="00EA229C"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27DED9BC" w14:textId="545D9A7C" w:rsidR="006176A4" w:rsidRDefault="00EA229C" w:rsidP="007A7F18">
            <w:pPr>
              <w:jc w:val="cente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3DA3D" w14:textId="25FC7AD0" w:rsidR="006176A4" w:rsidRDefault="00EA229C" w:rsidP="007A7F18">
            <w:pPr>
              <w:jc w:val="center"/>
              <w:rPr>
                <w:sz w:val="18"/>
                <w:szCs w:val="18"/>
              </w:rPr>
            </w:pPr>
            <w:r>
              <w:rPr>
                <w:sz w:val="18"/>
                <w:szCs w:val="18"/>
              </w:rPr>
              <w:t>3</w:t>
            </w:r>
          </w:p>
        </w:tc>
      </w:tr>
      <w:tr w:rsidR="00C75D15" w:rsidRPr="004128C5" w14:paraId="508BE288" w14:textId="77777777" w:rsidTr="00EA229C">
        <w:tc>
          <w:tcPr>
            <w:tcW w:w="4603" w:type="dxa"/>
            <w:tcBorders>
              <w:top w:val="single" w:sz="4" w:space="0" w:color="auto"/>
              <w:left w:val="single" w:sz="4" w:space="0" w:color="auto"/>
              <w:bottom w:val="single" w:sz="4" w:space="0" w:color="auto"/>
              <w:right w:val="single" w:sz="4" w:space="0" w:color="auto"/>
            </w:tcBorders>
            <w:shd w:val="clear" w:color="auto" w:fill="auto"/>
          </w:tcPr>
          <w:p w14:paraId="22AF4EA0" w14:textId="5A331041" w:rsidR="00C75D15" w:rsidRDefault="00C75D15" w:rsidP="007A7F18">
            <w:pPr>
              <w:rPr>
                <w:sz w:val="18"/>
                <w:szCs w:val="18"/>
              </w:rPr>
            </w:pPr>
            <w:r>
              <w:rPr>
                <w:sz w:val="18"/>
                <w:szCs w:val="18"/>
              </w:rPr>
              <w:t>Core financials (Joint)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6806E6" w14:textId="31B39B9E" w:rsidR="00C75D15" w:rsidRDefault="00C75D15" w:rsidP="007A7F18">
            <w:pPr>
              <w:rPr>
                <w:sz w:val="18"/>
                <w:szCs w:val="18"/>
              </w:rPr>
            </w:pPr>
            <w:r>
              <w:rPr>
                <w:sz w:val="18"/>
                <w:szCs w:val="18"/>
              </w:rPr>
              <w:t>Nov 2024</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43DD76ED" w14:textId="23917B48" w:rsidR="00C75D15" w:rsidRDefault="00C75D15"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222845FB" w14:textId="546A4CC8" w:rsidR="00C75D15" w:rsidRDefault="00C75D15"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7E116687" w14:textId="1F333C98" w:rsidR="00C75D15" w:rsidRDefault="00C75D15" w:rsidP="007A7F18">
            <w:pPr>
              <w:jc w:val="cente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739A8" w14:textId="0BA858FB" w:rsidR="00C75D15" w:rsidRDefault="00C75D15" w:rsidP="007A7F18">
            <w:pPr>
              <w:jc w:val="center"/>
              <w:rPr>
                <w:sz w:val="18"/>
                <w:szCs w:val="18"/>
              </w:rPr>
            </w:pPr>
            <w:r>
              <w:rPr>
                <w:sz w:val="18"/>
                <w:szCs w:val="18"/>
              </w:rPr>
              <w:t>3</w:t>
            </w:r>
          </w:p>
        </w:tc>
      </w:tr>
      <w:tr w:rsidR="005C48CB" w:rsidRPr="004128C5" w14:paraId="5DF2851E" w14:textId="77777777" w:rsidTr="00C859B4">
        <w:tc>
          <w:tcPr>
            <w:tcW w:w="4603" w:type="dxa"/>
            <w:tcBorders>
              <w:top w:val="single" w:sz="4" w:space="0" w:color="auto"/>
              <w:left w:val="single" w:sz="4" w:space="0" w:color="auto"/>
              <w:bottom w:val="single" w:sz="4" w:space="0" w:color="auto"/>
              <w:right w:val="single" w:sz="4" w:space="0" w:color="auto"/>
            </w:tcBorders>
            <w:shd w:val="clear" w:color="auto" w:fill="auto"/>
          </w:tcPr>
          <w:p w14:paraId="5E45901D" w14:textId="4FE38543" w:rsidR="00941D1E" w:rsidRDefault="00941D1E" w:rsidP="007A7F18">
            <w:pPr>
              <w:rPr>
                <w:sz w:val="18"/>
                <w:szCs w:val="18"/>
              </w:rPr>
            </w:pPr>
            <w:r>
              <w:rPr>
                <w:sz w:val="18"/>
                <w:szCs w:val="18"/>
              </w:rPr>
              <w:t>Payroll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DB67E2E" w14:textId="39D6019F" w:rsidR="005C48CB" w:rsidRDefault="00C859B4" w:rsidP="007A7F18">
            <w:pPr>
              <w:rPr>
                <w:sz w:val="18"/>
                <w:szCs w:val="18"/>
              </w:rPr>
            </w:pPr>
            <w:r>
              <w:rPr>
                <w:sz w:val="18"/>
                <w:szCs w:val="18"/>
              </w:rPr>
              <w:t>Feb 2025</w:t>
            </w:r>
          </w:p>
        </w:tc>
        <w:tc>
          <w:tcPr>
            <w:tcW w:w="3686" w:type="dxa"/>
            <w:tcBorders>
              <w:top w:val="single" w:sz="4" w:space="0" w:color="auto"/>
              <w:left w:val="single" w:sz="4" w:space="0" w:color="auto"/>
              <w:bottom w:val="single" w:sz="4" w:space="0" w:color="auto"/>
              <w:right w:val="single" w:sz="4" w:space="0" w:color="auto"/>
            </w:tcBorders>
            <w:shd w:val="clear" w:color="auto" w:fill="00B050"/>
          </w:tcPr>
          <w:p w14:paraId="4D1375CA" w14:textId="34B9FD92" w:rsidR="005C48CB" w:rsidRDefault="00C859B4" w:rsidP="007A7F18">
            <w:pPr>
              <w:jc w:val="center"/>
              <w:rPr>
                <w:sz w:val="18"/>
                <w:szCs w:val="18"/>
              </w:rPr>
            </w:pPr>
            <w:r>
              <w:rPr>
                <w:sz w:val="18"/>
                <w:szCs w:val="18"/>
              </w:rPr>
              <w:t>Substantial</w:t>
            </w:r>
          </w:p>
        </w:tc>
        <w:tc>
          <w:tcPr>
            <w:tcW w:w="1842" w:type="dxa"/>
            <w:tcBorders>
              <w:top w:val="single" w:sz="4" w:space="0" w:color="auto"/>
              <w:left w:val="single" w:sz="4" w:space="0" w:color="auto"/>
              <w:bottom w:val="single" w:sz="4" w:space="0" w:color="auto"/>
              <w:right w:val="single" w:sz="4" w:space="0" w:color="auto"/>
            </w:tcBorders>
          </w:tcPr>
          <w:p w14:paraId="7E9AA05E" w14:textId="2EAF9E60" w:rsidR="005C48CB" w:rsidRDefault="00731D14"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0D073C20" w14:textId="5DE9E67D" w:rsidR="005C48CB" w:rsidRDefault="00731D14" w:rsidP="007A7F18">
            <w:pPr>
              <w:jc w:val="cente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9A4268" w14:textId="4EEC64F5" w:rsidR="005C48CB" w:rsidRDefault="00731D14" w:rsidP="007A7F18">
            <w:pPr>
              <w:jc w:val="center"/>
              <w:rPr>
                <w:sz w:val="18"/>
                <w:szCs w:val="18"/>
              </w:rPr>
            </w:pPr>
            <w:r>
              <w:rPr>
                <w:sz w:val="18"/>
                <w:szCs w:val="18"/>
              </w:rPr>
              <w:t>0</w:t>
            </w:r>
          </w:p>
        </w:tc>
      </w:tr>
      <w:tr w:rsidR="005C48CB" w:rsidRPr="004128C5" w14:paraId="613BA8C9" w14:textId="77777777" w:rsidTr="00EA229C">
        <w:tc>
          <w:tcPr>
            <w:tcW w:w="4603" w:type="dxa"/>
            <w:tcBorders>
              <w:top w:val="single" w:sz="4" w:space="0" w:color="auto"/>
              <w:left w:val="single" w:sz="4" w:space="0" w:color="auto"/>
              <w:bottom w:val="single" w:sz="4" w:space="0" w:color="auto"/>
              <w:right w:val="single" w:sz="4" w:space="0" w:color="auto"/>
            </w:tcBorders>
            <w:shd w:val="clear" w:color="auto" w:fill="auto"/>
          </w:tcPr>
          <w:p w14:paraId="3F63CF3A" w14:textId="24BC24F1" w:rsidR="005C48CB" w:rsidRDefault="00941D1E" w:rsidP="007A7F18">
            <w:pPr>
              <w:rPr>
                <w:sz w:val="18"/>
                <w:szCs w:val="18"/>
              </w:rPr>
            </w:pPr>
            <w:r>
              <w:rPr>
                <w:sz w:val="18"/>
                <w:szCs w:val="18"/>
              </w:rPr>
              <w:t>Succession Planning and Promotions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11C939" w14:textId="07202470" w:rsidR="005C48CB" w:rsidRDefault="00C859B4" w:rsidP="00C859B4">
            <w:pPr>
              <w:rPr>
                <w:sz w:val="18"/>
                <w:szCs w:val="18"/>
              </w:rPr>
            </w:pPr>
            <w:r>
              <w:rPr>
                <w:sz w:val="18"/>
                <w:szCs w:val="18"/>
              </w:rPr>
              <w:t>June 2025</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0C6171CB" w14:textId="24F185FD" w:rsidR="005C48CB" w:rsidRDefault="00C859B4" w:rsidP="007A7F18">
            <w:pPr>
              <w:jc w:val="center"/>
              <w:rPr>
                <w:sz w:val="18"/>
                <w:szCs w:val="18"/>
              </w:rPr>
            </w:pPr>
            <w:r>
              <w:rPr>
                <w:sz w:val="18"/>
                <w:szCs w:val="18"/>
              </w:rPr>
              <w:t>Moderate</w:t>
            </w:r>
          </w:p>
        </w:tc>
        <w:tc>
          <w:tcPr>
            <w:tcW w:w="1842" w:type="dxa"/>
            <w:tcBorders>
              <w:top w:val="single" w:sz="4" w:space="0" w:color="auto"/>
              <w:left w:val="single" w:sz="4" w:space="0" w:color="auto"/>
              <w:bottom w:val="single" w:sz="4" w:space="0" w:color="auto"/>
              <w:right w:val="single" w:sz="4" w:space="0" w:color="auto"/>
            </w:tcBorders>
          </w:tcPr>
          <w:p w14:paraId="11572362" w14:textId="225BA617" w:rsidR="005C48CB" w:rsidRDefault="00731D14" w:rsidP="007A7F18">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56F527A3" w14:textId="30FF7255" w:rsidR="005C48CB" w:rsidRDefault="00731D14" w:rsidP="007A7F18">
            <w:pPr>
              <w:jc w:val="cente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FE8B88" w14:textId="52D206A3" w:rsidR="005C48CB" w:rsidRDefault="00731D14" w:rsidP="007A7F18">
            <w:pPr>
              <w:jc w:val="center"/>
              <w:rPr>
                <w:sz w:val="18"/>
                <w:szCs w:val="18"/>
              </w:rPr>
            </w:pPr>
            <w:r>
              <w:rPr>
                <w:sz w:val="18"/>
                <w:szCs w:val="18"/>
              </w:rPr>
              <w:t>1</w:t>
            </w:r>
          </w:p>
        </w:tc>
      </w:tr>
    </w:tbl>
    <w:p w14:paraId="01655155" w14:textId="26EDEB5E" w:rsidR="006176A4" w:rsidRDefault="006176A4" w:rsidP="005D0C00">
      <w:pPr>
        <w:rPr>
          <w:b/>
        </w:rPr>
      </w:pPr>
    </w:p>
    <w:p w14:paraId="106B458D" w14:textId="77777777" w:rsidR="006176A4" w:rsidRDefault="006176A4" w:rsidP="005D0C00">
      <w:pPr>
        <w:rPr>
          <w:b/>
        </w:rPr>
      </w:pPr>
    </w:p>
    <w:p w14:paraId="45A8A583" w14:textId="6D1E585A" w:rsidR="00761DF0" w:rsidRPr="000E0C84" w:rsidRDefault="00407129" w:rsidP="0056769E">
      <w:pPr>
        <w:spacing w:line="360" w:lineRule="auto"/>
        <w:rPr>
          <w:b/>
        </w:rPr>
      </w:pPr>
      <w:r>
        <w:rPr>
          <w:b/>
        </w:rPr>
        <w:lastRenderedPageBreak/>
        <w:t xml:space="preserve"> </w:t>
      </w:r>
      <w:r w:rsidR="00EA229C">
        <w:rPr>
          <w:noProof/>
          <w:lang w:eastAsia="en-GB"/>
        </w:rPr>
        <w:drawing>
          <wp:inline distT="0" distB="0" distL="0" distR="0" wp14:anchorId="46287E9E" wp14:editId="1A8E5854">
            <wp:extent cx="7909560" cy="1883039"/>
            <wp:effectExtent l="0" t="0" r="0" b="3175"/>
            <wp:docPr id="102290962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09628" name="Picture 1" descr="A screenshot of a computer screen&#10;&#10;Description automatically generated"/>
                    <pic:cNvPicPr/>
                  </pic:nvPicPr>
                  <pic:blipFill>
                    <a:blip r:embed="rId11"/>
                    <a:stretch>
                      <a:fillRect/>
                    </a:stretch>
                  </pic:blipFill>
                  <pic:spPr>
                    <a:xfrm>
                      <a:off x="0" y="0"/>
                      <a:ext cx="8035418" cy="1913002"/>
                    </a:xfrm>
                    <a:prstGeom prst="rect">
                      <a:avLst/>
                    </a:prstGeom>
                  </pic:spPr>
                </pic:pic>
              </a:graphicData>
            </a:graphic>
          </wp:inline>
        </w:drawing>
      </w:r>
      <w:r w:rsidR="00FE734F">
        <w:rPr>
          <w:noProof/>
          <w:lang w:eastAsia="en-GB"/>
        </w:rPr>
        <w:drawing>
          <wp:inline distT="0" distB="0" distL="0" distR="0" wp14:anchorId="02BF9944" wp14:editId="1FD1DEE6">
            <wp:extent cx="8042055" cy="1827006"/>
            <wp:effectExtent l="0" t="0" r="0" b="1905"/>
            <wp:docPr id="140502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25299" name=""/>
                    <pic:cNvPicPr/>
                  </pic:nvPicPr>
                  <pic:blipFill>
                    <a:blip r:embed="rId12"/>
                    <a:stretch>
                      <a:fillRect/>
                    </a:stretch>
                  </pic:blipFill>
                  <pic:spPr>
                    <a:xfrm>
                      <a:off x="0" y="0"/>
                      <a:ext cx="8080406" cy="1835719"/>
                    </a:xfrm>
                    <a:prstGeom prst="rect">
                      <a:avLst/>
                    </a:prstGeom>
                  </pic:spPr>
                </pic:pic>
              </a:graphicData>
            </a:graphic>
          </wp:inline>
        </w:drawing>
      </w:r>
    </w:p>
    <w:p w14:paraId="07848B5A" w14:textId="0B346E79" w:rsidR="00745289" w:rsidRDefault="00745289" w:rsidP="00745289">
      <w:pPr>
        <w:spacing w:after="200" w:line="276" w:lineRule="auto"/>
        <w:rPr>
          <w:b/>
        </w:rPr>
      </w:pPr>
      <w:r w:rsidRPr="00B31A20">
        <w:rPr>
          <w:b/>
          <w:u w:val="single"/>
        </w:rPr>
        <w:t xml:space="preserve">Summary of Audit </w:t>
      </w:r>
      <w:r>
        <w:rPr>
          <w:b/>
          <w:u w:val="single"/>
        </w:rPr>
        <w:t>Recommendations Progress</w:t>
      </w:r>
    </w:p>
    <w:p w14:paraId="02E2AECD" w14:textId="77777777" w:rsidR="0056769E" w:rsidRPr="005D032F" w:rsidRDefault="00745289" w:rsidP="005D032F">
      <w:pPr>
        <w:spacing w:after="200" w:line="276" w:lineRule="auto"/>
      </w:pPr>
      <w:r w:rsidRPr="00C45FA9">
        <w:t xml:space="preserve">This table shows a summary of </w:t>
      </w:r>
      <w:r>
        <w:t xml:space="preserve">the progress made on new </w:t>
      </w:r>
      <w:r w:rsidRPr="00C45FA9">
        <w:t>audit recommendation</w:t>
      </w:r>
      <w:r>
        <w:t>s</w:t>
      </w:r>
      <w:r w:rsidRPr="00C45FA9">
        <w:t xml:space="preserve"> raised </w:t>
      </w:r>
      <w:r>
        <w:t xml:space="preserve">at each JIAC during the current year and annual totals for previous years where audit recommendations are still active. </w:t>
      </w: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E54326" w:rsidRPr="000E0C84" w14:paraId="0F7AF956" w14:textId="77777777" w:rsidTr="00896D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60D7177E" w14:textId="6C9A0355" w:rsidR="00E54326" w:rsidRPr="008E7BE3" w:rsidRDefault="00E54326" w:rsidP="00026D0C">
            <w:pPr>
              <w:rPr>
                <w:b/>
                <w:color w:val="FFFFFF" w:themeColor="background1"/>
              </w:rPr>
            </w:pPr>
            <w:r>
              <w:rPr>
                <w:b/>
                <w:color w:val="FFFFFF" w:themeColor="background1"/>
              </w:rPr>
              <w:t>2022/23</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36AD3017" w14:textId="77777777" w:rsidR="00E54326" w:rsidRPr="008E7BE3" w:rsidRDefault="00E54326" w:rsidP="00026D0C">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CC0000"/>
            <w:vAlign w:val="center"/>
          </w:tcPr>
          <w:p w14:paraId="2D1AAABD" w14:textId="52AB09C3" w:rsidR="00E54326" w:rsidRPr="008E7BE3" w:rsidRDefault="00DC2A17" w:rsidP="00026D0C">
            <w:pPr>
              <w:jc w:val="center"/>
              <w:rPr>
                <w:b/>
                <w:color w:val="FFFFFF" w:themeColor="background1"/>
                <w:sz w:val="20"/>
                <w:szCs w:val="20"/>
              </w:rPr>
            </w:pPr>
            <w:r>
              <w:rPr>
                <w:b/>
                <w:color w:val="FFFFFF" w:themeColor="background1"/>
                <w:sz w:val="20"/>
                <w:szCs w:val="20"/>
              </w:rPr>
              <w:t>Essential</w:t>
            </w:r>
          </w:p>
        </w:tc>
        <w:tc>
          <w:tcPr>
            <w:tcW w:w="1550" w:type="dxa"/>
            <w:tcBorders>
              <w:top w:val="single" w:sz="4" w:space="0" w:color="auto"/>
              <w:left w:val="single" w:sz="4" w:space="0" w:color="auto"/>
              <w:bottom w:val="single" w:sz="4" w:space="0" w:color="auto"/>
              <w:right w:val="single" w:sz="4" w:space="0" w:color="auto"/>
            </w:tcBorders>
            <w:shd w:val="clear" w:color="auto" w:fill="CC0000"/>
            <w:vAlign w:val="center"/>
          </w:tcPr>
          <w:p w14:paraId="7314D9F7" w14:textId="30F36183" w:rsidR="00E54326" w:rsidRPr="008E7BE3" w:rsidRDefault="00DC2A17" w:rsidP="00026D0C">
            <w:pPr>
              <w:jc w:val="center"/>
              <w:rPr>
                <w:b/>
                <w:color w:val="FFFFFF" w:themeColor="background1"/>
                <w:sz w:val="20"/>
                <w:szCs w:val="20"/>
              </w:rPr>
            </w:pPr>
            <w:r>
              <w:rPr>
                <w:b/>
                <w:color w:val="FFFFFF" w:themeColor="background1"/>
                <w:sz w:val="20"/>
                <w:szCs w:val="20"/>
              </w:rPr>
              <w:t>Important</w:t>
            </w:r>
          </w:p>
        </w:tc>
        <w:tc>
          <w:tcPr>
            <w:tcW w:w="1551" w:type="dxa"/>
            <w:tcBorders>
              <w:left w:val="single" w:sz="4" w:space="0" w:color="auto"/>
              <w:bottom w:val="single" w:sz="4" w:space="0" w:color="auto"/>
              <w:right w:val="single" w:sz="4" w:space="0" w:color="auto"/>
            </w:tcBorders>
            <w:shd w:val="clear" w:color="auto" w:fill="CC0000"/>
            <w:vAlign w:val="center"/>
          </w:tcPr>
          <w:p w14:paraId="01FAD99C" w14:textId="4B95900F" w:rsidR="00E54326" w:rsidRPr="008E7BE3" w:rsidRDefault="00DC2A17" w:rsidP="00026D0C">
            <w:pPr>
              <w:jc w:val="center"/>
              <w:rPr>
                <w:b/>
                <w:color w:val="FFFFFF" w:themeColor="background1"/>
                <w:sz w:val="20"/>
                <w:szCs w:val="20"/>
              </w:rPr>
            </w:pPr>
            <w:r>
              <w:rPr>
                <w:b/>
                <w:color w:val="FFFFFF" w:themeColor="background1"/>
                <w:sz w:val="20"/>
                <w:szCs w:val="20"/>
              </w:rPr>
              <w:t>Standard</w:t>
            </w:r>
          </w:p>
        </w:tc>
      </w:tr>
      <w:tr w:rsidR="00C40FAA" w:rsidRPr="000E0C84" w14:paraId="2FAB7E7E"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BBC0C8B" w14:textId="7350BEB0" w:rsidR="00C40FAA" w:rsidRPr="00B3057E" w:rsidRDefault="00C40FAA" w:rsidP="00026D0C">
            <w:pPr>
              <w:rPr>
                <w:bCs/>
                <w:sz w:val="18"/>
                <w:szCs w:val="18"/>
              </w:rPr>
            </w:pPr>
            <w:r w:rsidRPr="00B3057E">
              <w:rPr>
                <w:sz w:val="18"/>
                <w:szCs w:val="18"/>
              </w:rPr>
              <w:t>Safeguarding Policy &amp; Procedures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3A1918" w14:textId="04F2881A" w:rsidR="00C40FAA" w:rsidRPr="000E0C84" w:rsidRDefault="00C40FAA" w:rsidP="00026D0C">
            <w:pPr>
              <w:jc w:val="center"/>
              <w:rPr>
                <w:sz w:val="18"/>
                <w:szCs w:val="18"/>
              </w:rPr>
            </w:pPr>
            <w:r>
              <w:rPr>
                <w:sz w:val="18"/>
                <w:szCs w:val="18"/>
              </w:rPr>
              <w:t>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13719" w14:textId="52C169BB" w:rsidR="00C40FAA" w:rsidRPr="000E0C84" w:rsidRDefault="00C40FAA" w:rsidP="00026D0C">
            <w:pPr>
              <w:jc w:val="center"/>
              <w:rPr>
                <w:sz w:val="18"/>
                <w:szCs w:val="18"/>
              </w:rPr>
            </w:pPr>
            <w:r>
              <w:rPr>
                <w:sz w:val="18"/>
                <w:szCs w:val="18"/>
              </w:rPr>
              <w:t>Closed</w:t>
            </w:r>
          </w:p>
        </w:tc>
      </w:tr>
      <w:tr w:rsidR="009004EA" w:rsidRPr="000E0C84" w14:paraId="62ED9E78"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BBE0A22" w14:textId="6C048E7B" w:rsidR="009004EA" w:rsidRPr="00B3057E" w:rsidRDefault="009004EA" w:rsidP="00026D0C">
            <w:pPr>
              <w:rPr>
                <w:sz w:val="18"/>
                <w:szCs w:val="18"/>
              </w:rPr>
            </w:pPr>
            <w:r w:rsidRPr="00830BF8">
              <w:rPr>
                <w:sz w:val="18"/>
                <w:szCs w:val="18"/>
              </w:rPr>
              <w:t>Organisational Governance – Core Code of Ethics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97C139" w14:textId="6E7A059D" w:rsidR="009004EA" w:rsidRDefault="009004EA" w:rsidP="00026D0C">
            <w:pPr>
              <w:jc w:val="center"/>
              <w:rPr>
                <w:sz w:val="18"/>
                <w:szCs w:val="18"/>
              </w:rPr>
            </w:pPr>
            <w:r>
              <w:rPr>
                <w:sz w:val="18"/>
                <w:szCs w:val="18"/>
              </w:rPr>
              <w:t>3</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4B26B" w14:textId="0F6CECC3" w:rsidR="009004EA" w:rsidRDefault="009004EA" w:rsidP="00026D0C">
            <w:pPr>
              <w:jc w:val="center"/>
              <w:rPr>
                <w:sz w:val="18"/>
                <w:szCs w:val="18"/>
              </w:rPr>
            </w:pPr>
            <w:r>
              <w:rPr>
                <w:sz w:val="18"/>
                <w:szCs w:val="18"/>
              </w:rPr>
              <w:t>Closed</w:t>
            </w:r>
          </w:p>
        </w:tc>
      </w:tr>
      <w:tr w:rsidR="001A0241" w:rsidRPr="000E0C84" w14:paraId="75C18172"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29E9F0E" w14:textId="1FEB1F9A" w:rsidR="001A0241" w:rsidRPr="00830BF8" w:rsidRDefault="001A0241" w:rsidP="00026D0C">
            <w:pPr>
              <w:rPr>
                <w:sz w:val="18"/>
                <w:szCs w:val="18"/>
              </w:rPr>
            </w:pPr>
            <w:r>
              <w:rPr>
                <w:sz w:val="18"/>
                <w:szCs w:val="18"/>
              </w:rPr>
              <w:t>MTFP &amp; Budget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48B5C6" w14:textId="1B8FE7AE" w:rsidR="001A0241" w:rsidRDefault="001A0241" w:rsidP="00026D0C">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850D2" w14:textId="52C8D2AF" w:rsidR="001A0241" w:rsidRDefault="001A0241" w:rsidP="00026D0C">
            <w:pPr>
              <w:jc w:val="center"/>
              <w:rPr>
                <w:sz w:val="18"/>
                <w:szCs w:val="18"/>
              </w:rPr>
            </w:pPr>
            <w:r>
              <w:rPr>
                <w:sz w:val="18"/>
                <w:szCs w:val="18"/>
              </w:rPr>
              <w:t>Closed</w:t>
            </w:r>
          </w:p>
        </w:tc>
      </w:tr>
      <w:tr w:rsidR="00126399" w:rsidRPr="000E0C84" w14:paraId="3C3A2766" w14:textId="77777777" w:rsidTr="00ED37E4">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0F4C15F" w14:textId="21F3E81F" w:rsidR="00126399" w:rsidRDefault="00126399" w:rsidP="00026D0C">
            <w:pPr>
              <w:rPr>
                <w:sz w:val="18"/>
                <w:szCs w:val="18"/>
              </w:rPr>
            </w:pPr>
            <w:r>
              <w:rPr>
                <w:sz w:val="18"/>
                <w:szCs w:val="18"/>
              </w:rPr>
              <w:t>Financial control environment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8AB2736" w14:textId="678F894C" w:rsidR="00126399" w:rsidRDefault="00126399" w:rsidP="00026D0C">
            <w:pPr>
              <w:jc w:val="center"/>
              <w:rPr>
                <w:sz w:val="18"/>
                <w:szCs w:val="18"/>
              </w:rPr>
            </w:pPr>
            <w:r>
              <w:rPr>
                <w:sz w:val="18"/>
                <w:szCs w:val="18"/>
              </w:rPr>
              <w:t>0</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6CB82" w14:textId="5C844382" w:rsidR="00126399" w:rsidRDefault="00126399" w:rsidP="00126399">
            <w:pPr>
              <w:jc w:val="center"/>
              <w:rPr>
                <w:sz w:val="18"/>
                <w:szCs w:val="18"/>
              </w:rPr>
            </w:pPr>
            <w:r>
              <w:rPr>
                <w:sz w:val="18"/>
                <w:szCs w:val="18"/>
              </w:rPr>
              <w:t>N/A</w:t>
            </w:r>
          </w:p>
        </w:tc>
      </w:tr>
      <w:tr w:rsidR="001A0241" w:rsidRPr="000E0C84" w14:paraId="4F5D8715"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C1EB9F7" w14:textId="6F5CCBC2" w:rsidR="001A0241" w:rsidRPr="002513B7" w:rsidRDefault="001A0241" w:rsidP="00026D0C">
            <w:pPr>
              <w:rPr>
                <w:sz w:val="18"/>
                <w:szCs w:val="18"/>
              </w:rPr>
            </w:pPr>
            <w:r w:rsidRPr="002513B7">
              <w:rPr>
                <w:sz w:val="18"/>
                <w:szCs w:val="18"/>
              </w:rPr>
              <w:t>Payroll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D12574" w14:textId="3BB9F1D2" w:rsidR="001A0241" w:rsidRPr="002513B7" w:rsidRDefault="001A0241" w:rsidP="00026D0C">
            <w:pPr>
              <w:jc w:val="center"/>
              <w:rPr>
                <w:sz w:val="18"/>
                <w:szCs w:val="18"/>
              </w:rPr>
            </w:pPr>
            <w:r w:rsidRPr="002513B7">
              <w:rPr>
                <w:sz w:val="18"/>
                <w:szCs w:val="18"/>
              </w:rPr>
              <w:t>6</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00570" w14:textId="3DD1301B" w:rsidR="001A0241" w:rsidRPr="002513B7" w:rsidRDefault="001A0241" w:rsidP="001A0241">
            <w:pPr>
              <w:jc w:val="center"/>
              <w:rPr>
                <w:sz w:val="18"/>
                <w:szCs w:val="18"/>
              </w:rPr>
            </w:pPr>
            <w:r>
              <w:rPr>
                <w:sz w:val="18"/>
                <w:szCs w:val="18"/>
              </w:rPr>
              <w:t>Closed</w:t>
            </w:r>
          </w:p>
        </w:tc>
      </w:tr>
      <w:tr w:rsidR="00865617" w:rsidRPr="000E0C84" w14:paraId="5F6692DF" w14:textId="77777777" w:rsidTr="00ED37E4">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6F1BE8BD" w14:textId="10803F7A" w:rsidR="00865617" w:rsidRPr="002513B7" w:rsidRDefault="00865617" w:rsidP="00026D0C">
            <w:pPr>
              <w:rPr>
                <w:sz w:val="18"/>
                <w:szCs w:val="18"/>
              </w:rPr>
            </w:pPr>
            <w:r>
              <w:rPr>
                <w:sz w:val="18"/>
                <w:szCs w:val="18"/>
              </w:rPr>
              <w:t>AP</w:t>
            </w:r>
            <w:r w:rsidRPr="002513B7">
              <w:rPr>
                <w:sz w:val="18"/>
                <w:szCs w:val="18"/>
              </w:rPr>
              <w:t>/AR</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BC9D6A" w14:textId="677ECFD7" w:rsidR="00865617" w:rsidRPr="002513B7" w:rsidRDefault="00865617" w:rsidP="00026D0C">
            <w:pPr>
              <w:jc w:val="center"/>
              <w:rPr>
                <w:sz w:val="18"/>
                <w:szCs w:val="18"/>
              </w:rPr>
            </w:pPr>
            <w:r w:rsidRPr="002513B7">
              <w:rPr>
                <w:sz w:val="18"/>
                <w:szCs w:val="18"/>
              </w:rPr>
              <w:t>3</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FAB4" w14:textId="315350B3" w:rsidR="00865617" w:rsidRPr="002513B7" w:rsidRDefault="00865617" w:rsidP="00026D0C">
            <w:pPr>
              <w:jc w:val="center"/>
              <w:rPr>
                <w:sz w:val="18"/>
                <w:szCs w:val="18"/>
              </w:rPr>
            </w:pPr>
            <w:r>
              <w:rPr>
                <w:sz w:val="18"/>
                <w:szCs w:val="18"/>
              </w:rPr>
              <w:t>Closed</w:t>
            </w:r>
          </w:p>
        </w:tc>
      </w:tr>
      <w:tr w:rsidR="0006440D" w:rsidRPr="000E0C84" w14:paraId="11F441C7" w14:textId="77777777" w:rsidTr="004F0A64">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576879C" w14:textId="78F3B0CF" w:rsidR="0006440D" w:rsidRDefault="0006440D" w:rsidP="00AE79AB">
            <w:pPr>
              <w:rPr>
                <w:sz w:val="18"/>
                <w:szCs w:val="18"/>
              </w:rPr>
            </w:pPr>
            <w:r>
              <w:rPr>
                <w:sz w:val="18"/>
                <w:szCs w:val="18"/>
              </w:rPr>
              <w:lastRenderedPageBreak/>
              <w:t xml:space="preserve">Project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3D4896" w14:textId="1B0C8D62" w:rsidR="0006440D" w:rsidRDefault="0006440D"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6DFC779" w14:textId="685945EC" w:rsidR="0006440D" w:rsidRPr="0006440D" w:rsidRDefault="0006440D" w:rsidP="00AE79AB">
            <w:pPr>
              <w:jc w:val="center"/>
              <w:rPr>
                <w:b/>
                <w:bCs/>
                <w:sz w:val="18"/>
                <w:szCs w:val="18"/>
              </w:rPr>
            </w:pPr>
            <w:r w:rsidRPr="0006440D">
              <w:rPr>
                <w:b/>
                <w:bCs/>
                <w:sz w:val="18"/>
                <w:szCs w:val="18"/>
              </w:rPr>
              <w:t>Closed</w:t>
            </w:r>
          </w:p>
        </w:tc>
      </w:tr>
      <w:tr w:rsidR="00B22B0B" w:rsidRPr="000E0C84" w14:paraId="5D002176"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3D16AB5" w14:textId="6148502A" w:rsidR="00B22B0B" w:rsidRPr="002513B7" w:rsidRDefault="00B22B0B" w:rsidP="00AE79AB">
            <w:pPr>
              <w:rPr>
                <w:sz w:val="18"/>
                <w:szCs w:val="18"/>
              </w:rPr>
            </w:pPr>
            <w:r>
              <w:rPr>
                <w:sz w:val="18"/>
                <w:szCs w:val="18"/>
              </w:rPr>
              <w:t>People Data</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F78781" w14:textId="2E3857CA" w:rsidR="00B22B0B" w:rsidRPr="002513B7" w:rsidRDefault="00B22B0B"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F35CF" w14:textId="0DBC36AF" w:rsidR="00B22B0B" w:rsidRPr="002513B7" w:rsidRDefault="00B22B0B" w:rsidP="00AE79AB">
            <w:pPr>
              <w:jc w:val="center"/>
              <w:rPr>
                <w:sz w:val="18"/>
                <w:szCs w:val="18"/>
              </w:rPr>
            </w:pPr>
            <w:r>
              <w:rPr>
                <w:sz w:val="18"/>
                <w:szCs w:val="18"/>
              </w:rPr>
              <w:t>Closed</w:t>
            </w:r>
          </w:p>
        </w:tc>
      </w:tr>
      <w:tr w:rsidR="001661BE" w:rsidRPr="000E0C84" w14:paraId="5AA67283"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F1D3D98" w14:textId="745E9B4B" w:rsidR="001661BE" w:rsidRDefault="001661BE" w:rsidP="00AE79AB">
            <w:pPr>
              <w:rPr>
                <w:sz w:val="18"/>
                <w:szCs w:val="18"/>
              </w:rPr>
            </w:pPr>
            <w:r>
              <w:rPr>
                <w:sz w:val="18"/>
                <w:szCs w:val="18"/>
              </w:rPr>
              <w:t xml:space="preserve">Contract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D0DE71" w14:textId="491259A8" w:rsidR="001661BE" w:rsidRDefault="001661BE" w:rsidP="00AE79AB">
            <w:pPr>
              <w:jc w:val="center"/>
              <w:rPr>
                <w:sz w:val="18"/>
                <w:szCs w:val="18"/>
              </w:rPr>
            </w:pPr>
            <w:r>
              <w:rPr>
                <w:sz w:val="18"/>
                <w:szCs w:val="18"/>
              </w:rPr>
              <w:t>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586F0" w14:textId="69AE1826" w:rsidR="001661BE" w:rsidRDefault="001661BE" w:rsidP="00AE79AB">
            <w:pPr>
              <w:jc w:val="center"/>
              <w:rPr>
                <w:sz w:val="18"/>
                <w:szCs w:val="18"/>
              </w:rPr>
            </w:pPr>
            <w:r>
              <w:rPr>
                <w:sz w:val="18"/>
                <w:szCs w:val="18"/>
              </w:rPr>
              <w:t>Closed</w:t>
            </w:r>
          </w:p>
        </w:tc>
      </w:tr>
      <w:tr w:rsidR="00E80C54" w:rsidRPr="000E0C84" w14:paraId="16C939A2"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4C62856" w14:textId="403BF563" w:rsidR="00E80C54" w:rsidRDefault="00E80C54" w:rsidP="00AE79AB">
            <w:pPr>
              <w:rPr>
                <w:sz w:val="18"/>
                <w:szCs w:val="18"/>
              </w:rPr>
            </w:pPr>
            <w:r>
              <w:rPr>
                <w:sz w:val="18"/>
                <w:szCs w:val="18"/>
              </w:rPr>
              <w:t>TOM – Performance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0659C3" w14:textId="0958B9CD" w:rsidR="00E80C54" w:rsidRDefault="00E80C54" w:rsidP="00AE79AB">
            <w:pPr>
              <w:jc w:val="center"/>
              <w:rPr>
                <w:sz w:val="18"/>
                <w:szCs w:val="18"/>
              </w:rPr>
            </w:pPr>
            <w:r>
              <w:rPr>
                <w:sz w:val="18"/>
                <w:szCs w:val="18"/>
              </w:rPr>
              <w:t>1</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750C" w14:textId="0574A894" w:rsidR="00E80C54" w:rsidRDefault="00E80C54" w:rsidP="00AE79AB">
            <w:pPr>
              <w:jc w:val="center"/>
              <w:rPr>
                <w:sz w:val="18"/>
                <w:szCs w:val="18"/>
              </w:rPr>
            </w:pPr>
            <w:r>
              <w:rPr>
                <w:sz w:val="18"/>
                <w:szCs w:val="18"/>
              </w:rPr>
              <w:t>Closed</w:t>
            </w:r>
          </w:p>
        </w:tc>
      </w:tr>
      <w:tr w:rsidR="00357D08" w:rsidRPr="000E0C84" w14:paraId="417E597D"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42FA9A0" w14:textId="163F6A60" w:rsidR="00357D08" w:rsidRDefault="00357D08" w:rsidP="00AE79AB">
            <w:pPr>
              <w:rPr>
                <w:sz w:val="18"/>
                <w:szCs w:val="18"/>
              </w:rPr>
            </w:pPr>
            <w:r>
              <w:rPr>
                <w:sz w:val="18"/>
                <w:szCs w:val="18"/>
              </w:rPr>
              <w:t>ICT Network Infrastructure Security – Windows fileserver</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8B2F73" w14:textId="307D55C6" w:rsidR="00357D08" w:rsidRDefault="00357D08"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F86AC" w14:textId="1BBAD42A" w:rsidR="00357D08" w:rsidRDefault="00357D08" w:rsidP="00AE79AB">
            <w:pPr>
              <w:jc w:val="center"/>
              <w:rPr>
                <w:sz w:val="18"/>
                <w:szCs w:val="18"/>
              </w:rPr>
            </w:pPr>
            <w:r>
              <w:rPr>
                <w:sz w:val="18"/>
                <w:szCs w:val="18"/>
              </w:rPr>
              <w:t>Closed</w:t>
            </w:r>
          </w:p>
        </w:tc>
      </w:tr>
      <w:tr w:rsidR="00357D08" w:rsidRPr="000E0C84" w14:paraId="07E9B207" w14:textId="77777777" w:rsidTr="00B70FC0">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0859409" w14:textId="6A287B8E" w:rsidR="00357D08" w:rsidRDefault="00357D08" w:rsidP="00AE79AB">
            <w:pPr>
              <w:rPr>
                <w:sz w:val="18"/>
                <w:szCs w:val="18"/>
              </w:rPr>
            </w:pPr>
            <w:r>
              <w:rPr>
                <w:sz w:val="18"/>
                <w:szCs w:val="18"/>
              </w:rPr>
              <w:t>ICT Privileged Access Control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8CF5FC" w14:textId="7C7ECC06" w:rsidR="00357D08" w:rsidRDefault="00357D08" w:rsidP="00AE79AB">
            <w:pPr>
              <w:jc w:val="center"/>
              <w:rPr>
                <w:sz w:val="18"/>
                <w:szCs w:val="18"/>
              </w:rPr>
            </w:pPr>
            <w:r>
              <w:rPr>
                <w:sz w:val="18"/>
                <w:szCs w:val="18"/>
              </w:rPr>
              <w:t>2</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3C1C" w14:textId="657BBE7B" w:rsidR="00357D08" w:rsidRDefault="00357D08" w:rsidP="00AE79AB">
            <w:pPr>
              <w:jc w:val="center"/>
              <w:rPr>
                <w:sz w:val="18"/>
                <w:szCs w:val="18"/>
              </w:rPr>
            </w:pPr>
            <w:r>
              <w:rPr>
                <w:sz w:val="18"/>
                <w:szCs w:val="18"/>
              </w:rPr>
              <w:t>Closed</w:t>
            </w:r>
          </w:p>
        </w:tc>
      </w:tr>
      <w:tr w:rsidR="00196286" w:rsidRPr="000E0C84" w14:paraId="6B5137CD" w14:textId="77777777" w:rsidTr="007A7F18">
        <w:trPr>
          <w:trHeight w:val="255"/>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1FDDD7A" w14:textId="77777777" w:rsidR="00196286" w:rsidRPr="00094FAF" w:rsidRDefault="00196286" w:rsidP="00AE79AB">
            <w:pPr>
              <w:rPr>
                <w:b/>
                <w:bCs/>
                <w:sz w:val="18"/>
                <w:szCs w:val="18"/>
              </w:rPr>
            </w:pPr>
            <w:r w:rsidRPr="00094FAF">
              <w:rPr>
                <w:b/>
                <w:bCs/>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265D12" w14:textId="19F5C974" w:rsidR="00196286" w:rsidRPr="00094FAF" w:rsidRDefault="00196286" w:rsidP="00AE79AB">
            <w:pPr>
              <w:jc w:val="center"/>
              <w:rPr>
                <w:b/>
                <w:bCs/>
                <w:sz w:val="18"/>
                <w:szCs w:val="18"/>
              </w:rPr>
            </w:pPr>
            <w:r>
              <w:rPr>
                <w:b/>
                <w:bCs/>
                <w:sz w:val="18"/>
                <w:szCs w:val="18"/>
              </w:rPr>
              <w:t>37</w:t>
            </w:r>
          </w:p>
        </w:tc>
        <w:tc>
          <w:tcPr>
            <w:tcW w:w="46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7548" w14:textId="774E84C0" w:rsidR="00196286" w:rsidRPr="00094FAF" w:rsidRDefault="0006440D" w:rsidP="00AE79AB">
            <w:pPr>
              <w:jc w:val="center"/>
              <w:rPr>
                <w:b/>
                <w:bCs/>
                <w:sz w:val="18"/>
                <w:szCs w:val="18"/>
              </w:rPr>
            </w:pPr>
            <w:r>
              <w:rPr>
                <w:b/>
                <w:bCs/>
                <w:sz w:val="18"/>
                <w:szCs w:val="18"/>
              </w:rPr>
              <w:t>0</w:t>
            </w:r>
          </w:p>
        </w:tc>
      </w:tr>
    </w:tbl>
    <w:p w14:paraId="3498ED26" w14:textId="299CC600" w:rsidR="009D4ECF" w:rsidRDefault="009D4ECF">
      <w:pPr>
        <w:spacing w:after="200" w:line="276" w:lineRule="auto"/>
        <w:rPr>
          <w:b/>
        </w:rPr>
      </w:pP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DC2A17" w:rsidRPr="000E0C84" w14:paraId="29915787" w14:textId="77777777" w:rsidTr="00896D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42E54C50" w14:textId="73AA6BF4" w:rsidR="00DC2A17" w:rsidRPr="008E7BE3" w:rsidRDefault="00DC2A17" w:rsidP="00DC516A">
            <w:pPr>
              <w:rPr>
                <w:b/>
                <w:color w:val="FFFFFF" w:themeColor="background1"/>
              </w:rPr>
            </w:pPr>
            <w:r>
              <w:rPr>
                <w:b/>
                <w:color w:val="FFFFFF" w:themeColor="background1"/>
              </w:rPr>
              <w:t>2023/24</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71AD7020" w14:textId="30130FDE" w:rsidR="00DC2A17" w:rsidRPr="008E7BE3" w:rsidRDefault="00DC2A17" w:rsidP="00DC516A">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FF0000"/>
            <w:vAlign w:val="center"/>
          </w:tcPr>
          <w:p w14:paraId="25B37E60" w14:textId="0FA5F3E8" w:rsidR="00DC2A17" w:rsidRPr="008E7BE3" w:rsidRDefault="005D0C00" w:rsidP="00DC516A">
            <w:pPr>
              <w:jc w:val="center"/>
              <w:rPr>
                <w:b/>
                <w:color w:val="FFFFFF" w:themeColor="background1"/>
                <w:sz w:val="20"/>
                <w:szCs w:val="20"/>
              </w:rPr>
            </w:pPr>
            <w:r>
              <w:rPr>
                <w:b/>
                <w:color w:val="FFFFFF" w:themeColor="background1"/>
                <w:sz w:val="20"/>
                <w:szCs w:val="20"/>
              </w:rPr>
              <w:t>High</w:t>
            </w:r>
          </w:p>
        </w:tc>
        <w:tc>
          <w:tcPr>
            <w:tcW w:w="1550" w:type="dxa"/>
            <w:tcBorders>
              <w:top w:val="single" w:sz="4" w:space="0" w:color="auto"/>
              <w:left w:val="single" w:sz="4" w:space="0" w:color="auto"/>
              <w:bottom w:val="single" w:sz="4" w:space="0" w:color="auto"/>
              <w:right w:val="single" w:sz="4" w:space="0" w:color="auto"/>
            </w:tcBorders>
            <w:shd w:val="clear" w:color="auto" w:fill="FFC000"/>
            <w:vAlign w:val="center"/>
          </w:tcPr>
          <w:p w14:paraId="7204015D" w14:textId="0C5D833A" w:rsidR="00DC2A17" w:rsidRPr="008E7BE3" w:rsidRDefault="005D0C00" w:rsidP="00DC516A">
            <w:pPr>
              <w:jc w:val="center"/>
              <w:rPr>
                <w:b/>
                <w:color w:val="FFFFFF" w:themeColor="background1"/>
                <w:sz w:val="20"/>
                <w:szCs w:val="20"/>
              </w:rPr>
            </w:pPr>
            <w:r>
              <w:rPr>
                <w:b/>
                <w:color w:val="FFFFFF" w:themeColor="background1"/>
                <w:sz w:val="20"/>
                <w:szCs w:val="20"/>
              </w:rPr>
              <w:t>Medium</w:t>
            </w:r>
          </w:p>
        </w:tc>
        <w:tc>
          <w:tcPr>
            <w:tcW w:w="1551" w:type="dxa"/>
            <w:tcBorders>
              <w:left w:val="single" w:sz="4" w:space="0" w:color="auto"/>
              <w:bottom w:val="single" w:sz="4" w:space="0" w:color="auto"/>
              <w:right w:val="single" w:sz="4" w:space="0" w:color="auto"/>
            </w:tcBorders>
            <w:shd w:val="clear" w:color="auto" w:fill="92D050"/>
            <w:vAlign w:val="center"/>
          </w:tcPr>
          <w:p w14:paraId="1EB53A7C" w14:textId="7033A6D9" w:rsidR="00DC2A17" w:rsidRPr="008E7BE3" w:rsidRDefault="005D0C00" w:rsidP="00DC516A">
            <w:pPr>
              <w:jc w:val="center"/>
              <w:rPr>
                <w:b/>
                <w:color w:val="FFFFFF" w:themeColor="background1"/>
                <w:sz w:val="20"/>
                <w:szCs w:val="20"/>
              </w:rPr>
            </w:pPr>
            <w:r>
              <w:rPr>
                <w:b/>
                <w:color w:val="FFFFFF" w:themeColor="background1"/>
                <w:sz w:val="20"/>
                <w:szCs w:val="20"/>
              </w:rPr>
              <w:t>Low</w:t>
            </w:r>
          </w:p>
        </w:tc>
      </w:tr>
      <w:tr w:rsidR="00DC2A17" w:rsidRPr="000E0C84" w14:paraId="68F1B927" w14:textId="77777777" w:rsidTr="004F0A64">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7D79D86" w14:textId="10505C45" w:rsidR="00DC2A17" w:rsidRPr="00B3057E" w:rsidRDefault="0032018A" w:rsidP="00DC516A">
            <w:pPr>
              <w:rPr>
                <w:bCs/>
                <w:sz w:val="18"/>
                <w:szCs w:val="18"/>
              </w:rPr>
            </w:pPr>
            <w:r>
              <w:rPr>
                <w:bCs/>
                <w:sz w:val="18"/>
                <w:szCs w:val="18"/>
              </w:rPr>
              <w:t xml:space="preserve">Risk management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C30276" w14:textId="06C6F755" w:rsidR="00DC2A17" w:rsidRPr="000E0C84" w:rsidRDefault="00257E7E" w:rsidP="00DC516A">
            <w:pPr>
              <w:jc w:val="center"/>
              <w:rPr>
                <w:sz w:val="18"/>
                <w:szCs w:val="18"/>
              </w:rPr>
            </w:pPr>
            <w:r>
              <w:rPr>
                <w:sz w:val="18"/>
                <w:szCs w:val="18"/>
              </w:rPr>
              <w:t>10 actions from 3 recs</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42281C" w14:textId="6F06790E" w:rsidR="00DC2A17" w:rsidRPr="000E0C84" w:rsidRDefault="00BC2A79"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FFFF00"/>
            <w:vAlign w:val="center"/>
          </w:tcPr>
          <w:p w14:paraId="7BBE3127" w14:textId="77777777" w:rsidR="004F0A64" w:rsidRDefault="00D87A0F" w:rsidP="00DC516A">
            <w:pPr>
              <w:jc w:val="center"/>
              <w:rPr>
                <w:sz w:val="18"/>
                <w:szCs w:val="18"/>
              </w:rPr>
            </w:pPr>
            <w:r>
              <w:rPr>
                <w:sz w:val="18"/>
                <w:szCs w:val="18"/>
              </w:rPr>
              <w:t xml:space="preserve">2 open </w:t>
            </w:r>
          </w:p>
          <w:p w14:paraId="26097957" w14:textId="2772D766" w:rsidR="00DC2A17" w:rsidRPr="004F0A64" w:rsidRDefault="00D87A0F" w:rsidP="00DC516A">
            <w:pPr>
              <w:jc w:val="center"/>
              <w:rPr>
                <w:b/>
                <w:bCs/>
                <w:sz w:val="18"/>
                <w:szCs w:val="18"/>
              </w:rPr>
            </w:pPr>
            <w:r w:rsidRPr="004F0A64">
              <w:rPr>
                <w:b/>
                <w:bCs/>
                <w:sz w:val="18"/>
                <w:szCs w:val="18"/>
              </w:rPr>
              <w:t>1 closed</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5480B6CD" w14:textId="596C5BB6" w:rsidR="00DC2A17" w:rsidRPr="004F0A64" w:rsidRDefault="00D87A0F" w:rsidP="00DC516A">
            <w:pPr>
              <w:jc w:val="center"/>
              <w:rPr>
                <w:b/>
                <w:bCs/>
                <w:sz w:val="18"/>
                <w:szCs w:val="18"/>
              </w:rPr>
            </w:pPr>
            <w:r w:rsidRPr="004F0A64">
              <w:rPr>
                <w:b/>
                <w:bCs/>
                <w:sz w:val="18"/>
                <w:szCs w:val="18"/>
              </w:rPr>
              <w:t>Closed</w:t>
            </w:r>
          </w:p>
        </w:tc>
      </w:tr>
      <w:tr w:rsidR="00CF5DAD" w:rsidRPr="000E0C84" w14:paraId="5FCED248" w14:textId="77777777" w:rsidTr="00B70FC0">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C58EF7A" w14:textId="17A4D825" w:rsidR="00CF5DAD" w:rsidRPr="00B3057E" w:rsidRDefault="00CF5DAD" w:rsidP="00DC516A">
            <w:pPr>
              <w:rPr>
                <w:sz w:val="18"/>
                <w:szCs w:val="18"/>
              </w:rPr>
            </w:pPr>
            <w:r>
              <w:rPr>
                <w:sz w:val="18"/>
                <w:szCs w:val="18"/>
              </w:rPr>
              <w:t>Core Financials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E7DACA" w14:textId="64FB7893" w:rsidR="00CF5DAD" w:rsidRDefault="00CF5DAD" w:rsidP="00DC516A">
            <w:pPr>
              <w:jc w:val="center"/>
              <w:rPr>
                <w:sz w:val="18"/>
                <w:szCs w:val="18"/>
              </w:rPr>
            </w:pPr>
            <w:r>
              <w:rPr>
                <w:sz w:val="18"/>
                <w:szCs w:val="18"/>
              </w:rPr>
              <w:t>6</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9C608" w14:textId="3BCE88D6" w:rsidR="00CF5DAD" w:rsidRDefault="00CF5DAD" w:rsidP="00DC516A">
            <w:pPr>
              <w:jc w:val="center"/>
              <w:rPr>
                <w:sz w:val="18"/>
                <w:szCs w:val="18"/>
              </w:rPr>
            </w:pPr>
            <w:r>
              <w:rPr>
                <w:sz w:val="18"/>
                <w:szCs w:val="18"/>
              </w:rPr>
              <w:t>Closed</w:t>
            </w:r>
          </w:p>
        </w:tc>
      </w:tr>
      <w:tr w:rsidR="00DC2A17" w:rsidRPr="000E0C84" w14:paraId="0C3A617F" w14:textId="77777777" w:rsidTr="004F0A64">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C6608E6" w14:textId="51133CB2" w:rsidR="00DC2A17" w:rsidRPr="00830BF8" w:rsidRDefault="00927105" w:rsidP="00DC516A">
            <w:pPr>
              <w:rPr>
                <w:sz w:val="18"/>
                <w:szCs w:val="18"/>
              </w:rPr>
            </w:pPr>
            <w:r>
              <w:rPr>
                <w:sz w:val="18"/>
                <w:szCs w:val="18"/>
              </w:rPr>
              <w:t>Grievance</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7012E2" w14:textId="03A0D7BA" w:rsidR="00DC2A17" w:rsidRDefault="00927105" w:rsidP="00DC516A">
            <w:pPr>
              <w:jc w:val="center"/>
              <w:rPr>
                <w:sz w:val="18"/>
                <w:szCs w:val="18"/>
              </w:rPr>
            </w:pPr>
            <w:r>
              <w:rPr>
                <w:sz w:val="18"/>
                <w:szCs w:val="18"/>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3912BD7" w14:textId="508A6DB8" w:rsidR="00DC2A17" w:rsidRDefault="00E725E5"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34B9260" w14:textId="5D982449" w:rsidR="00DC2A17" w:rsidRDefault="00E725E5" w:rsidP="00DC516A">
            <w:pPr>
              <w:jc w:val="center"/>
              <w:rPr>
                <w:sz w:val="18"/>
                <w:szCs w:val="18"/>
              </w:rPr>
            </w:pPr>
            <w:r>
              <w:rPr>
                <w:sz w:val="18"/>
                <w:szCs w:val="18"/>
              </w:rPr>
              <w:t>0</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453B3A5A" w14:textId="0BB7C897" w:rsidR="00DC2A17" w:rsidRPr="004F0A64" w:rsidRDefault="00D87A0F" w:rsidP="00DC516A">
            <w:pPr>
              <w:jc w:val="center"/>
              <w:rPr>
                <w:b/>
                <w:bCs/>
                <w:sz w:val="18"/>
                <w:szCs w:val="18"/>
              </w:rPr>
            </w:pPr>
            <w:r w:rsidRPr="004F0A64">
              <w:rPr>
                <w:b/>
                <w:bCs/>
                <w:sz w:val="18"/>
                <w:szCs w:val="18"/>
              </w:rPr>
              <w:t>Closed</w:t>
            </w:r>
          </w:p>
        </w:tc>
      </w:tr>
      <w:tr w:rsidR="00495CD2" w:rsidRPr="000E0C84" w14:paraId="6E0CDF9B" w14:textId="77777777" w:rsidTr="004F0A64">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4826DCBF" w14:textId="484C94B4" w:rsidR="00495CD2" w:rsidRDefault="00495CD2" w:rsidP="00DC516A">
            <w:pPr>
              <w:rPr>
                <w:sz w:val="18"/>
                <w:szCs w:val="18"/>
              </w:rPr>
            </w:pPr>
            <w:r>
              <w:rPr>
                <w:sz w:val="18"/>
                <w:szCs w:val="18"/>
              </w:rPr>
              <w:t>Payroll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EF6933" w14:textId="747910DC" w:rsidR="00495CD2" w:rsidRDefault="00F72D4A" w:rsidP="004114EB">
            <w:pPr>
              <w:jc w:val="center"/>
              <w:rPr>
                <w:sz w:val="18"/>
                <w:szCs w:val="18"/>
              </w:rPr>
            </w:pPr>
            <w:r>
              <w:rPr>
                <w:sz w:val="18"/>
                <w:szCs w:val="18"/>
              </w:rPr>
              <w:t xml:space="preserve">4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CA38CE4" w14:textId="6059C203" w:rsidR="00495CD2" w:rsidRDefault="00F72D4A"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960C59E" w14:textId="7B4BE01C" w:rsidR="00495CD2" w:rsidRDefault="004D7CDC" w:rsidP="00DC516A">
            <w:pPr>
              <w:jc w:val="center"/>
              <w:rPr>
                <w:sz w:val="18"/>
                <w:szCs w:val="18"/>
              </w:rPr>
            </w:pPr>
            <w:r>
              <w:rPr>
                <w:sz w:val="18"/>
                <w:szCs w:val="18"/>
              </w:rPr>
              <w:t>Closed</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208A207B" w14:textId="4030B3E9" w:rsidR="00495CD2" w:rsidRPr="004F0A64" w:rsidRDefault="004F0A64" w:rsidP="00DC516A">
            <w:pPr>
              <w:jc w:val="center"/>
              <w:rPr>
                <w:b/>
                <w:bCs/>
                <w:sz w:val="18"/>
                <w:szCs w:val="18"/>
              </w:rPr>
            </w:pPr>
            <w:r w:rsidRPr="004F0A64">
              <w:rPr>
                <w:b/>
                <w:bCs/>
                <w:sz w:val="18"/>
                <w:szCs w:val="18"/>
              </w:rPr>
              <w:t>Closed</w:t>
            </w:r>
          </w:p>
        </w:tc>
      </w:tr>
      <w:tr w:rsidR="004D7CDC" w:rsidRPr="000E0C84" w14:paraId="62063B8E" w14:textId="77777777" w:rsidTr="008D55FE">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0CCAC31F" w14:textId="164F2AD4" w:rsidR="004D7CDC" w:rsidRDefault="004D7CDC" w:rsidP="00DC516A">
            <w:pPr>
              <w:rPr>
                <w:sz w:val="18"/>
                <w:szCs w:val="18"/>
              </w:rPr>
            </w:pPr>
            <w:r>
              <w:rPr>
                <w:sz w:val="18"/>
                <w:szCs w:val="18"/>
              </w:rPr>
              <w:t>EDI</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AC41B8" w14:textId="2400D287" w:rsidR="004D7CDC" w:rsidRDefault="004D7CDC" w:rsidP="00DC516A">
            <w:pPr>
              <w:jc w:val="center"/>
              <w:rPr>
                <w:sz w:val="18"/>
                <w:szCs w:val="18"/>
              </w:rPr>
            </w:pPr>
            <w:r>
              <w:rPr>
                <w:sz w:val="18"/>
                <w:szCs w:val="18"/>
              </w:rPr>
              <w:t xml:space="preserve">4 </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802F4" w14:textId="4975194E" w:rsidR="004D7CDC" w:rsidRDefault="004D7CDC" w:rsidP="00DC516A">
            <w:pPr>
              <w:jc w:val="center"/>
              <w:rPr>
                <w:sz w:val="18"/>
                <w:szCs w:val="18"/>
              </w:rPr>
            </w:pPr>
            <w:r>
              <w:rPr>
                <w:sz w:val="18"/>
                <w:szCs w:val="18"/>
              </w:rPr>
              <w:t>Closed</w:t>
            </w:r>
          </w:p>
        </w:tc>
      </w:tr>
      <w:tr w:rsidR="00C05547" w:rsidRPr="000E0C84" w14:paraId="30014D17" w14:textId="77777777" w:rsidTr="008D55FE">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31408DA" w14:textId="422E9A6C" w:rsidR="00C05547" w:rsidRDefault="00C05547" w:rsidP="00DC516A">
            <w:pPr>
              <w:rPr>
                <w:sz w:val="18"/>
                <w:szCs w:val="18"/>
              </w:rPr>
            </w:pPr>
            <w:r>
              <w:rPr>
                <w:sz w:val="18"/>
                <w:szCs w:val="18"/>
              </w:rPr>
              <w:t>New systems Assurance</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A48B14" w14:textId="209D2906" w:rsidR="00C05547" w:rsidRDefault="00C05547" w:rsidP="00DC516A">
            <w:pPr>
              <w:jc w:val="center"/>
              <w:rPr>
                <w:sz w:val="18"/>
                <w:szCs w:val="18"/>
              </w:rPr>
            </w:pPr>
            <w:r>
              <w:rPr>
                <w:sz w:val="18"/>
                <w:szCs w:val="18"/>
              </w:rPr>
              <w:t xml:space="preserve">2 </w:t>
            </w:r>
          </w:p>
        </w:tc>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70616" w14:textId="6C9041A0" w:rsidR="00C05547" w:rsidRDefault="00C05547" w:rsidP="00DC516A">
            <w:pPr>
              <w:jc w:val="center"/>
              <w:rPr>
                <w:sz w:val="18"/>
                <w:szCs w:val="18"/>
              </w:rPr>
            </w:pPr>
            <w:r>
              <w:rPr>
                <w:sz w:val="18"/>
                <w:szCs w:val="18"/>
              </w:rPr>
              <w:t>Closed</w:t>
            </w:r>
          </w:p>
        </w:tc>
      </w:tr>
      <w:tr w:rsidR="00ED37E4" w:rsidRPr="000E0C84" w14:paraId="2B67F3F7"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03B996C" w14:textId="7DB7BDCD" w:rsidR="00ED37E4" w:rsidRDefault="00ED37E4" w:rsidP="00DC516A">
            <w:pPr>
              <w:rPr>
                <w:sz w:val="18"/>
                <w:szCs w:val="18"/>
              </w:rPr>
            </w:pPr>
            <w:r w:rsidRPr="00ED37E4">
              <w:rPr>
                <w:sz w:val="18"/>
                <w:szCs w:val="18"/>
              </w:rPr>
              <w:t>Identity Access Management</w:t>
            </w:r>
            <w:r w:rsidR="00896D18">
              <w:rPr>
                <w:sz w:val="18"/>
                <w:szCs w:val="18"/>
              </w:rPr>
              <w:t xml:space="preserve"> </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9798545" w14:textId="08575A6D" w:rsidR="00ED37E4" w:rsidRDefault="001D369F" w:rsidP="00DC516A">
            <w:pPr>
              <w:jc w:val="center"/>
              <w:rPr>
                <w:sz w:val="18"/>
                <w:szCs w:val="18"/>
              </w:rPr>
            </w:pPr>
            <w:r>
              <w:rPr>
                <w:sz w:val="18"/>
                <w:szCs w:val="18"/>
              </w:rPr>
              <w:t>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5FA9B62" w14:textId="63BEAE0D" w:rsidR="00ED37E4" w:rsidRDefault="001D369F"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A27C70F" w14:textId="301B0C51" w:rsidR="00ED37E4" w:rsidRDefault="00C05547" w:rsidP="00DC516A">
            <w:pPr>
              <w:jc w:val="center"/>
              <w:rPr>
                <w:sz w:val="18"/>
                <w:szCs w:val="18"/>
              </w:rPr>
            </w:pPr>
            <w:r>
              <w:rPr>
                <w:sz w:val="18"/>
                <w:szCs w:val="18"/>
              </w:rPr>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230C56BA" w14:textId="377F476E" w:rsidR="00ED37E4" w:rsidRDefault="00C05547" w:rsidP="00DC516A">
            <w:pPr>
              <w:jc w:val="center"/>
              <w:rPr>
                <w:sz w:val="18"/>
                <w:szCs w:val="18"/>
              </w:rPr>
            </w:pPr>
            <w:r>
              <w:rPr>
                <w:sz w:val="18"/>
                <w:szCs w:val="18"/>
              </w:rPr>
              <w:t>Closed</w:t>
            </w:r>
          </w:p>
        </w:tc>
      </w:tr>
      <w:tr w:rsidR="00ED37E4" w:rsidRPr="000E0C84" w14:paraId="3ED581E7"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3E732469" w14:textId="25686A0F" w:rsidR="00ED37E4" w:rsidRDefault="00ED37E4" w:rsidP="00DC516A">
            <w:pPr>
              <w:rPr>
                <w:sz w:val="18"/>
                <w:szCs w:val="18"/>
              </w:rPr>
            </w:pPr>
            <w:r w:rsidRPr="00ED37E4">
              <w:rPr>
                <w:sz w:val="18"/>
                <w:szCs w:val="18"/>
              </w:rPr>
              <w:t>IT Asset Legacy Management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48B093" w14:textId="1F3DB277" w:rsidR="00ED37E4" w:rsidRDefault="00ED37E4" w:rsidP="00DC516A">
            <w:pPr>
              <w:jc w:val="center"/>
              <w:rPr>
                <w:sz w:val="18"/>
                <w:szCs w:val="18"/>
              </w:rPr>
            </w:pPr>
            <w:r>
              <w:rPr>
                <w:sz w:val="18"/>
                <w:szCs w:val="18"/>
              </w:rPr>
              <w:t>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9AAEED7" w14:textId="6B9BDAAA" w:rsidR="00ED37E4" w:rsidRDefault="00ED37E4" w:rsidP="00DC516A">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99761C" w14:textId="0DD93131" w:rsidR="00ED37E4" w:rsidRDefault="00DB4675" w:rsidP="00DC516A">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354FF5E" w14:textId="4FAC0E19" w:rsidR="00ED37E4" w:rsidRDefault="00C05547" w:rsidP="00DC516A">
            <w:pPr>
              <w:jc w:val="center"/>
              <w:rPr>
                <w:sz w:val="18"/>
                <w:szCs w:val="18"/>
              </w:rPr>
            </w:pPr>
            <w:r>
              <w:rPr>
                <w:sz w:val="18"/>
                <w:szCs w:val="18"/>
              </w:rPr>
              <w:t>1</w:t>
            </w:r>
          </w:p>
        </w:tc>
      </w:tr>
      <w:tr w:rsidR="00D91E88" w:rsidRPr="000E0C84" w14:paraId="022BD23B" w14:textId="77777777" w:rsidTr="00DC516A">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BFCDC1F" w14:textId="7195C16E" w:rsidR="00D91E88" w:rsidRPr="00D91E88" w:rsidRDefault="00D91E88" w:rsidP="00DC516A">
            <w:pPr>
              <w:rPr>
                <w:b/>
                <w:sz w:val="18"/>
                <w:szCs w:val="18"/>
              </w:rPr>
            </w:pPr>
            <w:r w:rsidRPr="00D91E88">
              <w:rPr>
                <w:b/>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95549F" w14:textId="720DB5D2" w:rsidR="00D91E88" w:rsidRPr="00D91E88" w:rsidRDefault="00257E7E" w:rsidP="00257E7E">
            <w:pPr>
              <w:jc w:val="center"/>
              <w:rPr>
                <w:b/>
                <w:sz w:val="18"/>
                <w:szCs w:val="18"/>
              </w:rPr>
            </w:pPr>
            <w:r>
              <w:rPr>
                <w:b/>
                <w:sz w:val="18"/>
                <w:szCs w:val="18"/>
              </w:rPr>
              <w:t>3</w:t>
            </w:r>
            <w:r w:rsidR="001D369F">
              <w:rPr>
                <w:b/>
                <w:sz w:val="18"/>
                <w:szCs w:val="18"/>
              </w:rPr>
              <w:t>8</w:t>
            </w:r>
            <w:r w:rsidR="00942942">
              <w:rPr>
                <w:b/>
                <w:sz w:val="18"/>
                <w:szCs w:val="18"/>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1DC3CEA" w14:textId="1533CE94" w:rsidR="00D91E88" w:rsidRPr="00D91E88" w:rsidRDefault="006520D7" w:rsidP="006520D7">
            <w:pPr>
              <w:jc w:val="center"/>
              <w:rPr>
                <w:b/>
                <w:sz w:val="18"/>
                <w:szCs w:val="18"/>
              </w:rPr>
            </w:pPr>
            <w:r>
              <w:rPr>
                <w:b/>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919BF18" w14:textId="73124CA9" w:rsidR="00D91E88" w:rsidRPr="00D91E88" w:rsidRDefault="00644CD6" w:rsidP="00C07852">
            <w:pPr>
              <w:jc w:val="center"/>
              <w:rPr>
                <w:b/>
                <w:sz w:val="18"/>
                <w:szCs w:val="18"/>
              </w:rPr>
            </w:pPr>
            <w:r>
              <w:rPr>
                <w:b/>
                <w:sz w:val="18"/>
                <w:szCs w:val="18"/>
              </w:rPr>
              <w:t>7</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3BC4A647" w14:textId="0C979144" w:rsidR="00D91E88" w:rsidRPr="00D91E88" w:rsidRDefault="004D5580" w:rsidP="00C07852">
            <w:pPr>
              <w:jc w:val="center"/>
              <w:rPr>
                <w:b/>
                <w:sz w:val="18"/>
                <w:szCs w:val="18"/>
              </w:rPr>
            </w:pPr>
            <w:r>
              <w:rPr>
                <w:b/>
                <w:sz w:val="18"/>
                <w:szCs w:val="18"/>
              </w:rPr>
              <w:t>1</w:t>
            </w:r>
          </w:p>
        </w:tc>
      </w:tr>
    </w:tbl>
    <w:p w14:paraId="25D2F142" w14:textId="2E8979CD" w:rsidR="00E57C60" w:rsidRDefault="00E57C60">
      <w:pPr>
        <w:spacing w:after="200" w:line="276" w:lineRule="auto"/>
        <w:rPr>
          <w:b/>
        </w:rPr>
      </w:pPr>
    </w:p>
    <w:p w14:paraId="3F0EC63F" w14:textId="77777777" w:rsidR="00122D58" w:rsidRDefault="00122D58">
      <w:pPr>
        <w:spacing w:after="200" w:line="276" w:lineRule="auto"/>
        <w:rPr>
          <w:b/>
        </w:rPr>
      </w:pPr>
    </w:p>
    <w:tbl>
      <w:tblPr>
        <w:tblW w:w="141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2"/>
        <w:gridCol w:w="3568"/>
        <w:gridCol w:w="1550"/>
        <w:gridCol w:w="1550"/>
        <w:gridCol w:w="1551"/>
      </w:tblGrid>
      <w:tr w:rsidR="00E57C60" w:rsidRPr="000E0C84" w14:paraId="1D9FBFFD" w14:textId="77777777" w:rsidTr="007A7F18">
        <w:trPr>
          <w:trHeight w:val="552"/>
          <w:tblHeader/>
        </w:trPr>
        <w:tc>
          <w:tcPr>
            <w:tcW w:w="5972" w:type="dxa"/>
            <w:tcBorders>
              <w:top w:val="single" w:sz="4" w:space="0" w:color="auto"/>
              <w:left w:val="single" w:sz="4" w:space="0" w:color="auto"/>
              <w:bottom w:val="single" w:sz="4" w:space="0" w:color="auto"/>
              <w:right w:val="single" w:sz="4" w:space="0" w:color="auto"/>
            </w:tcBorders>
            <w:shd w:val="clear" w:color="auto" w:fill="CC0000"/>
            <w:vAlign w:val="center"/>
          </w:tcPr>
          <w:p w14:paraId="40EF18F5" w14:textId="20B748A3" w:rsidR="00E57C60" w:rsidRPr="008E7BE3" w:rsidRDefault="00E57C60" w:rsidP="007A7F18">
            <w:pPr>
              <w:rPr>
                <w:b/>
                <w:color w:val="FFFFFF" w:themeColor="background1"/>
              </w:rPr>
            </w:pPr>
            <w:r>
              <w:rPr>
                <w:b/>
                <w:color w:val="FFFFFF" w:themeColor="background1"/>
              </w:rPr>
              <w:t>2024/25</w:t>
            </w:r>
            <w:r w:rsidRPr="008E7BE3">
              <w:rPr>
                <w:b/>
                <w:color w:val="FFFFFF" w:themeColor="background1"/>
              </w:rPr>
              <w:t xml:space="preserve"> AUDITS</w:t>
            </w:r>
          </w:p>
        </w:tc>
        <w:tc>
          <w:tcPr>
            <w:tcW w:w="3568" w:type="dxa"/>
            <w:tcBorders>
              <w:top w:val="single" w:sz="4" w:space="0" w:color="auto"/>
              <w:left w:val="single" w:sz="4" w:space="0" w:color="auto"/>
              <w:bottom w:val="single" w:sz="4" w:space="0" w:color="auto"/>
              <w:right w:val="single" w:sz="4" w:space="0" w:color="auto"/>
            </w:tcBorders>
            <w:shd w:val="clear" w:color="auto" w:fill="CC0000"/>
            <w:vAlign w:val="center"/>
          </w:tcPr>
          <w:p w14:paraId="2F9D5608" w14:textId="77777777" w:rsidR="00E57C60" w:rsidRPr="008E7BE3" w:rsidRDefault="00E57C60" w:rsidP="007A7F18">
            <w:pPr>
              <w:rPr>
                <w:b/>
                <w:color w:val="FFFFFF" w:themeColor="background1"/>
              </w:rPr>
            </w:pPr>
            <w:r w:rsidRPr="008E7BE3">
              <w:rPr>
                <w:b/>
                <w:color w:val="FFFFFF" w:themeColor="background1"/>
              </w:rPr>
              <w:t>RECOMMENDATIONS MADE</w:t>
            </w:r>
          </w:p>
        </w:tc>
        <w:tc>
          <w:tcPr>
            <w:tcW w:w="1550" w:type="dxa"/>
            <w:tcBorders>
              <w:top w:val="single" w:sz="4" w:space="0" w:color="auto"/>
              <w:left w:val="single" w:sz="4" w:space="0" w:color="auto"/>
              <w:bottom w:val="single" w:sz="4" w:space="0" w:color="auto"/>
              <w:right w:val="single" w:sz="4" w:space="0" w:color="auto"/>
            </w:tcBorders>
            <w:shd w:val="clear" w:color="auto" w:fill="FF0000"/>
            <w:vAlign w:val="center"/>
          </w:tcPr>
          <w:p w14:paraId="41FA4161" w14:textId="77777777" w:rsidR="00E57C60" w:rsidRPr="008E7BE3" w:rsidRDefault="00E57C60" w:rsidP="007A7F18">
            <w:pPr>
              <w:jc w:val="center"/>
              <w:rPr>
                <w:b/>
                <w:color w:val="FFFFFF" w:themeColor="background1"/>
                <w:sz w:val="20"/>
                <w:szCs w:val="20"/>
              </w:rPr>
            </w:pPr>
            <w:r>
              <w:rPr>
                <w:b/>
                <w:color w:val="FFFFFF" w:themeColor="background1"/>
                <w:sz w:val="20"/>
                <w:szCs w:val="20"/>
              </w:rPr>
              <w:t>High</w:t>
            </w:r>
          </w:p>
        </w:tc>
        <w:tc>
          <w:tcPr>
            <w:tcW w:w="1550" w:type="dxa"/>
            <w:tcBorders>
              <w:top w:val="single" w:sz="4" w:space="0" w:color="auto"/>
              <w:left w:val="single" w:sz="4" w:space="0" w:color="auto"/>
              <w:bottom w:val="single" w:sz="4" w:space="0" w:color="auto"/>
              <w:right w:val="single" w:sz="4" w:space="0" w:color="auto"/>
            </w:tcBorders>
            <w:shd w:val="clear" w:color="auto" w:fill="FFC000"/>
            <w:vAlign w:val="center"/>
          </w:tcPr>
          <w:p w14:paraId="38AB033A" w14:textId="77777777" w:rsidR="00E57C60" w:rsidRPr="008E7BE3" w:rsidRDefault="00E57C60" w:rsidP="007A7F18">
            <w:pPr>
              <w:jc w:val="center"/>
              <w:rPr>
                <w:b/>
                <w:color w:val="FFFFFF" w:themeColor="background1"/>
                <w:sz w:val="20"/>
                <w:szCs w:val="20"/>
              </w:rPr>
            </w:pPr>
            <w:r>
              <w:rPr>
                <w:b/>
                <w:color w:val="FFFFFF" w:themeColor="background1"/>
                <w:sz w:val="20"/>
                <w:szCs w:val="20"/>
              </w:rPr>
              <w:t>Medium</w:t>
            </w:r>
          </w:p>
        </w:tc>
        <w:tc>
          <w:tcPr>
            <w:tcW w:w="1551" w:type="dxa"/>
            <w:tcBorders>
              <w:left w:val="single" w:sz="4" w:space="0" w:color="auto"/>
              <w:bottom w:val="single" w:sz="4" w:space="0" w:color="auto"/>
              <w:right w:val="single" w:sz="4" w:space="0" w:color="auto"/>
            </w:tcBorders>
            <w:shd w:val="clear" w:color="auto" w:fill="92D050"/>
            <w:vAlign w:val="center"/>
          </w:tcPr>
          <w:p w14:paraId="13A78B82" w14:textId="77777777" w:rsidR="00E57C60" w:rsidRPr="008E7BE3" w:rsidRDefault="00E57C60" w:rsidP="007A7F18">
            <w:pPr>
              <w:jc w:val="center"/>
              <w:rPr>
                <w:b/>
                <w:color w:val="FFFFFF" w:themeColor="background1"/>
                <w:sz w:val="20"/>
                <w:szCs w:val="20"/>
              </w:rPr>
            </w:pPr>
            <w:r>
              <w:rPr>
                <w:b/>
                <w:color w:val="FFFFFF" w:themeColor="background1"/>
                <w:sz w:val="20"/>
                <w:szCs w:val="20"/>
              </w:rPr>
              <w:t>Low</w:t>
            </w:r>
          </w:p>
        </w:tc>
      </w:tr>
      <w:tr w:rsidR="00E57C60" w:rsidRPr="000E0C84" w14:paraId="4BD86483" w14:textId="77777777" w:rsidTr="00C87D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14950483" w14:textId="19429D46" w:rsidR="00E57C60" w:rsidRPr="00B3057E" w:rsidRDefault="006176A4" w:rsidP="007A7F18">
            <w:pPr>
              <w:rPr>
                <w:bCs/>
                <w:sz w:val="18"/>
                <w:szCs w:val="18"/>
              </w:rPr>
            </w:pPr>
            <w:r>
              <w:rPr>
                <w:bCs/>
                <w:sz w:val="18"/>
                <w:szCs w:val="18"/>
              </w:rPr>
              <w:t>Safeguarding</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DAC086" w14:textId="1871FB1B" w:rsidR="00E57C60" w:rsidRPr="000E0C84" w:rsidRDefault="006176A4" w:rsidP="007A7F18">
            <w:pPr>
              <w:jc w:val="center"/>
              <w:rPr>
                <w:sz w:val="18"/>
                <w:szCs w:val="18"/>
              </w:rPr>
            </w:pPr>
            <w:r>
              <w:rPr>
                <w:sz w:val="18"/>
                <w:szCs w:val="18"/>
              </w:rPr>
              <w:t>7</w:t>
            </w:r>
          </w:p>
        </w:tc>
        <w:tc>
          <w:tcPr>
            <w:tcW w:w="1550" w:type="dxa"/>
            <w:tcBorders>
              <w:top w:val="single" w:sz="4" w:space="0" w:color="auto"/>
              <w:left w:val="single" w:sz="4" w:space="0" w:color="auto"/>
              <w:bottom w:val="single" w:sz="4" w:space="0" w:color="auto"/>
              <w:right w:val="single" w:sz="4" w:space="0" w:color="auto"/>
            </w:tcBorders>
            <w:shd w:val="clear" w:color="auto" w:fill="FFFF00"/>
            <w:vAlign w:val="center"/>
          </w:tcPr>
          <w:p w14:paraId="6A18B197" w14:textId="1E0CFCCE" w:rsidR="00E57C60" w:rsidRPr="00103FB4" w:rsidRDefault="00C87D18" w:rsidP="007A7F18">
            <w:pPr>
              <w:jc w:val="center"/>
              <w:rPr>
                <w:b/>
                <w:bCs/>
                <w:sz w:val="18"/>
                <w:szCs w:val="18"/>
              </w:rPr>
            </w:pPr>
            <w:r w:rsidRPr="00103FB4">
              <w:rPr>
                <w:b/>
                <w:bCs/>
                <w:sz w:val="18"/>
                <w:szCs w:val="18"/>
              </w:rPr>
              <w:t>Closed</w:t>
            </w:r>
          </w:p>
        </w:tc>
        <w:tc>
          <w:tcPr>
            <w:tcW w:w="1550" w:type="dxa"/>
            <w:tcBorders>
              <w:top w:val="single" w:sz="4" w:space="0" w:color="auto"/>
              <w:left w:val="single" w:sz="4" w:space="0" w:color="auto"/>
              <w:bottom w:val="single" w:sz="4" w:space="0" w:color="auto"/>
              <w:right w:val="single" w:sz="4" w:space="0" w:color="auto"/>
            </w:tcBorders>
            <w:shd w:val="clear" w:color="auto" w:fill="FFFF00"/>
            <w:vAlign w:val="center"/>
          </w:tcPr>
          <w:p w14:paraId="5061D0AF" w14:textId="51FFC702" w:rsidR="00E57C60" w:rsidRPr="00103FB4" w:rsidRDefault="00C87D18" w:rsidP="007A7F18">
            <w:pPr>
              <w:jc w:val="center"/>
              <w:rPr>
                <w:b/>
                <w:bCs/>
                <w:sz w:val="18"/>
                <w:szCs w:val="18"/>
              </w:rPr>
            </w:pPr>
            <w:r w:rsidRPr="00103FB4">
              <w:rPr>
                <w:b/>
                <w:bCs/>
                <w:sz w:val="18"/>
                <w:szCs w:val="18"/>
              </w:rPr>
              <w:t>Closed</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538FB9D1" w14:textId="50D7EECA" w:rsidR="00E57C60" w:rsidRPr="00103FB4" w:rsidRDefault="00C87D18" w:rsidP="007A7F18">
            <w:pPr>
              <w:jc w:val="center"/>
              <w:rPr>
                <w:b/>
                <w:bCs/>
                <w:sz w:val="18"/>
                <w:szCs w:val="18"/>
              </w:rPr>
            </w:pPr>
            <w:r w:rsidRPr="00103FB4">
              <w:rPr>
                <w:b/>
                <w:bCs/>
                <w:sz w:val="18"/>
                <w:szCs w:val="18"/>
              </w:rPr>
              <w:t>Closed</w:t>
            </w:r>
          </w:p>
        </w:tc>
      </w:tr>
      <w:tr w:rsidR="00E57C60" w:rsidRPr="000E0C84" w14:paraId="163120A9" w14:textId="77777777" w:rsidTr="007A7F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0F0BEFB1" w14:textId="43A77539" w:rsidR="00E57C60" w:rsidRDefault="00EA229C" w:rsidP="007A7F18">
            <w:pPr>
              <w:rPr>
                <w:sz w:val="18"/>
                <w:szCs w:val="18"/>
              </w:rPr>
            </w:pPr>
            <w:r>
              <w:rPr>
                <w:sz w:val="18"/>
                <w:szCs w:val="18"/>
              </w:rPr>
              <w:t>Asset Management (Joint)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F7243A" w14:textId="61DF5BB1" w:rsidR="00E57C60" w:rsidRDefault="00EA229C" w:rsidP="007A7F18">
            <w:pPr>
              <w:jc w:val="center"/>
              <w:rPr>
                <w:sz w:val="18"/>
                <w:szCs w:val="18"/>
              </w:rPr>
            </w:pPr>
            <w:r>
              <w:rPr>
                <w:sz w:val="18"/>
                <w:szCs w:val="18"/>
              </w:rPr>
              <w:t>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F35B77C" w14:textId="62B16B1C" w:rsidR="00E57C60" w:rsidRDefault="00EA229C" w:rsidP="007A7F18">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ACCF7E7" w14:textId="50CD7296" w:rsidR="00E57C60" w:rsidRDefault="00EA229C" w:rsidP="007A7F18">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44F02F3" w14:textId="74B1C3CC" w:rsidR="00E57C60" w:rsidRDefault="00EA229C" w:rsidP="007A7F18">
            <w:pPr>
              <w:jc w:val="center"/>
              <w:rPr>
                <w:sz w:val="18"/>
                <w:szCs w:val="18"/>
              </w:rPr>
            </w:pPr>
            <w:r>
              <w:rPr>
                <w:sz w:val="18"/>
                <w:szCs w:val="18"/>
              </w:rPr>
              <w:t>3</w:t>
            </w:r>
          </w:p>
        </w:tc>
      </w:tr>
      <w:tr w:rsidR="00C75D15" w:rsidRPr="000E0C84" w14:paraId="0FD4A181" w14:textId="77777777" w:rsidTr="009355D3">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227FB952" w14:textId="089A064C" w:rsidR="00C75D15" w:rsidRDefault="00C75D15" w:rsidP="007A7F18">
            <w:pPr>
              <w:rPr>
                <w:sz w:val="18"/>
                <w:szCs w:val="18"/>
              </w:rPr>
            </w:pPr>
            <w:r>
              <w:rPr>
                <w:sz w:val="18"/>
                <w:szCs w:val="18"/>
              </w:rPr>
              <w:t>Core financials (Joint)</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F550FD" w14:textId="740368F3" w:rsidR="00C75D15" w:rsidRDefault="00C75D15" w:rsidP="007A7F18">
            <w:pPr>
              <w:jc w:val="center"/>
              <w:rPr>
                <w:sz w:val="18"/>
                <w:szCs w:val="18"/>
              </w:rPr>
            </w:pPr>
            <w:r>
              <w:rPr>
                <w:sz w:val="18"/>
                <w:szCs w:val="18"/>
              </w:rPr>
              <w:t>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630B75B" w14:textId="41DE1C3A" w:rsidR="00C75D15" w:rsidRDefault="00C75D15" w:rsidP="007A7F18">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FFFF00"/>
            <w:vAlign w:val="center"/>
          </w:tcPr>
          <w:p w14:paraId="65F6CF6F" w14:textId="59585E8C" w:rsidR="00C75D15" w:rsidRPr="00103FB4" w:rsidRDefault="009355D3" w:rsidP="007A7F18">
            <w:pPr>
              <w:jc w:val="center"/>
              <w:rPr>
                <w:b/>
                <w:bCs/>
                <w:sz w:val="18"/>
                <w:szCs w:val="18"/>
              </w:rPr>
            </w:pPr>
            <w:r w:rsidRPr="00103FB4">
              <w:rPr>
                <w:b/>
                <w:bCs/>
                <w:sz w:val="18"/>
                <w:szCs w:val="18"/>
              </w:rPr>
              <w:t>Closed</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4880CA10" w14:textId="4E8AE5ED" w:rsidR="00C75D15" w:rsidRPr="00103FB4" w:rsidRDefault="009355D3" w:rsidP="007A7F18">
            <w:pPr>
              <w:jc w:val="center"/>
              <w:rPr>
                <w:b/>
                <w:bCs/>
                <w:sz w:val="18"/>
                <w:szCs w:val="18"/>
              </w:rPr>
            </w:pPr>
            <w:r w:rsidRPr="00103FB4">
              <w:rPr>
                <w:b/>
                <w:bCs/>
                <w:sz w:val="18"/>
                <w:szCs w:val="18"/>
              </w:rPr>
              <w:t>Closed</w:t>
            </w:r>
          </w:p>
        </w:tc>
      </w:tr>
      <w:tr w:rsidR="00122D58" w:rsidRPr="000E0C84" w14:paraId="5C250726" w14:textId="77777777" w:rsidTr="00580E09">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204814E" w14:textId="78BFD851" w:rsidR="00122D58" w:rsidRDefault="00122D58" w:rsidP="007A7F18">
            <w:pPr>
              <w:rPr>
                <w:sz w:val="18"/>
                <w:szCs w:val="18"/>
              </w:rPr>
            </w:pPr>
            <w:r>
              <w:rPr>
                <w:sz w:val="18"/>
                <w:szCs w:val="18"/>
              </w:rPr>
              <w:t>Payroll</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E16AC6" w14:textId="46CBFDC4" w:rsidR="00122D58" w:rsidRDefault="00DC307B" w:rsidP="007A7F18">
            <w:pPr>
              <w:jc w:val="center"/>
              <w:rPr>
                <w:sz w:val="18"/>
                <w:szCs w:val="18"/>
              </w:rPr>
            </w:pPr>
            <w:r>
              <w:rPr>
                <w:sz w:val="18"/>
                <w:szCs w:val="18"/>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FC9F4D1" w14:textId="29D168CA" w:rsidR="00122D58" w:rsidRDefault="00DC307B" w:rsidP="007A7F18">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1C1A2F5" w14:textId="0849D070" w:rsidR="00122D58" w:rsidRDefault="00DC307B" w:rsidP="007A7F18">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C957137" w14:textId="6B0494E8" w:rsidR="00122D58" w:rsidRDefault="00DC307B" w:rsidP="007A7F18">
            <w:pPr>
              <w:jc w:val="center"/>
              <w:rPr>
                <w:sz w:val="18"/>
                <w:szCs w:val="18"/>
              </w:rPr>
            </w:pPr>
            <w:r>
              <w:rPr>
                <w:sz w:val="18"/>
                <w:szCs w:val="18"/>
              </w:rPr>
              <w:t>0</w:t>
            </w:r>
          </w:p>
        </w:tc>
      </w:tr>
      <w:tr w:rsidR="00122D58" w:rsidRPr="000E0C84" w14:paraId="523422FB" w14:textId="77777777" w:rsidTr="00103FB4">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55527E8A" w14:textId="72512429" w:rsidR="00122D58" w:rsidRDefault="00122D58" w:rsidP="007A7F18">
            <w:pPr>
              <w:rPr>
                <w:sz w:val="18"/>
                <w:szCs w:val="18"/>
              </w:rPr>
            </w:pPr>
            <w:r>
              <w:rPr>
                <w:sz w:val="18"/>
                <w:szCs w:val="18"/>
              </w:rPr>
              <w:t xml:space="preserve">Succession Planning and </w:t>
            </w:r>
            <w:r w:rsidR="00DC307B">
              <w:rPr>
                <w:sz w:val="18"/>
                <w:szCs w:val="18"/>
              </w:rPr>
              <w:t>Promoti</w:t>
            </w:r>
            <w:r w:rsidR="009C32E9">
              <w:rPr>
                <w:sz w:val="18"/>
                <w:szCs w:val="18"/>
              </w:rPr>
              <w:t>o</w:t>
            </w:r>
            <w:r w:rsidR="00DC307B">
              <w:rPr>
                <w:sz w:val="18"/>
                <w:szCs w:val="18"/>
              </w:rPr>
              <w:t>ns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8CD6247" w14:textId="1AD31D19" w:rsidR="00122D58" w:rsidRDefault="00DC307B" w:rsidP="007A7F18">
            <w:pPr>
              <w:jc w:val="center"/>
              <w:rPr>
                <w:sz w:val="18"/>
                <w:szCs w:val="18"/>
              </w:rPr>
            </w:pPr>
            <w:r>
              <w:rPr>
                <w:sz w:val="18"/>
                <w:szCs w:val="18"/>
              </w:rPr>
              <w:t>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A401815" w14:textId="61ADE56C" w:rsidR="00122D58" w:rsidRDefault="00DC307B" w:rsidP="007A7F18">
            <w:pPr>
              <w:jc w:val="center"/>
              <w:rPr>
                <w:sz w:val="18"/>
                <w:szCs w:val="18"/>
              </w:rPr>
            </w:pPr>
            <w:r>
              <w:rPr>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7E8B2BF" w14:textId="12CE007A" w:rsidR="00122D58" w:rsidRDefault="00DC307B" w:rsidP="007A7F18">
            <w:pPr>
              <w:jc w:val="center"/>
              <w:rPr>
                <w:sz w:val="18"/>
                <w:szCs w:val="18"/>
              </w:rPr>
            </w:pPr>
            <w:r>
              <w:rPr>
                <w:sz w:val="18"/>
                <w:szCs w:val="18"/>
              </w:rPr>
              <w:t>1</w:t>
            </w:r>
          </w:p>
        </w:tc>
        <w:tc>
          <w:tcPr>
            <w:tcW w:w="1551" w:type="dxa"/>
            <w:tcBorders>
              <w:top w:val="single" w:sz="4" w:space="0" w:color="auto"/>
              <w:left w:val="single" w:sz="4" w:space="0" w:color="auto"/>
              <w:bottom w:val="single" w:sz="4" w:space="0" w:color="auto"/>
              <w:right w:val="single" w:sz="4" w:space="0" w:color="auto"/>
            </w:tcBorders>
            <w:shd w:val="clear" w:color="auto" w:fill="FFFF00"/>
            <w:vAlign w:val="center"/>
          </w:tcPr>
          <w:p w14:paraId="651E3069" w14:textId="06898F2C" w:rsidR="00122D58" w:rsidRPr="00103FB4" w:rsidRDefault="00103FB4" w:rsidP="007A7F18">
            <w:pPr>
              <w:jc w:val="center"/>
              <w:rPr>
                <w:b/>
                <w:bCs/>
                <w:sz w:val="18"/>
                <w:szCs w:val="18"/>
              </w:rPr>
            </w:pPr>
            <w:r w:rsidRPr="00103FB4">
              <w:rPr>
                <w:b/>
                <w:bCs/>
                <w:sz w:val="18"/>
                <w:szCs w:val="18"/>
              </w:rPr>
              <w:t>Closed</w:t>
            </w:r>
          </w:p>
        </w:tc>
      </w:tr>
      <w:tr w:rsidR="00E57C60" w:rsidRPr="000E0C84" w14:paraId="3DA0E0C9" w14:textId="77777777" w:rsidTr="007A7F18">
        <w:trPr>
          <w:trHeight w:val="254"/>
        </w:trPr>
        <w:tc>
          <w:tcPr>
            <w:tcW w:w="5972" w:type="dxa"/>
            <w:tcBorders>
              <w:top w:val="single" w:sz="4" w:space="0" w:color="auto"/>
              <w:left w:val="single" w:sz="4" w:space="0" w:color="auto"/>
              <w:bottom w:val="single" w:sz="4" w:space="0" w:color="auto"/>
              <w:right w:val="single" w:sz="4" w:space="0" w:color="auto"/>
            </w:tcBorders>
            <w:shd w:val="clear" w:color="auto" w:fill="auto"/>
            <w:vAlign w:val="center"/>
          </w:tcPr>
          <w:p w14:paraId="75BEBAF3" w14:textId="77777777" w:rsidR="00E57C60" w:rsidRPr="00D91E88" w:rsidRDefault="00E57C60" w:rsidP="007A7F18">
            <w:pPr>
              <w:rPr>
                <w:b/>
                <w:sz w:val="18"/>
                <w:szCs w:val="18"/>
              </w:rPr>
            </w:pPr>
            <w:r w:rsidRPr="00D91E88">
              <w:rPr>
                <w:b/>
                <w:sz w:val="18"/>
                <w:szCs w:val="18"/>
              </w:rPr>
              <w:t>Totals</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16E807" w14:textId="74CA19B9" w:rsidR="00E57C60" w:rsidRPr="00D91E88" w:rsidRDefault="00E57C60" w:rsidP="007A7F18">
            <w:pPr>
              <w:jc w:val="center"/>
              <w:rPr>
                <w:b/>
                <w:sz w:val="18"/>
                <w:szCs w:val="18"/>
              </w:rPr>
            </w:pPr>
            <w:r>
              <w:rPr>
                <w:b/>
                <w:sz w:val="18"/>
                <w:szCs w:val="18"/>
              </w:rPr>
              <w:t xml:space="preserve"> </w:t>
            </w:r>
            <w:r w:rsidR="00DC307B">
              <w:rPr>
                <w:b/>
                <w:sz w:val="18"/>
                <w:szCs w:val="18"/>
              </w:rPr>
              <w:t>19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6D00FCF" w14:textId="7C07F087" w:rsidR="00E57C60" w:rsidRPr="00D91E88" w:rsidRDefault="00644CD6" w:rsidP="007A7F18">
            <w:pPr>
              <w:jc w:val="center"/>
              <w:rPr>
                <w:b/>
                <w:sz w:val="18"/>
                <w:szCs w:val="18"/>
              </w:rPr>
            </w:pPr>
            <w:r>
              <w:rPr>
                <w:b/>
                <w:sz w:val="18"/>
                <w:szCs w:val="18"/>
              </w:rPr>
              <w:t>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6FB6C0B" w14:textId="366E82AE" w:rsidR="00E57C60" w:rsidRPr="00D91E88" w:rsidRDefault="00644CD6" w:rsidP="007A7F18">
            <w:pPr>
              <w:jc w:val="center"/>
              <w:rPr>
                <w:b/>
                <w:sz w:val="18"/>
                <w:szCs w:val="18"/>
              </w:rPr>
            </w:pPr>
            <w:r>
              <w:rPr>
                <w:b/>
                <w:sz w:val="18"/>
                <w:szCs w:val="18"/>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766C8E6D" w14:textId="0DFFA7D7" w:rsidR="00E57C60" w:rsidRPr="00D91E88" w:rsidRDefault="00644CD6" w:rsidP="007A7F18">
            <w:pPr>
              <w:jc w:val="center"/>
              <w:rPr>
                <w:b/>
                <w:sz w:val="18"/>
                <w:szCs w:val="18"/>
              </w:rPr>
            </w:pPr>
            <w:r>
              <w:rPr>
                <w:b/>
                <w:sz w:val="18"/>
                <w:szCs w:val="18"/>
              </w:rPr>
              <w:t>3</w:t>
            </w:r>
          </w:p>
        </w:tc>
      </w:tr>
    </w:tbl>
    <w:p w14:paraId="26C3BE41" w14:textId="64BE31A3" w:rsidR="00EA229C" w:rsidRDefault="00EA229C">
      <w:pPr>
        <w:spacing w:after="200" w:line="276" w:lineRule="auto"/>
        <w:rPr>
          <w:b/>
        </w:rPr>
      </w:pPr>
    </w:p>
    <w:p w14:paraId="4931AEE0" w14:textId="2A47F6C7" w:rsidR="00B31A20" w:rsidRDefault="00B31A20">
      <w:pPr>
        <w:spacing w:after="200" w:line="276" w:lineRule="auto"/>
        <w:rPr>
          <w:b/>
        </w:rPr>
      </w:pPr>
      <w:r>
        <w:rPr>
          <w:b/>
        </w:rPr>
        <w:lastRenderedPageBreak/>
        <w:t>OUTSTANDING RECOMMENDATIONS</w:t>
      </w:r>
    </w:p>
    <w:tbl>
      <w:tblPr>
        <w:tblW w:w="14879" w:type="dxa"/>
        <w:tblLook w:val="04A0" w:firstRow="1" w:lastRow="0" w:firstColumn="1" w:lastColumn="0" w:noHBand="0" w:noVBand="1"/>
      </w:tblPr>
      <w:tblGrid>
        <w:gridCol w:w="851"/>
        <w:gridCol w:w="425"/>
        <w:gridCol w:w="1843"/>
        <w:gridCol w:w="425"/>
        <w:gridCol w:w="1559"/>
        <w:gridCol w:w="426"/>
        <w:gridCol w:w="2551"/>
        <w:gridCol w:w="425"/>
        <w:gridCol w:w="2835"/>
        <w:gridCol w:w="567"/>
        <w:gridCol w:w="2972"/>
      </w:tblGrid>
      <w:tr w:rsidR="00FE4354" w:rsidRPr="0024242E" w14:paraId="0447A748" w14:textId="77777777" w:rsidTr="00FE4354">
        <w:tc>
          <w:tcPr>
            <w:tcW w:w="851" w:type="dxa"/>
            <w:shd w:val="clear" w:color="auto" w:fill="auto"/>
            <w:vAlign w:val="center"/>
          </w:tcPr>
          <w:p w14:paraId="032722CA" w14:textId="77777777" w:rsidR="004063F2" w:rsidRPr="00FE4354" w:rsidRDefault="004063F2" w:rsidP="00825312">
            <w:pPr>
              <w:rPr>
                <w:rFonts w:asciiTheme="minorHAnsi" w:hAnsiTheme="minorHAnsi" w:cstheme="minorHAnsi"/>
                <w:b/>
                <w:sz w:val="20"/>
                <w:szCs w:val="20"/>
              </w:rPr>
            </w:pPr>
            <w:r w:rsidRPr="00FE4354">
              <w:rPr>
                <w:rFonts w:asciiTheme="minorHAnsi" w:hAnsiTheme="minorHAnsi" w:cstheme="minorHAnsi"/>
                <w:b/>
                <w:sz w:val="20"/>
                <w:szCs w:val="20"/>
              </w:rPr>
              <w:t>Key to Status</w:t>
            </w:r>
          </w:p>
        </w:tc>
        <w:tc>
          <w:tcPr>
            <w:tcW w:w="425" w:type="dxa"/>
            <w:shd w:val="clear" w:color="auto" w:fill="92D050"/>
            <w:vAlign w:val="center"/>
          </w:tcPr>
          <w:p w14:paraId="0F6E5782" w14:textId="77777777" w:rsidR="004063F2" w:rsidRPr="00FE4354" w:rsidRDefault="004063F2" w:rsidP="00825312">
            <w:pPr>
              <w:rPr>
                <w:rFonts w:asciiTheme="minorHAnsi" w:hAnsiTheme="minorHAnsi" w:cstheme="minorHAnsi"/>
                <w:sz w:val="20"/>
                <w:szCs w:val="20"/>
              </w:rPr>
            </w:pPr>
          </w:p>
        </w:tc>
        <w:tc>
          <w:tcPr>
            <w:tcW w:w="1843" w:type="dxa"/>
            <w:shd w:val="clear" w:color="auto" w:fill="auto"/>
            <w:vAlign w:val="center"/>
          </w:tcPr>
          <w:p w14:paraId="171FCB95"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Action completed since last report</w:t>
            </w:r>
          </w:p>
        </w:tc>
        <w:tc>
          <w:tcPr>
            <w:tcW w:w="425" w:type="dxa"/>
            <w:shd w:val="clear" w:color="auto" w:fill="FFFF00"/>
            <w:vAlign w:val="center"/>
          </w:tcPr>
          <w:p w14:paraId="39D1C3D5" w14:textId="77777777" w:rsidR="004063F2" w:rsidRPr="00FE4354" w:rsidRDefault="004063F2" w:rsidP="00825312">
            <w:pPr>
              <w:rPr>
                <w:rFonts w:asciiTheme="minorHAnsi" w:hAnsiTheme="minorHAnsi" w:cstheme="minorHAnsi"/>
                <w:sz w:val="20"/>
                <w:szCs w:val="20"/>
              </w:rPr>
            </w:pPr>
          </w:p>
        </w:tc>
        <w:tc>
          <w:tcPr>
            <w:tcW w:w="1559" w:type="dxa"/>
            <w:shd w:val="clear" w:color="auto" w:fill="auto"/>
            <w:vAlign w:val="center"/>
          </w:tcPr>
          <w:p w14:paraId="3F529EC4"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 xml:space="preserve">Action ongoing </w:t>
            </w:r>
          </w:p>
        </w:tc>
        <w:tc>
          <w:tcPr>
            <w:tcW w:w="426" w:type="dxa"/>
            <w:shd w:val="clear" w:color="auto" w:fill="FFC000"/>
            <w:vAlign w:val="center"/>
          </w:tcPr>
          <w:p w14:paraId="5FA19D9E" w14:textId="77777777" w:rsidR="004063F2" w:rsidRPr="00FE4354" w:rsidRDefault="004063F2" w:rsidP="00825312">
            <w:pPr>
              <w:rPr>
                <w:rFonts w:asciiTheme="minorHAnsi" w:hAnsiTheme="minorHAnsi" w:cstheme="minorHAnsi"/>
                <w:sz w:val="20"/>
                <w:szCs w:val="20"/>
              </w:rPr>
            </w:pPr>
          </w:p>
        </w:tc>
        <w:tc>
          <w:tcPr>
            <w:tcW w:w="2551" w:type="dxa"/>
            <w:shd w:val="clear" w:color="auto" w:fill="auto"/>
            <w:vAlign w:val="center"/>
          </w:tcPr>
          <w:p w14:paraId="56289D20" w14:textId="77777777" w:rsidR="004063F2" w:rsidRPr="00FE4354" w:rsidRDefault="004063F2" w:rsidP="00825312">
            <w:pPr>
              <w:rPr>
                <w:rFonts w:asciiTheme="minorHAnsi" w:hAnsiTheme="minorHAnsi" w:cstheme="minorHAnsi"/>
                <w:sz w:val="20"/>
                <w:szCs w:val="20"/>
              </w:rPr>
            </w:pPr>
            <w:bookmarkStart w:id="0" w:name="_Hlk183166416"/>
            <w:r w:rsidRPr="00FE4354">
              <w:rPr>
                <w:rFonts w:asciiTheme="minorHAnsi" w:hAnsiTheme="minorHAnsi" w:cstheme="minorHAnsi"/>
                <w:sz w:val="20"/>
                <w:szCs w:val="20"/>
              </w:rPr>
              <w:t>Action ongoing with revised implementation date</w:t>
            </w:r>
            <w:bookmarkEnd w:id="0"/>
          </w:p>
        </w:tc>
        <w:tc>
          <w:tcPr>
            <w:tcW w:w="425" w:type="dxa"/>
            <w:shd w:val="clear" w:color="auto" w:fill="FF0000"/>
            <w:vAlign w:val="center"/>
          </w:tcPr>
          <w:p w14:paraId="6F20AF96" w14:textId="77777777" w:rsidR="004063F2" w:rsidRPr="00FE4354" w:rsidRDefault="004063F2" w:rsidP="00825312">
            <w:pPr>
              <w:rPr>
                <w:rFonts w:asciiTheme="minorHAnsi" w:hAnsiTheme="minorHAnsi" w:cstheme="minorHAnsi"/>
                <w:sz w:val="20"/>
                <w:szCs w:val="20"/>
              </w:rPr>
            </w:pPr>
          </w:p>
        </w:tc>
        <w:tc>
          <w:tcPr>
            <w:tcW w:w="2835" w:type="dxa"/>
            <w:shd w:val="clear" w:color="auto" w:fill="auto"/>
            <w:vAlign w:val="center"/>
          </w:tcPr>
          <w:p w14:paraId="53FCFAF6" w14:textId="77777777"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Action outstanding and past its agreed implementation date</w:t>
            </w:r>
          </w:p>
        </w:tc>
        <w:tc>
          <w:tcPr>
            <w:tcW w:w="567" w:type="dxa"/>
            <w:shd w:val="clear" w:color="auto" w:fill="BFBFBF" w:themeFill="background1" w:themeFillShade="BF"/>
            <w:vAlign w:val="center"/>
          </w:tcPr>
          <w:p w14:paraId="2B3497BE" w14:textId="77777777" w:rsidR="004063F2" w:rsidRPr="00FE4354" w:rsidRDefault="004063F2" w:rsidP="00825312">
            <w:pPr>
              <w:rPr>
                <w:rFonts w:asciiTheme="minorHAnsi" w:hAnsiTheme="minorHAnsi" w:cstheme="minorHAnsi"/>
                <w:sz w:val="20"/>
                <w:szCs w:val="20"/>
              </w:rPr>
            </w:pPr>
          </w:p>
        </w:tc>
        <w:tc>
          <w:tcPr>
            <w:tcW w:w="2972" w:type="dxa"/>
            <w:vAlign w:val="center"/>
          </w:tcPr>
          <w:p w14:paraId="1BAE2ED7" w14:textId="4B9FDB49" w:rsidR="004063F2" w:rsidRPr="00FE4354" w:rsidRDefault="004063F2" w:rsidP="00825312">
            <w:pPr>
              <w:rPr>
                <w:rFonts w:asciiTheme="minorHAnsi" w:hAnsiTheme="minorHAnsi" w:cstheme="minorHAnsi"/>
                <w:sz w:val="20"/>
                <w:szCs w:val="20"/>
              </w:rPr>
            </w:pPr>
            <w:r w:rsidRPr="00FE4354">
              <w:rPr>
                <w:rFonts w:asciiTheme="minorHAnsi" w:hAnsiTheme="minorHAnsi" w:cstheme="minorHAnsi"/>
                <w:sz w:val="20"/>
                <w:szCs w:val="20"/>
              </w:rPr>
              <w:t xml:space="preserve">Action no longer applicable or </w:t>
            </w:r>
            <w:r w:rsidR="00B731B4" w:rsidRPr="00FE4354">
              <w:rPr>
                <w:rFonts w:asciiTheme="minorHAnsi" w:hAnsiTheme="minorHAnsi" w:cstheme="minorHAnsi"/>
                <w:sz w:val="20"/>
                <w:szCs w:val="20"/>
              </w:rPr>
              <w:t>superseded</w:t>
            </w:r>
            <w:r w:rsidRPr="00FE4354">
              <w:rPr>
                <w:rFonts w:asciiTheme="minorHAnsi" w:hAnsiTheme="minorHAnsi" w:cstheme="minorHAnsi"/>
                <w:sz w:val="20"/>
                <w:szCs w:val="20"/>
              </w:rPr>
              <w:t xml:space="preserve"> by later audit action</w:t>
            </w:r>
          </w:p>
        </w:tc>
      </w:tr>
    </w:tbl>
    <w:p w14:paraId="0C262FE5" w14:textId="16010C65" w:rsidR="00CE7FB9" w:rsidRDefault="00CE7FB9" w:rsidP="00B14D9F">
      <w:pPr>
        <w:spacing w:line="360" w:lineRule="auto"/>
        <w:rPr>
          <w:b/>
          <w:sz w:val="28"/>
          <w:szCs w:val="28"/>
          <w:u w:val="single"/>
        </w:rPr>
      </w:pPr>
    </w:p>
    <w:p w14:paraId="1C9A4957" w14:textId="132CE86E" w:rsidR="00227F2C" w:rsidRPr="00791455" w:rsidRDefault="00791455" w:rsidP="00791455">
      <w:pPr>
        <w:spacing w:line="360" w:lineRule="auto"/>
        <w:rPr>
          <w:b/>
          <w:sz w:val="28"/>
          <w:szCs w:val="28"/>
          <w:u w:val="single"/>
        </w:rPr>
      </w:pPr>
      <w:r>
        <w:rPr>
          <w:b/>
          <w:sz w:val="28"/>
          <w:szCs w:val="28"/>
          <w:u w:val="single"/>
        </w:rPr>
        <w:t>2022/2023</w:t>
      </w:r>
    </w:p>
    <w:p w14:paraId="61200891" w14:textId="77777777" w:rsidR="00993DBC" w:rsidRDefault="00993DBC" w:rsidP="00993DBC">
      <w:pPr>
        <w:spacing w:after="200" w:line="276" w:lineRule="auto"/>
        <w:rPr>
          <w:rFonts w:cstheme="minorHAnsi"/>
          <w:b/>
          <w:bCs/>
          <w:color w:val="000000"/>
        </w:rPr>
      </w:pPr>
      <w:r>
        <w:rPr>
          <w:rFonts w:cstheme="minorHAnsi"/>
          <w:b/>
          <w:bCs/>
          <w:color w:val="000000"/>
        </w:rPr>
        <w:t>Project Management – May 2023</w:t>
      </w:r>
    </w:p>
    <w:tbl>
      <w:tblPr>
        <w:tblStyle w:val="TableGrid1"/>
        <w:tblW w:w="15479" w:type="dxa"/>
        <w:tblInd w:w="-572" w:type="dxa"/>
        <w:tblLayout w:type="fixed"/>
        <w:tblLook w:val="04A0" w:firstRow="1" w:lastRow="0" w:firstColumn="1" w:lastColumn="0" w:noHBand="0" w:noVBand="1"/>
      </w:tblPr>
      <w:tblGrid>
        <w:gridCol w:w="403"/>
        <w:gridCol w:w="2574"/>
        <w:gridCol w:w="2126"/>
        <w:gridCol w:w="3686"/>
        <w:gridCol w:w="1276"/>
        <w:gridCol w:w="3260"/>
        <w:gridCol w:w="1289"/>
        <w:gridCol w:w="865"/>
      </w:tblGrid>
      <w:tr w:rsidR="00993DBC" w:rsidRPr="00291B4B" w14:paraId="27CBC791" w14:textId="77777777" w:rsidTr="00580E09">
        <w:tc>
          <w:tcPr>
            <w:tcW w:w="403" w:type="dxa"/>
            <w:shd w:val="clear" w:color="auto" w:fill="632E9E"/>
          </w:tcPr>
          <w:p w14:paraId="41EA9727"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 xml:space="preserve">   </w:t>
            </w:r>
          </w:p>
        </w:tc>
        <w:tc>
          <w:tcPr>
            <w:tcW w:w="2574" w:type="dxa"/>
            <w:shd w:val="clear" w:color="auto" w:fill="632E9E"/>
          </w:tcPr>
          <w:p w14:paraId="5FB59972"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Issue</w:t>
            </w:r>
          </w:p>
        </w:tc>
        <w:tc>
          <w:tcPr>
            <w:tcW w:w="2126" w:type="dxa"/>
            <w:shd w:val="clear" w:color="auto" w:fill="632E9E"/>
          </w:tcPr>
          <w:p w14:paraId="54CC81EE"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Recommendation</w:t>
            </w:r>
          </w:p>
        </w:tc>
        <w:tc>
          <w:tcPr>
            <w:tcW w:w="3686" w:type="dxa"/>
            <w:shd w:val="clear" w:color="auto" w:fill="632E9E"/>
          </w:tcPr>
          <w:p w14:paraId="44A1674B"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 xml:space="preserve">Management </w:t>
            </w:r>
            <w:r>
              <w:rPr>
                <w:b/>
                <w:color w:val="FFFFFF" w:themeColor="background1"/>
                <w:sz w:val="16"/>
                <w:szCs w:val="16"/>
              </w:rPr>
              <w:t>Comments</w:t>
            </w:r>
          </w:p>
        </w:tc>
        <w:tc>
          <w:tcPr>
            <w:tcW w:w="1276" w:type="dxa"/>
            <w:shd w:val="clear" w:color="auto" w:fill="632E9E"/>
          </w:tcPr>
          <w:p w14:paraId="7F048E4B"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Priority</w:t>
            </w:r>
          </w:p>
        </w:tc>
        <w:tc>
          <w:tcPr>
            <w:tcW w:w="3260" w:type="dxa"/>
            <w:shd w:val="clear" w:color="auto" w:fill="632E9E"/>
          </w:tcPr>
          <w:p w14:paraId="6CD3E295"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Officer Responsible</w:t>
            </w:r>
          </w:p>
        </w:tc>
        <w:tc>
          <w:tcPr>
            <w:tcW w:w="1289" w:type="dxa"/>
            <w:shd w:val="clear" w:color="auto" w:fill="632E9E"/>
          </w:tcPr>
          <w:p w14:paraId="17A85A67" w14:textId="77777777" w:rsidR="00993DBC" w:rsidRPr="00291B4B" w:rsidRDefault="00993DBC" w:rsidP="00301AD9">
            <w:pPr>
              <w:spacing w:line="276" w:lineRule="auto"/>
              <w:rPr>
                <w:b/>
                <w:color w:val="FFFFFF" w:themeColor="background1"/>
                <w:sz w:val="16"/>
                <w:szCs w:val="16"/>
              </w:rPr>
            </w:pPr>
            <w:r>
              <w:rPr>
                <w:b/>
                <w:color w:val="FFFFFF" w:themeColor="background1"/>
                <w:sz w:val="16"/>
                <w:szCs w:val="16"/>
              </w:rPr>
              <w:t>Timescale</w:t>
            </w:r>
          </w:p>
        </w:tc>
        <w:tc>
          <w:tcPr>
            <w:tcW w:w="865" w:type="dxa"/>
            <w:shd w:val="clear" w:color="auto" w:fill="632E9E"/>
          </w:tcPr>
          <w:p w14:paraId="30A0E707" w14:textId="77777777" w:rsidR="00993DBC" w:rsidRPr="00291B4B" w:rsidRDefault="00993DBC" w:rsidP="00301AD9">
            <w:pPr>
              <w:spacing w:line="276" w:lineRule="auto"/>
              <w:rPr>
                <w:b/>
                <w:color w:val="FFFFFF" w:themeColor="background1"/>
                <w:sz w:val="16"/>
                <w:szCs w:val="16"/>
              </w:rPr>
            </w:pPr>
            <w:r w:rsidRPr="00291B4B">
              <w:rPr>
                <w:b/>
                <w:color w:val="FFFFFF" w:themeColor="background1"/>
                <w:sz w:val="16"/>
                <w:szCs w:val="16"/>
              </w:rPr>
              <w:t>Status</w:t>
            </w:r>
          </w:p>
        </w:tc>
      </w:tr>
      <w:tr w:rsidR="00993DBC" w:rsidRPr="005F5142" w14:paraId="22321F40" w14:textId="77777777" w:rsidTr="00580E09">
        <w:tc>
          <w:tcPr>
            <w:tcW w:w="403" w:type="dxa"/>
            <w:tcMar>
              <w:left w:w="57" w:type="dxa"/>
              <w:right w:w="57" w:type="dxa"/>
            </w:tcMar>
          </w:tcPr>
          <w:p w14:paraId="4FB3DF37" w14:textId="7C294948" w:rsidR="00993DBC" w:rsidRPr="005F5142" w:rsidRDefault="00993DBC" w:rsidP="00301AD9">
            <w:pPr>
              <w:rPr>
                <w:rFonts w:asciiTheme="minorHAnsi" w:hAnsiTheme="minorHAnsi" w:cstheme="minorHAnsi"/>
                <w:b/>
              </w:rPr>
            </w:pPr>
            <w:r>
              <w:rPr>
                <w:rFonts w:asciiTheme="minorHAnsi" w:hAnsiTheme="minorHAnsi" w:cstheme="minorHAnsi"/>
                <w:b/>
              </w:rPr>
              <w:t>1</w:t>
            </w:r>
          </w:p>
        </w:tc>
        <w:tc>
          <w:tcPr>
            <w:tcW w:w="2574" w:type="dxa"/>
          </w:tcPr>
          <w:tbl>
            <w:tblPr>
              <w:tblW w:w="0" w:type="auto"/>
              <w:tblBorders>
                <w:top w:val="nil"/>
                <w:left w:val="nil"/>
                <w:bottom w:val="nil"/>
                <w:right w:val="nil"/>
              </w:tblBorders>
              <w:tblLayout w:type="fixed"/>
              <w:tblLook w:val="0000" w:firstRow="0" w:lastRow="0" w:firstColumn="0" w:lastColumn="0" w:noHBand="0" w:noVBand="0"/>
            </w:tblPr>
            <w:tblGrid>
              <w:gridCol w:w="2613"/>
            </w:tblGrid>
            <w:tr w:rsidR="00993DBC" w:rsidRPr="00993DBC" w14:paraId="36C62C85" w14:textId="77777777" w:rsidTr="0077730A">
              <w:trPr>
                <w:trHeight w:val="2027"/>
              </w:trPr>
              <w:tc>
                <w:tcPr>
                  <w:tcW w:w="2613" w:type="dxa"/>
                </w:tcPr>
                <w:p w14:paraId="500C570B" w14:textId="77777777" w:rsidR="00993DBC" w:rsidRPr="00993DBC" w:rsidRDefault="00993DBC" w:rsidP="00993DBC">
                  <w:pPr>
                    <w:autoSpaceDE w:val="0"/>
                    <w:autoSpaceDN w:val="0"/>
                    <w:adjustRightInd w:val="0"/>
                    <w:ind w:left="-113"/>
                    <w:rPr>
                      <w:rFonts w:ascii="Calibri" w:hAnsi="Calibri" w:cs="Calibri"/>
                      <w:b/>
                      <w:color w:val="000000"/>
                      <w:sz w:val="24"/>
                      <w:szCs w:val="24"/>
                    </w:rPr>
                  </w:pPr>
                  <w:r w:rsidRPr="00993DBC">
                    <w:rPr>
                      <w:rFonts w:ascii="Calibri" w:hAnsi="Calibri" w:cs="Calibri"/>
                      <w:b/>
                      <w:color w:val="000000"/>
                      <w:sz w:val="24"/>
                      <w:szCs w:val="24"/>
                    </w:rPr>
                    <w:t xml:space="preserve">Weakness </w:t>
                  </w:r>
                </w:p>
                <w:p w14:paraId="744D7FE3" w14:textId="20342764" w:rsidR="00993DBC" w:rsidRPr="00993DBC" w:rsidRDefault="00993DBC" w:rsidP="0077730A">
                  <w:pPr>
                    <w:autoSpaceDE w:val="0"/>
                    <w:autoSpaceDN w:val="0"/>
                    <w:adjustRightInd w:val="0"/>
                    <w:ind w:left="-113"/>
                    <w:rPr>
                      <w:rFonts w:ascii="Calibri" w:hAnsi="Calibri" w:cs="Calibri"/>
                      <w:color w:val="000000"/>
                    </w:rPr>
                  </w:pPr>
                  <w:r w:rsidRPr="00993DBC">
                    <w:rPr>
                      <w:rFonts w:ascii="Calibri" w:hAnsi="Calibri" w:cs="Calibri"/>
                      <w:color w:val="000000"/>
                    </w:rPr>
                    <w:t xml:space="preserve">The level of the Competency Based Training Framework project was not identified. No formal Project Board meetings were held for the project. </w:t>
                  </w:r>
                </w:p>
                <w:p w14:paraId="5C301BC1" w14:textId="77777777" w:rsidR="00993DBC" w:rsidRPr="00993DBC" w:rsidRDefault="00993DBC" w:rsidP="00993DBC">
                  <w:pPr>
                    <w:autoSpaceDE w:val="0"/>
                    <w:autoSpaceDN w:val="0"/>
                    <w:adjustRightInd w:val="0"/>
                    <w:ind w:left="-113"/>
                    <w:rPr>
                      <w:rFonts w:ascii="Calibri" w:hAnsi="Calibri" w:cs="Calibri"/>
                      <w:color w:val="000000"/>
                    </w:rPr>
                  </w:pPr>
                  <w:r w:rsidRPr="00993DBC">
                    <w:rPr>
                      <w:rFonts w:ascii="Calibri" w:hAnsi="Calibri" w:cs="Calibri"/>
                      <w:b/>
                      <w:bCs/>
                      <w:color w:val="000000"/>
                    </w:rPr>
                    <w:t xml:space="preserve">Risk </w:t>
                  </w:r>
                </w:p>
                <w:p w14:paraId="3CA5915B" w14:textId="77777777" w:rsidR="00993DBC" w:rsidRPr="00993DBC" w:rsidRDefault="00993DBC" w:rsidP="00993DBC">
                  <w:pPr>
                    <w:autoSpaceDE w:val="0"/>
                    <w:autoSpaceDN w:val="0"/>
                    <w:adjustRightInd w:val="0"/>
                    <w:ind w:left="-113"/>
                    <w:rPr>
                      <w:rFonts w:ascii="Calibri" w:hAnsi="Calibri" w:cs="Calibri"/>
                      <w:color w:val="000000"/>
                    </w:rPr>
                  </w:pPr>
                  <w:r w:rsidRPr="00993DBC">
                    <w:rPr>
                      <w:rFonts w:ascii="Calibri" w:hAnsi="Calibri" w:cs="Calibri"/>
                      <w:color w:val="000000"/>
                    </w:rPr>
                    <w:t xml:space="preserve">The Commissioner, S151 Officer and Chief Fire </w:t>
                  </w:r>
                </w:p>
              </w:tc>
            </w:tr>
          </w:tbl>
          <w:p w14:paraId="42871D24" w14:textId="448886C1" w:rsidR="00993DBC" w:rsidRPr="00A03C03" w:rsidRDefault="00993DBC" w:rsidP="00301AD9">
            <w:pPr>
              <w:pStyle w:val="Default"/>
            </w:pPr>
            <w:r>
              <w:rPr>
                <w:sz w:val="22"/>
                <w:szCs w:val="22"/>
              </w:rPr>
              <w:t xml:space="preserve">Officer do not have clear oversight of key organisational / operational issues that both provides positive assurance that controls operate effectively and proactively identifies any areas of weakness. The project information and outcomes are not robust and cannot be relied on to support effective costs and benefits to the service. </w:t>
            </w:r>
          </w:p>
        </w:tc>
        <w:tc>
          <w:tcPr>
            <w:tcW w:w="2126" w:type="dxa"/>
          </w:tcPr>
          <w:p w14:paraId="7E16C708" w14:textId="77777777" w:rsidR="00246653" w:rsidRDefault="00246653" w:rsidP="00246653">
            <w:pPr>
              <w:pStyle w:val="Default"/>
              <w:rPr>
                <w:sz w:val="22"/>
                <w:szCs w:val="22"/>
              </w:rPr>
            </w:pPr>
            <w:r>
              <w:rPr>
                <w:sz w:val="22"/>
                <w:szCs w:val="22"/>
              </w:rPr>
              <w:t xml:space="preserve">In accordance with the Project Management Framework, the level of the project should be identified at the outset of each project. </w:t>
            </w:r>
          </w:p>
          <w:p w14:paraId="5475D7F3" w14:textId="54F1E5FC" w:rsidR="00993DBC" w:rsidRPr="00A03C03" w:rsidRDefault="00246653" w:rsidP="00246653">
            <w:pPr>
              <w:pStyle w:val="Default"/>
            </w:pPr>
            <w:bookmarkStart w:id="1" w:name="_Hlk151716337"/>
            <w:r>
              <w:rPr>
                <w:sz w:val="22"/>
                <w:szCs w:val="22"/>
              </w:rPr>
              <w:t xml:space="preserve">A project board should be appointed for all level 1 projects to monitor the costs and benefits of the project to the service. </w:t>
            </w:r>
            <w:bookmarkEnd w:id="1"/>
          </w:p>
        </w:tc>
        <w:tc>
          <w:tcPr>
            <w:tcW w:w="3686" w:type="dxa"/>
            <w:shd w:val="clear" w:color="auto" w:fill="auto"/>
          </w:tcPr>
          <w:p w14:paraId="0CB4DD5D" w14:textId="77777777" w:rsidR="00246653" w:rsidRDefault="00246653" w:rsidP="00246653">
            <w:pPr>
              <w:pStyle w:val="Default"/>
            </w:pPr>
            <w:r>
              <w:rPr>
                <w:sz w:val="22"/>
                <w:szCs w:val="22"/>
              </w:rPr>
              <w:t xml:space="preserve">All AM’s and equivalents and GM’s and equivalents to be contacted to reinforce the following points – </w:t>
            </w:r>
          </w:p>
          <w:p w14:paraId="2FB8BBDA" w14:textId="62360B45" w:rsidR="00246653" w:rsidRDefault="00DD2146" w:rsidP="00615652">
            <w:pPr>
              <w:pStyle w:val="Default"/>
              <w:numPr>
                <w:ilvl w:val="0"/>
                <w:numId w:val="1"/>
              </w:numPr>
              <w:ind w:left="303"/>
              <w:rPr>
                <w:sz w:val="22"/>
                <w:szCs w:val="22"/>
              </w:rPr>
            </w:pPr>
            <w:r>
              <w:rPr>
                <w:sz w:val="22"/>
                <w:szCs w:val="22"/>
              </w:rPr>
              <w:t>R</w:t>
            </w:r>
            <w:r w:rsidR="00246653">
              <w:rPr>
                <w:sz w:val="22"/>
                <w:szCs w:val="22"/>
              </w:rPr>
              <w:t xml:space="preserve">equirement to refer to the Project Management Framework when considering any new piece of work to identify whether workstream should be progressed as a project to support successful delivery. </w:t>
            </w:r>
          </w:p>
          <w:p w14:paraId="1F9EBCD9" w14:textId="2DAF9C9F" w:rsidR="00246653" w:rsidRPr="00381321" w:rsidRDefault="00DD2146" w:rsidP="00615652">
            <w:pPr>
              <w:pStyle w:val="Default"/>
              <w:numPr>
                <w:ilvl w:val="0"/>
                <w:numId w:val="1"/>
              </w:numPr>
              <w:ind w:left="303"/>
              <w:rPr>
                <w:sz w:val="22"/>
                <w:szCs w:val="22"/>
              </w:rPr>
            </w:pPr>
            <w:r>
              <w:rPr>
                <w:sz w:val="22"/>
                <w:szCs w:val="22"/>
              </w:rPr>
              <w:t>R</w:t>
            </w:r>
            <w:r w:rsidR="00246653">
              <w:rPr>
                <w:sz w:val="22"/>
                <w:szCs w:val="22"/>
              </w:rPr>
              <w:t xml:space="preserve">einforce the need for all identified projects to clearly articulate the project level (level 1 or level 2). (Support will be provided by the CRMP Manager to discuss project methodology, project documentation and to assist determining project level. </w:t>
            </w:r>
          </w:p>
          <w:p w14:paraId="47EA785E" w14:textId="6990223F" w:rsidR="00993DBC" w:rsidRPr="00C87129" w:rsidRDefault="00246653" w:rsidP="00615652">
            <w:pPr>
              <w:pStyle w:val="Default"/>
              <w:numPr>
                <w:ilvl w:val="0"/>
                <w:numId w:val="1"/>
              </w:numPr>
              <w:ind w:left="303"/>
              <w:rPr>
                <w:sz w:val="22"/>
                <w:szCs w:val="22"/>
              </w:rPr>
            </w:pPr>
            <w:r>
              <w:rPr>
                <w:sz w:val="22"/>
                <w:szCs w:val="22"/>
              </w:rPr>
              <w:t xml:space="preserve">Project level to be included on the SIP to ensure a list of level 1 and level 2 projects are maintained. </w:t>
            </w:r>
          </w:p>
        </w:tc>
        <w:tc>
          <w:tcPr>
            <w:tcW w:w="1276" w:type="dxa"/>
            <w:shd w:val="clear" w:color="auto" w:fill="00B0F0"/>
          </w:tcPr>
          <w:p w14:paraId="091887FE" w14:textId="77777777" w:rsidR="00993DBC" w:rsidRPr="004A1320" w:rsidRDefault="00993DBC" w:rsidP="00301AD9">
            <w:pPr>
              <w:jc w:val="center"/>
              <w:rPr>
                <w:rFonts w:ascii="Calibri" w:hAnsi="Calibri" w:cs="Calibri"/>
                <w:b/>
                <w:sz w:val="24"/>
                <w:szCs w:val="24"/>
              </w:rPr>
            </w:pPr>
            <w:r>
              <w:rPr>
                <w:rFonts w:ascii="Calibri" w:hAnsi="Calibri" w:cs="Calibri"/>
                <w:b/>
                <w:sz w:val="24"/>
                <w:szCs w:val="24"/>
              </w:rPr>
              <w:t>Important</w:t>
            </w:r>
          </w:p>
        </w:tc>
        <w:tc>
          <w:tcPr>
            <w:tcW w:w="3260" w:type="dxa"/>
          </w:tcPr>
          <w:p w14:paraId="5C14A6BF" w14:textId="3A922135" w:rsidR="00993DBC" w:rsidRDefault="00AC7669" w:rsidP="00301AD9">
            <w:pPr>
              <w:pStyle w:val="Default"/>
            </w:pPr>
            <w:r>
              <w:t>Transformation</w:t>
            </w:r>
            <w:r w:rsidR="00EA1F50">
              <w:t xml:space="preserve"> Manager. </w:t>
            </w:r>
          </w:p>
          <w:p w14:paraId="138A9301" w14:textId="0252480A" w:rsidR="009E0F04" w:rsidRPr="009E0F04" w:rsidRDefault="009E0F04" w:rsidP="00615652">
            <w:pPr>
              <w:pStyle w:val="Default"/>
              <w:numPr>
                <w:ilvl w:val="0"/>
                <w:numId w:val="17"/>
              </w:numPr>
              <w:rPr>
                <w:b/>
                <w:bCs/>
              </w:rPr>
            </w:pPr>
            <w:r w:rsidRPr="009E0F04">
              <w:rPr>
                <w:b/>
                <w:bCs/>
              </w:rPr>
              <w:t>Completed</w:t>
            </w:r>
            <w:r w:rsidR="0016334B">
              <w:rPr>
                <w:b/>
                <w:bCs/>
              </w:rPr>
              <w:t xml:space="preserve"> 31/03/2023</w:t>
            </w:r>
          </w:p>
          <w:p w14:paraId="2F8A7D64" w14:textId="6C8CA425" w:rsidR="00246653" w:rsidRDefault="009E0F04" w:rsidP="00301AD9">
            <w:pPr>
              <w:pStyle w:val="Default"/>
              <w:numPr>
                <w:ilvl w:val="0"/>
                <w:numId w:val="17"/>
              </w:numPr>
              <w:rPr>
                <w:b/>
                <w:bCs/>
              </w:rPr>
            </w:pPr>
            <w:r w:rsidRPr="009E0F04">
              <w:rPr>
                <w:b/>
                <w:bCs/>
              </w:rPr>
              <w:t>Completed</w:t>
            </w:r>
            <w:r w:rsidR="0016334B">
              <w:rPr>
                <w:b/>
                <w:bCs/>
              </w:rPr>
              <w:t xml:space="preserve"> 31/03/2023</w:t>
            </w:r>
          </w:p>
          <w:p w14:paraId="535D6D7D" w14:textId="77777777" w:rsidR="00AC7669" w:rsidRDefault="00AC7669" w:rsidP="00AC7669">
            <w:pPr>
              <w:pStyle w:val="Default"/>
              <w:ind w:left="720"/>
              <w:rPr>
                <w:b/>
                <w:bCs/>
              </w:rPr>
            </w:pPr>
          </w:p>
          <w:p w14:paraId="2DF2CC07" w14:textId="0D7156AD" w:rsidR="0006440D" w:rsidRDefault="0006440D" w:rsidP="0006440D">
            <w:pPr>
              <w:pStyle w:val="Default"/>
              <w:numPr>
                <w:ilvl w:val="0"/>
                <w:numId w:val="17"/>
              </w:numPr>
              <w:rPr>
                <w:b/>
                <w:bCs/>
              </w:rPr>
            </w:pPr>
            <w:r w:rsidRPr="009E0F04">
              <w:rPr>
                <w:b/>
                <w:bCs/>
              </w:rPr>
              <w:t>Completed</w:t>
            </w:r>
            <w:r w:rsidRPr="00AC7669">
              <w:rPr>
                <w:b/>
                <w:bCs/>
                <w:color w:val="auto"/>
                <w:sz w:val="22"/>
                <w:szCs w:val="22"/>
              </w:rPr>
              <w:t xml:space="preserve"> </w:t>
            </w:r>
            <w:r w:rsidRPr="0006440D">
              <w:rPr>
                <w:b/>
                <w:bCs/>
                <w:color w:val="auto"/>
              </w:rPr>
              <w:t>30/06/2025</w:t>
            </w:r>
          </w:p>
          <w:p w14:paraId="0D25C696" w14:textId="4D2A672D" w:rsidR="00F11B3E" w:rsidRPr="0006440D" w:rsidRDefault="0006440D" w:rsidP="00DA5F2F">
            <w:pPr>
              <w:pStyle w:val="Default"/>
              <w:rPr>
                <w:b/>
                <w:bCs/>
              </w:rPr>
            </w:pPr>
            <w:r>
              <w:rPr>
                <w:b/>
                <w:bCs/>
              </w:rPr>
              <w:t>Projects are now included in the reporting framework. Projects are reported and reviewed at the services Continuous Improvement Board and a record of projects are maintained.</w:t>
            </w:r>
          </w:p>
        </w:tc>
        <w:tc>
          <w:tcPr>
            <w:tcW w:w="1289" w:type="dxa"/>
            <w:shd w:val="clear" w:color="auto" w:fill="auto"/>
          </w:tcPr>
          <w:p w14:paraId="38372CC3" w14:textId="2A09C97D" w:rsidR="00196286" w:rsidRDefault="00246653" w:rsidP="00EA1F50">
            <w:pPr>
              <w:pStyle w:val="Default"/>
              <w:rPr>
                <w:rFonts w:asciiTheme="minorHAnsi" w:hAnsiTheme="minorHAnsi" w:cstheme="minorHAnsi"/>
                <w:color w:val="000000" w:themeColor="text1"/>
              </w:rPr>
            </w:pPr>
            <w:r>
              <w:rPr>
                <w:rFonts w:asciiTheme="minorHAnsi" w:hAnsiTheme="minorHAnsi" w:cstheme="minorHAnsi"/>
                <w:color w:val="000000" w:themeColor="text1"/>
              </w:rPr>
              <w:t>31</w:t>
            </w:r>
            <w:r w:rsidRPr="00246653">
              <w:rPr>
                <w:rFonts w:asciiTheme="minorHAnsi" w:hAnsiTheme="minorHAnsi" w:cstheme="minorHAnsi"/>
                <w:color w:val="000000" w:themeColor="text1"/>
                <w:vertAlign w:val="superscript"/>
              </w:rPr>
              <w:t>st</w:t>
            </w:r>
            <w:r>
              <w:rPr>
                <w:rFonts w:asciiTheme="minorHAnsi" w:hAnsiTheme="minorHAnsi" w:cstheme="minorHAnsi"/>
                <w:color w:val="000000" w:themeColor="text1"/>
              </w:rPr>
              <w:t xml:space="preserve"> May 2023</w:t>
            </w:r>
          </w:p>
          <w:p w14:paraId="4D08CBF4" w14:textId="77777777" w:rsidR="00DA5F2F" w:rsidRDefault="00DA5F2F" w:rsidP="00EA1F50">
            <w:pPr>
              <w:pStyle w:val="Default"/>
              <w:rPr>
                <w:rFonts w:asciiTheme="minorHAnsi" w:hAnsiTheme="minorHAnsi" w:cstheme="minorHAnsi"/>
                <w:color w:val="000000" w:themeColor="text1"/>
              </w:rPr>
            </w:pPr>
          </w:p>
          <w:p w14:paraId="6201638A" w14:textId="77777777" w:rsidR="00AC7669" w:rsidRDefault="00AC7669" w:rsidP="00EA1F50">
            <w:pPr>
              <w:pStyle w:val="Default"/>
              <w:rPr>
                <w:rFonts w:asciiTheme="minorHAnsi" w:hAnsiTheme="minorHAnsi" w:cstheme="minorHAnsi"/>
                <w:color w:val="000000" w:themeColor="text1"/>
                <w:sz w:val="22"/>
                <w:szCs w:val="22"/>
              </w:rPr>
            </w:pPr>
          </w:p>
          <w:p w14:paraId="7D401B84" w14:textId="6EC5152B" w:rsidR="00DA5F2F" w:rsidRPr="001560B0" w:rsidRDefault="00DA5F2F" w:rsidP="00EA1F50">
            <w:pPr>
              <w:pStyle w:val="Default"/>
              <w:rPr>
                <w:rFonts w:asciiTheme="minorHAnsi" w:hAnsiTheme="minorHAnsi" w:cstheme="minorHAnsi"/>
                <w:color w:val="000000" w:themeColor="text1"/>
                <w:sz w:val="22"/>
                <w:szCs w:val="22"/>
              </w:rPr>
            </w:pPr>
          </w:p>
        </w:tc>
        <w:tc>
          <w:tcPr>
            <w:tcW w:w="865" w:type="dxa"/>
            <w:shd w:val="clear" w:color="auto" w:fill="00B050"/>
          </w:tcPr>
          <w:p w14:paraId="1F6C8B8B" w14:textId="77777777" w:rsidR="00993DBC" w:rsidRPr="005F5142" w:rsidRDefault="00993DBC" w:rsidP="00301AD9">
            <w:pPr>
              <w:spacing w:line="276" w:lineRule="auto"/>
              <w:rPr>
                <w:rFonts w:asciiTheme="minorHAnsi" w:hAnsiTheme="minorHAnsi" w:cstheme="minorHAnsi"/>
                <w:b/>
                <w:color w:val="FF0000"/>
              </w:rPr>
            </w:pPr>
          </w:p>
        </w:tc>
      </w:tr>
    </w:tbl>
    <w:p w14:paraId="2B836FC1" w14:textId="66EC68A8" w:rsidR="00547B75" w:rsidRDefault="00547B75" w:rsidP="00547B75">
      <w:pPr>
        <w:spacing w:after="200" w:line="276" w:lineRule="auto"/>
        <w:rPr>
          <w:rFonts w:cstheme="minorHAnsi"/>
          <w:b/>
          <w:bCs/>
          <w:color w:val="000000"/>
        </w:rPr>
      </w:pPr>
      <w:r>
        <w:rPr>
          <w:rFonts w:cstheme="minorHAnsi"/>
          <w:b/>
          <w:bCs/>
          <w:color w:val="000000"/>
        </w:rPr>
        <w:lastRenderedPageBreak/>
        <w:t>Project Management – May 2023</w:t>
      </w:r>
    </w:p>
    <w:tbl>
      <w:tblPr>
        <w:tblStyle w:val="TableGrid1"/>
        <w:tblW w:w="15479" w:type="dxa"/>
        <w:tblInd w:w="-572" w:type="dxa"/>
        <w:tblLook w:val="04A0" w:firstRow="1" w:lastRow="0" w:firstColumn="1" w:lastColumn="0" w:noHBand="0" w:noVBand="1"/>
      </w:tblPr>
      <w:tblGrid>
        <w:gridCol w:w="406"/>
        <w:gridCol w:w="2855"/>
        <w:gridCol w:w="2126"/>
        <w:gridCol w:w="2693"/>
        <w:gridCol w:w="1276"/>
        <w:gridCol w:w="3948"/>
        <w:gridCol w:w="1309"/>
        <w:gridCol w:w="866"/>
      </w:tblGrid>
      <w:tr w:rsidR="00547B75" w:rsidRPr="00291B4B" w14:paraId="7E0F873D" w14:textId="77777777" w:rsidTr="00346276">
        <w:tc>
          <w:tcPr>
            <w:tcW w:w="406" w:type="dxa"/>
            <w:shd w:val="clear" w:color="auto" w:fill="632E9E"/>
          </w:tcPr>
          <w:p w14:paraId="6A876457"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 xml:space="preserve">   </w:t>
            </w:r>
          </w:p>
        </w:tc>
        <w:tc>
          <w:tcPr>
            <w:tcW w:w="2855" w:type="dxa"/>
            <w:shd w:val="clear" w:color="auto" w:fill="632E9E"/>
          </w:tcPr>
          <w:p w14:paraId="6721520B"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Issue</w:t>
            </w:r>
          </w:p>
        </w:tc>
        <w:tc>
          <w:tcPr>
            <w:tcW w:w="2126" w:type="dxa"/>
            <w:shd w:val="clear" w:color="auto" w:fill="632E9E"/>
          </w:tcPr>
          <w:p w14:paraId="0455542E"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Recommendation</w:t>
            </w:r>
          </w:p>
        </w:tc>
        <w:tc>
          <w:tcPr>
            <w:tcW w:w="2693" w:type="dxa"/>
            <w:shd w:val="clear" w:color="auto" w:fill="632E9E"/>
          </w:tcPr>
          <w:p w14:paraId="588B1691"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 xml:space="preserve">Management </w:t>
            </w:r>
            <w:r>
              <w:rPr>
                <w:b/>
                <w:color w:val="FFFFFF" w:themeColor="background1"/>
                <w:sz w:val="16"/>
                <w:szCs w:val="16"/>
              </w:rPr>
              <w:t>Comments</w:t>
            </w:r>
          </w:p>
        </w:tc>
        <w:tc>
          <w:tcPr>
            <w:tcW w:w="1276" w:type="dxa"/>
            <w:shd w:val="clear" w:color="auto" w:fill="632E9E"/>
          </w:tcPr>
          <w:p w14:paraId="6AED98CE"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Priority</w:t>
            </w:r>
          </w:p>
        </w:tc>
        <w:tc>
          <w:tcPr>
            <w:tcW w:w="3948" w:type="dxa"/>
            <w:shd w:val="clear" w:color="auto" w:fill="632E9E"/>
          </w:tcPr>
          <w:p w14:paraId="380C18C3"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Officer Responsible</w:t>
            </w:r>
          </w:p>
        </w:tc>
        <w:tc>
          <w:tcPr>
            <w:tcW w:w="1309" w:type="dxa"/>
            <w:shd w:val="clear" w:color="auto" w:fill="632E9E"/>
          </w:tcPr>
          <w:p w14:paraId="431EC97B" w14:textId="77777777" w:rsidR="00547B75" w:rsidRPr="00291B4B" w:rsidRDefault="00547B75" w:rsidP="00301AD9">
            <w:pPr>
              <w:spacing w:line="276" w:lineRule="auto"/>
              <w:rPr>
                <w:b/>
                <w:color w:val="FFFFFF" w:themeColor="background1"/>
                <w:sz w:val="16"/>
                <w:szCs w:val="16"/>
              </w:rPr>
            </w:pPr>
            <w:r>
              <w:rPr>
                <w:b/>
                <w:color w:val="FFFFFF" w:themeColor="background1"/>
                <w:sz w:val="16"/>
                <w:szCs w:val="16"/>
              </w:rPr>
              <w:t>Timescale</w:t>
            </w:r>
          </w:p>
        </w:tc>
        <w:tc>
          <w:tcPr>
            <w:tcW w:w="866" w:type="dxa"/>
            <w:shd w:val="clear" w:color="auto" w:fill="632E9E"/>
          </w:tcPr>
          <w:p w14:paraId="0F2448F5" w14:textId="77777777" w:rsidR="00547B75" w:rsidRPr="00291B4B" w:rsidRDefault="00547B75" w:rsidP="00301AD9">
            <w:pPr>
              <w:spacing w:line="276" w:lineRule="auto"/>
              <w:rPr>
                <w:b/>
                <w:color w:val="FFFFFF" w:themeColor="background1"/>
                <w:sz w:val="16"/>
                <w:szCs w:val="16"/>
              </w:rPr>
            </w:pPr>
            <w:r w:rsidRPr="00291B4B">
              <w:rPr>
                <w:b/>
                <w:color w:val="FFFFFF" w:themeColor="background1"/>
                <w:sz w:val="16"/>
                <w:szCs w:val="16"/>
              </w:rPr>
              <w:t>Status</w:t>
            </w:r>
          </w:p>
        </w:tc>
      </w:tr>
      <w:tr w:rsidR="00547B75" w:rsidRPr="005F5142" w14:paraId="6A865CD8" w14:textId="77777777" w:rsidTr="0006440D">
        <w:trPr>
          <w:trHeight w:val="983"/>
        </w:trPr>
        <w:tc>
          <w:tcPr>
            <w:tcW w:w="406" w:type="dxa"/>
            <w:tcMar>
              <w:left w:w="57" w:type="dxa"/>
              <w:right w:w="57" w:type="dxa"/>
            </w:tcMar>
          </w:tcPr>
          <w:p w14:paraId="34C41DC1" w14:textId="7BE30215" w:rsidR="00547B75" w:rsidRPr="005F5142" w:rsidRDefault="00547B75" w:rsidP="00301AD9">
            <w:pPr>
              <w:rPr>
                <w:rFonts w:asciiTheme="minorHAnsi" w:hAnsiTheme="minorHAnsi" w:cstheme="minorHAnsi"/>
                <w:b/>
              </w:rPr>
            </w:pPr>
            <w:r>
              <w:rPr>
                <w:rFonts w:asciiTheme="minorHAnsi" w:hAnsiTheme="minorHAnsi" w:cstheme="minorHAnsi"/>
                <w:b/>
              </w:rPr>
              <w:t>2</w:t>
            </w:r>
          </w:p>
        </w:tc>
        <w:tc>
          <w:tcPr>
            <w:tcW w:w="2855" w:type="dxa"/>
          </w:tcPr>
          <w:tbl>
            <w:tblPr>
              <w:tblW w:w="0" w:type="auto"/>
              <w:tblBorders>
                <w:top w:val="nil"/>
                <w:left w:val="nil"/>
                <w:bottom w:val="nil"/>
                <w:right w:val="nil"/>
              </w:tblBorders>
              <w:tblLook w:val="0000" w:firstRow="0" w:lastRow="0" w:firstColumn="0" w:lastColumn="0" w:noHBand="0" w:noVBand="0"/>
            </w:tblPr>
            <w:tblGrid>
              <w:gridCol w:w="2639"/>
            </w:tblGrid>
            <w:tr w:rsidR="00E93519" w:rsidRPr="00E93519" w14:paraId="6D0E4E4A" w14:textId="77777777" w:rsidTr="009E1AC2">
              <w:trPr>
                <w:trHeight w:val="1970"/>
              </w:trPr>
              <w:tc>
                <w:tcPr>
                  <w:tcW w:w="0" w:type="auto"/>
                </w:tcPr>
                <w:p w14:paraId="5354DA6F"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b/>
                      <w:bCs/>
                      <w:color w:val="000000"/>
                    </w:rPr>
                    <w:t xml:space="preserve">Weakness </w:t>
                  </w:r>
                </w:p>
                <w:p w14:paraId="794CBE6B"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color w:val="000000"/>
                    </w:rPr>
                    <w:t xml:space="preserve">The document approval section of the Project Closure/Evaluation Report has not been completed. </w:t>
                  </w:r>
                </w:p>
                <w:p w14:paraId="103216DF" w14:textId="77777777" w:rsidR="00E93519" w:rsidRPr="00E93519" w:rsidRDefault="00E93519" w:rsidP="00E93519">
                  <w:pPr>
                    <w:autoSpaceDE w:val="0"/>
                    <w:autoSpaceDN w:val="0"/>
                    <w:adjustRightInd w:val="0"/>
                    <w:rPr>
                      <w:rFonts w:ascii="Calibri" w:hAnsi="Calibri" w:cs="Calibri"/>
                      <w:color w:val="000000"/>
                    </w:rPr>
                  </w:pPr>
                  <w:r w:rsidRPr="00E93519">
                    <w:rPr>
                      <w:rFonts w:ascii="Calibri" w:hAnsi="Calibri" w:cs="Calibri"/>
                      <w:b/>
                      <w:bCs/>
                      <w:color w:val="000000"/>
                    </w:rPr>
                    <w:t xml:space="preserve">Risk </w:t>
                  </w:r>
                </w:p>
                <w:p w14:paraId="2F2615E6" w14:textId="12A6B3BE" w:rsidR="00E93519" w:rsidRPr="000B2607" w:rsidRDefault="00E93519" w:rsidP="000B2607">
                  <w:pPr>
                    <w:autoSpaceDE w:val="0"/>
                    <w:autoSpaceDN w:val="0"/>
                    <w:adjustRightInd w:val="0"/>
                    <w:rPr>
                      <w:rFonts w:ascii="Calibri" w:hAnsi="Calibri" w:cs="Calibri"/>
                      <w:color w:val="000000"/>
                    </w:rPr>
                  </w:pPr>
                  <w:r w:rsidRPr="00E93519">
                    <w:rPr>
                      <w:rFonts w:ascii="Calibri" w:hAnsi="Calibri" w:cs="Calibri"/>
                      <w:color w:val="000000"/>
                    </w:rPr>
                    <w:t>The Commissioner, S151 Officer and Chief Fire Officer do not have clear oversight of key organisational / operational issues that both provides positive assurance that controls operate effectively and proactively identifies any areas of weakness. The project information and outcomes are not robust and cannot be relied on to support effective costs and benefits to the ser</w:t>
                  </w:r>
                  <w:r w:rsidR="000B2607">
                    <w:rPr>
                      <w:rFonts w:ascii="Calibri" w:hAnsi="Calibri" w:cs="Calibri"/>
                      <w:color w:val="000000"/>
                    </w:rPr>
                    <w:t>v</w:t>
                  </w:r>
                  <w:r w:rsidRPr="00E93519">
                    <w:rPr>
                      <w:rFonts w:ascii="Calibri" w:hAnsi="Calibri" w:cs="Calibri"/>
                      <w:color w:val="000000"/>
                    </w:rPr>
                    <w:t xml:space="preserve">ice. </w:t>
                  </w:r>
                </w:p>
              </w:tc>
            </w:tr>
          </w:tbl>
          <w:p w14:paraId="62B652D9" w14:textId="77777777" w:rsidR="00547B75" w:rsidRPr="00A03C03" w:rsidRDefault="00547B75" w:rsidP="00301AD9">
            <w:pPr>
              <w:pStyle w:val="Default"/>
            </w:pPr>
          </w:p>
        </w:tc>
        <w:tc>
          <w:tcPr>
            <w:tcW w:w="2126" w:type="dxa"/>
          </w:tcPr>
          <w:p w14:paraId="07953197" w14:textId="3F3888E4" w:rsidR="000B2607" w:rsidRDefault="00E93519" w:rsidP="000B2607">
            <w:pPr>
              <w:pStyle w:val="Default"/>
            </w:pPr>
            <w:r>
              <w:rPr>
                <w:sz w:val="22"/>
                <w:szCs w:val="22"/>
              </w:rPr>
              <w:t xml:space="preserve">In accordance with the Project Management Framework, the Project Closure/Evaluation report should be approved by the Project Executive for each project developed. </w:t>
            </w:r>
          </w:p>
          <w:p w14:paraId="76E85AAE" w14:textId="77777777" w:rsidR="00547B75" w:rsidRPr="000B2607" w:rsidRDefault="00547B75" w:rsidP="000B2607"/>
        </w:tc>
        <w:tc>
          <w:tcPr>
            <w:tcW w:w="2693" w:type="dxa"/>
            <w:shd w:val="clear" w:color="auto" w:fill="auto"/>
          </w:tcPr>
          <w:p w14:paraId="7601BE66" w14:textId="42CFA360" w:rsidR="00E93519" w:rsidRDefault="00E93519" w:rsidP="00E93519">
            <w:pPr>
              <w:pStyle w:val="Default"/>
              <w:rPr>
                <w:sz w:val="22"/>
                <w:szCs w:val="22"/>
              </w:rPr>
            </w:pPr>
            <w:r>
              <w:rPr>
                <w:sz w:val="22"/>
                <w:szCs w:val="22"/>
              </w:rPr>
              <w:t xml:space="preserve">All AM’s and GM’s to be contacted to reinforce the following points – </w:t>
            </w:r>
          </w:p>
          <w:p w14:paraId="394C6744" w14:textId="58D95611" w:rsidR="009E495A" w:rsidRPr="00615652" w:rsidRDefault="00E93519" w:rsidP="00615652">
            <w:pPr>
              <w:pStyle w:val="Default"/>
              <w:numPr>
                <w:ilvl w:val="0"/>
                <w:numId w:val="18"/>
              </w:numPr>
              <w:ind w:left="360"/>
              <w:rPr>
                <w:sz w:val="22"/>
                <w:szCs w:val="22"/>
              </w:rPr>
            </w:pPr>
            <w:r>
              <w:rPr>
                <w:sz w:val="22"/>
                <w:szCs w:val="22"/>
              </w:rPr>
              <w:t xml:space="preserve">Project SRO to ensure compliance with Project Management Framework for appropriate project closure and evaluation. (inc. follow up documentation capturing evaluation and outcomes) </w:t>
            </w:r>
          </w:p>
          <w:p w14:paraId="36B94CE8" w14:textId="1F6146B2" w:rsidR="00547B75" w:rsidRPr="000B2607" w:rsidRDefault="00E93519" w:rsidP="00615652">
            <w:pPr>
              <w:pStyle w:val="Default"/>
              <w:numPr>
                <w:ilvl w:val="0"/>
                <w:numId w:val="18"/>
              </w:numPr>
              <w:ind w:left="360"/>
              <w:rPr>
                <w:sz w:val="22"/>
                <w:szCs w:val="22"/>
              </w:rPr>
            </w:pPr>
            <w:r>
              <w:rPr>
                <w:sz w:val="22"/>
                <w:szCs w:val="22"/>
              </w:rPr>
              <w:t>SRO to review CBTF project and</w:t>
            </w:r>
            <w:r w:rsidR="000B2607">
              <w:rPr>
                <w:sz w:val="22"/>
                <w:szCs w:val="22"/>
              </w:rPr>
              <w:t xml:space="preserve"> review closure and evaluation </w:t>
            </w:r>
          </w:p>
        </w:tc>
        <w:tc>
          <w:tcPr>
            <w:tcW w:w="1276" w:type="dxa"/>
            <w:shd w:val="clear" w:color="auto" w:fill="00B0F0"/>
          </w:tcPr>
          <w:p w14:paraId="6007B0E8" w14:textId="77777777" w:rsidR="00547B75" w:rsidRPr="004A1320" w:rsidRDefault="00547B75" w:rsidP="00301AD9">
            <w:pPr>
              <w:jc w:val="center"/>
              <w:rPr>
                <w:rFonts w:ascii="Calibri" w:hAnsi="Calibri" w:cs="Calibri"/>
                <w:b/>
                <w:sz w:val="24"/>
                <w:szCs w:val="24"/>
              </w:rPr>
            </w:pPr>
            <w:r>
              <w:rPr>
                <w:rFonts w:ascii="Calibri" w:hAnsi="Calibri" w:cs="Calibri"/>
                <w:b/>
                <w:sz w:val="24"/>
                <w:szCs w:val="24"/>
              </w:rPr>
              <w:t>Important</w:t>
            </w:r>
          </w:p>
        </w:tc>
        <w:tc>
          <w:tcPr>
            <w:tcW w:w="3948" w:type="dxa"/>
          </w:tcPr>
          <w:p w14:paraId="7D501C23" w14:textId="77777777" w:rsidR="0006440D" w:rsidRDefault="00AC7669" w:rsidP="0006440D">
            <w:pPr>
              <w:pStyle w:val="Default"/>
              <w:rPr>
                <w:sz w:val="22"/>
                <w:szCs w:val="22"/>
              </w:rPr>
            </w:pPr>
            <w:r>
              <w:rPr>
                <w:sz w:val="22"/>
                <w:szCs w:val="22"/>
              </w:rPr>
              <w:t>Transformation</w:t>
            </w:r>
            <w:r w:rsidR="00E93519" w:rsidRPr="00466D9B">
              <w:rPr>
                <w:sz w:val="22"/>
                <w:szCs w:val="22"/>
              </w:rPr>
              <w:t xml:space="preserve"> Manager </w:t>
            </w:r>
          </w:p>
          <w:p w14:paraId="04337220" w14:textId="399BA306" w:rsidR="0006440D" w:rsidRPr="0006440D" w:rsidRDefault="0006440D" w:rsidP="006B2832">
            <w:pPr>
              <w:pStyle w:val="Default"/>
              <w:numPr>
                <w:ilvl w:val="0"/>
                <w:numId w:val="33"/>
              </w:numPr>
              <w:rPr>
                <w:sz w:val="22"/>
                <w:szCs w:val="22"/>
              </w:rPr>
            </w:pPr>
            <w:r w:rsidRPr="0006440D">
              <w:rPr>
                <w:b/>
                <w:bCs/>
              </w:rPr>
              <w:t>Completed 31/11/2024</w:t>
            </w:r>
            <w:r>
              <w:rPr>
                <w:b/>
                <w:bCs/>
              </w:rPr>
              <w:t xml:space="preserve"> </w:t>
            </w:r>
            <w:r w:rsidRPr="0006440D">
              <w:rPr>
                <w:b/>
                <w:bCs/>
                <w:sz w:val="22"/>
                <w:szCs w:val="22"/>
              </w:rPr>
              <w:t>Projects are now incorporated into processes. Closure reports are completed and evaluation is measured against HMICFRS inspection pillars.</w:t>
            </w:r>
          </w:p>
          <w:p w14:paraId="18E5D6E3" w14:textId="77499683" w:rsidR="00E93519" w:rsidRPr="0006440D" w:rsidRDefault="0006440D" w:rsidP="0006440D">
            <w:pPr>
              <w:pStyle w:val="Default"/>
              <w:numPr>
                <w:ilvl w:val="0"/>
                <w:numId w:val="33"/>
              </w:numPr>
              <w:rPr>
                <w:sz w:val="22"/>
                <w:szCs w:val="22"/>
              </w:rPr>
            </w:pPr>
            <w:r w:rsidRPr="00AC7669">
              <w:rPr>
                <w:b/>
                <w:bCs/>
              </w:rPr>
              <w:t>Completed 31/11/2024</w:t>
            </w:r>
          </w:p>
        </w:tc>
        <w:tc>
          <w:tcPr>
            <w:tcW w:w="1309" w:type="dxa"/>
            <w:shd w:val="clear" w:color="auto" w:fill="auto"/>
          </w:tcPr>
          <w:p w14:paraId="29C53FAF" w14:textId="64955920" w:rsidR="009F144D" w:rsidRPr="00466D9B" w:rsidRDefault="009F144D" w:rsidP="00EA1F50">
            <w:pPr>
              <w:pStyle w:val="Default"/>
              <w:rPr>
                <w:rFonts w:asciiTheme="minorHAnsi" w:hAnsiTheme="minorHAnsi" w:cstheme="minorHAnsi"/>
                <w:sz w:val="22"/>
                <w:szCs w:val="22"/>
              </w:rPr>
            </w:pPr>
            <w:r w:rsidRPr="00466D9B">
              <w:rPr>
                <w:rFonts w:asciiTheme="minorHAnsi" w:hAnsiTheme="minorHAnsi" w:cstheme="minorHAnsi"/>
                <w:sz w:val="22"/>
                <w:szCs w:val="22"/>
              </w:rPr>
              <w:t>31</w:t>
            </w:r>
            <w:r w:rsidRPr="00466D9B">
              <w:rPr>
                <w:rFonts w:asciiTheme="minorHAnsi" w:hAnsiTheme="minorHAnsi" w:cstheme="minorHAnsi"/>
                <w:sz w:val="22"/>
                <w:szCs w:val="22"/>
                <w:vertAlign w:val="superscript"/>
              </w:rPr>
              <w:t>st</w:t>
            </w:r>
            <w:r w:rsidRPr="00466D9B">
              <w:rPr>
                <w:rFonts w:asciiTheme="minorHAnsi" w:hAnsiTheme="minorHAnsi" w:cstheme="minorHAnsi"/>
                <w:sz w:val="22"/>
                <w:szCs w:val="22"/>
              </w:rPr>
              <w:t xml:space="preserve"> May 2023</w:t>
            </w:r>
          </w:p>
          <w:p w14:paraId="28EB92C7" w14:textId="5D2013CD" w:rsidR="00F37704" w:rsidRPr="001560B0" w:rsidRDefault="00F37704" w:rsidP="000B2607">
            <w:pPr>
              <w:pStyle w:val="Default"/>
              <w:rPr>
                <w:rFonts w:asciiTheme="minorHAnsi" w:hAnsiTheme="minorHAnsi" w:cstheme="minorHAnsi"/>
                <w:color w:val="000000" w:themeColor="text1"/>
                <w:sz w:val="22"/>
                <w:szCs w:val="22"/>
              </w:rPr>
            </w:pPr>
          </w:p>
        </w:tc>
        <w:tc>
          <w:tcPr>
            <w:tcW w:w="866" w:type="dxa"/>
            <w:shd w:val="clear" w:color="auto" w:fill="00B050"/>
          </w:tcPr>
          <w:p w14:paraId="6679D251" w14:textId="77777777" w:rsidR="00547B75" w:rsidRPr="005F5142" w:rsidRDefault="00547B75" w:rsidP="00301AD9">
            <w:pPr>
              <w:spacing w:line="276" w:lineRule="auto"/>
              <w:rPr>
                <w:rFonts w:asciiTheme="minorHAnsi" w:hAnsiTheme="minorHAnsi" w:cstheme="minorHAnsi"/>
                <w:b/>
                <w:color w:val="FF0000"/>
              </w:rPr>
            </w:pPr>
          </w:p>
        </w:tc>
      </w:tr>
    </w:tbl>
    <w:p w14:paraId="13095060" w14:textId="77777777" w:rsidR="001560B0" w:rsidRDefault="001560B0" w:rsidP="00022AFC">
      <w:pPr>
        <w:spacing w:before="120" w:after="120"/>
        <w:rPr>
          <w:rFonts w:cstheme="minorHAnsi"/>
          <w:b/>
          <w:bCs/>
          <w:color w:val="000000"/>
          <w:u w:val="single"/>
        </w:rPr>
      </w:pPr>
    </w:p>
    <w:p w14:paraId="499F1AE0" w14:textId="77777777" w:rsidR="0006440D" w:rsidRDefault="0006440D" w:rsidP="00022AFC">
      <w:pPr>
        <w:spacing w:before="120" w:after="120"/>
        <w:rPr>
          <w:rFonts w:cstheme="minorHAnsi"/>
          <w:b/>
          <w:bCs/>
          <w:color w:val="000000"/>
          <w:u w:val="single"/>
        </w:rPr>
      </w:pPr>
    </w:p>
    <w:p w14:paraId="0BFC559C" w14:textId="77777777" w:rsidR="0006440D" w:rsidRDefault="0006440D" w:rsidP="00022AFC">
      <w:pPr>
        <w:spacing w:before="120" w:after="120"/>
        <w:rPr>
          <w:rFonts w:cstheme="minorHAnsi"/>
          <w:b/>
          <w:bCs/>
          <w:color w:val="000000"/>
          <w:u w:val="single"/>
        </w:rPr>
      </w:pPr>
    </w:p>
    <w:p w14:paraId="70534C7E" w14:textId="77777777" w:rsidR="0006440D" w:rsidRDefault="0006440D" w:rsidP="00022AFC">
      <w:pPr>
        <w:spacing w:before="120" w:after="120"/>
        <w:rPr>
          <w:rFonts w:cstheme="minorHAnsi"/>
          <w:b/>
          <w:bCs/>
          <w:color w:val="000000"/>
          <w:u w:val="single"/>
        </w:rPr>
      </w:pPr>
    </w:p>
    <w:p w14:paraId="42246840" w14:textId="77777777" w:rsidR="00580E09" w:rsidRDefault="00580E09" w:rsidP="00022AFC">
      <w:pPr>
        <w:spacing w:before="120" w:after="120"/>
        <w:rPr>
          <w:rFonts w:cstheme="minorHAnsi"/>
          <w:b/>
          <w:bCs/>
          <w:color w:val="000000"/>
          <w:u w:val="single"/>
        </w:rPr>
      </w:pPr>
    </w:p>
    <w:p w14:paraId="2EEAB290" w14:textId="77777777" w:rsidR="00580E09" w:rsidRDefault="00580E09" w:rsidP="00022AFC">
      <w:pPr>
        <w:spacing w:before="120" w:after="120"/>
        <w:rPr>
          <w:rFonts w:cstheme="minorHAnsi"/>
          <w:b/>
          <w:bCs/>
          <w:color w:val="000000"/>
          <w:u w:val="single"/>
        </w:rPr>
      </w:pPr>
    </w:p>
    <w:p w14:paraId="7A64FB2F" w14:textId="77777777" w:rsidR="00580E09" w:rsidRDefault="00580E09" w:rsidP="00022AFC">
      <w:pPr>
        <w:spacing w:before="120" w:after="120"/>
        <w:rPr>
          <w:rFonts w:cstheme="minorHAnsi"/>
          <w:b/>
          <w:bCs/>
          <w:color w:val="000000"/>
          <w:u w:val="single"/>
        </w:rPr>
      </w:pPr>
    </w:p>
    <w:p w14:paraId="03F5855D" w14:textId="32877E69" w:rsidR="00DC5B38" w:rsidRPr="00022AFC" w:rsidRDefault="008D3287" w:rsidP="00022AFC">
      <w:pPr>
        <w:spacing w:before="120" w:after="120"/>
        <w:rPr>
          <w:rFonts w:cstheme="minorHAnsi"/>
          <w:b/>
          <w:bCs/>
          <w:color w:val="000000"/>
          <w:u w:val="single"/>
        </w:rPr>
      </w:pPr>
      <w:r w:rsidRPr="00155474">
        <w:rPr>
          <w:rFonts w:cstheme="minorHAnsi"/>
          <w:b/>
          <w:bCs/>
          <w:color w:val="000000"/>
          <w:u w:val="single"/>
        </w:rPr>
        <w:lastRenderedPageBreak/>
        <w:t>2023/24</w:t>
      </w:r>
    </w:p>
    <w:p w14:paraId="6ED5FC00" w14:textId="54D2639C" w:rsidR="00D841BD" w:rsidRDefault="00D841BD" w:rsidP="00D841BD">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451" w:type="dxa"/>
        <w:tblInd w:w="-572" w:type="dxa"/>
        <w:tblLook w:val="04A0" w:firstRow="1" w:lastRow="0" w:firstColumn="1" w:lastColumn="0" w:noHBand="0" w:noVBand="1"/>
      </w:tblPr>
      <w:tblGrid>
        <w:gridCol w:w="402"/>
        <w:gridCol w:w="3851"/>
        <w:gridCol w:w="3969"/>
        <w:gridCol w:w="1276"/>
        <w:gridCol w:w="3543"/>
        <w:gridCol w:w="1560"/>
        <w:gridCol w:w="850"/>
      </w:tblGrid>
      <w:tr w:rsidR="009F2FC5" w:rsidRPr="00291B4B" w14:paraId="55BEF2BD" w14:textId="77777777" w:rsidTr="00F36A35">
        <w:tc>
          <w:tcPr>
            <w:tcW w:w="402" w:type="dxa"/>
            <w:shd w:val="clear" w:color="auto" w:fill="632E9E"/>
          </w:tcPr>
          <w:p w14:paraId="65CF311E" w14:textId="77777777" w:rsidR="009F2FC5" w:rsidRPr="00291B4B" w:rsidRDefault="009F2FC5" w:rsidP="00DC516A">
            <w:pPr>
              <w:spacing w:line="276" w:lineRule="auto"/>
              <w:rPr>
                <w:b/>
                <w:color w:val="FFFFFF" w:themeColor="background1"/>
                <w:sz w:val="16"/>
                <w:szCs w:val="16"/>
              </w:rPr>
            </w:pPr>
            <w:r>
              <w:rPr>
                <w:b/>
                <w:color w:val="FFFFFF" w:themeColor="background1"/>
                <w:sz w:val="16"/>
                <w:szCs w:val="16"/>
              </w:rPr>
              <w:t xml:space="preserve">   </w:t>
            </w:r>
          </w:p>
        </w:tc>
        <w:tc>
          <w:tcPr>
            <w:tcW w:w="3851" w:type="dxa"/>
            <w:shd w:val="clear" w:color="auto" w:fill="632E9E"/>
          </w:tcPr>
          <w:p w14:paraId="589C273C" w14:textId="431035ED" w:rsidR="009F2FC5" w:rsidRPr="00291B4B" w:rsidRDefault="009F2FC5" w:rsidP="00DC516A">
            <w:pPr>
              <w:spacing w:line="276" w:lineRule="auto"/>
              <w:rPr>
                <w:b/>
                <w:color w:val="FFFFFF" w:themeColor="background1"/>
                <w:sz w:val="16"/>
                <w:szCs w:val="16"/>
              </w:rPr>
            </w:pPr>
            <w:r>
              <w:rPr>
                <w:b/>
                <w:color w:val="FFFFFF" w:themeColor="background1"/>
                <w:sz w:val="16"/>
                <w:szCs w:val="16"/>
              </w:rPr>
              <w:t>Observation/Risk</w:t>
            </w:r>
          </w:p>
        </w:tc>
        <w:tc>
          <w:tcPr>
            <w:tcW w:w="3969" w:type="dxa"/>
            <w:shd w:val="clear" w:color="auto" w:fill="632E9E"/>
          </w:tcPr>
          <w:p w14:paraId="799A12BE"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4772E46C"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Priority</w:t>
            </w:r>
          </w:p>
        </w:tc>
        <w:tc>
          <w:tcPr>
            <w:tcW w:w="3543" w:type="dxa"/>
            <w:shd w:val="clear" w:color="auto" w:fill="632E9E"/>
          </w:tcPr>
          <w:p w14:paraId="1DB1DC40" w14:textId="4087D8B2" w:rsidR="009F2FC5" w:rsidRPr="00291B4B" w:rsidRDefault="00BF3638" w:rsidP="00DC516A">
            <w:pPr>
              <w:spacing w:line="276" w:lineRule="auto"/>
              <w:rPr>
                <w:b/>
                <w:color w:val="FFFFFF" w:themeColor="background1"/>
                <w:sz w:val="16"/>
                <w:szCs w:val="16"/>
              </w:rPr>
            </w:pPr>
            <w:r>
              <w:rPr>
                <w:b/>
                <w:color w:val="FFFFFF" w:themeColor="background1"/>
                <w:sz w:val="16"/>
                <w:szCs w:val="16"/>
              </w:rPr>
              <w:t>Agreed Actions</w:t>
            </w:r>
          </w:p>
        </w:tc>
        <w:tc>
          <w:tcPr>
            <w:tcW w:w="1560" w:type="dxa"/>
            <w:shd w:val="clear" w:color="auto" w:fill="632E9E"/>
          </w:tcPr>
          <w:p w14:paraId="4B5B54FF" w14:textId="234AA89F" w:rsidR="009F2FC5" w:rsidRPr="00291B4B" w:rsidRDefault="009F2FC5" w:rsidP="00DC516A">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9D89B00" w14:textId="77777777" w:rsidR="009F2FC5" w:rsidRPr="00291B4B" w:rsidRDefault="009F2FC5" w:rsidP="00DC516A">
            <w:pPr>
              <w:spacing w:line="276" w:lineRule="auto"/>
              <w:rPr>
                <w:b/>
                <w:color w:val="FFFFFF" w:themeColor="background1"/>
                <w:sz w:val="16"/>
                <w:szCs w:val="16"/>
              </w:rPr>
            </w:pPr>
            <w:r w:rsidRPr="00291B4B">
              <w:rPr>
                <w:b/>
                <w:color w:val="FFFFFF" w:themeColor="background1"/>
                <w:sz w:val="16"/>
                <w:szCs w:val="16"/>
              </w:rPr>
              <w:t>Status</w:t>
            </w:r>
          </w:p>
        </w:tc>
      </w:tr>
      <w:tr w:rsidR="009F2FC5" w:rsidRPr="005F5142" w14:paraId="53CF99E5" w14:textId="77777777" w:rsidTr="004063F2">
        <w:tc>
          <w:tcPr>
            <w:tcW w:w="402" w:type="dxa"/>
            <w:tcMar>
              <w:left w:w="57" w:type="dxa"/>
              <w:right w:w="57" w:type="dxa"/>
            </w:tcMar>
          </w:tcPr>
          <w:p w14:paraId="19732F27" w14:textId="055B7575" w:rsidR="009F2FC5" w:rsidRPr="005F5142" w:rsidRDefault="009F2FC5" w:rsidP="00DC516A">
            <w:pPr>
              <w:rPr>
                <w:rFonts w:asciiTheme="minorHAnsi" w:hAnsiTheme="minorHAnsi" w:cstheme="minorHAnsi"/>
                <w:b/>
              </w:rPr>
            </w:pPr>
            <w:r>
              <w:rPr>
                <w:rFonts w:asciiTheme="minorHAnsi" w:hAnsiTheme="minorHAnsi" w:cstheme="minorHAnsi"/>
                <w:b/>
              </w:rPr>
              <w:t>1 (c)</w:t>
            </w:r>
          </w:p>
        </w:tc>
        <w:tc>
          <w:tcPr>
            <w:tcW w:w="3851" w:type="dxa"/>
          </w:tcPr>
          <w:p w14:paraId="72E4B39F" w14:textId="77777777" w:rsidR="009F2FC5" w:rsidRPr="00435856" w:rsidRDefault="009F2FC5" w:rsidP="00DC516A">
            <w:pPr>
              <w:pStyle w:val="Default"/>
              <w:rPr>
                <w:b/>
                <w:bCs/>
                <w:sz w:val="22"/>
                <w:szCs w:val="22"/>
              </w:rPr>
            </w:pPr>
            <w:r w:rsidRPr="00435856">
              <w:rPr>
                <w:b/>
                <w:bCs/>
                <w:sz w:val="22"/>
                <w:szCs w:val="22"/>
              </w:rPr>
              <w:t>Risk and Impact</w:t>
            </w:r>
          </w:p>
          <w:p w14:paraId="4ACBCD67" w14:textId="77777777" w:rsidR="009F2FC5" w:rsidRPr="00435856" w:rsidRDefault="009F2FC5" w:rsidP="00DC516A">
            <w:pPr>
              <w:pStyle w:val="Default"/>
              <w:rPr>
                <w:sz w:val="22"/>
                <w:szCs w:val="22"/>
              </w:rPr>
            </w:pPr>
            <w:r w:rsidRPr="00435856">
              <w:rPr>
                <w:sz w:val="22"/>
                <w:szCs w:val="22"/>
              </w:rPr>
              <w:t>Risk registers are not complete and risk actions are not appropriately tracked leading to the failure to effectively manage and address risks facing the organisation</w:t>
            </w:r>
          </w:p>
        </w:tc>
        <w:tc>
          <w:tcPr>
            <w:tcW w:w="3969" w:type="dxa"/>
          </w:tcPr>
          <w:p w14:paraId="0793BEF7" w14:textId="77777777" w:rsidR="009F2FC5" w:rsidRPr="00435856" w:rsidRDefault="009F2FC5" w:rsidP="00DC516A">
            <w:pPr>
              <w:pStyle w:val="Default"/>
              <w:rPr>
                <w:sz w:val="22"/>
                <w:szCs w:val="22"/>
              </w:rPr>
            </w:pPr>
            <w:r w:rsidRPr="00435856">
              <w:rPr>
                <w:sz w:val="22"/>
                <w:szCs w:val="22"/>
              </w:rPr>
              <w:t>Risk registers should be reviewed on a quarterly basis, ensuring that all sections of risk registers are fully completed, including controls and/or action plans to reduce risk to an acceptable score and reasoning for risk scores</w:t>
            </w:r>
          </w:p>
        </w:tc>
        <w:tc>
          <w:tcPr>
            <w:tcW w:w="1276" w:type="dxa"/>
            <w:shd w:val="clear" w:color="auto" w:fill="FFC000"/>
          </w:tcPr>
          <w:p w14:paraId="24669982" w14:textId="77777777" w:rsidR="009F2FC5" w:rsidRPr="00435856" w:rsidRDefault="009F2FC5" w:rsidP="00DC516A">
            <w:pPr>
              <w:jc w:val="center"/>
              <w:rPr>
                <w:rFonts w:ascii="Calibri" w:hAnsi="Calibri" w:cs="Calibri"/>
                <w:b/>
              </w:rPr>
            </w:pPr>
            <w:r w:rsidRPr="00435856">
              <w:rPr>
                <w:rFonts w:ascii="Calibri" w:hAnsi="Calibri" w:cs="Calibri"/>
                <w:b/>
              </w:rPr>
              <w:t>Medium</w:t>
            </w:r>
          </w:p>
        </w:tc>
        <w:tc>
          <w:tcPr>
            <w:tcW w:w="3543" w:type="dxa"/>
          </w:tcPr>
          <w:p w14:paraId="47A19B08" w14:textId="4F998A15" w:rsidR="009F2FC5" w:rsidRDefault="009F2FC5" w:rsidP="009F2FC5">
            <w:pPr>
              <w:pStyle w:val="Default"/>
              <w:rPr>
                <w:sz w:val="22"/>
                <w:szCs w:val="22"/>
              </w:rPr>
            </w:pPr>
            <w:r w:rsidRPr="00435856">
              <w:rPr>
                <w:sz w:val="22"/>
                <w:szCs w:val="22"/>
              </w:rPr>
              <w:t xml:space="preserve">Review of A30 Assurance and Performance policy by 31 March 2024. </w:t>
            </w:r>
          </w:p>
          <w:p w14:paraId="366CC02E" w14:textId="77777777" w:rsidR="00D87A0F" w:rsidRDefault="00D87A0F" w:rsidP="009F2FC5">
            <w:pPr>
              <w:pStyle w:val="Default"/>
              <w:rPr>
                <w:sz w:val="22"/>
                <w:szCs w:val="22"/>
              </w:rPr>
            </w:pPr>
          </w:p>
          <w:p w14:paraId="0F1BCDF9" w14:textId="721C6629" w:rsidR="00196286" w:rsidRPr="0006440D" w:rsidRDefault="0006440D" w:rsidP="00F36A35">
            <w:pPr>
              <w:pStyle w:val="Default"/>
              <w:rPr>
                <w:bCs/>
                <w:sz w:val="22"/>
                <w:szCs w:val="22"/>
              </w:rPr>
            </w:pPr>
            <w:r>
              <w:rPr>
                <w:b/>
                <w:sz w:val="22"/>
                <w:szCs w:val="22"/>
              </w:rPr>
              <w:t xml:space="preserve">01/07/2025 </w:t>
            </w:r>
            <w:r w:rsidR="00581455">
              <w:rPr>
                <w:bCs/>
                <w:sz w:val="22"/>
                <w:szCs w:val="22"/>
              </w:rPr>
              <w:t>A30 has been reviewed since this original recommendation. However, as the organisation continues to evolve, a further review is now required which will be undertaken later this year following the approval of a new corporate planning framework which will incorporate some elements of A30.</w:t>
            </w:r>
          </w:p>
        </w:tc>
        <w:tc>
          <w:tcPr>
            <w:tcW w:w="1560" w:type="dxa"/>
            <w:shd w:val="clear" w:color="auto" w:fill="auto"/>
          </w:tcPr>
          <w:p w14:paraId="4076BF8C" w14:textId="77777777" w:rsidR="00435856" w:rsidRDefault="009F2FC5" w:rsidP="00DC516A">
            <w:pPr>
              <w:pStyle w:val="Default"/>
              <w:rPr>
                <w:rFonts w:asciiTheme="minorHAnsi" w:hAnsiTheme="minorHAnsi" w:cstheme="minorHAnsi"/>
                <w:color w:val="000000" w:themeColor="text1"/>
                <w:sz w:val="22"/>
                <w:szCs w:val="22"/>
              </w:rPr>
            </w:pPr>
            <w:r w:rsidRPr="00435856">
              <w:rPr>
                <w:sz w:val="22"/>
                <w:szCs w:val="22"/>
              </w:rPr>
              <w:t>Assurance Manager</w:t>
            </w:r>
            <w:r w:rsidRPr="00435856">
              <w:rPr>
                <w:rFonts w:asciiTheme="minorHAnsi" w:hAnsiTheme="minorHAnsi" w:cstheme="minorHAnsi"/>
                <w:color w:val="000000" w:themeColor="text1"/>
                <w:sz w:val="22"/>
                <w:szCs w:val="22"/>
              </w:rPr>
              <w:t xml:space="preserve"> </w:t>
            </w:r>
          </w:p>
          <w:p w14:paraId="0A3D5D4A" w14:textId="77777777" w:rsidR="009F2FC5" w:rsidRDefault="009F2FC5" w:rsidP="00DC516A">
            <w:pPr>
              <w:pStyle w:val="Default"/>
              <w:rPr>
                <w:rFonts w:asciiTheme="minorHAnsi" w:hAnsiTheme="minorHAnsi" w:cstheme="minorHAnsi"/>
                <w:color w:val="000000" w:themeColor="text1"/>
                <w:sz w:val="22"/>
                <w:szCs w:val="22"/>
              </w:rPr>
            </w:pPr>
            <w:r w:rsidRPr="00435856">
              <w:rPr>
                <w:rFonts w:asciiTheme="minorHAnsi" w:hAnsiTheme="minorHAnsi" w:cstheme="minorHAnsi"/>
                <w:color w:val="000000" w:themeColor="text1"/>
                <w:sz w:val="22"/>
                <w:szCs w:val="22"/>
              </w:rPr>
              <w:t>31</w:t>
            </w:r>
            <w:r w:rsidRPr="00435856">
              <w:rPr>
                <w:rFonts w:asciiTheme="minorHAnsi" w:hAnsiTheme="minorHAnsi" w:cstheme="minorHAnsi"/>
                <w:color w:val="000000" w:themeColor="text1"/>
                <w:sz w:val="22"/>
                <w:szCs w:val="22"/>
                <w:vertAlign w:val="superscript"/>
              </w:rPr>
              <w:t>st</w:t>
            </w:r>
            <w:r w:rsidRPr="00435856">
              <w:rPr>
                <w:rFonts w:asciiTheme="minorHAnsi" w:hAnsiTheme="minorHAnsi" w:cstheme="minorHAnsi"/>
                <w:color w:val="000000" w:themeColor="text1"/>
                <w:sz w:val="22"/>
                <w:szCs w:val="22"/>
              </w:rPr>
              <w:t xml:space="preserve"> Mar 2024</w:t>
            </w:r>
          </w:p>
          <w:p w14:paraId="132C2E49" w14:textId="77777777" w:rsidR="00E609C1" w:rsidRDefault="00E609C1" w:rsidP="00DC516A">
            <w:pPr>
              <w:pStyle w:val="Default"/>
              <w:rPr>
                <w:rFonts w:asciiTheme="minorHAnsi" w:hAnsiTheme="minorHAnsi" w:cstheme="minorHAnsi"/>
                <w:color w:val="000000" w:themeColor="text1"/>
                <w:sz w:val="22"/>
                <w:szCs w:val="22"/>
              </w:rPr>
            </w:pPr>
          </w:p>
          <w:p w14:paraId="518C09DC" w14:textId="77777777" w:rsidR="005E555B" w:rsidRDefault="005E555B" w:rsidP="00DC516A">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New date. </w:t>
            </w:r>
          </w:p>
          <w:p w14:paraId="38B97058" w14:textId="49703E8C" w:rsidR="005E555B" w:rsidRPr="00435856" w:rsidRDefault="005E555B" w:rsidP="00DC516A">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31</w:t>
            </w:r>
            <w:r w:rsidRPr="005E555B">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w:t>
            </w:r>
            <w:r w:rsidR="00581455">
              <w:rPr>
                <w:rFonts w:asciiTheme="minorHAnsi" w:hAnsiTheme="minorHAnsi" w:cstheme="minorHAnsi"/>
                <w:color w:val="000000" w:themeColor="text1"/>
                <w:sz w:val="22"/>
                <w:szCs w:val="22"/>
              </w:rPr>
              <w:t>Oct</w:t>
            </w:r>
            <w:r>
              <w:rPr>
                <w:rFonts w:asciiTheme="minorHAnsi" w:hAnsiTheme="minorHAnsi" w:cstheme="minorHAnsi"/>
                <w:color w:val="000000" w:themeColor="text1"/>
                <w:sz w:val="22"/>
                <w:szCs w:val="22"/>
              </w:rPr>
              <w:t xml:space="preserve"> 25</w:t>
            </w:r>
          </w:p>
        </w:tc>
        <w:tc>
          <w:tcPr>
            <w:tcW w:w="850" w:type="dxa"/>
            <w:shd w:val="clear" w:color="auto" w:fill="FFC000"/>
          </w:tcPr>
          <w:p w14:paraId="3D17C439" w14:textId="77777777" w:rsidR="009F2FC5" w:rsidRPr="005F5142" w:rsidRDefault="009F2FC5" w:rsidP="00DC516A">
            <w:pPr>
              <w:spacing w:line="276" w:lineRule="auto"/>
              <w:rPr>
                <w:rFonts w:asciiTheme="minorHAnsi" w:hAnsiTheme="minorHAnsi" w:cstheme="minorHAnsi"/>
                <w:b/>
                <w:color w:val="FF0000"/>
              </w:rPr>
            </w:pPr>
          </w:p>
        </w:tc>
      </w:tr>
    </w:tbl>
    <w:p w14:paraId="7B31F0D3" w14:textId="77777777" w:rsidR="001560B0" w:rsidRDefault="001560B0" w:rsidP="00D841BD">
      <w:pPr>
        <w:spacing w:after="200" w:line="276" w:lineRule="auto"/>
        <w:rPr>
          <w:rFonts w:cstheme="minorHAnsi"/>
          <w:b/>
          <w:bCs/>
          <w:color w:val="000000"/>
        </w:rPr>
      </w:pPr>
    </w:p>
    <w:p w14:paraId="34FB07CD" w14:textId="675D23C3" w:rsidR="00D841BD" w:rsidRDefault="00D841BD" w:rsidP="00D841BD">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451" w:type="dxa"/>
        <w:tblInd w:w="-572" w:type="dxa"/>
        <w:tblLook w:val="04A0" w:firstRow="1" w:lastRow="0" w:firstColumn="1" w:lastColumn="0" w:noHBand="0" w:noVBand="1"/>
      </w:tblPr>
      <w:tblGrid>
        <w:gridCol w:w="406"/>
        <w:gridCol w:w="3847"/>
        <w:gridCol w:w="3969"/>
        <w:gridCol w:w="1276"/>
        <w:gridCol w:w="3543"/>
        <w:gridCol w:w="1560"/>
        <w:gridCol w:w="850"/>
      </w:tblGrid>
      <w:tr w:rsidR="00500863" w:rsidRPr="00291B4B" w14:paraId="0B0FBFE8" w14:textId="77777777" w:rsidTr="00804CA1">
        <w:tc>
          <w:tcPr>
            <w:tcW w:w="406" w:type="dxa"/>
            <w:shd w:val="clear" w:color="auto" w:fill="632E9E"/>
          </w:tcPr>
          <w:p w14:paraId="2E04961D" w14:textId="77777777" w:rsidR="00435856" w:rsidRPr="00291B4B" w:rsidRDefault="00435856" w:rsidP="0035642E">
            <w:pPr>
              <w:spacing w:line="276" w:lineRule="auto"/>
              <w:rPr>
                <w:b/>
                <w:color w:val="FFFFFF" w:themeColor="background1"/>
                <w:sz w:val="16"/>
                <w:szCs w:val="16"/>
              </w:rPr>
            </w:pPr>
            <w:r>
              <w:rPr>
                <w:b/>
                <w:color w:val="FFFFFF" w:themeColor="background1"/>
                <w:sz w:val="16"/>
                <w:szCs w:val="16"/>
              </w:rPr>
              <w:t xml:space="preserve">   </w:t>
            </w:r>
          </w:p>
        </w:tc>
        <w:tc>
          <w:tcPr>
            <w:tcW w:w="3847" w:type="dxa"/>
            <w:shd w:val="clear" w:color="auto" w:fill="632E9E"/>
          </w:tcPr>
          <w:p w14:paraId="00FFB0C1" w14:textId="302B0396" w:rsidR="00435856" w:rsidRPr="00291B4B" w:rsidRDefault="00435856" w:rsidP="0035642E">
            <w:pPr>
              <w:spacing w:line="276" w:lineRule="auto"/>
              <w:rPr>
                <w:b/>
                <w:color w:val="FFFFFF" w:themeColor="background1"/>
                <w:sz w:val="16"/>
                <w:szCs w:val="16"/>
              </w:rPr>
            </w:pPr>
            <w:r>
              <w:rPr>
                <w:b/>
                <w:color w:val="FFFFFF" w:themeColor="background1"/>
                <w:sz w:val="16"/>
                <w:szCs w:val="16"/>
              </w:rPr>
              <w:t>Observation/Risk</w:t>
            </w:r>
          </w:p>
        </w:tc>
        <w:tc>
          <w:tcPr>
            <w:tcW w:w="3969" w:type="dxa"/>
            <w:shd w:val="clear" w:color="auto" w:fill="632E9E"/>
          </w:tcPr>
          <w:p w14:paraId="6C2C83E6"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0C944A08"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Priority</w:t>
            </w:r>
          </w:p>
        </w:tc>
        <w:tc>
          <w:tcPr>
            <w:tcW w:w="3543" w:type="dxa"/>
            <w:shd w:val="clear" w:color="auto" w:fill="632E9E"/>
          </w:tcPr>
          <w:p w14:paraId="2FE8CE01" w14:textId="7275188F" w:rsidR="00435856" w:rsidRPr="00291B4B" w:rsidRDefault="00BF3638" w:rsidP="0035642E">
            <w:pPr>
              <w:spacing w:line="276" w:lineRule="auto"/>
              <w:rPr>
                <w:b/>
                <w:color w:val="FFFFFF" w:themeColor="background1"/>
                <w:sz w:val="16"/>
                <w:szCs w:val="16"/>
              </w:rPr>
            </w:pPr>
            <w:r>
              <w:rPr>
                <w:b/>
                <w:color w:val="FFFFFF" w:themeColor="background1"/>
                <w:sz w:val="16"/>
                <w:szCs w:val="16"/>
              </w:rPr>
              <w:t>Agreed Actions</w:t>
            </w:r>
          </w:p>
        </w:tc>
        <w:tc>
          <w:tcPr>
            <w:tcW w:w="1560" w:type="dxa"/>
            <w:shd w:val="clear" w:color="auto" w:fill="632E9E"/>
          </w:tcPr>
          <w:p w14:paraId="1133D692" w14:textId="7B486C9D" w:rsidR="00435856" w:rsidRPr="00291B4B" w:rsidRDefault="00435856" w:rsidP="0035642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CBB5DF2" w14:textId="77777777" w:rsidR="00435856" w:rsidRPr="00291B4B" w:rsidRDefault="00435856" w:rsidP="0035642E">
            <w:pPr>
              <w:spacing w:line="276" w:lineRule="auto"/>
              <w:rPr>
                <w:b/>
                <w:color w:val="FFFFFF" w:themeColor="background1"/>
                <w:sz w:val="16"/>
                <w:szCs w:val="16"/>
              </w:rPr>
            </w:pPr>
            <w:r w:rsidRPr="00291B4B">
              <w:rPr>
                <w:b/>
                <w:color w:val="FFFFFF" w:themeColor="background1"/>
                <w:sz w:val="16"/>
                <w:szCs w:val="16"/>
              </w:rPr>
              <w:t>Status</w:t>
            </w:r>
          </w:p>
        </w:tc>
      </w:tr>
      <w:tr w:rsidR="00500863" w:rsidRPr="005F5142" w14:paraId="397D9A0D" w14:textId="77777777" w:rsidTr="00581455">
        <w:tc>
          <w:tcPr>
            <w:tcW w:w="406" w:type="dxa"/>
            <w:tcMar>
              <w:left w:w="57" w:type="dxa"/>
              <w:right w:w="57" w:type="dxa"/>
            </w:tcMar>
          </w:tcPr>
          <w:p w14:paraId="7641DED6" w14:textId="2F3FA061" w:rsidR="00435856" w:rsidRPr="005F5142" w:rsidRDefault="00435856" w:rsidP="0035642E">
            <w:pPr>
              <w:rPr>
                <w:rFonts w:asciiTheme="minorHAnsi" w:hAnsiTheme="minorHAnsi" w:cstheme="minorHAnsi"/>
                <w:b/>
              </w:rPr>
            </w:pPr>
            <w:r>
              <w:rPr>
                <w:rFonts w:asciiTheme="minorHAnsi" w:hAnsiTheme="minorHAnsi" w:cstheme="minorHAnsi"/>
                <w:b/>
              </w:rPr>
              <w:t>1 (d)</w:t>
            </w:r>
          </w:p>
        </w:tc>
        <w:tc>
          <w:tcPr>
            <w:tcW w:w="3847" w:type="dxa"/>
          </w:tcPr>
          <w:p w14:paraId="580EBF19" w14:textId="77777777" w:rsidR="00435856" w:rsidRPr="00435856" w:rsidRDefault="00435856" w:rsidP="0035642E">
            <w:pPr>
              <w:pStyle w:val="Default"/>
              <w:rPr>
                <w:b/>
                <w:bCs/>
                <w:sz w:val="22"/>
                <w:szCs w:val="22"/>
              </w:rPr>
            </w:pPr>
            <w:r w:rsidRPr="00435856">
              <w:rPr>
                <w:b/>
                <w:bCs/>
                <w:sz w:val="22"/>
                <w:szCs w:val="22"/>
              </w:rPr>
              <w:t>Risk and Impact</w:t>
            </w:r>
          </w:p>
          <w:p w14:paraId="48C61459" w14:textId="77777777" w:rsidR="00435856" w:rsidRPr="00435856" w:rsidRDefault="00435856" w:rsidP="0035642E">
            <w:pPr>
              <w:pStyle w:val="Default"/>
              <w:rPr>
                <w:sz w:val="22"/>
                <w:szCs w:val="22"/>
              </w:rPr>
            </w:pPr>
            <w:r w:rsidRPr="00435856">
              <w:rPr>
                <w:sz w:val="22"/>
                <w:szCs w:val="22"/>
              </w:rPr>
              <w:t>Risk registers are not complete and risk actions are not appropriately tracked leading to the failure to effectively manage and address risks facing the organisation</w:t>
            </w:r>
          </w:p>
        </w:tc>
        <w:tc>
          <w:tcPr>
            <w:tcW w:w="3969" w:type="dxa"/>
          </w:tcPr>
          <w:p w14:paraId="7207743E" w14:textId="77777777" w:rsidR="00435856" w:rsidRPr="00435856" w:rsidRDefault="00435856" w:rsidP="0035642E">
            <w:pPr>
              <w:pStyle w:val="Default"/>
              <w:rPr>
                <w:sz w:val="22"/>
                <w:szCs w:val="22"/>
              </w:rPr>
            </w:pPr>
            <w:r w:rsidRPr="00435856">
              <w:rPr>
                <w:sz w:val="22"/>
                <w:szCs w:val="22"/>
              </w:rPr>
              <w:t>Risk registers should be reviewed on a quarterly basis, ensuring that all sections of risk registers are fully completed, including controls and/or action plans to reduce risk to an acceptable score and reasoning for risk scores</w:t>
            </w:r>
          </w:p>
        </w:tc>
        <w:tc>
          <w:tcPr>
            <w:tcW w:w="1276" w:type="dxa"/>
            <w:shd w:val="clear" w:color="auto" w:fill="FFC000"/>
          </w:tcPr>
          <w:p w14:paraId="688F1BE1" w14:textId="77777777" w:rsidR="00435856" w:rsidRPr="00435856" w:rsidRDefault="00435856" w:rsidP="0035642E">
            <w:pPr>
              <w:jc w:val="center"/>
              <w:rPr>
                <w:rFonts w:ascii="Calibri" w:hAnsi="Calibri" w:cs="Calibri"/>
                <w:b/>
              </w:rPr>
            </w:pPr>
            <w:r w:rsidRPr="00435856">
              <w:rPr>
                <w:rFonts w:ascii="Calibri" w:hAnsi="Calibri" w:cs="Calibri"/>
                <w:b/>
              </w:rPr>
              <w:t>Medium</w:t>
            </w:r>
          </w:p>
        </w:tc>
        <w:tc>
          <w:tcPr>
            <w:tcW w:w="3543" w:type="dxa"/>
          </w:tcPr>
          <w:p w14:paraId="5142E48C" w14:textId="77777777" w:rsidR="00435856" w:rsidRDefault="00435856" w:rsidP="00435856">
            <w:pPr>
              <w:pStyle w:val="Default"/>
              <w:rPr>
                <w:sz w:val="22"/>
                <w:szCs w:val="22"/>
              </w:rPr>
            </w:pPr>
            <w:r w:rsidRPr="00435856">
              <w:rPr>
                <w:sz w:val="22"/>
                <w:szCs w:val="22"/>
              </w:rPr>
              <w:t xml:space="preserve">Review SAB &amp; QAR ToR to include quarterly risk review by 31 March 2024. </w:t>
            </w:r>
          </w:p>
          <w:p w14:paraId="03805834" w14:textId="4689700C" w:rsidR="00581455" w:rsidRPr="00581455" w:rsidRDefault="00581455" w:rsidP="00581455">
            <w:pPr>
              <w:pStyle w:val="Default"/>
              <w:rPr>
                <w:sz w:val="22"/>
                <w:szCs w:val="22"/>
              </w:rPr>
            </w:pPr>
            <w:r>
              <w:rPr>
                <w:b/>
                <w:bCs/>
                <w:sz w:val="22"/>
                <w:szCs w:val="22"/>
              </w:rPr>
              <w:t xml:space="preserve">Completed </w:t>
            </w:r>
            <w:r w:rsidR="00FC44FC" w:rsidRPr="00FC44FC">
              <w:rPr>
                <w:b/>
                <w:bCs/>
                <w:sz w:val="22"/>
                <w:szCs w:val="22"/>
              </w:rPr>
              <w:t>3.6.24</w:t>
            </w:r>
            <w:r w:rsidR="00FC44FC">
              <w:rPr>
                <w:b/>
                <w:bCs/>
                <w:sz w:val="22"/>
                <w:szCs w:val="22"/>
              </w:rPr>
              <w:t xml:space="preserve"> </w:t>
            </w:r>
            <w:r w:rsidRPr="00581455">
              <w:rPr>
                <w:sz w:val="22"/>
                <w:szCs w:val="22"/>
              </w:rPr>
              <w:t>This has been reviewed. Reporting of new and upgraded risks will be reported at PAP and Corporate Risk will be agreed and reviewed at SLT.</w:t>
            </w:r>
          </w:p>
          <w:p w14:paraId="552D64D9" w14:textId="468822EA" w:rsidR="00621CC8" w:rsidRPr="00621CC8" w:rsidRDefault="00621CC8" w:rsidP="00FB4DAF">
            <w:pPr>
              <w:pStyle w:val="Default"/>
              <w:rPr>
                <w:b/>
                <w:sz w:val="22"/>
                <w:szCs w:val="22"/>
              </w:rPr>
            </w:pPr>
          </w:p>
        </w:tc>
        <w:tc>
          <w:tcPr>
            <w:tcW w:w="1560" w:type="dxa"/>
            <w:shd w:val="clear" w:color="auto" w:fill="auto"/>
          </w:tcPr>
          <w:p w14:paraId="5CC73543" w14:textId="77777777" w:rsidR="00435856" w:rsidRDefault="00435856" w:rsidP="0035642E">
            <w:pPr>
              <w:pStyle w:val="Default"/>
              <w:rPr>
                <w:rFonts w:asciiTheme="minorHAnsi" w:hAnsiTheme="minorHAnsi" w:cstheme="minorHAnsi"/>
                <w:color w:val="000000" w:themeColor="text1"/>
                <w:sz w:val="22"/>
                <w:szCs w:val="22"/>
              </w:rPr>
            </w:pPr>
            <w:r w:rsidRPr="00435856">
              <w:rPr>
                <w:sz w:val="22"/>
                <w:szCs w:val="22"/>
              </w:rPr>
              <w:t>Assurance Manager</w:t>
            </w:r>
            <w:r w:rsidRPr="00435856">
              <w:rPr>
                <w:rFonts w:asciiTheme="minorHAnsi" w:hAnsiTheme="minorHAnsi" w:cstheme="minorHAnsi"/>
                <w:color w:val="000000" w:themeColor="text1"/>
                <w:sz w:val="22"/>
                <w:szCs w:val="22"/>
              </w:rPr>
              <w:t xml:space="preserve"> </w:t>
            </w:r>
          </w:p>
          <w:p w14:paraId="4982B811" w14:textId="721FC3A3" w:rsidR="00621CC8" w:rsidRPr="00435856" w:rsidRDefault="00500863"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w:t>
            </w:r>
            <w:r w:rsidRPr="00500863">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Sept 2024</w:t>
            </w:r>
          </w:p>
        </w:tc>
        <w:tc>
          <w:tcPr>
            <w:tcW w:w="850" w:type="dxa"/>
            <w:shd w:val="clear" w:color="auto" w:fill="00B050"/>
          </w:tcPr>
          <w:p w14:paraId="36DC38D8" w14:textId="77777777" w:rsidR="00435856" w:rsidRPr="005F5142" w:rsidRDefault="00435856" w:rsidP="0035642E">
            <w:pPr>
              <w:spacing w:line="276" w:lineRule="auto"/>
              <w:rPr>
                <w:rFonts w:asciiTheme="minorHAnsi" w:hAnsiTheme="minorHAnsi" w:cstheme="minorHAnsi"/>
                <w:b/>
                <w:color w:val="FF0000"/>
              </w:rPr>
            </w:pPr>
          </w:p>
        </w:tc>
      </w:tr>
    </w:tbl>
    <w:p w14:paraId="1EA302AA" w14:textId="46C1653B" w:rsidR="004B58CC" w:rsidRDefault="004B58CC" w:rsidP="00593BB1">
      <w:pPr>
        <w:spacing w:after="200" w:line="276" w:lineRule="auto"/>
        <w:rPr>
          <w:rFonts w:cstheme="minorHAnsi"/>
          <w:b/>
          <w:bCs/>
          <w:color w:val="000000"/>
        </w:rPr>
      </w:pPr>
    </w:p>
    <w:p w14:paraId="13AA48D9" w14:textId="77777777" w:rsidR="0006440D" w:rsidRDefault="0006440D" w:rsidP="00593BB1">
      <w:pPr>
        <w:spacing w:after="200" w:line="276" w:lineRule="auto"/>
        <w:rPr>
          <w:rFonts w:cstheme="minorHAnsi"/>
          <w:b/>
          <w:bCs/>
          <w:color w:val="000000"/>
        </w:rPr>
      </w:pPr>
    </w:p>
    <w:p w14:paraId="139906E1" w14:textId="77777777" w:rsidR="0006440D" w:rsidRDefault="0006440D" w:rsidP="00593BB1">
      <w:pPr>
        <w:spacing w:after="200" w:line="276" w:lineRule="auto"/>
        <w:rPr>
          <w:rFonts w:cstheme="minorHAnsi"/>
          <w:b/>
          <w:bCs/>
          <w:color w:val="000000"/>
        </w:rPr>
      </w:pPr>
    </w:p>
    <w:p w14:paraId="7A203AD1" w14:textId="69ED87A4" w:rsidR="00593BB1" w:rsidRDefault="00593BB1" w:rsidP="00593BB1">
      <w:pPr>
        <w:spacing w:after="200" w:line="276" w:lineRule="auto"/>
        <w:rPr>
          <w:rFonts w:cstheme="minorHAnsi"/>
          <w:b/>
          <w:bCs/>
          <w:color w:val="000000"/>
        </w:rPr>
      </w:pPr>
      <w:r>
        <w:rPr>
          <w:rFonts w:cstheme="minorHAnsi"/>
          <w:b/>
          <w:bCs/>
          <w:color w:val="000000"/>
        </w:rPr>
        <w:t>Risk Management Internal Audit – January 2024</w:t>
      </w:r>
    </w:p>
    <w:tbl>
      <w:tblPr>
        <w:tblStyle w:val="TableGrid1"/>
        <w:tblW w:w="15309" w:type="dxa"/>
        <w:tblInd w:w="-572" w:type="dxa"/>
        <w:tblLook w:val="04A0" w:firstRow="1" w:lastRow="0" w:firstColumn="1" w:lastColumn="0" w:noHBand="0" w:noVBand="1"/>
      </w:tblPr>
      <w:tblGrid>
        <w:gridCol w:w="482"/>
        <w:gridCol w:w="2779"/>
        <w:gridCol w:w="4252"/>
        <w:gridCol w:w="1134"/>
        <w:gridCol w:w="4253"/>
        <w:gridCol w:w="1559"/>
        <w:gridCol w:w="850"/>
      </w:tblGrid>
      <w:tr w:rsidR="00BD7B32" w:rsidRPr="00291B4B" w14:paraId="0ED3E261" w14:textId="77777777" w:rsidTr="00804CA1">
        <w:tc>
          <w:tcPr>
            <w:tcW w:w="482" w:type="dxa"/>
            <w:shd w:val="clear" w:color="auto" w:fill="632E9E"/>
          </w:tcPr>
          <w:p w14:paraId="3BC3C576" w14:textId="77777777" w:rsidR="00BD7B32" w:rsidRPr="00291B4B" w:rsidRDefault="00BD7B32" w:rsidP="0035642E">
            <w:pPr>
              <w:spacing w:line="276" w:lineRule="auto"/>
              <w:rPr>
                <w:b/>
                <w:color w:val="FFFFFF" w:themeColor="background1"/>
                <w:sz w:val="16"/>
                <w:szCs w:val="16"/>
              </w:rPr>
            </w:pPr>
            <w:bookmarkStart w:id="2" w:name="_Hlk176167334"/>
            <w:r>
              <w:rPr>
                <w:b/>
                <w:color w:val="FFFFFF" w:themeColor="background1"/>
                <w:sz w:val="16"/>
                <w:szCs w:val="16"/>
              </w:rPr>
              <w:t xml:space="preserve">   </w:t>
            </w:r>
          </w:p>
        </w:tc>
        <w:tc>
          <w:tcPr>
            <w:tcW w:w="2779" w:type="dxa"/>
            <w:shd w:val="clear" w:color="auto" w:fill="632E9E"/>
          </w:tcPr>
          <w:p w14:paraId="607B1762" w14:textId="21794A99" w:rsidR="00BD7B32" w:rsidRPr="00291B4B" w:rsidRDefault="00BD7B32" w:rsidP="0035642E">
            <w:pPr>
              <w:spacing w:line="276" w:lineRule="auto"/>
              <w:rPr>
                <w:b/>
                <w:color w:val="FFFFFF" w:themeColor="background1"/>
                <w:sz w:val="16"/>
                <w:szCs w:val="16"/>
              </w:rPr>
            </w:pPr>
            <w:r>
              <w:rPr>
                <w:b/>
                <w:color w:val="FFFFFF" w:themeColor="background1"/>
                <w:sz w:val="16"/>
                <w:szCs w:val="16"/>
              </w:rPr>
              <w:t>Observation/Risk</w:t>
            </w:r>
          </w:p>
        </w:tc>
        <w:tc>
          <w:tcPr>
            <w:tcW w:w="4252" w:type="dxa"/>
            <w:shd w:val="clear" w:color="auto" w:fill="632E9E"/>
          </w:tcPr>
          <w:p w14:paraId="6D3CEA6F"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2A9B6E00"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Priority</w:t>
            </w:r>
          </w:p>
        </w:tc>
        <w:tc>
          <w:tcPr>
            <w:tcW w:w="4253" w:type="dxa"/>
            <w:shd w:val="clear" w:color="auto" w:fill="632E9E"/>
          </w:tcPr>
          <w:p w14:paraId="27D7C9C6" w14:textId="372D0B24" w:rsidR="00BD7B32" w:rsidRPr="00291B4B" w:rsidRDefault="00BF3638" w:rsidP="0035642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1C646741" w14:textId="15F54061" w:rsidR="00BD7B32" w:rsidRPr="00291B4B" w:rsidRDefault="00BD7B32" w:rsidP="0035642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2D9F68A" w14:textId="77777777" w:rsidR="00BD7B32" w:rsidRPr="00291B4B" w:rsidRDefault="00BD7B32" w:rsidP="0035642E">
            <w:pPr>
              <w:spacing w:line="276" w:lineRule="auto"/>
              <w:rPr>
                <w:b/>
                <w:color w:val="FFFFFF" w:themeColor="background1"/>
                <w:sz w:val="16"/>
                <w:szCs w:val="16"/>
              </w:rPr>
            </w:pPr>
            <w:r w:rsidRPr="00291B4B">
              <w:rPr>
                <w:b/>
                <w:color w:val="FFFFFF" w:themeColor="background1"/>
                <w:sz w:val="16"/>
                <w:szCs w:val="16"/>
              </w:rPr>
              <w:t>Status</w:t>
            </w:r>
          </w:p>
        </w:tc>
      </w:tr>
      <w:tr w:rsidR="00BD7B32" w:rsidRPr="00BD7B32" w14:paraId="111EF599" w14:textId="77777777" w:rsidTr="004063F2">
        <w:tc>
          <w:tcPr>
            <w:tcW w:w="482" w:type="dxa"/>
            <w:tcMar>
              <w:left w:w="57" w:type="dxa"/>
              <w:right w:w="57" w:type="dxa"/>
            </w:tcMar>
          </w:tcPr>
          <w:p w14:paraId="71A05955" w14:textId="58102B61" w:rsidR="00BD7B32" w:rsidRPr="005F5142" w:rsidRDefault="00BD7B32" w:rsidP="0035642E">
            <w:pPr>
              <w:rPr>
                <w:rFonts w:asciiTheme="minorHAnsi" w:hAnsiTheme="minorHAnsi" w:cstheme="minorHAnsi"/>
                <w:b/>
              </w:rPr>
            </w:pPr>
            <w:r>
              <w:rPr>
                <w:rFonts w:asciiTheme="minorHAnsi" w:hAnsiTheme="minorHAnsi" w:cstheme="minorHAnsi"/>
                <w:b/>
              </w:rPr>
              <w:t>2(b)</w:t>
            </w:r>
          </w:p>
        </w:tc>
        <w:tc>
          <w:tcPr>
            <w:tcW w:w="2779" w:type="dxa"/>
          </w:tcPr>
          <w:p w14:paraId="2F9017A1" w14:textId="77777777" w:rsidR="00BD7B32" w:rsidRPr="00BD7B32" w:rsidRDefault="00BD7B32" w:rsidP="0035642E">
            <w:pPr>
              <w:pStyle w:val="Default"/>
              <w:rPr>
                <w:b/>
                <w:bCs/>
                <w:sz w:val="22"/>
                <w:szCs w:val="22"/>
              </w:rPr>
            </w:pPr>
            <w:r w:rsidRPr="00BD7B32">
              <w:rPr>
                <w:b/>
                <w:bCs/>
                <w:sz w:val="22"/>
                <w:szCs w:val="22"/>
              </w:rPr>
              <w:t>Risk and Impact</w:t>
            </w:r>
          </w:p>
          <w:p w14:paraId="45E737CE" w14:textId="77777777" w:rsidR="00BD7B32" w:rsidRPr="00BD7B32" w:rsidRDefault="00BD7B32" w:rsidP="0035642E">
            <w:pPr>
              <w:pStyle w:val="Default"/>
              <w:rPr>
                <w:sz w:val="22"/>
                <w:szCs w:val="22"/>
              </w:rPr>
            </w:pPr>
            <w:r w:rsidRPr="00BD7B32">
              <w:rPr>
                <w:sz w:val="22"/>
                <w:szCs w:val="22"/>
              </w:rPr>
              <w:t>Insufficient training is provided on the risk management system leading to risks being inappropriately identified and recorded and the NCFRA not achieving best value for money from the use of the 4Risk system.</w:t>
            </w:r>
          </w:p>
        </w:tc>
        <w:tc>
          <w:tcPr>
            <w:tcW w:w="4252" w:type="dxa"/>
          </w:tcPr>
          <w:p w14:paraId="12D7BB5E" w14:textId="77777777" w:rsidR="00BD7B32" w:rsidRPr="00BD7B32" w:rsidRDefault="00BD7B32" w:rsidP="0035642E">
            <w:pPr>
              <w:pStyle w:val="Default"/>
              <w:rPr>
                <w:sz w:val="22"/>
                <w:szCs w:val="22"/>
              </w:rPr>
            </w:pPr>
            <w:r w:rsidRPr="00BD7B32">
              <w:rPr>
                <w:sz w:val="22"/>
                <w:szCs w:val="22"/>
              </w:rPr>
              <w:t xml:space="preserve">The training required for the 4Risk system should be determined and a structured training programme should be implemented for staff who use the system, with the training programme monitored for completion. This </w:t>
            </w:r>
            <w:r w:rsidRPr="00804CA1">
              <w:rPr>
                <w:sz w:val="22"/>
                <w:szCs w:val="22"/>
                <w:shd w:val="clear" w:color="auto" w:fill="FFFFFF" w:themeFill="background1"/>
              </w:rPr>
              <w:t>training should also include training on the principles of risk management in general.</w:t>
            </w:r>
            <w:r w:rsidRPr="00BD7B32">
              <w:rPr>
                <w:sz w:val="22"/>
                <w:szCs w:val="22"/>
              </w:rPr>
              <w:t xml:space="preserve"> </w:t>
            </w:r>
          </w:p>
          <w:p w14:paraId="5254BC24" w14:textId="470E8381" w:rsidR="00BD7B32" w:rsidRPr="00BD7B32" w:rsidRDefault="00BD7B32" w:rsidP="0035642E">
            <w:pPr>
              <w:pStyle w:val="Default"/>
              <w:rPr>
                <w:sz w:val="22"/>
                <w:szCs w:val="22"/>
              </w:rPr>
            </w:pPr>
            <w:r w:rsidRPr="00BD7B32">
              <w:rPr>
                <w:sz w:val="22"/>
                <w:szCs w:val="22"/>
              </w:rPr>
              <w:t>A training plan / matrix should be developed for different levels of staff, which identifies exactly what level of risk management training is required for different levels or roles of staff.</w:t>
            </w:r>
          </w:p>
        </w:tc>
        <w:tc>
          <w:tcPr>
            <w:tcW w:w="1134" w:type="dxa"/>
            <w:shd w:val="clear" w:color="auto" w:fill="FFC000"/>
          </w:tcPr>
          <w:p w14:paraId="1F24165A" w14:textId="77777777" w:rsidR="00BD7B32" w:rsidRPr="00BD7B32" w:rsidRDefault="00BD7B32" w:rsidP="0035642E">
            <w:pPr>
              <w:jc w:val="center"/>
              <w:rPr>
                <w:rFonts w:ascii="Calibri" w:hAnsi="Calibri" w:cs="Calibri"/>
                <w:b/>
              </w:rPr>
            </w:pPr>
            <w:r w:rsidRPr="00BD7B32">
              <w:rPr>
                <w:rFonts w:ascii="Calibri" w:hAnsi="Calibri" w:cs="Calibri"/>
                <w:b/>
              </w:rPr>
              <w:t>Medium</w:t>
            </w:r>
          </w:p>
        </w:tc>
        <w:tc>
          <w:tcPr>
            <w:tcW w:w="4253" w:type="dxa"/>
          </w:tcPr>
          <w:p w14:paraId="1369A4F2" w14:textId="77777777" w:rsidR="00BD7B32" w:rsidRDefault="00BD7B32" w:rsidP="0035642E">
            <w:pPr>
              <w:pStyle w:val="Default"/>
              <w:rPr>
                <w:sz w:val="22"/>
                <w:szCs w:val="22"/>
              </w:rPr>
            </w:pPr>
            <w:r w:rsidRPr="00BD7B32">
              <w:rPr>
                <w:sz w:val="22"/>
                <w:szCs w:val="22"/>
              </w:rPr>
              <w:t xml:space="preserve">Continuous Professional Training to be </w:t>
            </w:r>
            <w:r w:rsidR="00B429B6" w:rsidRPr="00BD7B32">
              <w:rPr>
                <w:sz w:val="22"/>
                <w:szCs w:val="22"/>
              </w:rPr>
              <w:t>writ</w:t>
            </w:r>
            <w:r w:rsidR="00B429B6">
              <w:rPr>
                <w:sz w:val="22"/>
                <w:szCs w:val="22"/>
              </w:rPr>
              <w:t>t</w:t>
            </w:r>
            <w:r w:rsidR="00B429B6" w:rsidRPr="00BD7B32">
              <w:rPr>
                <w:sz w:val="22"/>
                <w:szCs w:val="22"/>
              </w:rPr>
              <w:t>en</w:t>
            </w:r>
            <w:r w:rsidRPr="00BD7B32">
              <w:rPr>
                <w:sz w:val="22"/>
                <w:szCs w:val="22"/>
              </w:rPr>
              <w:t xml:space="preserve"> and delivery by 3</w:t>
            </w:r>
            <w:r w:rsidR="00B429B6">
              <w:rPr>
                <w:sz w:val="22"/>
                <w:szCs w:val="22"/>
              </w:rPr>
              <w:t>0</w:t>
            </w:r>
            <w:r w:rsidRPr="00BD7B32">
              <w:rPr>
                <w:sz w:val="22"/>
                <w:szCs w:val="22"/>
              </w:rPr>
              <w:t xml:space="preserve"> June 2024 included in the management training programme to Middle and senior managers on the principles of risk management.</w:t>
            </w:r>
          </w:p>
          <w:p w14:paraId="7CB7CC9D" w14:textId="77777777" w:rsidR="00D87A0F" w:rsidRDefault="00D87A0F" w:rsidP="0035642E">
            <w:pPr>
              <w:pStyle w:val="Default"/>
              <w:rPr>
                <w:sz w:val="22"/>
                <w:szCs w:val="22"/>
              </w:rPr>
            </w:pPr>
          </w:p>
          <w:p w14:paraId="467A4CE4" w14:textId="5186DF90" w:rsidR="006F138F" w:rsidRPr="006F138F" w:rsidRDefault="00581455" w:rsidP="0035642E">
            <w:pPr>
              <w:pStyle w:val="Default"/>
              <w:rPr>
                <w:bCs/>
                <w:sz w:val="22"/>
                <w:szCs w:val="22"/>
              </w:rPr>
            </w:pPr>
            <w:r>
              <w:rPr>
                <w:b/>
                <w:sz w:val="22"/>
                <w:szCs w:val="22"/>
              </w:rPr>
              <w:t>01/07/2025</w:t>
            </w:r>
            <w:r w:rsidR="006F138F">
              <w:rPr>
                <w:b/>
                <w:sz w:val="22"/>
                <w:szCs w:val="22"/>
              </w:rPr>
              <w:t xml:space="preserve"> </w:t>
            </w:r>
            <w:r w:rsidR="006F138F">
              <w:rPr>
                <w:bCs/>
                <w:sz w:val="22"/>
                <w:szCs w:val="22"/>
              </w:rPr>
              <w:t xml:space="preserve">Claire chambers and Lisa Jackson </w:t>
            </w:r>
            <w:r>
              <w:rPr>
                <w:bCs/>
                <w:sz w:val="22"/>
                <w:szCs w:val="22"/>
              </w:rPr>
              <w:t>have</w:t>
            </w:r>
            <w:r w:rsidR="006F138F">
              <w:rPr>
                <w:bCs/>
                <w:sz w:val="22"/>
                <w:szCs w:val="22"/>
              </w:rPr>
              <w:t xml:space="preserve"> met to discuss a possible different approach to risk management. </w:t>
            </w:r>
            <w:r w:rsidR="00D87A0F">
              <w:rPr>
                <w:bCs/>
                <w:sz w:val="22"/>
                <w:szCs w:val="22"/>
              </w:rPr>
              <w:t>This is now being further explored with options being identified.</w:t>
            </w:r>
          </w:p>
        </w:tc>
        <w:tc>
          <w:tcPr>
            <w:tcW w:w="1559" w:type="dxa"/>
          </w:tcPr>
          <w:p w14:paraId="2661019C" w14:textId="77777777" w:rsidR="00BD7B32" w:rsidRPr="00BD7B32" w:rsidRDefault="00BD7B32" w:rsidP="0035642E">
            <w:pPr>
              <w:pStyle w:val="Default"/>
              <w:rPr>
                <w:rFonts w:asciiTheme="minorHAnsi" w:hAnsiTheme="minorHAnsi" w:cstheme="minorHAnsi"/>
                <w:color w:val="000000" w:themeColor="text1"/>
                <w:sz w:val="22"/>
                <w:szCs w:val="22"/>
              </w:rPr>
            </w:pPr>
            <w:r w:rsidRPr="00BD7B32">
              <w:rPr>
                <w:bCs/>
                <w:sz w:val="22"/>
                <w:szCs w:val="22"/>
              </w:rPr>
              <w:t>Assurance Manager</w:t>
            </w:r>
            <w:r w:rsidRPr="00BD7B32">
              <w:rPr>
                <w:rFonts w:asciiTheme="minorHAnsi" w:hAnsiTheme="minorHAnsi" w:cstheme="minorHAnsi"/>
                <w:color w:val="000000" w:themeColor="text1"/>
                <w:sz w:val="22"/>
                <w:szCs w:val="22"/>
              </w:rPr>
              <w:t xml:space="preserve"> </w:t>
            </w:r>
          </w:p>
          <w:p w14:paraId="548FF57F" w14:textId="77777777" w:rsidR="00BD7B32" w:rsidRDefault="00BD7B32" w:rsidP="0035642E">
            <w:pPr>
              <w:pStyle w:val="Default"/>
              <w:rPr>
                <w:rFonts w:asciiTheme="minorHAnsi" w:hAnsiTheme="minorHAnsi" w:cstheme="minorHAnsi"/>
                <w:color w:val="000000" w:themeColor="text1"/>
                <w:sz w:val="22"/>
                <w:szCs w:val="22"/>
              </w:rPr>
            </w:pPr>
            <w:r w:rsidRPr="00BD7B32">
              <w:rPr>
                <w:rFonts w:asciiTheme="minorHAnsi" w:hAnsiTheme="minorHAnsi" w:cstheme="minorHAnsi"/>
                <w:color w:val="000000" w:themeColor="text1"/>
                <w:sz w:val="22"/>
                <w:szCs w:val="22"/>
              </w:rPr>
              <w:t>30</w:t>
            </w:r>
            <w:r w:rsidRPr="00BD7B32">
              <w:rPr>
                <w:rFonts w:asciiTheme="minorHAnsi" w:hAnsiTheme="minorHAnsi" w:cstheme="minorHAnsi"/>
                <w:color w:val="000000" w:themeColor="text1"/>
                <w:sz w:val="22"/>
                <w:szCs w:val="22"/>
                <w:vertAlign w:val="superscript"/>
              </w:rPr>
              <w:t>th</w:t>
            </w:r>
            <w:r w:rsidRPr="00BD7B32">
              <w:rPr>
                <w:rFonts w:asciiTheme="minorHAnsi" w:hAnsiTheme="minorHAnsi" w:cstheme="minorHAnsi"/>
                <w:color w:val="000000" w:themeColor="text1"/>
                <w:sz w:val="22"/>
                <w:szCs w:val="22"/>
              </w:rPr>
              <w:t xml:space="preserve"> June 2024</w:t>
            </w:r>
          </w:p>
          <w:p w14:paraId="69708948" w14:textId="77777777" w:rsidR="00E02AC7" w:rsidRDefault="00E02AC7" w:rsidP="0035642E">
            <w:pPr>
              <w:pStyle w:val="Default"/>
              <w:rPr>
                <w:rFonts w:asciiTheme="minorHAnsi" w:hAnsiTheme="minorHAnsi" w:cstheme="minorHAnsi"/>
                <w:color w:val="000000" w:themeColor="text1"/>
                <w:sz w:val="22"/>
                <w:szCs w:val="22"/>
              </w:rPr>
            </w:pPr>
          </w:p>
          <w:p w14:paraId="6B20F50B" w14:textId="77777777" w:rsidR="00373350" w:rsidRDefault="00373350" w:rsidP="0035642E">
            <w:pPr>
              <w:pStyle w:val="Default"/>
              <w:rPr>
                <w:rFonts w:asciiTheme="minorHAnsi" w:hAnsiTheme="minorHAnsi" w:cstheme="minorHAnsi"/>
                <w:color w:val="000000" w:themeColor="text1"/>
                <w:sz w:val="22"/>
                <w:szCs w:val="22"/>
              </w:rPr>
            </w:pPr>
          </w:p>
          <w:p w14:paraId="586D459E" w14:textId="77777777" w:rsidR="00373350" w:rsidRDefault="00373350" w:rsidP="0035642E">
            <w:pPr>
              <w:pStyle w:val="Default"/>
              <w:rPr>
                <w:rFonts w:asciiTheme="minorHAnsi" w:hAnsiTheme="minorHAnsi" w:cstheme="minorHAnsi"/>
                <w:color w:val="000000" w:themeColor="text1"/>
                <w:sz w:val="22"/>
                <w:szCs w:val="22"/>
              </w:rPr>
            </w:pPr>
          </w:p>
          <w:p w14:paraId="76F50B46" w14:textId="77EAC23F" w:rsidR="00DE1503" w:rsidRDefault="00373350" w:rsidP="0035642E">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New date </w:t>
            </w:r>
            <w:r w:rsidR="006F138F">
              <w:rPr>
                <w:rFonts w:asciiTheme="minorHAnsi" w:hAnsiTheme="minorHAnsi" w:cstheme="minorHAnsi"/>
                <w:color w:val="000000" w:themeColor="text1"/>
                <w:sz w:val="22"/>
                <w:szCs w:val="22"/>
              </w:rPr>
              <w:t>30</w:t>
            </w:r>
            <w:r w:rsidR="006F138F" w:rsidRPr="006F138F">
              <w:rPr>
                <w:rFonts w:asciiTheme="minorHAnsi" w:hAnsiTheme="minorHAnsi" w:cstheme="minorHAnsi"/>
                <w:color w:val="000000" w:themeColor="text1"/>
                <w:sz w:val="22"/>
                <w:szCs w:val="22"/>
                <w:vertAlign w:val="superscript"/>
              </w:rPr>
              <w:t>th</w:t>
            </w:r>
            <w:r w:rsidR="006F138F">
              <w:rPr>
                <w:rFonts w:asciiTheme="minorHAnsi" w:hAnsiTheme="minorHAnsi" w:cstheme="minorHAnsi"/>
                <w:color w:val="000000" w:themeColor="text1"/>
                <w:sz w:val="22"/>
                <w:szCs w:val="22"/>
              </w:rPr>
              <w:t xml:space="preserve"> </w:t>
            </w:r>
            <w:r w:rsidR="00D87A0F">
              <w:rPr>
                <w:rFonts w:asciiTheme="minorHAnsi" w:hAnsiTheme="minorHAnsi" w:cstheme="minorHAnsi"/>
                <w:color w:val="000000" w:themeColor="text1"/>
                <w:sz w:val="22"/>
                <w:szCs w:val="22"/>
              </w:rPr>
              <w:t>Sept</w:t>
            </w:r>
            <w:r w:rsidR="006F138F">
              <w:rPr>
                <w:rFonts w:asciiTheme="minorHAnsi" w:hAnsiTheme="minorHAnsi" w:cstheme="minorHAnsi"/>
                <w:color w:val="000000" w:themeColor="text1"/>
                <w:sz w:val="22"/>
                <w:szCs w:val="22"/>
              </w:rPr>
              <w:t xml:space="preserve"> 25</w:t>
            </w:r>
          </w:p>
          <w:p w14:paraId="5CE4AAA2" w14:textId="7A7DBFD7" w:rsidR="00E02AC7" w:rsidRPr="00BD7B32" w:rsidRDefault="00E02AC7" w:rsidP="0035642E">
            <w:pPr>
              <w:pStyle w:val="Default"/>
              <w:rPr>
                <w:rFonts w:asciiTheme="minorHAnsi" w:hAnsiTheme="minorHAnsi" w:cstheme="minorHAnsi"/>
                <w:color w:val="000000" w:themeColor="text1"/>
                <w:sz w:val="22"/>
                <w:szCs w:val="22"/>
              </w:rPr>
            </w:pPr>
          </w:p>
        </w:tc>
        <w:tc>
          <w:tcPr>
            <w:tcW w:w="850" w:type="dxa"/>
            <w:shd w:val="clear" w:color="auto" w:fill="FFC000"/>
          </w:tcPr>
          <w:p w14:paraId="4B72E098" w14:textId="77777777" w:rsidR="00BD7B32" w:rsidRPr="00BD7B32" w:rsidRDefault="00BD7B32" w:rsidP="0035642E">
            <w:pPr>
              <w:spacing w:line="276" w:lineRule="auto"/>
              <w:rPr>
                <w:rFonts w:asciiTheme="minorHAnsi" w:hAnsiTheme="minorHAnsi" w:cstheme="minorHAnsi"/>
                <w:b/>
                <w:color w:val="FF0000"/>
              </w:rPr>
            </w:pPr>
          </w:p>
        </w:tc>
      </w:tr>
      <w:bookmarkEnd w:id="2"/>
    </w:tbl>
    <w:p w14:paraId="5BE41AE0" w14:textId="77777777" w:rsidR="00346276" w:rsidRDefault="00346276" w:rsidP="00A704E0">
      <w:pPr>
        <w:spacing w:after="200" w:line="276" w:lineRule="auto"/>
        <w:rPr>
          <w:rFonts w:cstheme="minorHAnsi"/>
          <w:b/>
          <w:bCs/>
          <w:color w:val="000000"/>
        </w:rPr>
      </w:pPr>
    </w:p>
    <w:p w14:paraId="709A49C9" w14:textId="2228ABA5" w:rsidR="00FB3E06" w:rsidRDefault="00FB3E06" w:rsidP="00FB3E06">
      <w:pPr>
        <w:spacing w:after="200" w:line="276" w:lineRule="auto"/>
        <w:rPr>
          <w:rFonts w:cstheme="minorHAnsi"/>
          <w:b/>
          <w:bCs/>
          <w:color w:val="000000"/>
        </w:rPr>
      </w:pPr>
      <w:bookmarkStart w:id="3" w:name="_Hlk161055483"/>
      <w:r>
        <w:rPr>
          <w:rFonts w:cstheme="minorHAnsi"/>
          <w:b/>
          <w:bCs/>
          <w:color w:val="000000"/>
        </w:rPr>
        <w:t>Risk Management Internal Audit – January 2024</w:t>
      </w:r>
    </w:p>
    <w:tbl>
      <w:tblPr>
        <w:tblStyle w:val="TableGrid1"/>
        <w:tblW w:w="15309" w:type="dxa"/>
        <w:tblInd w:w="-572" w:type="dxa"/>
        <w:tblLook w:val="04A0" w:firstRow="1" w:lastRow="0" w:firstColumn="1" w:lastColumn="0" w:noHBand="0" w:noVBand="1"/>
      </w:tblPr>
      <w:tblGrid>
        <w:gridCol w:w="405"/>
        <w:gridCol w:w="2982"/>
        <w:gridCol w:w="2837"/>
        <w:gridCol w:w="889"/>
        <w:gridCol w:w="5866"/>
        <w:gridCol w:w="1481"/>
        <w:gridCol w:w="849"/>
      </w:tblGrid>
      <w:tr w:rsidR="004A5F4F" w:rsidRPr="00291B4B" w14:paraId="62C691B7" w14:textId="77777777" w:rsidTr="00F60D44">
        <w:tc>
          <w:tcPr>
            <w:tcW w:w="405" w:type="dxa"/>
            <w:shd w:val="clear" w:color="auto" w:fill="632E9E"/>
          </w:tcPr>
          <w:p w14:paraId="41E4C5C8" w14:textId="77777777" w:rsidR="004A5F4F" w:rsidRPr="00291B4B" w:rsidRDefault="004A5F4F" w:rsidP="00580418">
            <w:pPr>
              <w:spacing w:line="276" w:lineRule="auto"/>
              <w:rPr>
                <w:b/>
                <w:color w:val="FFFFFF" w:themeColor="background1"/>
                <w:sz w:val="16"/>
                <w:szCs w:val="16"/>
              </w:rPr>
            </w:pPr>
            <w:bookmarkStart w:id="4" w:name="_Hlk161666402"/>
            <w:bookmarkEnd w:id="3"/>
            <w:r>
              <w:rPr>
                <w:b/>
                <w:color w:val="FFFFFF" w:themeColor="background1"/>
                <w:sz w:val="16"/>
                <w:szCs w:val="16"/>
              </w:rPr>
              <w:t xml:space="preserve">   </w:t>
            </w:r>
          </w:p>
        </w:tc>
        <w:tc>
          <w:tcPr>
            <w:tcW w:w="2989" w:type="dxa"/>
            <w:shd w:val="clear" w:color="auto" w:fill="632E9E"/>
          </w:tcPr>
          <w:p w14:paraId="00847170" w14:textId="2BB1934D" w:rsidR="004A5F4F" w:rsidRPr="00291B4B" w:rsidRDefault="004A5F4F" w:rsidP="00580418">
            <w:pPr>
              <w:spacing w:line="276" w:lineRule="auto"/>
              <w:rPr>
                <w:b/>
                <w:color w:val="FFFFFF" w:themeColor="background1"/>
                <w:sz w:val="16"/>
                <w:szCs w:val="16"/>
              </w:rPr>
            </w:pPr>
            <w:r>
              <w:rPr>
                <w:b/>
                <w:color w:val="FFFFFF" w:themeColor="background1"/>
                <w:sz w:val="16"/>
                <w:szCs w:val="16"/>
              </w:rPr>
              <w:t>Observation/Risk</w:t>
            </w:r>
          </w:p>
        </w:tc>
        <w:tc>
          <w:tcPr>
            <w:tcW w:w="2843" w:type="dxa"/>
            <w:shd w:val="clear" w:color="auto" w:fill="632E9E"/>
          </w:tcPr>
          <w:p w14:paraId="740078C0"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Recommendation</w:t>
            </w:r>
          </w:p>
        </w:tc>
        <w:tc>
          <w:tcPr>
            <w:tcW w:w="851" w:type="dxa"/>
            <w:shd w:val="clear" w:color="auto" w:fill="632E9E"/>
          </w:tcPr>
          <w:p w14:paraId="219DB669"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Priority</w:t>
            </w:r>
          </w:p>
        </w:tc>
        <w:tc>
          <w:tcPr>
            <w:tcW w:w="5891" w:type="dxa"/>
            <w:shd w:val="clear" w:color="auto" w:fill="632E9E"/>
          </w:tcPr>
          <w:p w14:paraId="3A6BA8F8" w14:textId="453A6D5E" w:rsidR="004A5F4F" w:rsidRPr="00291B4B" w:rsidRDefault="00BF3638" w:rsidP="005804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4F3E0F3B" w14:textId="091712B7" w:rsidR="004A5F4F" w:rsidRPr="00291B4B" w:rsidRDefault="004A5F4F" w:rsidP="005804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1ADB1BCF" w14:textId="77777777" w:rsidR="004A5F4F" w:rsidRPr="00291B4B" w:rsidRDefault="004A5F4F" w:rsidP="00580418">
            <w:pPr>
              <w:spacing w:line="276" w:lineRule="auto"/>
              <w:rPr>
                <w:b/>
                <w:color w:val="FFFFFF" w:themeColor="background1"/>
                <w:sz w:val="16"/>
                <w:szCs w:val="16"/>
              </w:rPr>
            </w:pPr>
            <w:r w:rsidRPr="00291B4B">
              <w:rPr>
                <w:b/>
                <w:color w:val="FFFFFF" w:themeColor="background1"/>
                <w:sz w:val="16"/>
                <w:szCs w:val="16"/>
              </w:rPr>
              <w:t>Status</w:t>
            </w:r>
          </w:p>
        </w:tc>
      </w:tr>
      <w:tr w:rsidR="004A5F4F" w:rsidRPr="005F5142" w14:paraId="24EE1403" w14:textId="77777777" w:rsidTr="00D87A0F">
        <w:tc>
          <w:tcPr>
            <w:tcW w:w="405" w:type="dxa"/>
            <w:tcMar>
              <w:left w:w="57" w:type="dxa"/>
              <w:right w:w="57" w:type="dxa"/>
            </w:tcMar>
          </w:tcPr>
          <w:p w14:paraId="76D0F830" w14:textId="71459C08" w:rsidR="004A5F4F" w:rsidRPr="005F5142" w:rsidRDefault="004A5F4F" w:rsidP="00580418">
            <w:pPr>
              <w:rPr>
                <w:rFonts w:asciiTheme="minorHAnsi" w:hAnsiTheme="minorHAnsi" w:cstheme="minorHAnsi"/>
                <w:b/>
              </w:rPr>
            </w:pPr>
            <w:r>
              <w:rPr>
                <w:rFonts w:asciiTheme="minorHAnsi" w:hAnsiTheme="minorHAnsi" w:cstheme="minorHAnsi"/>
                <w:b/>
              </w:rPr>
              <w:t>3 (b)</w:t>
            </w:r>
          </w:p>
        </w:tc>
        <w:tc>
          <w:tcPr>
            <w:tcW w:w="2989" w:type="dxa"/>
          </w:tcPr>
          <w:p w14:paraId="49CE3A0E" w14:textId="77777777" w:rsidR="004A5F4F" w:rsidRPr="004A5F4F" w:rsidRDefault="004A5F4F" w:rsidP="00580418">
            <w:pPr>
              <w:pStyle w:val="Default"/>
              <w:rPr>
                <w:sz w:val="22"/>
                <w:szCs w:val="22"/>
              </w:rPr>
            </w:pPr>
            <w:r w:rsidRPr="004A5F4F">
              <w:rPr>
                <w:sz w:val="22"/>
                <w:szCs w:val="22"/>
              </w:rPr>
              <w:t>Risk and Impact: Risk management policies and procedures are outdated and do not reflect the organisation’s current working practices leading to risks being managed ineffectively.</w:t>
            </w:r>
          </w:p>
        </w:tc>
        <w:tc>
          <w:tcPr>
            <w:tcW w:w="2843" w:type="dxa"/>
          </w:tcPr>
          <w:p w14:paraId="0796053A" w14:textId="77777777" w:rsidR="004A5F4F" w:rsidRPr="004A5F4F" w:rsidRDefault="004A5F4F" w:rsidP="00580418">
            <w:pPr>
              <w:pStyle w:val="Default"/>
              <w:rPr>
                <w:sz w:val="22"/>
                <w:szCs w:val="22"/>
              </w:rPr>
            </w:pPr>
            <w:r w:rsidRPr="004A5F4F">
              <w:rPr>
                <w:sz w:val="22"/>
                <w:szCs w:val="22"/>
              </w:rPr>
              <w:t>The Risk Management Policy should be reviewed and updated, and the document control section updated to note the date of review and of the next review.</w:t>
            </w:r>
          </w:p>
        </w:tc>
        <w:tc>
          <w:tcPr>
            <w:tcW w:w="851" w:type="dxa"/>
            <w:shd w:val="clear" w:color="auto" w:fill="92D050"/>
          </w:tcPr>
          <w:p w14:paraId="132E0B86" w14:textId="77777777" w:rsidR="004A5F4F" w:rsidRPr="004A5F4F" w:rsidRDefault="004A5F4F" w:rsidP="00580418">
            <w:pPr>
              <w:jc w:val="center"/>
              <w:rPr>
                <w:rFonts w:ascii="Calibri" w:hAnsi="Calibri" w:cs="Calibri"/>
                <w:b/>
              </w:rPr>
            </w:pPr>
            <w:r w:rsidRPr="004A5F4F">
              <w:rPr>
                <w:rFonts w:ascii="Calibri" w:hAnsi="Calibri" w:cs="Calibri"/>
                <w:b/>
              </w:rPr>
              <w:t>Low</w:t>
            </w:r>
          </w:p>
        </w:tc>
        <w:tc>
          <w:tcPr>
            <w:tcW w:w="5891" w:type="dxa"/>
          </w:tcPr>
          <w:p w14:paraId="5700FD7D" w14:textId="1FD9AD33" w:rsidR="004A5F4F" w:rsidRDefault="004A5F4F" w:rsidP="00580418">
            <w:pPr>
              <w:pStyle w:val="Default"/>
              <w:rPr>
                <w:sz w:val="22"/>
                <w:szCs w:val="22"/>
              </w:rPr>
            </w:pPr>
            <w:r w:rsidRPr="004A5F4F">
              <w:rPr>
                <w:sz w:val="22"/>
                <w:szCs w:val="22"/>
              </w:rPr>
              <w:t>Review all risk registers, once the risk policy and procedures are published for compliance, by 31 May 2024.</w:t>
            </w:r>
          </w:p>
          <w:p w14:paraId="687CBD0A" w14:textId="421FDE91" w:rsidR="0026180F" w:rsidRPr="00804CA1" w:rsidRDefault="00D87A0F" w:rsidP="00804CA1">
            <w:pPr>
              <w:pStyle w:val="Default"/>
              <w:rPr>
                <w:bCs/>
                <w:sz w:val="22"/>
                <w:szCs w:val="22"/>
              </w:rPr>
            </w:pPr>
            <w:r>
              <w:rPr>
                <w:b/>
                <w:bCs/>
                <w:sz w:val="22"/>
                <w:szCs w:val="22"/>
              </w:rPr>
              <w:t>Completed 01/07/2025</w:t>
            </w:r>
            <w:r w:rsidR="0026180F">
              <w:rPr>
                <w:b/>
                <w:bCs/>
                <w:sz w:val="22"/>
                <w:szCs w:val="22"/>
              </w:rPr>
              <w:t xml:space="preserve"> </w:t>
            </w:r>
            <w:r>
              <w:rPr>
                <w:sz w:val="22"/>
                <w:szCs w:val="22"/>
              </w:rPr>
              <w:t>Departmental r</w:t>
            </w:r>
            <w:r w:rsidR="0026180F">
              <w:rPr>
                <w:bCs/>
                <w:sz w:val="22"/>
                <w:szCs w:val="22"/>
              </w:rPr>
              <w:t>isk</w:t>
            </w:r>
            <w:r>
              <w:rPr>
                <w:bCs/>
                <w:sz w:val="22"/>
                <w:szCs w:val="22"/>
              </w:rPr>
              <w:t xml:space="preserve"> is reviewed by departments, with escalations reported to PAP. Corporate Risk is delivered through SLT meetings. A review of risk delivery is currently underway and any change will be factored into new process arrangements.</w:t>
            </w:r>
          </w:p>
        </w:tc>
        <w:tc>
          <w:tcPr>
            <w:tcW w:w="1481" w:type="dxa"/>
          </w:tcPr>
          <w:p w14:paraId="42031521" w14:textId="77777777" w:rsidR="004A5F4F" w:rsidRDefault="004A5F4F" w:rsidP="00580418">
            <w:pPr>
              <w:pStyle w:val="Default"/>
              <w:rPr>
                <w:sz w:val="22"/>
                <w:szCs w:val="22"/>
              </w:rPr>
            </w:pPr>
            <w:r w:rsidRPr="004A5F4F">
              <w:rPr>
                <w:bCs/>
                <w:sz w:val="22"/>
                <w:szCs w:val="22"/>
              </w:rPr>
              <w:t>Assurance Manager</w:t>
            </w:r>
            <w:r w:rsidRPr="004A5F4F">
              <w:rPr>
                <w:sz w:val="22"/>
                <w:szCs w:val="22"/>
              </w:rPr>
              <w:t xml:space="preserve"> </w:t>
            </w:r>
          </w:p>
          <w:p w14:paraId="0B0A70B9" w14:textId="18C66A67" w:rsidR="004A5F4F" w:rsidRDefault="004A5F4F" w:rsidP="00580418">
            <w:pPr>
              <w:pStyle w:val="Default"/>
              <w:rPr>
                <w:sz w:val="22"/>
                <w:szCs w:val="22"/>
              </w:rPr>
            </w:pPr>
            <w:r w:rsidRPr="004A5F4F">
              <w:rPr>
                <w:sz w:val="22"/>
                <w:szCs w:val="22"/>
              </w:rPr>
              <w:t>31</w:t>
            </w:r>
            <w:r>
              <w:rPr>
                <w:sz w:val="22"/>
                <w:szCs w:val="22"/>
              </w:rPr>
              <w:t>st</w:t>
            </w:r>
            <w:r w:rsidRPr="004A5F4F">
              <w:rPr>
                <w:sz w:val="22"/>
                <w:szCs w:val="22"/>
              </w:rPr>
              <w:t xml:space="preserve"> May 24</w:t>
            </w:r>
          </w:p>
          <w:p w14:paraId="6D5988B6" w14:textId="77777777" w:rsidR="00DF343C" w:rsidRDefault="00DF343C" w:rsidP="00580418">
            <w:pPr>
              <w:pStyle w:val="Default"/>
              <w:rPr>
                <w:sz w:val="22"/>
                <w:szCs w:val="22"/>
              </w:rPr>
            </w:pPr>
            <w:r>
              <w:rPr>
                <w:sz w:val="22"/>
                <w:szCs w:val="22"/>
              </w:rPr>
              <w:t>New due date</w:t>
            </w:r>
          </w:p>
          <w:p w14:paraId="146D0CAA" w14:textId="3200D9F9" w:rsidR="0026180F" w:rsidRPr="004A5F4F" w:rsidRDefault="00D87A0F" w:rsidP="00580418">
            <w:pPr>
              <w:pStyle w:val="Default"/>
              <w:rPr>
                <w:rFonts w:asciiTheme="minorHAnsi" w:hAnsiTheme="minorHAnsi" w:cstheme="minorHAnsi"/>
                <w:color w:val="000000" w:themeColor="text1"/>
                <w:sz w:val="22"/>
                <w:szCs w:val="22"/>
              </w:rPr>
            </w:pPr>
            <w:r>
              <w:rPr>
                <w:sz w:val="22"/>
                <w:szCs w:val="22"/>
              </w:rPr>
              <w:t>01/07/2025</w:t>
            </w:r>
          </w:p>
        </w:tc>
        <w:tc>
          <w:tcPr>
            <w:tcW w:w="849" w:type="dxa"/>
            <w:shd w:val="clear" w:color="auto" w:fill="00B050"/>
          </w:tcPr>
          <w:p w14:paraId="368B9C0B" w14:textId="77777777" w:rsidR="004A5F4F" w:rsidRPr="005F5142" w:rsidRDefault="004A5F4F" w:rsidP="00580418">
            <w:pPr>
              <w:spacing w:line="276" w:lineRule="auto"/>
              <w:rPr>
                <w:rFonts w:asciiTheme="minorHAnsi" w:hAnsiTheme="minorHAnsi" w:cstheme="minorHAnsi"/>
                <w:b/>
                <w:color w:val="FF0000"/>
              </w:rPr>
            </w:pPr>
          </w:p>
        </w:tc>
      </w:tr>
      <w:bookmarkEnd w:id="4"/>
    </w:tbl>
    <w:p w14:paraId="531B4D45" w14:textId="77777777" w:rsidR="00346276" w:rsidRDefault="00346276" w:rsidP="00071DA6">
      <w:pPr>
        <w:spacing w:after="200" w:line="276" w:lineRule="auto"/>
        <w:rPr>
          <w:rFonts w:cstheme="minorHAnsi"/>
          <w:b/>
          <w:bCs/>
          <w:color w:val="000000"/>
        </w:rPr>
      </w:pPr>
    </w:p>
    <w:p w14:paraId="365BF9A9" w14:textId="77777777" w:rsidR="0006440D" w:rsidRDefault="0006440D" w:rsidP="00071DA6">
      <w:pPr>
        <w:spacing w:after="200" w:line="276" w:lineRule="auto"/>
        <w:rPr>
          <w:rFonts w:cstheme="minorHAnsi"/>
          <w:b/>
          <w:bCs/>
          <w:color w:val="000000"/>
        </w:rPr>
      </w:pPr>
    </w:p>
    <w:p w14:paraId="7DB0A859" w14:textId="77777777" w:rsidR="00D87A0F" w:rsidRDefault="00D87A0F" w:rsidP="00071DA6">
      <w:pPr>
        <w:spacing w:after="200" w:line="276" w:lineRule="auto"/>
        <w:rPr>
          <w:rFonts w:cstheme="minorHAnsi"/>
          <w:b/>
          <w:bCs/>
          <w:color w:val="000000"/>
        </w:rPr>
      </w:pPr>
    </w:p>
    <w:p w14:paraId="05DD4B54" w14:textId="58E7E3CE" w:rsidR="00BC237D" w:rsidRDefault="00BC237D" w:rsidP="00071DA6">
      <w:pPr>
        <w:spacing w:after="200" w:line="276" w:lineRule="auto"/>
        <w:rPr>
          <w:rFonts w:cstheme="minorHAnsi"/>
          <w:b/>
          <w:bCs/>
          <w:color w:val="000000"/>
        </w:rPr>
      </w:pPr>
      <w:r>
        <w:rPr>
          <w:rFonts w:cstheme="minorHAnsi"/>
          <w:b/>
          <w:bCs/>
          <w:color w:val="000000"/>
        </w:rPr>
        <w:lastRenderedPageBreak/>
        <w:t>Grievance Internal Audit – March 2024</w:t>
      </w:r>
    </w:p>
    <w:tbl>
      <w:tblPr>
        <w:tblStyle w:val="TableGrid1"/>
        <w:tblW w:w="15309" w:type="dxa"/>
        <w:tblInd w:w="-572" w:type="dxa"/>
        <w:tblLayout w:type="fixed"/>
        <w:tblLook w:val="04A0" w:firstRow="1" w:lastRow="0" w:firstColumn="1" w:lastColumn="0" w:noHBand="0" w:noVBand="1"/>
      </w:tblPr>
      <w:tblGrid>
        <w:gridCol w:w="399"/>
        <w:gridCol w:w="4846"/>
        <w:gridCol w:w="2552"/>
        <w:gridCol w:w="1134"/>
        <w:gridCol w:w="3969"/>
        <w:gridCol w:w="1559"/>
        <w:gridCol w:w="850"/>
      </w:tblGrid>
      <w:tr w:rsidR="00BC237D" w:rsidRPr="00291B4B" w14:paraId="66AC88C4" w14:textId="77777777" w:rsidTr="004F0A64">
        <w:tc>
          <w:tcPr>
            <w:tcW w:w="399" w:type="dxa"/>
            <w:shd w:val="clear" w:color="auto" w:fill="632E9E"/>
          </w:tcPr>
          <w:p w14:paraId="38558EAD" w14:textId="77777777" w:rsidR="00BC237D" w:rsidRPr="00291B4B" w:rsidRDefault="00BC237D" w:rsidP="00A60600">
            <w:pPr>
              <w:spacing w:line="276" w:lineRule="auto"/>
              <w:rPr>
                <w:b/>
                <w:color w:val="FFFFFF" w:themeColor="background1"/>
                <w:sz w:val="16"/>
                <w:szCs w:val="16"/>
              </w:rPr>
            </w:pPr>
            <w:bookmarkStart w:id="5" w:name="_Hlk183080676"/>
            <w:r>
              <w:rPr>
                <w:b/>
                <w:color w:val="FFFFFF" w:themeColor="background1"/>
                <w:sz w:val="16"/>
                <w:szCs w:val="16"/>
              </w:rPr>
              <w:t xml:space="preserve">   </w:t>
            </w:r>
          </w:p>
        </w:tc>
        <w:tc>
          <w:tcPr>
            <w:tcW w:w="4846" w:type="dxa"/>
            <w:shd w:val="clear" w:color="auto" w:fill="632E9E"/>
          </w:tcPr>
          <w:p w14:paraId="454F568B" w14:textId="77777777" w:rsidR="00BC237D" w:rsidRPr="00291B4B" w:rsidRDefault="00BC237D" w:rsidP="00A60600">
            <w:pPr>
              <w:spacing w:line="276" w:lineRule="auto"/>
              <w:rPr>
                <w:b/>
                <w:color w:val="FFFFFF" w:themeColor="background1"/>
                <w:sz w:val="16"/>
                <w:szCs w:val="16"/>
              </w:rPr>
            </w:pPr>
            <w:r>
              <w:rPr>
                <w:b/>
                <w:color w:val="FFFFFF" w:themeColor="background1"/>
                <w:sz w:val="16"/>
                <w:szCs w:val="16"/>
              </w:rPr>
              <w:t>Observation/Risk</w:t>
            </w:r>
          </w:p>
        </w:tc>
        <w:tc>
          <w:tcPr>
            <w:tcW w:w="2552" w:type="dxa"/>
            <w:shd w:val="clear" w:color="auto" w:fill="632E9E"/>
          </w:tcPr>
          <w:p w14:paraId="0FB7E838"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1D545808"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Priority</w:t>
            </w:r>
          </w:p>
        </w:tc>
        <w:tc>
          <w:tcPr>
            <w:tcW w:w="3969" w:type="dxa"/>
            <w:shd w:val="clear" w:color="auto" w:fill="632E9E"/>
          </w:tcPr>
          <w:p w14:paraId="47C1DA69" w14:textId="69B65F79" w:rsidR="00BC237D" w:rsidRPr="00291B4B" w:rsidRDefault="00BF3638" w:rsidP="00A6060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72E4CE20" w14:textId="77777777" w:rsidR="00BC237D" w:rsidRPr="00291B4B" w:rsidRDefault="00BC237D" w:rsidP="00A6060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4EC4959D" w14:textId="77777777" w:rsidR="00BC237D" w:rsidRPr="00291B4B" w:rsidRDefault="00BC237D" w:rsidP="00A60600">
            <w:pPr>
              <w:spacing w:line="276" w:lineRule="auto"/>
              <w:rPr>
                <w:b/>
                <w:color w:val="FFFFFF" w:themeColor="background1"/>
                <w:sz w:val="16"/>
                <w:szCs w:val="16"/>
              </w:rPr>
            </w:pPr>
            <w:r w:rsidRPr="00291B4B">
              <w:rPr>
                <w:b/>
                <w:color w:val="FFFFFF" w:themeColor="background1"/>
                <w:sz w:val="16"/>
                <w:szCs w:val="16"/>
              </w:rPr>
              <w:t>Status</w:t>
            </w:r>
          </w:p>
        </w:tc>
      </w:tr>
      <w:tr w:rsidR="00BC237D" w:rsidRPr="005F5142" w14:paraId="0550FA52" w14:textId="77777777" w:rsidTr="004F0A64">
        <w:trPr>
          <w:trHeight w:val="844"/>
        </w:trPr>
        <w:tc>
          <w:tcPr>
            <w:tcW w:w="399" w:type="dxa"/>
            <w:tcMar>
              <w:left w:w="57" w:type="dxa"/>
              <w:right w:w="57" w:type="dxa"/>
            </w:tcMar>
          </w:tcPr>
          <w:p w14:paraId="0407B427" w14:textId="4D1C8841" w:rsidR="00BC237D" w:rsidRPr="005F5142" w:rsidRDefault="00BC237D" w:rsidP="00A60600">
            <w:pPr>
              <w:rPr>
                <w:rFonts w:asciiTheme="minorHAnsi" w:hAnsiTheme="minorHAnsi" w:cstheme="minorHAnsi"/>
                <w:b/>
              </w:rPr>
            </w:pPr>
            <w:r>
              <w:rPr>
                <w:rFonts w:asciiTheme="minorHAnsi" w:hAnsiTheme="minorHAnsi" w:cstheme="minorHAnsi"/>
                <w:b/>
              </w:rPr>
              <w:t>1</w:t>
            </w:r>
          </w:p>
        </w:tc>
        <w:tc>
          <w:tcPr>
            <w:tcW w:w="4846" w:type="dxa"/>
          </w:tcPr>
          <w:p w14:paraId="2BD4BBF5"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 xml:space="preserve">NCFRA have made a variety of changes to address causes for concern, areas for improvement and recommendations raised from HMICFRS reviews and the internal Serving with Pride consultation. </w:t>
            </w:r>
          </w:p>
          <w:p w14:paraId="7A1B2176"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Whilst we confirmed there are HR KPIs in place to monitor grievance cases, and there is adequate reporting of progress made to impl</w:t>
            </w:r>
            <w:r>
              <w:rPr>
                <w:rFonts w:asciiTheme="minorHAnsi" w:hAnsiTheme="minorHAnsi" w:cstheme="minorHAnsi"/>
                <w:sz w:val="22"/>
                <w:szCs w:val="22"/>
              </w:rPr>
              <w:t xml:space="preserve">ement recommendations, we noted </w:t>
            </w:r>
            <w:r w:rsidRPr="00BC237D">
              <w:rPr>
                <w:rFonts w:asciiTheme="minorHAnsi" w:hAnsiTheme="minorHAnsi" w:cstheme="minorHAnsi"/>
                <w:sz w:val="22"/>
                <w:szCs w:val="22"/>
              </w:rPr>
              <w:t xml:space="preserve">there currently aren't any metrics to capture and quantify the impact of wider actions and changes. </w:t>
            </w:r>
          </w:p>
          <w:p w14:paraId="07F686EF" w14:textId="77777777" w:rsid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 xml:space="preserve">We acknowledge that the Service are in the initial stages of implementing a number of recommendations, including those raised within Serving with Pride, however it is important to consider assurance mechanisms in the future to ensure recommendations are having the intended impact. </w:t>
            </w:r>
          </w:p>
          <w:p w14:paraId="199BB08F" w14:textId="4DA36529" w:rsidR="00BC237D" w:rsidRPr="00BC237D" w:rsidRDefault="00BC237D" w:rsidP="00BC237D">
            <w:pPr>
              <w:pStyle w:val="Default"/>
              <w:rPr>
                <w:rFonts w:asciiTheme="minorHAnsi" w:hAnsiTheme="minorHAnsi" w:cstheme="minorHAnsi"/>
                <w:sz w:val="22"/>
                <w:szCs w:val="22"/>
              </w:rPr>
            </w:pPr>
            <w:r w:rsidRPr="00BC237D">
              <w:rPr>
                <w:rFonts w:asciiTheme="minorHAnsi" w:hAnsiTheme="minorHAnsi" w:cstheme="minorHAnsi"/>
                <w:sz w:val="22"/>
                <w:szCs w:val="22"/>
              </w:rPr>
              <w:t>For example, the Service could use staff surveys to m</w:t>
            </w:r>
            <w:r>
              <w:rPr>
                <w:rFonts w:asciiTheme="minorHAnsi" w:hAnsiTheme="minorHAnsi" w:cstheme="minorHAnsi"/>
                <w:sz w:val="22"/>
                <w:szCs w:val="22"/>
              </w:rPr>
              <w:t xml:space="preserve">easure cultural changes such as </w:t>
            </w:r>
            <w:r w:rsidRPr="00BC237D">
              <w:rPr>
                <w:rFonts w:asciiTheme="minorHAnsi" w:hAnsiTheme="minorHAnsi" w:cstheme="minorHAnsi"/>
                <w:sz w:val="22"/>
                <w:szCs w:val="22"/>
              </w:rPr>
              <w:t>the confidence in grievance processes. They could also use data from third parties to report the number of concerns raised via FRS Speak Up or Flag It, and then the number of grievance referrals subsequently made from this.</w:t>
            </w:r>
          </w:p>
          <w:p w14:paraId="4570BCC6" w14:textId="2ED9C9DD" w:rsidR="00BC237D" w:rsidRPr="00C64865" w:rsidRDefault="00BC237D" w:rsidP="00BC237D">
            <w:pPr>
              <w:pStyle w:val="Default"/>
              <w:rPr>
                <w:rFonts w:asciiTheme="minorHAnsi" w:hAnsiTheme="minorHAnsi" w:cstheme="minorHAnsi"/>
                <w:sz w:val="20"/>
                <w:szCs w:val="20"/>
              </w:rPr>
            </w:pPr>
            <w:r w:rsidRPr="00BC237D">
              <w:rPr>
                <w:rFonts w:asciiTheme="minorHAnsi" w:hAnsiTheme="minorHAnsi" w:cstheme="minorHAnsi"/>
                <w:b/>
                <w:sz w:val="22"/>
                <w:szCs w:val="22"/>
              </w:rPr>
              <w:t>Risk and Impact</w:t>
            </w:r>
            <w:r w:rsidRPr="00BC237D">
              <w:rPr>
                <w:rFonts w:asciiTheme="minorHAnsi" w:hAnsiTheme="minorHAnsi" w:cstheme="minorHAnsi"/>
                <w:sz w:val="22"/>
                <w:szCs w:val="22"/>
              </w:rPr>
              <w:t>: Changes and improvements made do not address HMICFRS causes for concern and NCFRA Serving with Pride recommendations.</w:t>
            </w:r>
          </w:p>
        </w:tc>
        <w:tc>
          <w:tcPr>
            <w:tcW w:w="2552" w:type="dxa"/>
          </w:tcPr>
          <w:p w14:paraId="4BCD19B5" w14:textId="71879D66" w:rsidR="00BC237D" w:rsidRPr="0000689F" w:rsidRDefault="0000689F" w:rsidP="0000689F">
            <w:pPr>
              <w:rPr>
                <w:rFonts w:asciiTheme="minorHAnsi" w:hAnsiTheme="minorHAnsi" w:cstheme="minorHAnsi"/>
              </w:rPr>
            </w:pPr>
            <w:r w:rsidRPr="0000689F">
              <w:rPr>
                <w:rFonts w:asciiTheme="minorHAnsi" w:hAnsiTheme="minorHAnsi" w:cstheme="minorHAnsi"/>
              </w:rPr>
              <w:t>Performance measures to substan</w:t>
            </w:r>
            <w:r w:rsidR="004B1D17">
              <w:rPr>
                <w:rFonts w:asciiTheme="minorHAnsi" w:hAnsiTheme="minorHAnsi" w:cstheme="minorHAnsi"/>
              </w:rPr>
              <w:t xml:space="preserve">tiate and monitor the impact of </w:t>
            </w:r>
            <w:r w:rsidRPr="0000689F">
              <w:rPr>
                <w:rFonts w:asciiTheme="minorHAnsi" w:hAnsiTheme="minorHAnsi" w:cstheme="minorHAnsi"/>
              </w:rPr>
              <w:t xml:space="preserve">changes made across the </w:t>
            </w:r>
            <w:r>
              <w:rPr>
                <w:rFonts w:asciiTheme="minorHAnsi" w:hAnsiTheme="minorHAnsi" w:cstheme="minorHAnsi"/>
              </w:rPr>
              <w:t xml:space="preserve">Service should be introduced to </w:t>
            </w:r>
            <w:r w:rsidRPr="0000689F">
              <w:rPr>
                <w:rFonts w:asciiTheme="minorHAnsi" w:hAnsiTheme="minorHAnsi" w:cstheme="minorHAnsi"/>
              </w:rPr>
              <w:t>address HMICFRS revie</w:t>
            </w:r>
            <w:r>
              <w:rPr>
                <w:rFonts w:asciiTheme="minorHAnsi" w:hAnsiTheme="minorHAnsi" w:cstheme="minorHAnsi"/>
              </w:rPr>
              <w:t xml:space="preserve">ws and NCFRA Serving with Pride </w:t>
            </w:r>
            <w:r w:rsidRPr="0000689F">
              <w:rPr>
                <w:rFonts w:asciiTheme="minorHAnsi" w:hAnsiTheme="minorHAnsi" w:cstheme="minorHAnsi"/>
              </w:rPr>
              <w:t>recommendations.</w:t>
            </w:r>
          </w:p>
        </w:tc>
        <w:tc>
          <w:tcPr>
            <w:tcW w:w="1134" w:type="dxa"/>
            <w:shd w:val="clear" w:color="auto" w:fill="92D050"/>
          </w:tcPr>
          <w:p w14:paraId="166007B4" w14:textId="3FEC6BA8" w:rsidR="00BC237D" w:rsidRPr="004A1320" w:rsidRDefault="0000689F" w:rsidP="00A60600">
            <w:pPr>
              <w:jc w:val="center"/>
              <w:rPr>
                <w:rFonts w:ascii="Calibri" w:hAnsi="Calibri" w:cs="Calibri"/>
                <w:b/>
                <w:sz w:val="24"/>
                <w:szCs w:val="24"/>
              </w:rPr>
            </w:pPr>
            <w:r>
              <w:rPr>
                <w:rFonts w:ascii="Calibri" w:hAnsi="Calibri" w:cs="Calibri"/>
                <w:b/>
                <w:sz w:val="24"/>
                <w:szCs w:val="24"/>
              </w:rPr>
              <w:t>Low</w:t>
            </w:r>
          </w:p>
        </w:tc>
        <w:tc>
          <w:tcPr>
            <w:tcW w:w="3969" w:type="dxa"/>
          </w:tcPr>
          <w:p w14:paraId="43590C94" w14:textId="77777777" w:rsidR="00BC237D" w:rsidRDefault="0000689F" w:rsidP="0000689F">
            <w:pPr>
              <w:pStyle w:val="Default"/>
              <w:rPr>
                <w:bCs/>
                <w:sz w:val="22"/>
                <w:szCs w:val="22"/>
              </w:rPr>
            </w:pPr>
            <w:r>
              <w:rPr>
                <w:bCs/>
                <w:sz w:val="22"/>
                <w:szCs w:val="22"/>
              </w:rPr>
              <w:t xml:space="preserve">Accepted - </w:t>
            </w:r>
            <w:r w:rsidRPr="0000689F">
              <w:rPr>
                <w:bCs/>
                <w:sz w:val="22"/>
                <w:szCs w:val="22"/>
              </w:rPr>
              <w:t>The recommendations that have been highlighted within this audit are reasonable and are an area of focus for the Service t</w:t>
            </w:r>
            <w:r w:rsidR="00262126">
              <w:rPr>
                <w:bCs/>
                <w:sz w:val="22"/>
                <w:szCs w:val="22"/>
              </w:rPr>
              <w:t xml:space="preserve">o ensure that the impact of the </w:t>
            </w:r>
            <w:r w:rsidRPr="0000689F">
              <w:rPr>
                <w:bCs/>
                <w:sz w:val="22"/>
                <w:szCs w:val="22"/>
              </w:rPr>
              <w:t>various action plans is achieved. We will look at the different performance measures that are needed, including follow u</w:t>
            </w:r>
            <w:r w:rsidR="00262126">
              <w:rPr>
                <w:bCs/>
                <w:sz w:val="22"/>
                <w:szCs w:val="22"/>
              </w:rPr>
              <w:t xml:space="preserve">p staff surveys and measurement </w:t>
            </w:r>
            <w:r w:rsidRPr="0000689F">
              <w:rPr>
                <w:bCs/>
                <w:sz w:val="22"/>
                <w:szCs w:val="22"/>
              </w:rPr>
              <w:t xml:space="preserve">of the volume of speak up routes. An action date has been set in the future to allow time for implementation and impact of </w:t>
            </w:r>
            <w:r w:rsidR="00262126">
              <w:rPr>
                <w:bCs/>
                <w:sz w:val="22"/>
                <w:szCs w:val="22"/>
              </w:rPr>
              <w:t xml:space="preserve">actions required to provide for </w:t>
            </w:r>
            <w:r w:rsidRPr="0000689F">
              <w:rPr>
                <w:bCs/>
                <w:sz w:val="22"/>
                <w:szCs w:val="22"/>
              </w:rPr>
              <w:t>meaningful feedback.</w:t>
            </w:r>
          </w:p>
          <w:p w14:paraId="22C04F10" w14:textId="74099FEB" w:rsidR="001560B0" w:rsidRDefault="00D87A0F" w:rsidP="0000689F">
            <w:pPr>
              <w:pStyle w:val="Default"/>
              <w:rPr>
                <w:bCs/>
                <w:sz w:val="22"/>
                <w:szCs w:val="22"/>
              </w:rPr>
            </w:pPr>
            <w:r>
              <w:rPr>
                <w:b/>
                <w:sz w:val="22"/>
                <w:szCs w:val="22"/>
              </w:rPr>
              <w:t>Completed 01/07/2025</w:t>
            </w:r>
            <w:r w:rsidR="001560B0" w:rsidRPr="001F18ED">
              <w:rPr>
                <w:bCs/>
                <w:sz w:val="22"/>
                <w:szCs w:val="22"/>
              </w:rPr>
              <w:t xml:space="preserve"> </w:t>
            </w:r>
          </w:p>
          <w:p w14:paraId="7D143AC9" w14:textId="43A6E14F" w:rsidR="00D87A0F" w:rsidRPr="00A709EB" w:rsidRDefault="00D87A0F" w:rsidP="00A709EB">
            <w:pPr>
              <w:pStyle w:val="Default"/>
              <w:numPr>
                <w:ilvl w:val="0"/>
                <w:numId w:val="34"/>
              </w:numPr>
              <w:rPr>
                <w:bCs/>
              </w:rPr>
            </w:pPr>
            <w:r w:rsidRPr="00D87A0F">
              <w:rPr>
                <w:bCs/>
              </w:rPr>
              <w:t>Grievance routes and learnings are collated and addressed in the BIO ER quarterly meetings to assess volume, trends, outcomes and where there are organisational learnings.</w:t>
            </w:r>
          </w:p>
        </w:tc>
        <w:tc>
          <w:tcPr>
            <w:tcW w:w="1559" w:type="dxa"/>
          </w:tcPr>
          <w:p w14:paraId="56AA4048" w14:textId="77777777" w:rsidR="00BC237D" w:rsidRDefault="00BC237D" w:rsidP="00A60600">
            <w:pPr>
              <w:pStyle w:val="Default"/>
              <w:rPr>
                <w:color w:val="000000" w:themeColor="text1"/>
                <w:sz w:val="22"/>
                <w:szCs w:val="22"/>
              </w:rPr>
            </w:pPr>
          </w:p>
          <w:p w14:paraId="35CC5098" w14:textId="0FEC8C82" w:rsidR="0000689F" w:rsidRDefault="0000689F" w:rsidP="00A60600">
            <w:pPr>
              <w:pStyle w:val="Default"/>
              <w:rPr>
                <w:color w:val="000000" w:themeColor="text1"/>
                <w:sz w:val="22"/>
                <w:szCs w:val="22"/>
              </w:rPr>
            </w:pPr>
            <w:r>
              <w:rPr>
                <w:color w:val="000000" w:themeColor="text1"/>
                <w:sz w:val="22"/>
                <w:szCs w:val="22"/>
              </w:rPr>
              <w:t>Suzanne McMinn</w:t>
            </w:r>
          </w:p>
          <w:p w14:paraId="00D718CB" w14:textId="0237735B" w:rsidR="0000689F" w:rsidRDefault="0000689F" w:rsidP="00A60600">
            <w:pPr>
              <w:pStyle w:val="Default"/>
              <w:rPr>
                <w:color w:val="000000" w:themeColor="text1"/>
                <w:sz w:val="22"/>
                <w:szCs w:val="22"/>
              </w:rPr>
            </w:pPr>
            <w:r>
              <w:rPr>
                <w:color w:val="000000" w:themeColor="text1"/>
                <w:sz w:val="22"/>
                <w:szCs w:val="22"/>
              </w:rPr>
              <w:t>1</w:t>
            </w:r>
            <w:r w:rsidRPr="0000689F">
              <w:rPr>
                <w:color w:val="000000" w:themeColor="text1"/>
                <w:sz w:val="22"/>
                <w:szCs w:val="22"/>
                <w:vertAlign w:val="superscript"/>
              </w:rPr>
              <w:t>st</w:t>
            </w:r>
            <w:r>
              <w:rPr>
                <w:color w:val="000000" w:themeColor="text1"/>
                <w:sz w:val="22"/>
                <w:szCs w:val="22"/>
              </w:rPr>
              <w:t xml:space="preserve"> April 2025</w:t>
            </w:r>
          </w:p>
          <w:p w14:paraId="0BD7763A" w14:textId="23EF7E48" w:rsidR="0000689F" w:rsidRPr="00B64499" w:rsidRDefault="0000689F" w:rsidP="00A60600">
            <w:pPr>
              <w:pStyle w:val="Default"/>
              <w:rPr>
                <w:color w:val="000000" w:themeColor="text1"/>
                <w:sz w:val="22"/>
                <w:szCs w:val="22"/>
              </w:rPr>
            </w:pPr>
          </w:p>
        </w:tc>
        <w:tc>
          <w:tcPr>
            <w:tcW w:w="850" w:type="dxa"/>
            <w:shd w:val="clear" w:color="auto" w:fill="00B050"/>
          </w:tcPr>
          <w:p w14:paraId="63DF3715" w14:textId="77777777" w:rsidR="00BC237D" w:rsidRPr="005F5142" w:rsidRDefault="00BC237D" w:rsidP="00A60600">
            <w:pPr>
              <w:spacing w:line="276" w:lineRule="auto"/>
              <w:rPr>
                <w:rFonts w:asciiTheme="minorHAnsi" w:hAnsiTheme="minorHAnsi" w:cstheme="minorHAnsi"/>
                <w:b/>
                <w:color w:val="FF0000"/>
              </w:rPr>
            </w:pPr>
          </w:p>
        </w:tc>
      </w:tr>
      <w:bookmarkEnd w:id="5"/>
    </w:tbl>
    <w:p w14:paraId="6372593E" w14:textId="2E038AF8" w:rsidR="00495CD2" w:rsidRDefault="00495CD2" w:rsidP="00A704E0">
      <w:pPr>
        <w:spacing w:after="200" w:line="276" w:lineRule="auto"/>
        <w:rPr>
          <w:rFonts w:cstheme="minorHAnsi"/>
          <w:b/>
          <w:bCs/>
          <w:color w:val="000000"/>
        </w:rPr>
      </w:pPr>
    </w:p>
    <w:p w14:paraId="56FFCE04" w14:textId="77777777" w:rsidR="00A709EB" w:rsidRDefault="00A709EB" w:rsidP="00A704E0">
      <w:pPr>
        <w:spacing w:after="200" w:line="276" w:lineRule="auto"/>
        <w:rPr>
          <w:rFonts w:cstheme="minorHAnsi"/>
          <w:b/>
          <w:bCs/>
          <w:color w:val="000000"/>
        </w:rPr>
      </w:pPr>
    </w:p>
    <w:p w14:paraId="4B268678" w14:textId="77777777" w:rsidR="00A709EB" w:rsidRDefault="00A709EB" w:rsidP="00A704E0">
      <w:pPr>
        <w:spacing w:after="200" w:line="276" w:lineRule="auto"/>
        <w:rPr>
          <w:rFonts w:cstheme="minorHAnsi"/>
          <w:b/>
          <w:bCs/>
          <w:color w:val="000000"/>
        </w:rPr>
      </w:pPr>
    </w:p>
    <w:p w14:paraId="05C29291" w14:textId="77777777" w:rsidR="001E30E2" w:rsidRDefault="001E30E2" w:rsidP="001E30E2">
      <w:pPr>
        <w:spacing w:after="200" w:line="276" w:lineRule="auto"/>
        <w:rPr>
          <w:rFonts w:cstheme="minorHAnsi"/>
          <w:b/>
          <w:bCs/>
          <w:color w:val="000000"/>
        </w:rPr>
      </w:pPr>
      <w:r>
        <w:rPr>
          <w:rFonts w:cstheme="minorHAnsi"/>
          <w:b/>
          <w:bCs/>
          <w:color w:val="000000"/>
        </w:rPr>
        <w:lastRenderedPageBreak/>
        <w:t>Payroll Internal Audit – April 2024</w:t>
      </w:r>
    </w:p>
    <w:tbl>
      <w:tblPr>
        <w:tblStyle w:val="TableGrid1"/>
        <w:tblW w:w="15309" w:type="dxa"/>
        <w:tblInd w:w="-572" w:type="dxa"/>
        <w:tblLayout w:type="fixed"/>
        <w:tblLook w:val="04A0" w:firstRow="1" w:lastRow="0" w:firstColumn="1" w:lastColumn="0" w:noHBand="0" w:noVBand="1"/>
      </w:tblPr>
      <w:tblGrid>
        <w:gridCol w:w="374"/>
        <w:gridCol w:w="4304"/>
        <w:gridCol w:w="2552"/>
        <w:gridCol w:w="992"/>
        <w:gridCol w:w="4536"/>
        <w:gridCol w:w="1759"/>
        <w:gridCol w:w="792"/>
      </w:tblGrid>
      <w:tr w:rsidR="00495CD2" w:rsidRPr="00291B4B" w14:paraId="7CBAF965" w14:textId="77777777" w:rsidTr="004F0A64">
        <w:tc>
          <w:tcPr>
            <w:tcW w:w="374" w:type="dxa"/>
            <w:shd w:val="clear" w:color="auto" w:fill="632E9E"/>
          </w:tcPr>
          <w:p w14:paraId="670436EA"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 xml:space="preserve">   </w:t>
            </w:r>
          </w:p>
        </w:tc>
        <w:tc>
          <w:tcPr>
            <w:tcW w:w="4304" w:type="dxa"/>
            <w:shd w:val="clear" w:color="auto" w:fill="632E9E"/>
          </w:tcPr>
          <w:p w14:paraId="27BBA9D1"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Observation/Risk</w:t>
            </w:r>
          </w:p>
        </w:tc>
        <w:tc>
          <w:tcPr>
            <w:tcW w:w="2552" w:type="dxa"/>
            <w:shd w:val="clear" w:color="auto" w:fill="632E9E"/>
          </w:tcPr>
          <w:p w14:paraId="656E8599"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5C083425"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Priority</w:t>
            </w:r>
          </w:p>
        </w:tc>
        <w:tc>
          <w:tcPr>
            <w:tcW w:w="4536" w:type="dxa"/>
            <w:shd w:val="clear" w:color="auto" w:fill="632E9E"/>
          </w:tcPr>
          <w:p w14:paraId="41C5490E" w14:textId="714C8671" w:rsidR="00495CD2" w:rsidRPr="00291B4B" w:rsidRDefault="00BF3638" w:rsidP="00495CD2">
            <w:pPr>
              <w:spacing w:line="276" w:lineRule="auto"/>
              <w:rPr>
                <w:b/>
                <w:color w:val="FFFFFF" w:themeColor="background1"/>
                <w:sz w:val="16"/>
                <w:szCs w:val="16"/>
              </w:rPr>
            </w:pPr>
            <w:r>
              <w:rPr>
                <w:b/>
                <w:color w:val="FFFFFF" w:themeColor="background1"/>
                <w:sz w:val="16"/>
                <w:szCs w:val="16"/>
              </w:rPr>
              <w:t>Agreed Actions</w:t>
            </w:r>
          </w:p>
        </w:tc>
        <w:tc>
          <w:tcPr>
            <w:tcW w:w="1759" w:type="dxa"/>
            <w:shd w:val="clear" w:color="auto" w:fill="632E9E"/>
          </w:tcPr>
          <w:p w14:paraId="48908137" w14:textId="77777777" w:rsidR="00495CD2" w:rsidRPr="00291B4B" w:rsidRDefault="00495CD2" w:rsidP="00495CD2">
            <w:pPr>
              <w:spacing w:line="276" w:lineRule="auto"/>
              <w:rPr>
                <w:b/>
                <w:color w:val="FFFFFF" w:themeColor="background1"/>
                <w:sz w:val="16"/>
                <w:szCs w:val="16"/>
              </w:rPr>
            </w:pPr>
            <w:r>
              <w:rPr>
                <w:b/>
                <w:color w:val="FFFFFF" w:themeColor="background1"/>
                <w:sz w:val="16"/>
                <w:szCs w:val="16"/>
              </w:rPr>
              <w:t>Timescale/ Responsibility</w:t>
            </w:r>
          </w:p>
        </w:tc>
        <w:tc>
          <w:tcPr>
            <w:tcW w:w="792" w:type="dxa"/>
            <w:shd w:val="clear" w:color="auto" w:fill="632E9E"/>
          </w:tcPr>
          <w:p w14:paraId="6ABA00BB" w14:textId="77777777" w:rsidR="00495CD2" w:rsidRPr="00291B4B" w:rsidRDefault="00495CD2" w:rsidP="00495CD2">
            <w:pPr>
              <w:spacing w:line="276" w:lineRule="auto"/>
              <w:rPr>
                <w:b/>
                <w:color w:val="FFFFFF" w:themeColor="background1"/>
                <w:sz w:val="16"/>
                <w:szCs w:val="16"/>
              </w:rPr>
            </w:pPr>
            <w:r w:rsidRPr="00291B4B">
              <w:rPr>
                <w:b/>
                <w:color w:val="FFFFFF" w:themeColor="background1"/>
                <w:sz w:val="16"/>
                <w:szCs w:val="16"/>
              </w:rPr>
              <w:t>Status</w:t>
            </w:r>
          </w:p>
        </w:tc>
      </w:tr>
      <w:tr w:rsidR="00495CD2" w:rsidRPr="005F5142" w14:paraId="5E518ECE" w14:textId="77777777" w:rsidTr="004F0A64">
        <w:trPr>
          <w:trHeight w:val="844"/>
        </w:trPr>
        <w:tc>
          <w:tcPr>
            <w:tcW w:w="374" w:type="dxa"/>
            <w:tcMar>
              <w:left w:w="57" w:type="dxa"/>
              <w:right w:w="57" w:type="dxa"/>
            </w:tcMar>
          </w:tcPr>
          <w:p w14:paraId="2BFE9460" w14:textId="4261420A" w:rsidR="00495CD2" w:rsidRPr="005F5142" w:rsidRDefault="003E4EDB" w:rsidP="00495CD2">
            <w:pPr>
              <w:rPr>
                <w:rFonts w:asciiTheme="minorHAnsi" w:hAnsiTheme="minorHAnsi" w:cstheme="minorHAnsi"/>
                <w:b/>
              </w:rPr>
            </w:pPr>
            <w:r>
              <w:rPr>
                <w:rFonts w:asciiTheme="minorHAnsi" w:hAnsiTheme="minorHAnsi" w:cstheme="minorHAnsi"/>
                <w:b/>
              </w:rPr>
              <w:t>4</w:t>
            </w:r>
          </w:p>
        </w:tc>
        <w:tc>
          <w:tcPr>
            <w:tcW w:w="4304" w:type="dxa"/>
          </w:tcPr>
          <w:p w14:paraId="628EDA2C" w14:textId="7A2AAF6C" w:rsidR="006F62A9"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
                <w:bCs/>
                <w:sz w:val="22"/>
                <w:szCs w:val="22"/>
              </w:rPr>
              <w:t xml:space="preserve">Out of date Pay and Allowance Policy and inconsistent review cycle within Pay Policy. </w:t>
            </w:r>
            <w:r w:rsidRPr="00F72D4A">
              <w:rPr>
                <w:rFonts w:asciiTheme="minorHAnsi" w:hAnsiTheme="minorHAnsi" w:cstheme="minorHAnsi"/>
                <w:bCs/>
                <w:sz w:val="22"/>
                <w:szCs w:val="22"/>
              </w:rPr>
              <w:t>NCFRA has several policy documents in place relevant to the payroll function and</w:t>
            </w:r>
            <w:r w:rsidR="00F72D4A" w:rsidRPr="00F72D4A">
              <w:rPr>
                <w:rFonts w:asciiTheme="minorHAnsi" w:hAnsiTheme="minorHAnsi" w:cstheme="minorHAnsi"/>
                <w:bCs/>
                <w:sz w:val="22"/>
                <w:szCs w:val="22"/>
              </w:rPr>
              <w:t xml:space="preserve"> </w:t>
            </w:r>
            <w:r w:rsidRPr="00F72D4A">
              <w:rPr>
                <w:rFonts w:asciiTheme="minorHAnsi" w:hAnsiTheme="minorHAnsi" w:cstheme="minorHAnsi"/>
                <w:bCs/>
                <w:sz w:val="22"/>
                <w:szCs w:val="22"/>
              </w:rPr>
              <w:t>financial activities. Whilst our review of polic</w:t>
            </w:r>
            <w:r w:rsidR="00D3311F" w:rsidRPr="00F72D4A">
              <w:rPr>
                <w:rFonts w:asciiTheme="minorHAnsi" w:hAnsiTheme="minorHAnsi" w:cstheme="minorHAnsi"/>
                <w:bCs/>
                <w:sz w:val="22"/>
                <w:szCs w:val="22"/>
              </w:rPr>
              <w:t>ies noted no</w:t>
            </w:r>
            <w:r w:rsidR="00F72D4A" w:rsidRPr="00F72D4A">
              <w:rPr>
                <w:rFonts w:asciiTheme="minorHAnsi" w:hAnsiTheme="minorHAnsi" w:cstheme="minorHAnsi"/>
                <w:bCs/>
                <w:sz w:val="22"/>
                <w:szCs w:val="22"/>
              </w:rPr>
              <w:t xml:space="preserve"> </w:t>
            </w:r>
            <w:r w:rsidR="00D3311F" w:rsidRPr="00F72D4A">
              <w:rPr>
                <w:rFonts w:asciiTheme="minorHAnsi" w:hAnsiTheme="minorHAnsi" w:cstheme="minorHAnsi"/>
                <w:bCs/>
                <w:sz w:val="22"/>
                <w:szCs w:val="22"/>
              </w:rPr>
              <w:t xml:space="preserve">concern over their </w:t>
            </w:r>
            <w:r w:rsidRPr="00F72D4A">
              <w:rPr>
                <w:rFonts w:asciiTheme="minorHAnsi" w:hAnsiTheme="minorHAnsi" w:cstheme="minorHAnsi"/>
                <w:bCs/>
                <w:sz w:val="22"/>
                <w:szCs w:val="22"/>
              </w:rPr>
              <w:t>appropriateness, we did note the following:</w:t>
            </w:r>
          </w:p>
          <w:p w14:paraId="54655895" w14:textId="5680A83B" w:rsidR="006F62A9" w:rsidRPr="00F72D4A" w:rsidRDefault="006F62A9" w:rsidP="00615652">
            <w:pPr>
              <w:pStyle w:val="Default"/>
              <w:numPr>
                <w:ilvl w:val="0"/>
                <w:numId w:val="6"/>
              </w:numPr>
              <w:rPr>
                <w:rFonts w:asciiTheme="minorHAnsi" w:hAnsiTheme="minorHAnsi" w:cstheme="minorHAnsi"/>
                <w:bCs/>
                <w:sz w:val="22"/>
                <w:szCs w:val="22"/>
              </w:rPr>
            </w:pPr>
            <w:r w:rsidRPr="00F72D4A">
              <w:rPr>
                <w:rFonts w:asciiTheme="minorHAnsi" w:hAnsiTheme="minorHAnsi" w:cstheme="minorHAnsi"/>
                <w:bCs/>
                <w:sz w:val="22"/>
                <w:szCs w:val="22"/>
              </w:rPr>
              <w:t>Pay and Allowances Policy to be out of date and due for review since February 2022.</w:t>
            </w:r>
          </w:p>
          <w:p w14:paraId="4F041C14" w14:textId="36DBF4EB" w:rsidR="006F62A9" w:rsidRPr="00F72D4A" w:rsidRDefault="006F62A9" w:rsidP="00615652">
            <w:pPr>
              <w:pStyle w:val="Default"/>
              <w:numPr>
                <w:ilvl w:val="0"/>
                <w:numId w:val="6"/>
              </w:numPr>
              <w:rPr>
                <w:rFonts w:asciiTheme="minorHAnsi" w:hAnsiTheme="minorHAnsi" w:cstheme="minorHAnsi"/>
                <w:bCs/>
                <w:sz w:val="22"/>
                <w:szCs w:val="22"/>
              </w:rPr>
            </w:pPr>
            <w:r w:rsidRPr="00F72D4A">
              <w:rPr>
                <w:rFonts w:asciiTheme="minorHAnsi" w:hAnsiTheme="minorHAnsi" w:cstheme="minorHAnsi"/>
                <w:bCs/>
                <w:sz w:val="22"/>
                <w:szCs w:val="22"/>
              </w:rPr>
              <w:t>The Pay Policy March 2023 has a next review due date of March 2026,</w:t>
            </w:r>
          </w:p>
          <w:p w14:paraId="3FD7DB06" w14:textId="4BA6FD63" w:rsidR="006F62A9"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Cs/>
                <w:sz w:val="22"/>
                <w:szCs w:val="22"/>
              </w:rPr>
              <w:t>however the Policy states that it is to be</w:t>
            </w:r>
            <w:r w:rsidR="00D3311F" w:rsidRPr="00F72D4A">
              <w:rPr>
                <w:rFonts w:asciiTheme="minorHAnsi" w:hAnsiTheme="minorHAnsi" w:cstheme="minorHAnsi"/>
                <w:bCs/>
                <w:sz w:val="22"/>
                <w:szCs w:val="22"/>
              </w:rPr>
              <w:t xml:space="preserve"> reviewed on an annual basis in </w:t>
            </w:r>
            <w:r w:rsidRPr="00F72D4A">
              <w:rPr>
                <w:rFonts w:asciiTheme="minorHAnsi" w:hAnsiTheme="minorHAnsi" w:cstheme="minorHAnsi"/>
                <w:bCs/>
                <w:sz w:val="22"/>
                <w:szCs w:val="22"/>
              </w:rPr>
              <w:t>consultation with the relevant trade union representatives.</w:t>
            </w:r>
          </w:p>
          <w:p w14:paraId="608EE3F1" w14:textId="73A41248" w:rsidR="00495CD2" w:rsidRPr="00F72D4A" w:rsidRDefault="006F62A9" w:rsidP="006F62A9">
            <w:pPr>
              <w:pStyle w:val="Default"/>
              <w:rPr>
                <w:rFonts w:asciiTheme="minorHAnsi" w:hAnsiTheme="minorHAnsi" w:cstheme="minorHAnsi"/>
                <w:bCs/>
                <w:sz w:val="22"/>
                <w:szCs w:val="22"/>
              </w:rPr>
            </w:pPr>
            <w:r w:rsidRPr="00F72D4A">
              <w:rPr>
                <w:rFonts w:asciiTheme="minorHAnsi" w:hAnsiTheme="minorHAnsi" w:cstheme="minorHAnsi"/>
                <w:b/>
                <w:bCs/>
                <w:sz w:val="22"/>
                <w:szCs w:val="22"/>
              </w:rPr>
              <w:t>Risk and Impact:</w:t>
            </w:r>
            <w:r w:rsidRPr="00F72D4A">
              <w:rPr>
                <w:rFonts w:asciiTheme="minorHAnsi" w:hAnsiTheme="minorHAnsi" w:cstheme="minorHAnsi"/>
                <w:bCs/>
                <w:sz w:val="22"/>
                <w:szCs w:val="22"/>
              </w:rPr>
              <w:t xml:space="preserve"> NCFRA utilise out of date policies </w:t>
            </w:r>
            <w:r w:rsidR="00D3311F" w:rsidRPr="00F72D4A">
              <w:rPr>
                <w:rFonts w:asciiTheme="minorHAnsi" w:hAnsiTheme="minorHAnsi" w:cstheme="minorHAnsi"/>
                <w:bCs/>
                <w:sz w:val="22"/>
                <w:szCs w:val="22"/>
              </w:rPr>
              <w:t xml:space="preserve">and has incorrect review cycles </w:t>
            </w:r>
            <w:r w:rsidRPr="00F72D4A">
              <w:rPr>
                <w:rFonts w:asciiTheme="minorHAnsi" w:hAnsiTheme="minorHAnsi" w:cstheme="minorHAnsi"/>
                <w:bCs/>
                <w:sz w:val="22"/>
                <w:szCs w:val="22"/>
              </w:rPr>
              <w:t>in place, leading to inconsistent approaches taken to financial and payroll activities.</w:t>
            </w:r>
          </w:p>
        </w:tc>
        <w:tc>
          <w:tcPr>
            <w:tcW w:w="2552" w:type="dxa"/>
          </w:tcPr>
          <w:p w14:paraId="27CF5B01" w14:textId="17E2FC50" w:rsidR="003E4EDB" w:rsidRPr="00F72D4A" w:rsidRDefault="003E4EDB" w:rsidP="00236220">
            <w:pPr>
              <w:pStyle w:val="ListParagraph"/>
              <w:numPr>
                <w:ilvl w:val="0"/>
                <w:numId w:val="14"/>
              </w:numPr>
              <w:ind w:left="360"/>
              <w:rPr>
                <w:rFonts w:asciiTheme="minorHAnsi" w:hAnsiTheme="minorHAnsi" w:cstheme="minorHAnsi"/>
              </w:rPr>
            </w:pPr>
            <w:r w:rsidRPr="00F72D4A">
              <w:rPr>
                <w:rFonts w:asciiTheme="minorHAnsi" w:hAnsiTheme="minorHAnsi" w:cstheme="minorHAnsi"/>
              </w:rPr>
              <w:t>NCFRA should ensure that the Pay and Allowances Policy is reviewed on a timely basis, in line with its review cycle.</w:t>
            </w:r>
          </w:p>
          <w:p w14:paraId="64CB6FD0" w14:textId="4C1B2965" w:rsidR="00495CD2" w:rsidRPr="00F72D4A" w:rsidRDefault="003E4EDB" w:rsidP="00236220">
            <w:pPr>
              <w:pStyle w:val="ListParagraph"/>
              <w:numPr>
                <w:ilvl w:val="0"/>
                <w:numId w:val="14"/>
              </w:numPr>
              <w:ind w:left="360"/>
              <w:rPr>
                <w:rFonts w:asciiTheme="minorHAnsi" w:hAnsiTheme="minorHAnsi" w:cstheme="minorHAnsi"/>
              </w:rPr>
            </w:pPr>
            <w:r w:rsidRPr="00F72D4A">
              <w:rPr>
                <w:rFonts w:asciiTheme="minorHAnsi" w:hAnsiTheme="minorHAnsi" w:cstheme="minorHAnsi"/>
              </w:rPr>
              <w:t>NCFRA should correct the review cycle inconsistency</w:t>
            </w:r>
            <w:r w:rsidR="00F72D4A" w:rsidRPr="00F72D4A">
              <w:rPr>
                <w:rFonts w:asciiTheme="minorHAnsi" w:hAnsiTheme="minorHAnsi" w:cstheme="minorHAnsi"/>
              </w:rPr>
              <w:t xml:space="preserve"> </w:t>
            </w:r>
            <w:r w:rsidRPr="00F72D4A">
              <w:rPr>
                <w:rFonts w:asciiTheme="minorHAnsi" w:hAnsiTheme="minorHAnsi" w:cstheme="minorHAnsi"/>
              </w:rPr>
              <w:t>identified within the Pay Policy to ensure alignment with required Policy review cycle.</w:t>
            </w:r>
          </w:p>
        </w:tc>
        <w:tc>
          <w:tcPr>
            <w:tcW w:w="992" w:type="dxa"/>
            <w:shd w:val="clear" w:color="auto" w:fill="92D050"/>
          </w:tcPr>
          <w:p w14:paraId="6B8D618A" w14:textId="358090A8" w:rsidR="00495CD2" w:rsidRPr="00F72D4A" w:rsidRDefault="001E30E2" w:rsidP="00495CD2">
            <w:pPr>
              <w:jc w:val="center"/>
              <w:rPr>
                <w:rFonts w:ascii="Calibri" w:hAnsi="Calibri" w:cs="Calibri"/>
                <w:b/>
              </w:rPr>
            </w:pPr>
            <w:r w:rsidRPr="00F72D4A">
              <w:rPr>
                <w:rFonts w:ascii="Calibri" w:hAnsi="Calibri" w:cs="Calibri"/>
                <w:b/>
              </w:rPr>
              <w:t>Low</w:t>
            </w:r>
          </w:p>
        </w:tc>
        <w:tc>
          <w:tcPr>
            <w:tcW w:w="4536" w:type="dxa"/>
          </w:tcPr>
          <w:p w14:paraId="3351DC42" w14:textId="77606B05" w:rsidR="00495CD2" w:rsidRDefault="003E4EDB" w:rsidP="003E4EDB">
            <w:pPr>
              <w:pStyle w:val="Default"/>
              <w:rPr>
                <w:bCs/>
                <w:sz w:val="22"/>
                <w:szCs w:val="22"/>
              </w:rPr>
            </w:pPr>
            <w:r w:rsidRPr="00F72D4A">
              <w:rPr>
                <w:bCs/>
                <w:sz w:val="22"/>
                <w:szCs w:val="22"/>
              </w:rPr>
              <w:t>Pay and Allowance Policy has not been updated, in line with their</w:t>
            </w:r>
            <w:r w:rsidR="00F72D4A">
              <w:rPr>
                <w:bCs/>
                <w:sz w:val="22"/>
                <w:szCs w:val="22"/>
              </w:rPr>
              <w:t xml:space="preserve"> </w:t>
            </w:r>
            <w:r w:rsidR="00730BEC">
              <w:rPr>
                <w:bCs/>
                <w:sz w:val="22"/>
                <w:szCs w:val="22"/>
              </w:rPr>
              <w:t xml:space="preserve">review cycle, by NCFRA. </w:t>
            </w:r>
            <w:r w:rsidRPr="00F72D4A">
              <w:rPr>
                <w:bCs/>
                <w:sz w:val="22"/>
                <w:szCs w:val="22"/>
              </w:rPr>
              <w:t>Incorrect next review due date in</w:t>
            </w:r>
            <w:r w:rsidR="00730BEC">
              <w:rPr>
                <w:bCs/>
                <w:sz w:val="22"/>
                <w:szCs w:val="22"/>
              </w:rPr>
              <w:t xml:space="preserve"> the Pay Policy compared to its </w:t>
            </w:r>
            <w:r w:rsidRPr="00F72D4A">
              <w:rPr>
                <w:bCs/>
                <w:sz w:val="22"/>
                <w:szCs w:val="22"/>
              </w:rPr>
              <w:t xml:space="preserve">defined monitoring </w:t>
            </w:r>
            <w:r w:rsidR="00730BEC">
              <w:rPr>
                <w:bCs/>
                <w:sz w:val="22"/>
                <w:szCs w:val="22"/>
              </w:rPr>
              <w:t xml:space="preserve"> </w:t>
            </w:r>
            <w:r w:rsidRPr="00F72D4A">
              <w:rPr>
                <w:bCs/>
                <w:sz w:val="22"/>
                <w:szCs w:val="22"/>
              </w:rPr>
              <w:t>and review cycle.</w:t>
            </w:r>
          </w:p>
          <w:p w14:paraId="09C39CF1" w14:textId="77777777" w:rsidR="004F0A64" w:rsidRDefault="004F0A64" w:rsidP="003E4EDB">
            <w:pPr>
              <w:pStyle w:val="Default"/>
              <w:rPr>
                <w:bCs/>
                <w:sz w:val="22"/>
                <w:szCs w:val="22"/>
              </w:rPr>
            </w:pPr>
          </w:p>
          <w:p w14:paraId="31EABA3A" w14:textId="77777777" w:rsidR="004F0A64" w:rsidRDefault="004F0A64" w:rsidP="003E4EDB">
            <w:pPr>
              <w:pStyle w:val="Default"/>
              <w:rPr>
                <w:bCs/>
                <w:sz w:val="22"/>
                <w:szCs w:val="22"/>
              </w:rPr>
            </w:pPr>
          </w:p>
          <w:p w14:paraId="65D816EE" w14:textId="77777777" w:rsidR="004F0A64" w:rsidRDefault="004F0A64" w:rsidP="003E4EDB">
            <w:pPr>
              <w:pStyle w:val="Default"/>
              <w:rPr>
                <w:bCs/>
                <w:sz w:val="22"/>
                <w:szCs w:val="22"/>
              </w:rPr>
            </w:pPr>
          </w:p>
          <w:p w14:paraId="29E3E950" w14:textId="3BEB0E20" w:rsidR="00A16F10" w:rsidRPr="0026180F" w:rsidRDefault="004F0A64" w:rsidP="003E4EDB">
            <w:pPr>
              <w:pStyle w:val="Default"/>
              <w:rPr>
                <w:b/>
                <w:bCs/>
                <w:sz w:val="22"/>
                <w:szCs w:val="22"/>
              </w:rPr>
            </w:pPr>
            <w:r w:rsidRPr="00A16F10">
              <w:rPr>
                <w:b/>
                <w:bCs/>
                <w:sz w:val="22"/>
                <w:szCs w:val="22"/>
              </w:rPr>
              <w:t>Completed</w:t>
            </w:r>
            <w:r>
              <w:rPr>
                <w:bCs/>
                <w:sz w:val="22"/>
                <w:szCs w:val="22"/>
              </w:rPr>
              <w:t xml:space="preserve"> </w:t>
            </w:r>
            <w:r w:rsidR="00A16F10" w:rsidRPr="00A16F10">
              <w:rPr>
                <w:b/>
                <w:bCs/>
                <w:sz w:val="22"/>
                <w:szCs w:val="22"/>
              </w:rPr>
              <w:t>12.12.24</w:t>
            </w:r>
            <w:r w:rsidR="00A16F10">
              <w:rPr>
                <w:bCs/>
                <w:sz w:val="22"/>
                <w:szCs w:val="22"/>
              </w:rPr>
              <w:t xml:space="preserve"> Update. Policy (V8) published on </w:t>
            </w:r>
            <w:r>
              <w:rPr>
                <w:bCs/>
                <w:sz w:val="22"/>
                <w:szCs w:val="22"/>
              </w:rPr>
              <w:t>SharePoint</w:t>
            </w:r>
            <w:r w:rsidR="00A16F10">
              <w:rPr>
                <w:bCs/>
                <w:sz w:val="22"/>
                <w:szCs w:val="22"/>
              </w:rPr>
              <w:t xml:space="preserve"> today. </w:t>
            </w:r>
          </w:p>
        </w:tc>
        <w:tc>
          <w:tcPr>
            <w:tcW w:w="1759" w:type="dxa"/>
          </w:tcPr>
          <w:p w14:paraId="27ECF37A" w14:textId="2DF4872C" w:rsidR="001E30E2" w:rsidRPr="00F72D4A" w:rsidRDefault="001E30E2" w:rsidP="00495CD2">
            <w:pPr>
              <w:pStyle w:val="Default"/>
              <w:rPr>
                <w:color w:val="000000" w:themeColor="text1"/>
                <w:sz w:val="22"/>
                <w:szCs w:val="22"/>
              </w:rPr>
            </w:pPr>
            <w:r w:rsidRPr="00F72D4A">
              <w:rPr>
                <w:color w:val="000000" w:themeColor="text1"/>
                <w:sz w:val="22"/>
                <w:szCs w:val="22"/>
              </w:rPr>
              <w:t>Nick Alexander/Suzanne McMinn</w:t>
            </w:r>
          </w:p>
          <w:p w14:paraId="6C632E7F" w14:textId="3896F6B5" w:rsidR="001E30E2" w:rsidRPr="00F72D4A" w:rsidRDefault="001E30E2" w:rsidP="00495CD2">
            <w:pPr>
              <w:pStyle w:val="Default"/>
              <w:rPr>
                <w:color w:val="000000" w:themeColor="text1"/>
                <w:sz w:val="22"/>
                <w:szCs w:val="22"/>
              </w:rPr>
            </w:pPr>
            <w:r w:rsidRPr="00F72D4A">
              <w:rPr>
                <w:color w:val="000000" w:themeColor="text1"/>
                <w:sz w:val="22"/>
                <w:szCs w:val="22"/>
              </w:rPr>
              <w:t>Due date</w:t>
            </w:r>
          </w:p>
          <w:p w14:paraId="12835AF8" w14:textId="2C77E17B" w:rsidR="001E30E2" w:rsidRPr="00F72D4A" w:rsidRDefault="001E30E2" w:rsidP="00495CD2">
            <w:pPr>
              <w:pStyle w:val="Default"/>
              <w:rPr>
                <w:color w:val="000000" w:themeColor="text1"/>
                <w:sz w:val="22"/>
                <w:szCs w:val="22"/>
              </w:rPr>
            </w:pPr>
            <w:r w:rsidRPr="00F72D4A">
              <w:rPr>
                <w:color w:val="000000" w:themeColor="text1"/>
                <w:sz w:val="22"/>
                <w:szCs w:val="22"/>
              </w:rPr>
              <w:t>31st July 2024</w:t>
            </w:r>
          </w:p>
          <w:p w14:paraId="5078D3AA" w14:textId="77777777" w:rsidR="001E30E2" w:rsidRDefault="001E30E2" w:rsidP="00495CD2">
            <w:pPr>
              <w:pStyle w:val="Default"/>
              <w:rPr>
                <w:color w:val="000000" w:themeColor="text1"/>
                <w:sz w:val="22"/>
                <w:szCs w:val="22"/>
              </w:rPr>
            </w:pPr>
          </w:p>
          <w:p w14:paraId="37C02DCF" w14:textId="77777777" w:rsidR="0026180F" w:rsidRDefault="0026180F" w:rsidP="00495CD2">
            <w:pPr>
              <w:pStyle w:val="Default"/>
              <w:rPr>
                <w:color w:val="000000" w:themeColor="text1"/>
                <w:sz w:val="22"/>
                <w:szCs w:val="22"/>
              </w:rPr>
            </w:pPr>
          </w:p>
          <w:p w14:paraId="2755973A" w14:textId="77777777" w:rsidR="004F0A64" w:rsidRDefault="004F0A64" w:rsidP="00495CD2">
            <w:pPr>
              <w:pStyle w:val="Default"/>
              <w:rPr>
                <w:color w:val="000000" w:themeColor="text1"/>
                <w:sz w:val="22"/>
                <w:szCs w:val="22"/>
              </w:rPr>
            </w:pPr>
          </w:p>
          <w:p w14:paraId="3392C8CA" w14:textId="54F0DFA2" w:rsidR="003F2FDB" w:rsidRDefault="003F2FDB" w:rsidP="00495CD2">
            <w:pPr>
              <w:pStyle w:val="Default"/>
              <w:rPr>
                <w:color w:val="000000" w:themeColor="text1"/>
                <w:sz w:val="22"/>
                <w:szCs w:val="22"/>
              </w:rPr>
            </w:pPr>
            <w:r>
              <w:rPr>
                <w:color w:val="000000" w:themeColor="text1"/>
                <w:sz w:val="22"/>
                <w:szCs w:val="22"/>
              </w:rPr>
              <w:t xml:space="preserve">New due date </w:t>
            </w:r>
          </w:p>
          <w:p w14:paraId="00E16737" w14:textId="33E520AA" w:rsidR="00D63D84" w:rsidRDefault="00757053" w:rsidP="00495CD2">
            <w:pPr>
              <w:pStyle w:val="Default"/>
              <w:rPr>
                <w:color w:val="000000" w:themeColor="text1"/>
                <w:sz w:val="22"/>
                <w:szCs w:val="22"/>
              </w:rPr>
            </w:pPr>
            <w:r>
              <w:rPr>
                <w:color w:val="000000" w:themeColor="text1"/>
                <w:sz w:val="22"/>
                <w:szCs w:val="22"/>
              </w:rPr>
              <w:t>31</w:t>
            </w:r>
            <w:r w:rsidRPr="00757053">
              <w:rPr>
                <w:color w:val="000000" w:themeColor="text1"/>
                <w:sz w:val="22"/>
                <w:szCs w:val="22"/>
                <w:vertAlign w:val="superscript"/>
              </w:rPr>
              <w:t>st</w:t>
            </w:r>
            <w:r>
              <w:rPr>
                <w:color w:val="000000" w:themeColor="text1"/>
                <w:sz w:val="22"/>
                <w:szCs w:val="22"/>
              </w:rPr>
              <w:t xml:space="preserve"> Dec</w:t>
            </w:r>
            <w:r w:rsidR="008910B5">
              <w:rPr>
                <w:color w:val="000000" w:themeColor="text1"/>
                <w:sz w:val="22"/>
                <w:szCs w:val="22"/>
              </w:rPr>
              <w:t xml:space="preserve"> </w:t>
            </w:r>
            <w:r>
              <w:rPr>
                <w:color w:val="000000" w:themeColor="text1"/>
                <w:sz w:val="22"/>
                <w:szCs w:val="22"/>
              </w:rPr>
              <w:t>24</w:t>
            </w:r>
          </w:p>
          <w:p w14:paraId="277A7768" w14:textId="4389C342" w:rsidR="003F2FDB" w:rsidRPr="00F72D4A" w:rsidRDefault="003F2FDB" w:rsidP="00495CD2">
            <w:pPr>
              <w:pStyle w:val="Default"/>
              <w:rPr>
                <w:color w:val="000000" w:themeColor="text1"/>
                <w:sz w:val="22"/>
                <w:szCs w:val="22"/>
              </w:rPr>
            </w:pPr>
          </w:p>
        </w:tc>
        <w:tc>
          <w:tcPr>
            <w:tcW w:w="792" w:type="dxa"/>
            <w:shd w:val="clear" w:color="auto" w:fill="00B050"/>
          </w:tcPr>
          <w:p w14:paraId="2043A65A" w14:textId="22EE6AA8" w:rsidR="00A16F10" w:rsidRDefault="00A16F10" w:rsidP="00495CD2">
            <w:pPr>
              <w:spacing w:line="276" w:lineRule="auto"/>
              <w:rPr>
                <w:rFonts w:asciiTheme="minorHAnsi" w:hAnsiTheme="minorHAnsi" w:cstheme="minorHAnsi"/>
                <w:b/>
                <w:color w:val="FF0000"/>
              </w:rPr>
            </w:pPr>
          </w:p>
          <w:p w14:paraId="01697060" w14:textId="77777777" w:rsidR="00A16F10" w:rsidRPr="00A16F10" w:rsidRDefault="00A16F10" w:rsidP="00A16F10">
            <w:pPr>
              <w:rPr>
                <w:rFonts w:asciiTheme="minorHAnsi" w:hAnsiTheme="minorHAnsi" w:cstheme="minorHAnsi"/>
              </w:rPr>
            </w:pPr>
          </w:p>
          <w:p w14:paraId="7BA5C843" w14:textId="77777777" w:rsidR="00A16F10" w:rsidRPr="00A16F10" w:rsidRDefault="00A16F10" w:rsidP="00A16F10">
            <w:pPr>
              <w:rPr>
                <w:rFonts w:asciiTheme="minorHAnsi" w:hAnsiTheme="minorHAnsi" w:cstheme="minorHAnsi"/>
              </w:rPr>
            </w:pPr>
          </w:p>
          <w:p w14:paraId="10C86512" w14:textId="77777777" w:rsidR="00A16F10" w:rsidRPr="00A16F10" w:rsidRDefault="00A16F10" w:rsidP="00A16F10">
            <w:pPr>
              <w:rPr>
                <w:rFonts w:asciiTheme="minorHAnsi" w:hAnsiTheme="minorHAnsi" w:cstheme="minorHAnsi"/>
              </w:rPr>
            </w:pPr>
          </w:p>
          <w:p w14:paraId="33BA65BD" w14:textId="77777777" w:rsidR="00A16F10" w:rsidRPr="00A16F10" w:rsidRDefault="00A16F10" w:rsidP="00A16F10">
            <w:pPr>
              <w:rPr>
                <w:rFonts w:asciiTheme="minorHAnsi" w:hAnsiTheme="minorHAnsi" w:cstheme="minorHAnsi"/>
              </w:rPr>
            </w:pPr>
          </w:p>
          <w:p w14:paraId="289E9F29" w14:textId="77777777" w:rsidR="00A16F10" w:rsidRPr="00A16F10" w:rsidRDefault="00A16F10" w:rsidP="00A16F10">
            <w:pPr>
              <w:rPr>
                <w:rFonts w:asciiTheme="minorHAnsi" w:hAnsiTheme="minorHAnsi" w:cstheme="minorHAnsi"/>
              </w:rPr>
            </w:pPr>
          </w:p>
          <w:p w14:paraId="5F614CA1" w14:textId="77777777" w:rsidR="00A16F10" w:rsidRPr="00A16F10" w:rsidRDefault="00A16F10" w:rsidP="00A16F10">
            <w:pPr>
              <w:rPr>
                <w:rFonts w:asciiTheme="minorHAnsi" w:hAnsiTheme="minorHAnsi" w:cstheme="minorHAnsi"/>
              </w:rPr>
            </w:pPr>
          </w:p>
          <w:p w14:paraId="62839668" w14:textId="77777777" w:rsidR="00A16F10" w:rsidRPr="00A16F10" w:rsidRDefault="00A16F10" w:rsidP="00A16F10">
            <w:pPr>
              <w:rPr>
                <w:rFonts w:asciiTheme="minorHAnsi" w:hAnsiTheme="minorHAnsi" w:cstheme="minorHAnsi"/>
              </w:rPr>
            </w:pPr>
          </w:p>
          <w:p w14:paraId="1B1503FB" w14:textId="77777777" w:rsidR="00A16F10" w:rsidRPr="00A16F10" w:rsidRDefault="00A16F10" w:rsidP="00A16F10">
            <w:pPr>
              <w:rPr>
                <w:rFonts w:asciiTheme="minorHAnsi" w:hAnsiTheme="minorHAnsi" w:cstheme="minorHAnsi"/>
              </w:rPr>
            </w:pPr>
          </w:p>
          <w:p w14:paraId="7A877318" w14:textId="77777777" w:rsidR="00A16F10" w:rsidRPr="00A16F10" w:rsidRDefault="00A16F10" w:rsidP="00A16F10">
            <w:pPr>
              <w:rPr>
                <w:rFonts w:asciiTheme="minorHAnsi" w:hAnsiTheme="minorHAnsi" w:cstheme="minorHAnsi"/>
              </w:rPr>
            </w:pPr>
          </w:p>
          <w:p w14:paraId="679A7765" w14:textId="77777777" w:rsidR="00A16F10" w:rsidRPr="00A16F10" w:rsidRDefault="00A16F10" w:rsidP="00A16F10">
            <w:pPr>
              <w:rPr>
                <w:rFonts w:asciiTheme="minorHAnsi" w:hAnsiTheme="minorHAnsi" w:cstheme="minorHAnsi"/>
              </w:rPr>
            </w:pPr>
          </w:p>
          <w:p w14:paraId="4848FD65" w14:textId="77777777" w:rsidR="00A16F10" w:rsidRPr="00A16F10" w:rsidRDefault="00A16F10" w:rsidP="00A16F10">
            <w:pPr>
              <w:rPr>
                <w:rFonts w:asciiTheme="minorHAnsi" w:hAnsiTheme="minorHAnsi" w:cstheme="minorHAnsi"/>
              </w:rPr>
            </w:pPr>
          </w:p>
          <w:p w14:paraId="2F7E6B20" w14:textId="332DEA8D" w:rsidR="00A16F10" w:rsidRDefault="00A16F10" w:rsidP="00A16F10">
            <w:pPr>
              <w:rPr>
                <w:rFonts w:asciiTheme="minorHAnsi" w:hAnsiTheme="minorHAnsi" w:cstheme="minorHAnsi"/>
              </w:rPr>
            </w:pPr>
          </w:p>
          <w:p w14:paraId="038BFB6B" w14:textId="77777777" w:rsidR="00495CD2" w:rsidRPr="00A16F10" w:rsidRDefault="00495CD2" w:rsidP="00A16F10">
            <w:pPr>
              <w:rPr>
                <w:rFonts w:asciiTheme="minorHAnsi" w:hAnsiTheme="minorHAnsi" w:cstheme="minorHAnsi"/>
              </w:rPr>
            </w:pPr>
          </w:p>
        </w:tc>
      </w:tr>
    </w:tbl>
    <w:p w14:paraId="7321E50A" w14:textId="77777777" w:rsidR="00EF085B" w:rsidRDefault="00EF085B" w:rsidP="00966545">
      <w:pPr>
        <w:spacing w:after="200" w:line="276" w:lineRule="auto"/>
        <w:rPr>
          <w:rFonts w:cstheme="minorHAnsi"/>
          <w:b/>
          <w:bCs/>
          <w:color w:val="000000"/>
        </w:rPr>
      </w:pPr>
    </w:p>
    <w:p w14:paraId="5C56598B" w14:textId="77777777" w:rsidR="004F0A64" w:rsidRDefault="004F0A64" w:rsidP="00966545">
      <w:pPr>
        <w:spacing w:after="200" w:line="276" w:lineRule="auto"/>
        <w:rPr>
          <w:rFonts w:cstheme="minorHAnsi"/>
          <w:b/>
          <w:bCs/>
          <w:color w:val="000000"/>
        </w:rPr>
      </w:pPr>
    </w:p>
    <w:p w14:paraId="20D81BCF" w14:textId="77777777" w:rsidR="004F0A64" w:rsidRDefault="004F0A64" w:rsidP="00966545">
      <w:pPr>
        <w:spacing w:after="200" w:line="276" w:lineRule="auto"/>
        <w:rPr>
          <w:rFonts w:cstheme="minorHAnsi"/>
          <w:b/>
          <w:bCs/>
          <w:color w:val="000000"/>
        </w:rPr>
      </w:pPr>
    </w:p>
    <w:p w14:paraId="6A6903B5" w14:textId="77777777" w:rsidR="004F0A64" w:rsidRDefault="004F0A64" w:rsidP="00966545">
      <w:pPr>
        <w:spacing w:after="200" w:line="276" w:lineRule="auto"/>
        <w:rPr>
          <w:rFonts w:cstheme="minorHAnsi"/>
          <w:b/>
          <w:bCs/>
          <w:color w:val="000000"/>
        </w:rPr>
      </w:pPr>
    </w:p>
    <w:p w14:paraId="3962D3E9" w14:textId="77777777" w:rsidR="004F0A64" w:rsidRDefault="004F0A64" w:rsidP="00966545">
      <w:pPr>
        <w:spacing w:after="200" w:line="276" w:lineRule="auto"/>
        <w:rPr>
          <w:rFonts w:cstheme="minorHAnsi"/>
          <w:b/>
          <w:bCs/>
          <w:color w:val="000000"/>
        </w:rPr>
      </w:pPr>
    </w:p>
    <w:p w14:paraId="47682A18" w14:textId="77777777" w:rsidR="004F0A64" w:rsidRDefault="004F0A64" w:rsidP="00966545">
      <w:pPr>
        <w:spacing w:after="200" w:line="276" w:lineRule="auto"/>
        <w:rPr>
          <w:rFonts w:cstheme="minorHAnsi"/>
          <w:b/>
          <w:bCs/>
          <w:color w:val="000000"/>
        </w:rPr>
      </w:pPr>
    </w:p>
    <w:p w14:paraId="5099A62F" w14:textId="765CAC30" w:rsidR="00966545" w:rsidRDefault="00966545" w:rsidP="00966545">
      <w:pPr>
        <w:spacing w:after="200" w:line="276" w:lineRule="auto"/>
        <w:rPr>
          <w:rFonts w:cstheme="minorHAnsi"/>
          <w:b/>
          <w:bCs/>
          <w:color w:val="000000"/>
        </w:rPr>
      </w:pPr>
      <w:bookmarkStart w:id="6" w:name="_Hlk176164864"/>
      <w:r>
        <w:rPr>
          <w:rFonts w:cstheme="minorHAnsi"/>
          <w:b/>
          <w:bCs/>
          <w:color w:val="000000"/>
        </w:rPr>
        <w:lastRenderedPageBreak/>
        <w:t xml:space="preserve">Identity Access Management </w:t>
      </w:r>
      <w:r w:rsidR="00720080">
        <w:rPr>
          <w:rFonts w:cstheme="minorHAnsi"/>
          <w:b/>
          <w:bCs/>
          <w:color w:val="000000"/>
        </w:rPr>
        <w:t xml:space="preserve">(Joint) </w:t>
      </w:r>
      <w:r>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9"/>
        <w:gridCol w:w="3003"/>
        <w:gridCol w:w="2977"/>
        <w:gridCol w:w="1134"/>
        <w:gridCol w:w="5387"/>
        <w:gridCol w:w="1559"/>
        <w:gridCol w:w="850"/>
      </w:tblGrid>
      <w:tr w:rsidR="00966545" w:rsidRPr="00291B4B" w14:paraId="63BC4239" w14:textId="77777777" w:rsidTr="006265C2">
        <w:tc>
          <w:tcPr>
            <w:tcW w:w="399" w:type="dxa"/>
            <w:shd w:val="clear" w:color="auto" w:fill="632E9E"/>
          </w:tcPr>
          <w:p w14:paraId="0E4FA410" w14:textId="77777777" w:rsidR="00966545" w:rsidRPr="00291B4B" w:rsidRDefault="00966545" w:rsidP="00B70FC0">
            <w:pPr>
              <w:spacing w:line="276" w:lineRule="auto"/>
              <w:rPr>
                <w:b/>
                <w:color w:val="FFFFFF" w:themeColor="background1"/>
                <w:sz w:val="16"/>
                <w:szCs w:val="16"/>
              </w:rPr>
            </w:pPr>
            <w:bookmarkStart w:id="7" w:name="_Hlk176164781"/>
            <w:bookmarkEnd w:id="6"/>
            <w:r>
              <w:rPr>
                <w:b/>
                <w:color w:val="FFFFFF" w:themeColor="background1"/>
                <w:sz w:val="16"/>
                <w:szCs w:val="16"/>
              </w:rPr>
              <w:t xml:space="preserve">   </w:t>
            </w:r>
          </w:p>
        </w:tc>
        <w:tc>
          <w:tcPr>
            <w:tcW w:w="3003" w:type="dxa"/>
            <w:shd w:val="clear" w:color="auto" w:fill="632E9E"/>
          </w:tcPr>
          <w:p w14:paraId="2055AF2A"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Observation/Risk</w:t>
            </w:r>
          </w:p>
        </w:tc>
        <w:tc>
          <w:tcPr>
            <w:tcW w:w="2977" w:type="dxa"/>
            <w:shd w:val="clear" w:color="auto" w:fill="632E9E"/>
          </w:tcPr>
          <w:p w14:paraId="122D9E53"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B1F953D"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Priority</w:t>
            </w:r>
          </w:p>
        </w:tc>
        <w:tc>
          <w:tcPr>
            <w:tcW w:w="5387" w:type="dxa"/>
            <w:shd w:val="clear" w:color="auto" w:fill="632E9E"/>
          </w:tcPr>
          <w:p w14:paraId="05AD431E"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62F49669"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C3B230B"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Status</w:t>
            </w:r>
          </w:p>
        </w:tc>
      </w:tr>
      <w:tr w:rsidR="00966545" w:rsidRPr="005F5142" w14:paraId="63B40FE5" w14:textId="77777777" w:rsidTr="00262270">
        <w:trPr>
          <w:trHeight w:val="844"/>
        </w:trPr>
        <w:tc>
          <w:tcPr>
            <w:tcW w:w="399" w:type="dxa"/>
            <w:tcMar>
              <w:left w:w="57" w:type="dxa"/>
              <w:right w:w="57" w:type="dxa"/>
            </w:tcMar>
          </w:tcPr>
          <w:p w14:paraId="48456DC2" w14:textId="77777777" w:rsidR="00966545" w:rsidRPr="005F5142" w:rsidRDefault="00966545" w:rsidP="00B70FC0">
            <w:pPr>
              <w:rPr>
                <w:rFonts w:asciiTheme="minorHAnsi" w:hAnsiTheme="minorHAnsi" w:cstheme="minorHAnsi"/>
                <w:b/>
              </w:rPr>
            </w:pPr>
            <w:r>
              <w:rPr>
                <w:rFonts w:asciiTheme="minorHAnsi" w:hAnsiTheme="minorHAnsi" w:cstheme="minorHAnsi"/>
                <w:b/>
              </w:rPr>
              <w:t>1.</w:t>
            </w:r>
          </w:p>
        </w:tc>
        <w:tc>
          <w:tcPr>
            <w:tcW w:w="3003" w:type="dxa"/>
          </w:tcPr>
          <w:p w14:paraId="2A907848" w14:textId="77777777" w:rsidR="00966545" w:rsidRPr="000F2672" w:rsidRDefault="00966545" w:rsidP="00B70FC0">
            <w:pPr>
              <w:pStyle w:val="Default"/>
              <w:rPr>
                <w:rFonts w:asciiTheme="minorHAnsi" w:hAnsiTheme="minorHAnsi" w:cstheme="minorHAnsi"/>
                <w:sz w:val="22"/>
                <w:szCs w:val="22"/>
              </w:rPr>
            </w:pPr>
            <w:r w:rsidRPr="001D530C">
              <w:rPr>
                <w:rFonts w:asciiTheme="minorHAnsi" w:hAnsiTheme="minorHAnsi" w:cstheme="minorHAnsi"/>
                <w:b/>
                <w:bCs/>
                <w:color w:val="auto"/>
                <w:sz w:val="22"/>
                <w:szCs w:val="22"/>
              </w:rPr>
              <w:t>Lack of Periodic User Access Reviews</w:t>
            </w:r>
            <w:r>
              <w:rPr>
                <w:rFonts w:asciiTheme="minorHAnsi" w:hAnsiTheme="minorHAnsi" w:cstheme="minorHAnsi"/>
                <w:b/>
                <w:bCs/>
                <w:color w:val="auto"/>
                <w:sz w:val="22"/>
                <w:szCs w:val="22"/>
              </w:rPr>
              <w:t xml:space="preserve"> </w:t>
            </w:r>
            <w:r w:rsidRPr="001D530C">
              <w:rPr>
                <w:rFonts w:asciiTheme="minorHAnsi" w:hAnsiTheme="minorHAnsi" w:cstheme="minorHAnsi"/>
                <w:color w:val="auto"/>
                <w:sz w:val="22"/>
                <w:szCs w:val="22"/>
              </w:rPr>
              <w:t xml:space="preserve">Regular </w:t>
            </w:r>
            <w:r w:rsidRPr="000F2672">
              <w:rPr>
                <w:rFonts w:asciiTheme="minorHAnsi" w:hAnsiTheme="minorHAnsi" w:cstheme="minorHAnsi"/>
                <w:sz w:val="22"/>
                <w:szCs w:val="22"/>
              </w:rPr>
              <w:t>user access reviews should assess wheth</w:t>
            </w:r>
            <w:r>
              <w:rPr>
                <w:rFonts w:asciiTheme="minorHAnsi" w:hAnsiTheme="minorHAnsi" w:cstheme="minorHAnsi"/>
                <w:sz w:val="22"/>
                <w:szCs w:val="22"/>
              </w:rPr>
              <w:t xml:space="preserve">er the Windows Active Directory </w:t>
            </w:r>
            <w:r w:rsidRPr="000F2672">
              <w:rPr>
                <w:rFonts w:asciiTheme="minorHAnsi" w:hAnsiTheme="minorHAnsi" w:cstheme="minorHAnsi"/>
                <w:sz w:val="22"/>
                <w:szCs w:val="22"/>
              </w:rPr>
              <w:t>(AD) user base, responsible for managing logins, permissions, and authenti</w:t>
            </w:r>
            <w:r>
              <w:rPr>
                <w:rFonts w:asciiTheme="minorHAnsi" w:hAnsiTheme="minorHAnsi" w:cstheme="minorHAnsi"/>
                <w:sz w:val="22"/>
                <w:szCs w:val="22"/>
              </w:rPr>
              <w:t xml:space="preserve">cating </w:t>
            </w:r>
            <w:r w:rsidRPr="000F2672">
              <w:rPr>
                <w:rFonts w:asciiTheme="minorHAnsi" w:hAnsiTheme="minorHAnsi" w:cstheme="minorHAnsi"/>
                <w:sz w:val="22"/>
                <w:szCs w:val="22"/>
              </w:rPr>
              <w:t>access to associated applications, is accurate and</w:t>
            </w:r>
            <w:r>
              <w:rPr>
                <w:rFonts w:asciiTheme="minorHAnsi" w:hAnsiTheme="minorHAnsi" w:cstheme="minorHAnsi"/>
                <w:sz w:val="22"/>
                <w:szCs w:val="22"/>
              </w:rPr>
              <w:t xml:space="preserve"> that individuals have not been </w:t>
            </w:r>
            <w:r w:rsidRPr="000F2672">
              <w:rPr>
                <w:rFonts w:asciiTheme="minorHAnsi" w:hAnsiTheme="minorHAnsi" w:cstheme="minorHAnsi"/>
                <w:sz w:val="22"/>
                <w:szCs w:val="22"/>
              </w:rPr>
              <w:t>assigned unnecessary access.</w:t>
            </w:r>
          </w:p>
          <w:p w14:paraId="03631C9B" w14:textId="77777777" w:rsidR="00966545" w:rsidRPr="000F2672" w:rsidRDefault="00966545" w:rsidP="00B70FC0">
            <w:pPr>
              <w:pStyle w:val="Default"/>
              <w:rPr>
                <w:rFonts w:asciiTheme="minorHAnsi" w:hAnsiTheme="minorHAnsi" w:cstheme="minorHAnsi"/>
                <w:sz w:val="22"/>
                <w:szCs w:val="22"/>
              </w:rPr>
            </w:pPr>
            <w:r w:rsidRPr="000F2672">
              <w:rPr>
                <w:rFonts w:asciiTheme="minorHAnsi" w:hAnsiTheme="minorHAnsi" w:cstheme="minorHAnsi"/>
                <w:sz w:val="22"/>
                <w:szCs w:val="22"/>
              </w:rPr>
              <w:t>A regular regimen of access reviews has not be</w:t>
            </w:r>
            <w:r>
              <w:rPr>
                <w:rFonts w:asciiTheme="minorHAnsi" w:hAnsiTheme="minorHAnsi" w:cstheme="minorHAnsi"/>
                <w:sz w:val="22"/>
                <w:szCs w:val="22"/>
              </w:rPr>
              <w:t xml:space="preserve">en established to determine the </w:t>
            </w:r>
            <w:r w:rsidRPr="000F2672">
              <w:rPr>
                <w:rFonts w:asciiTheme="minorHAnsi" w:hAnsiTheme="minorHAnsi" w:cstheme="minorHAnsi"/>
                <w:sz w:val="22"/>
                <w:szCs w:val="22"/>
              </w:rPr>
              <w:t>suitability of access privileges for Windows AD accounts.</w:t>
            </w:r>
          </w:p>
          <w:p w14:paraId="0C4D0D80" w14:textId="5B8332CB" w:rsidR="00966545" w:rsidRPr="000F2672" w:rsidRDefault="00966545" w:rsidP="00B70FC0">
            <w:pPr>
              <w:pStyle w:val="Default"/>
              <w:rPr>
                <w:rFonts w:asciiTheme="minorHAnsi" w:hAnsiTheme="minorHAnsi" w:cstheme="minorHAnsi"/>
                <w:sz w:val="22"/>
                <w:szCs w:val="22"/>
              </w:rPr>
            </w:pPr>
            <w:r w:rsidRPr="000F2672">
              <w:rPr>
                <w:rFonts w:asciiTheme="minorHAnsi" w:hAnsiTheme="minorHAnsi" w:cstheme="minorHAnsi"/>
                <w:b/>
                <w:bCs/>
                <w:sz w:val="22"/>
                <w:szCs w:val="22"/>
              </w:rPr>
              <w:t xml:space="preserve">Risk and Impact: </w:t>
            </w:r>
            <w:r w:rsidRPr="000F2672">
              <w:rPr>
                <w:rFonts w:asciiTheme="minorHAnsi" w:hAnsiTheme="minorHAnsi" w:cstheme="minorHAnsi"/>
                <w:sz w:val="22"/>
                <w:szCs w:val="22"/>
              </w:rPr>
              <w:t xml:space="preserve">Failure to implement regular access </w:t>
            </w:r>
            <w:r>
              <w:rPr>
                <w:rFonts w:asciiTheme="minorHAnsi" w:hAnsiTheme="minorHAnsi" w:cstheme="minorHAnsi"/>
                <w:sz w:val="22"/>
                <w:szCs w:val="22"/>
              </w:rPr>
              <w:t xml:space="preserve">reviews can lead to individuals </w:t>
            </w:r>
            <w:r w:rsidRPr="000F2672">
              <w:rPr>
                <w:rFonts w:asciiTheme="minorHAnsi" w:hAnsiTheme="minorHAnsi" w:cstheme="minorHAnsi"/>
                <w:sz w:val="22"/>
                <w:szCs w:val="22"/>
              </w:rPr>
              <w:t>retaining unnecessary access to Windows AD and relat</w:t>
            </w:r>
            <w:r>
              <w:rPr>
                <w:rFonts w:asciiTheme="minorHAnsi" w:hAnsiTheme="minorHAnsi" w:cstheme="minorHAnsi"/>
                <w:sz w:val="22"/>
                <w:szCs w:val="22"/>
              </w:rPr>
              <w:t xml:space="preserve">ed systems, creating additional </w:t>
            </w:r>
            <w:r w:rsidRPr="000F2672">
              <w:rPr>
                <w:rFonts w:asciiTheme="minorHAnsi" w:hAnsiTheme="minorHAnsi" w:cstheme="minorHAnsi"/>
                <w:sz w:val="22"/>
                <w:szCs w:val="22"/>
              </w:rPr>
              <w:t>points of access to external attackers.</w:t>
            </w:r>
          </w:p>
        </w:tc>
        <w:tc>
          <w:tcPr>
            <w:tcW w:w="2977" w:type="dxa"/>
          </w:tcPr>
          <w:p w14:paraId="030B9AE8"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Each organisation should implement a regular (e.g. quarterly)</w:t>
            </w:r>
            <w:r>
              <w:rPr>
                <w:rFonts w:asciiTheme="minorHAnsi" w:hAnsiTheme="minorHAnsi" w:cstheme="minorHAnsi"/>
              </w:rPr>
              <w:t xml:space="preserve"> </w:t>
            </w:r>
            <w:r w:rsidRPr="000F2672">
              <w:rPr>
                <w:rFonts w:asciiTheme="minorHAnsi" w:hAnsiTheme="minorHAnsi" w:cstheme="minorHAnsi"/>
              </w:rPr>
              <w:t xml:space="preserve">regimen of </w:t>
            </w:r>
            <w:r>
              <w:rPr>
                <w:rFonts w:asciiTheme="minorHAnsi" w:hAnsiTheme="minorHAnsi" w:cstheme="minorHAnsi"/>
              </w:rPr>
              <w:t xml:space="preserve">Windows AD access reviews. Line </w:t>
            </w:r>
            <w:r w:rsidRPr="000F2672">
              <w:rPr>
                <w:rFonts w:asciiTheme="minorHAnsi" w:hAnsiTheme="minorHAnsi" w:cstheme="minorHAnsi"/>
              </w:rPr>
              <w:t>managers should</w:t>
            </w:r>
            <w:r>
              <w:rPr>
                <w:rFonts w:asciiTheme="minorHAnsi" w:hAnsiTheme="minorHAnsi" w:cstheme="minorHAnsi"/>
              </w:rPr>
              <w:t xml:space="preserve"> </w:t>
            </w:r>
            <w:r w:rsidRPr="000F2672">
              <w:rPr>
                <w:rFonts w:asciiTheme="minorHAnsi" w:hAnsiTheme="minorHAnsi" w:cstheme="minorHAnsi"/>
              </w:rPr>
              <w:t>review the access of their staff and any other users such as</w:t>
            </w:r>
          </w:p>
          <w:p w14:paraId="6F425A9E"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partnership workers that they are responsible for. Any</w:t>
            </w:r>
            <w:r>
              <w:rPr>
                <w:rFonts w:asciiTheme="minorHAnsi" w:hAnsiTheme="minorHAnsi" w:cstheme="minorHAnsi"/>
              </w:rPr>
              <w:t xml:space="preserve"> </w:t>
            </w:r>
            <w:r w:rsidRPr="000F2672">
              <w:rPr>
                <w:rFonts w:asciiTheme="minorHAnsi" w:hAnsiTheme="minorHAnsi" w:cstheme="minorHAnsi"/>
              </w:rPr>
              <w:t>unnecessary access detected during these reviews should be</w:t>
            </w:r>
            <w:r>
              <w:rPr>
                <w:rFonts w:asciiTheme="minorHAnsi" w:hAnsiTheme="minorHAnsi" w:cstheme="minorHAnsi"/>
              </w:rPr>
              <w:t xml:space="preserve"> </w:t>
            </w:r>
            <w:r w:rsidRPr="000F2672">
              <w:rPr>
                <w:rFonts w:asciiTheme="minorHAnsi" w:hAnsiTheme="minorHAnsi" w:cstheme="minorHAnsi"/>
              </w:rPr>
              <w:t>removed from relevant individuals.</w:t>
            </w:r>
          </w:p>
          <w:p w14:paraId="5F9B6346" w14:textId="77777777" w:rsidR="00966545" w:rsidRPr="000F2672" w:rsidRDefault="00966545" w:rsidP="00B70FC0">
            <w:pPr>
              <w:rPr>
                <w:rFonts w:asciiTheme="minorHAnsi" w:hAnsiTheme="minorHAnsi" w:cstheme="minorHAnsi"/>
              </w:rPr>
            </w:pPr>
            <w:r w:rsidRPr="000F2672">
              <w:rPr>
                <w:rFonts w:asciiTheme="minorHAnsi" w:hAnsiTheme="minorHAnsi" w:cstheme="minorHAnsi"/>
              </w:rPr>
              <w:t>As the Force is implementing SailPoint across its employees, it</w:t>
            </w:r>
            <w:r>
              <w:rPr>
                <w:rFonts w:asciiTheme="minorHAnsi" w:hAnsiTheme="minorHAnsi" w:cstheme="minorHAnsi"/>
              </w:rPr>
              <w:t xml:space="preserve"> </w:t>
            </w:r>
            <w:r w:rsidRPr="000F2672">
              <w:rPr>
                <w:rFonts w:asciiTheme="minorHAnsi" w:hAnsiTheme="minorHAnsi" w:cstheme="minorHAnsi"/>
              </w:rPr>
              <w:t>should assess whether SailPoint could provide this service</w:t>
            </w:r>
            <w:r>
              <w:rPr>
                <w:rFonts w:asciiTheme="minorHAnsi" w:hAnsiTheme="minorHAnsi" w:cstheme="minorHAnsi"/>
              </w:rPr>
              <w:t xml:space="preserve"> </w:t>
            </w:r>
            <w:r w:rsidRPr="000F2672">
              <w:rPr>
                <w:rFonts w:asciiTheme="minorHAnsi" w:hAnsiTheme="minorHAnsi" w:cstheme="minorHAnsi"/>
              </w:rPr>
              <w:t>automatically. For users not covered by SailPoint alternative</w:t>
            </w:r>
            <w:r>
              <w:rPr>
                <w:rFonts w:asciiTheme="minorHAnsi" w:hAnsiTheme="minorHAnsi" w:cstheme="minorHAnsi"/>
              </w:rPr>
              <w:t xml:space="preserve"> </w:t>
            </w:r>
            <w:r w:rsidRPr="000F2672">
              <w:rPr>
                <w:rFonts w:asciiTheme="minorHAnsi" w:hAnsiTheme="minorHAnsi" w:cstheme="minorHAnsi"/>
              </w:rPr>
              <w:t>manual processes may be required proportionate to the risk.</w:t>
            </w:r>
          </w:p>
        </w:tc>
        <w:tc>
          <w:tcPr>
            <w:tcW w:w="1134" w:type="dxa"/>
            <w:shd w:val="clear" w:color="auto" w:fill="FFC000"/>
          </w:tcPr>
          <w:p w14:paraId="673C595B" w14:textId="77777777" w:rsidR="00966545" w:rsidRPr="000F2672" w:rsidRDefault="00966545" w:rsidP="00B70FC0">
            <w:pPr>
              <w:jc w:val="center"/>
              <w:rPr>
                <w:rFonts w:asciiTheme="minorHAnsi" w:hAnsiTheme="minorHAnsi" w:cstheme="minorHAnsi"/>
                <w:b/>
              </w:rPr>
            </w:pPr>
            <w:r w:rsidRPr="000F2672">
              <w:rPr>
                <w:rFonts w:asciiTheme="minorHAnsi" w:hAnsiTheme="minorHAnsi" w:cstheme="minorHAnsi"/>
                <w:b/>
              </w:rPr>
              <w:t>Medium</w:t>
            </w:r>
          </w:p>
        </w:tc>
        <w:tc>
          <w:tcPr>
            <w:tcW w:w="5387" w:type="dxa"/>
          </w:tcPr>
          <w:p w14:paraId="113CEB9A" w14:textId="77777777" w:rsidR="00966545" w:rsidRPr="000F2672" w:rsidRDefault="00966545" w:rsidP="00B70FC0">
            <w:pPr>
              <w:pStyle w:val="Default"/>
              <w:rPr>
                <w:rFonts w:asciiTheme="minorHAnsi" w:hAnsiTheme="minorHAnsi" w:cstheme="minorHAnsi"/>
                <w:bCs/>
                <w:sz w:val="22"/>
                <w:szCs w:val="22"/>
              </w:rPr>
            </w:pPr>
            <w:r w:rsidRPr="000F2672">
              <w:rPr>
                <w:rFonts w:asciiTheme="minorHAnsi" w:hAnsiTheme="minorHAnsi" w:cstheme="minorHAnsi"/>
                <w:bCs/>
                <w:sz w:val="22"/>
                <w:szCs w:val="22"/>
              </w:rPr>
              <w:t>This recommendation is broadly accepted by management as it is recognised that there are currently process in place to addr</w:t>
            </w:r>
            <w:r>
              <w:rPr>
                <w:rFonts w:asciiTheme="minorHAnsi" w:hAnsiTheme="minorHAnsi" w:cstheme="minorHAnsi"/>
                <w:bCs/>
                <w:sz w:val="22"/>
                <w:szCs w:val="22"/>
              </w:rPr>
              <w:t xml:space="preserve">ess this, they do not currently </w:t>
            </w:r>
            <w:r w:rsidRPr="000F2672">
              <w:rPr>
                <w:rFonts w:asciiTheme="minorHAnsi" w:hAnsiTheme="minorHAnsi" w:cstheme="minorHAnsi"/>
                <w:bCs/>
                <w:sz w:val="22"/>
                <w:szCs w:val="22"/>
              </w:rPr>
              <w:t>extend to this level of scrutiny. Therefore, although there will be oversight of this process within the annual information au</w:t>
            </w:r>
            <w:r>
              <w:rPr>
                <w:rFonts w:asciiTheme="minorHAnsi" w:hAnsiTheme="minorHAnsi" w:cstheme="minorHAnsi"/>
                <w:bCs/>
                <w:sz w:val="22"/>
                <w:szCs w:val="22"/>
              </w:rPr>
              <w:t xml:space="preserve">ditor plans and role (due to be </w:t>
            </w:r>
            <w:r w:rsidRPr="000F2672">
              <w:rPr>
                <w:rFonts w:asciiTheme="minorHAnsi" w:hAnsiTheme="minorHAnsi" w:cstheme="minorHAnsi"/>
                <w:bCs/>
                <w:sz w:val="22"/>
                <w:szCs w:val="22"/>
              </w:rPr>
              <w:t xml:space="preserve">implemented by the end of the 2024 calendar year), this in-depth level of scrutiny will be fully implemented once we </w:t>
            </w:r>
            <w:r>
              <w:rPr>
                <w:rFonts w:asciiTheme="minorHAnsi" w:hAnsiTheme="minorHAnsi" w:cstheme="minorHAnsi"/>
                <w:bCs/>
                <w:sz w:val="22"/>
                <w:szCs w:val="22"/>
              </w:rPr>
              <w:t xml:space="preserve">have the correct JML and access </w:t>
            </w:r>
            <w:r w:rsidRPr="000F2672">
              <w:rPr>
                <w:rFonts w:asciiTheme="minorHAnsi" w:hAnsiTheme="minorHAnsi" w:cstheme="minorHAnsi"/>
                <w:bCs/>
                <w:sz w:val="22"/>
                <w:szCs w:val="22"/>
              </w:rPr>
              <w:t>controls processes in place which will be managed automatically via the implementation of ITSM tool in December 2025. The source information reviews (a</w:t>
            </w:r>
          </w:p>
          <w:p w14:paraId="7EBD4571" w14:textId="77777777" w:rsidR="008E626D" w:rsidRDefault="00966545" w:rsidP="008E626D">
            <w:pPr>
              <w:pStyle w:val="Default"/>
              <w:rPr>
                <w:rFonts w:asciiTheme="minorHAnsi" w:hAnsiTheme="minorHAnsi" w:cstheme="minorHAnsi"/>
                <w:bCs/>
                <w:sz w:val="22"/>
                <w:szCs w:val="22"/>
              </w:rPr>
            </w:pPr>
            <w:r w:rsidRPr="000F2672">
              <w:rPr>
                <w:rFonts w:asciiTheme="minorHAnsi" w:hAnsiTheme="minorHAnsi" w:cstheme="minorHAnsi"/>
                <w:bCs/>
                <w:sz w:val="22"/>
                <w:szCs w:val="22"/>
              </w:rPr>
              <w:t>required prerequisite) will begin when the new information assurance structure is in place, this will inform the data utilised within the ITSM tool.</w:t>
            </w:r>
          </w:p>
          <w:p w14:paraId="1A345432" w14:textId="77777777" w:rsidR="004F0A64" w:rsidRDefault="004F0A64" w:rsidP="008E626D">
            <w:pPr>
              <w:pStyle w:val="Default"/>
              <w:rPr>
                <w:rFonts w:asciiTheme="minorHAnsi" w:hAnsiTheme="minorHAnsi" w:cstheme="minorHAnsi"/>
                <w:bCs/>
                <w:sz w:val="22"/>
                <w:szCs w:val="22"/>
              </w:rPr>
            </w:pPr>
          </w:p>
          <w:p w14:paraId="692729DE" w14:textId="1CEA6484" w:rsidR="00095428" w:rsidRPr="00095428" w:rsidRDefault="00095428" w:rsidP="00095428">
            <w:pPr>
              <w:rPr>
                <w:rFonts w:ascii="Calibri" w:hAnsi="Calibri" w:cs="Calibri"/>
                <w:color w:val="000000" w:themeColor="text1"/>
              </w:rPr>
            </w:pPr>
            <w:r w:rsidRPr="00262270">
              <w:rPr>
                <w:rFonts w:ascii="Calibri" w:hAnsi="Calibri" w:cs="Calibri"/>
                <w:b/>
                <w:bCs/>
                <w:color w:val="000000" w:themeColor="text1"/>
              </w:rPr>
              <w:t>May 25</w:t>
            </w:r>
            <w:r w:rsidRPr="00095428">
              <w:rPr>
                <w:rFonts w:ascii="Calibri" w:hAnsi="Calibri" w:cs="Calibri"/>
                <w:color w:val="000000" w:themeColor="text1"/>
              </w:rPr>
              <w:t xml:space="preserve"> </w:t>
            </w:r>
            <w:r>
              <w:rPr>
                <w:rFonts w:ascii="Calibri" w:hAnsi="Calibri" w:cs="Calibri"/>
                <w:color w:val="000000" w:themeColor="text1"/>
              </w:rPr>
              <w:t>– TKJ update</w:t>
            </w:r>
            <w:r w:rsidRPr="00095428">
              <w:rPr>
                <w:rFonts w:ascii="Calibri" w:hAnsi="Calibri" w:cs="Calibri"/>
                <w:color w:val="000000" w:themeColor="text1"/>
              </w:rPr>
              <w:t xml:space="preserve"> I've requested that this is the next audit we complete. The Audit Manager and Auditor have started. They have carried out an initial Locker Audit just to get in the swing of things so Audit activity will be in full swing soon. By 30/06 the audit will be underway by then or be in the process of reporting back to SIRO.</w:t>
            </w:r>
          </w:p>
        </w:tc>
        <w:tc>
          <w:tcPr>
            <w:tcW w:w="1559" w:type="dxa"/>
          </w:tcPr>
          <w:p w14:paraId="1E7E08F6" w14:textId="77777777" w:rsidR="00966545" w:rsidRPr="000F2672" w:rsidRDefault="00966545" w:rsidP="00B70FC0">
            <w:pPr>
              <w:autoSpaceDE w:val="0"/>
              <w:autoSpaceDN w:val="0"/>
              <w:adjustRightInd w:val="0"/>
              <w:rPr>
                <w:rFonts w:asciiTheme="minorHAnsi" w:hAnsiTheme="minorHAnsi" w:cstheme="minorHAnsi"/>
                <w:color w:val="464B4B"/>
              </w:rPr>
            </w:pPr>
            <w:r w:rsidRPr="000F2672">
              <w:rPr>
                <w:rFonts w:asciiTheme="minorHAnsi" w:hAnsiTheme="minorHAnsi" w:cstheme="minorHAnsi"/>
                <w:color w:val="464B4B"/>
              </w:rPr>
              <w:t>Trina Kightley-Jones, Head</w:t>
            </w:r>
          </w:p>
          <w:p w14:paraId="642A7AA4" w14:textId="77777777" w:rsidR="00966545" w:rsidRPr="000F2672" w:rsidRDefault="00966545" w:rsidP="00B70FC0">
            <w:pPr>
              <w:pStyle w:val="Default"/>
              <w:rPr>
                <w:rFonts w:asciiTheme="minorHAnsi" w:hAnsiTheme="minorHAnsi" w:cstheme="minorHAnsi"/>
                <w:color w:val="464B4B"/>
                <w:sz w:val="22"/>
                <w:szCs w:val="22"/>
              </w:rPr>
            </w:pPr>
            <w:r w:rsidRPr="000F2672">
              <w:rPr>
                <w:rFonts w:asciiTheme="minorHAnsi" w:hAnsiTheme="minorHAnsi" w:cstheme="minorHAnsi"/>
                <w:color w:val="464B4B"/>
                <w:sz w:val="22"/>
                <w:szCs w:val="22"/>
              </w:rPr>
              <w:t>of Information Assurance</w:t>
            </w:r>
          </w:p>
          <w:p w14:paraId="562814B8" w14:textId="77777777" w:rsidR="004F0A64" w:rsidRDefault="004F0A64" w:rsidP="00B70FC0">
            <w:pPr>
              <w:pStyle w:val="Default"/>
              <w:rPr>
                <w:rFonts w:asciiTheme="minorHAnsi" w:hAnsiTheme="minorHAnsi" w:cstheme="minorHAnsi"/>
                <w:color w:val="464B4B"/>
                <w:sz w:val="22"/>
                <w:szCs w:val="22"/>
              </w:rPr>
            </w:pPr>
          </w:p>
          <w:p w14:paraId="2036E577" w14:textId="77777777" w:rsidR="004F0A64" w:rsidRDefault="004F0A64" w:rsidP="00B70FC0">
            <w:pPr>
              <w:pStyle w:val="Default"/>
              <w:rPr>
                <w:rFonts w:asciiTheme="minorHAnsi" w:hAnsiTheme="minorHAnsi" w:cstheme="minorHAnsi"/>
                <w:color w:val="464B4B"/>
                <w:sz w:val="22"/>
                <w:szCs w:val="22"/>
              </w:rPr>
            </w:pPr>
          </w:p>
          <w:p w14:paraId="2D54A700" w14:textId="77777777" w:rsidR="004F0A64" w:rsidRDefault="004F0A64" w:rsidP="00B70FC0">
            <w:pPr>
              <w:pStyle w:val="Default"/>
              <w:rPr>
                <w:rFonts w:asciiTheme="minorHAnsi" w:hAnsiTheme="minorHAnsi" w:cstheme="minorHAnsi"/>
                <w:color w:val="464B4B"/>
                <w:sz w:val="22"/>
                <w:szCs w:val="22"/>
              </w:rPr>
            </w:pPr>
          </w:p>
          <w:p w14:paraId="06294548" w14:textId="77777777" w:rsidR="004F0A64" w:rsidRDefault="004F0A64" w:rsidP="00B70FC0">
            <w:pPr>
              <w:pStyle w:val="Default"/>
              <w:rPr>
                <w:rFonts w:asciiTheme="minorHAnsi" w:hAnsiTheme="minorHAnsi" w:cstheme="minorHAnsi"/>
                <w:color w:val="464B4B"/>
                <w:sz w:val="22"/>
                <w:szCs w:val="22"/>
              </w:rPr>
            </w:pPr>
          </w:p>
          <w:p w14:paraId="39D5A00A" w14:textId="77777777" w:rsidR="004F0A64" w:rsidRDefault="004F0A64" w:rsidP="00B70FC0">
            <w:pPr>
              <w:pStyle w:val="Default"/>
              <w:rPr>
                <w:rFonts w:asciiTheme="minorHAnsi" w:hAnsiTheme="minorHAnsi" w:cstheme="minorHAnsi"/>
                <w:color w:val="464B4B"/>
                <w:sz w:val="22"/>
                <w:szCs w:val="22"/>
              </w:rPr>
            </w:pPr>
          </w:p>
          <w:p w14:paraId="102C6B38" w14:textId="77777777" w:rsidR="004F0A64" w:rsidRDefault="004F0A64" w:rsidP="00B70FC0">
            <w:pPr>
              <w:pStyle w:val="Default"/>
              <w:rPr>
                <w:rFonts w:asciiTheme="minorHAnsi" w:hAnsiTheme="minorHAnsi" w:cstheme="minorHAnsi"/>
                <w:color w:val="464B4B"/>
                <w:sz w:val="22"/>
                <w:szCs w:val="22"/>
              </w:rPr>
            </w:pPr>
          </w:p>
          <w:p w14:paraId="66E7DEE8" w14:textId="77777777" w:rsidR="004F0A64" w:rsidRDefault="004F0A64" w:rsidP="00B70FC0">
            <w:pPr>
              <w:pStyle w:val="Default"/>
              <w:rPr>
                <w:rFonts w:asciiTheme="minorHAnsi" w:hAnsiTheme="minorHAnsi" w:cstheme="minorHAnsi"/>
                <w:color w:val="464B4B"/>
                <w:sz w:val="22"/>
                <w:szCs w:val="22"/>
              </w:rPr>
            </w:pPr>
          </w:p>
          <w:p w14:paraId="2C770BE6" w14:textId="77777777" w:rsidR="004F0A64" w:rsidRDefault="004F0A64" w:rsidP="00B70FC0">
            <w:pPr>
              <w:pStyle w:val="Default"/>
              <w:rPr>
                <w:rFonts w:asciiTheme="minorHAnsi" w:hAnsiTheme="minorHAnsi" w:cstheme="minorHAnsi"/>
                <w:color w:val="464B4B"/>
                <w:sz w:val="22"/>
                <w:szCs w:val="22"/>
              </w:rPr>
            </w:pPr>
          </w:p>
          <w:p w14:paraId="7E59F8DE" w14:textId="77777777" w:rsidR="004F0A64" w:rsidRDefault="004F0A64" w:rsidP="00B70FC0">
            <w:pPr>
              <w:pStyle w:val="Default"/>
              <w:rPr>
                <w:rFonts w:asciiTheme="minorHAnsi" w:hAnsiTheme="minorHAnsi" w:cstheme="minorHAnsi"/>
                <w:color w:val="464B4B"/>
                <w:sz w:val="22"/>
                <w:szCs w:val="22"/>
              </w:rPr>
            </w:pPr>
          </w:p>
          <w:p w14:paraId="7F858352" w14:textId="77777777" w:rsidR="004F0A64" w:rsidRDefault="004F0A64" w:rsidP="00B70FC0">
            <w:pPr>
              <w:pStyle w:val="Default"/>
              <w:rPr>
                <w:rFonts w:asciiTheme="minorHAnsi" w:hAnsiTheme="minorHAnsi" w:cstheme="minorHAnsi"/>
                <w:color w:val="464B4B"/>
                <w:sz w:val="22"/>
                <w:szCs w:val="22"/>
              </w:rPr>
            </w:pPr>
          </w:p>
          <w:p w14:paraId="233EDC89" w14:textId="77777777" w:rsidR="004F0A64" w:rsidRDefault="004F0A64" w:rsidP="00B70FC0">
            <w:pPr>
              <w:pStyle w:val="Default"/>
              <w:rPr>
                <w:rFonts w:asciiTheme="minorHAnsi" w:hAnsiTheme="minorHAnsi" w:cstheme="minorHAnsi"/>
                <w:color w:val="464B4B"/>
                <w:sz w:val="22"/>
                <w:szCs w:val="22"/>
              </w:rPr>
            </w:pPr>
          </w:p>
          <w:p w14:paraId="21E75D10" w14:textId="77777777" w:rsidR="004F0A64" w:rsidRDefault="004F0A64" w:rsidP="00B70FC0">
            <w:pPr>
              <w:pStyle w:val="Default"/>
              <w:rPr>
                <w:rFonts w:asciiTheme="minorHAnsi" w:hAnsiTheme="minorHAnsi" w:cstheme="minorHAnsi"/>
                <w:color w:val="464B4B"/>
                <w:sz w:val="22"/>
                <w:szCs w:val="22"/>
              </w:rPr>
            </w:pPr>
          </w:p>
          <w:p w14:paraId="0E26D3D9" w14:textId="3D9F4358" w:rsidR="00966545" w:rsidRPr="000F2672" w:rsidRDefault="00966545" w:rsidP="00B70FC0">
            <w:pPr>
              <w:pStyle w:val="Default"/>
              <w:rPr>
                <w:rFonts w:asciiTheme="minorHAnsi" w:hAnsiTheme="minorHAnsi" w:cstheme="minorHAnsi"/>
                <w:color w:val="000000" w:themeColor="text1"/>
                <w:sz w:val="22"/>
                <w:szCs w:val="22"/>
              </w:rPr>
            </w:pPr>
            <w:r w:rsidRPr="000F2672">
              <w:rPr>
                <w:rFonts w:asciiTheme="minorHAnsi" w:hAnsiTheme="minorHAnsi" w:cstheme="minorHAnsi"/>
                <w:color w:val="464B4B"/>
                <w:sz w:val="22"/>
                <w:szCs w:val="22"/>
              </w:rPr>
              <w:t>31</w:t>
            </w:r>
            <w:r w:rsidRPr="000F2672">
              <w:rPr>
                <w:rFonts w:asciiTheme="minorHAnsi" w:hAnsiTheme="minorHAnsi" w:cstheme="minorHAnsi"/>
                <w:color w:val="464B4B"/>
                <w:sz w:val="22"/>
                <w:szCs w:val="22"/>
                <w:vertAlign w:val="superscript"/>
              </w:rPr>
              <w:t>st</w:t>
            </w:r>
            <w:r w:rsidRPr="000F2672">
              <w:rPr>
                <w:rFonts w:asciiTheme="minorHAnsi" w:hAnsiTheme="minorHAnsi" w:cstheme="minorHAnsi"/>
                <w:color w:val="464B4B"/>
                <w:sz w:val="22"/>
                <w:szCs w:val="22"/>
              </w:rPr>
              <w:t xml:space="preserve"> Dec 2025</w:t>
            </w:r>
          </w:p>
        </w:tc>
        <w:tc>
          <w:tcPr>
            <w:tcW w:w="850" w:type="dxa"/>
            <w:shd w:val="clear" w:color="auto" w:fill="FFC000"/>
          </w:tcPr>
          <w:p w14:paraId="0299DCB0" w14:textId="77777777" w:rsidR="00966545" w:rsidRPr="005F5142" w:rsidRDefault="00966545" w:rsidP="00B70FC0">
            <w:pPr>
              <w:spacing w:line="276" w:lineRule="auto"/>
              <w:rPr>
                <w:rFonts w:asciiTheme="minorHAnsi" w:hAnsiTheme="minorHAnsi" w:cstheme="minorHAnsi"/>
                <w:b/>
                <w:color w:val="FF0000"/>
              </w:rPr>
            </w:pPr>
          </w:p>
        </w:tc>
      </w:tr>
      <w:bookmarkEnd w:id="7"/>
    </w:tbl>
    <w:p w14:paraId="73AC4C77" w14:textId="6DD13766" w:rsidR="00233E7B" w:rsidRDefault="00233E7B" w:rsidP="00966545">
      <w:pPr>
        <w:spacing w:after="200" w:line="276" w:lineRule="auto"/>
        <w:rPr>
          <w:rFonts w:cstheme="minorHAnsi"/>
          <w:b/>
          <w:bCs/>
          <w:color w:val="000000"/>
        </w:rPr>
      </w:pPr>
    </w:p>
    <w:p w14:paraId="43D24856" w14:textId="77777777" w:rsidR="004F0A64" w:rsidRDefault="004F0A64" w:rsidP="00966545">
      <w:pPr>
        <w:spacing w:after="200" w:line="276" w:lineRule="auto"/>
        <w:rPr>
          <w:rFonts w:cstheme="minorHAnsi"/>
          <w:b/>
          <w:bCs/>
          <w:color w:val="000000"/>
        </w:rPr>
      </w:pPr>
    </w:p>
    <w:p w14:paraId="7DA2FDD2" w14:textId="77777777" w:rsidR="004F0A64" w:rsidRDefault="004F0A64" w:rsidP="00966545">
      <w:pPr>
        <w:spacing w:after="200" w:line="276" w:lineRule="auto"/>
        <w:rPr>
          <w:rFonts w:cstheme="minorHAnsi"/>
          <w:b/>
          <w:bCs/>
          <w:color w:val="000000"/>
        </w:rPr>
      </w:pPr>
    </w:p>
    <w:p w14:paraId="52825D61" w14:textId="77777777" w:rsidR="004F0A64" w:rsidRDefault="004F0A64" w:rsidP="00966545">
      <w:pPr>
        <w:spacing w:after="200" w:line="276" w:lineRule="auto"/>
        <w:rPr>
          <w:rFonts w:cstheme="minorHAnsi"/>
          <w:b/>
          <w:bCs/>
          <w:color w:val="000000"/>
        </w:rPr>
      </w:pPr>
    </w:p>
    <w:p w14:paraId="487ED025" w14:textId="7A0ECAF2" w:rsidR="00966545" w:rsidRDefault="00966545" w:rsidP="00966545">
      <w:pPr>
        <w:spacing w:after="200" w:line="276" w:lineRule="auto"/>
        <w:rPr>
          <w:rFonts w:cstheme="minorHAnsi"/>
          <w:b/>
          <w:bCs/>
          <w:color w:val="000000"/>
        </w:rPr>
      </w:pPr>
      <w:r>
        <w:rPr>
          <w:rFonts w:cstheme="minorHAnsi"/>
          <w:b/>
          <w:bCs/>
          <w:color w:val="000000"/>
        </w:rPr>
        <w:lastRenderedPageBreak/>
        <w:t xml:space="preserve">Identity Access Management </w:t>
      </w:r>
      <w:r w:rsidR="00720080">
        <w:rPr>
          <w:rFonts w:cstheme="minorHAnsi"/>
          <w:b/>
          <w:bCs/>
          <w:color w:val="000000"/>
        </w:rPr>
        <w:t xml:space="preserve">(Joint) </w:t>
      </w:r>
      <w:r>
        <w:rPr>
          <w:rFonts w:cstheme="minorHAnsi"/>
          <w:b/>
          <w:bCs/>
          <w:color w:val="000000"/>
        </w:rPr>
        <w:t>– June 2024 (Limited compliance)</w:t>
      </w:r>
    </w:p>
    <w:tbl>
      <w:tblPr>
        <w:tblStyle w:val="TableGrid1"/>
        <w:tblW w:w="15309" w:type="dxa"/>
        <w:tblInd w:w="-572" w:type="dxa"/>
        <w:tblLook w:val="04A0" w:firstRow="1" w:lastRow="0" w:firstColumn="1" w:lastColumn="0" w:noHBand="0" w:noVBand="1"/>
      </w:tblPr>
      <w:tblGrid>
        <w:gridCol w:w="399"/>
        <w:gridCol w:w="3712"/>
        <w:gridCol w:w="2410"/>
        <w:gridCol w:w="1134"/>
        <w:gridCol w:w="5245"/>
        <w:gridCol w:w="1559"/>
        <w:gridCol w:w="850"/>
      </w:tblGrid>
      <w:tr w:rsidR="00966545" w:rsidRPr="00291B4B" w14:paraId="05188F5D" w14:textId="77777777" w:rsidTr="00A778F2">
        <w:tc>
          <w:tcPr>
            <w:tcW w:w="399" w:type="dxa"/>
            <w:shd w:val="clear" w:color="auto" w:fill="632E9E"/>
          </w:tcPr>
          <w:p w14:paraId="057A1090"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 xml:space="preserve">   </w:t>
            </w:r>
          </w:p>
        </w:tc>
        <w:tc>
          <w:tcPr>
            <w:tcW w:w="3712" w:type="dxa"/>
            <w:shd w:val="clear" w:color="auto" w:fill="632E9E"/>
          </w:tcPr>
          <w:p w14:paraId="36DA21AE"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694AE0FB"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8A5F60A"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Priority</w:t>
            </w:r>
          </w:p>
        </w:tc>
        <w:tc>
          <w:tcPr>
            <w:tcW w:w="5245" w:type="dxa"/>
            <w:shd w:val="clear" w:color="auto" w:fill="632E9E"/>
          </w:tcPr>
          <w:p w14:paraId="11DCDD50"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61230D51" w14:textId="77777777" w:rsidR="00966545" w:rsidRPr="00291B4B" w:rsidRDefault="00966545"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18C2D2AA" w14:textId="77777777" w:rsidR="00966545" w:rsidRPr="00291B4B" w:rsidRDefault="00966545" w:rsidP="00B70FC0">
            <w:pPr>
              <w:spacing w:line="276" w:lineRule="auto"/>
              <w:rPr>
                <w:b/>
                <w:color w:val="FFFFFF" w:themeColor="background1"/>
                <w:sz w:val="16"/>
                <w:szCs w:val="16"/>
              </w:rPr>
            </w:pPr>
            <w:r w:rsidRPr="00291B4B">
              <w:rPr>
                <w:b/>
                <w:color w:val="FFFFFF" w:themeColor="background1"/>
                <w:sz w:val="16"/>
                <w:szCs w:val="16"/>
              </w:rPr>
              <w:t>Status</w:t>
            </w:r>
          </w:p>
        </w:tc>
      </w:tr>
      <w:tr w:rsidR="00966545" w:rsidRPr="005F5142" w14:paraId="5B971979" w14:textId="77777777" w:rsidTr="004063F2">
        <w:trPr>
          <w:trHeight w:val="557"/>
        </w:trPr>
        <w:tc>
          <w:tcPr>
            <w:tcW w:w="399" w:type="dxa"/>
            <w:tcMar>
              <w:left w:w="57" w:type="dxa"/>
              <w:right w:w="57" w:type="dxa"/>
            </w:tcMar>
          </w:tcPr>
          <w:p w14:paraId="1A40A0D4" w14:textId="77777777" w:rsidR="00966545" w:rsidRPr="005F5142" w:rsidRDefault="00966545" w:rsidP="00B70FC0">
            <w:pPr>
              <w:rPr>
                <w:rFonts w:asciiTheme="minorHAnsi" w:hAnsiTheme="minorHAnsi" w:cstheme="minorHAnsi"/>
                <w:b/>
              </w:rPr>
            </w:pPr>
            <w:r>
              <w:rPr>
                <w:rFonts w:asciiTheme="minorHAnsi" w:hAnsiTheme="minorHAnsi" w:cstheme="minorHAnsi"/>
                <w:b/>
              </w:rPr>
              <w:t>2.</w:t>
            </w:r>
          </w:p>
        </w:tc>
        <w:tc>
          <w:tcPr>
            <w:tcW w:w="3712" w:type="dxa"/>
          </w:tcPr>
          <w:p w14:paraId="3C66A7C7" w14:textId="77777777" w:rsidR="00966545" w:rsidRPr="00180DF0" w:rsidRDefault="00966545" w:rsidP="00B70FC0">
            <w:pPr>
              <w:pStyle w:val="Default"/>
              <w:rPr>
                <w:b/>
                <w:bCs/>
                <w:color w:val="auto"/>
                <w:sz w:val="22"/>
                <w:szCs w:val="22"/>
              </w:rPr>
            </w:pPr>
            <w:r w:rsidRPr="00180DF0">
              <w:rPr>
                <w:b/>
                <w:bCs/>
                <w:color w:val="auto"/>
                <w:sz w:val="22"/>
                <w:szCs w:val="22"/>
              </w:rPr>
              <w:t>Multifactor Authentication for Fire AD Accounts</w:t>
            </w:r>
          </w:p>
          <w:p w14:paraId="493F5110" w14:textId="77777777" w:rsidR="00966545" w:rsidRPr="00180DF0" w:rsidRDefault="00966545" w:rsidP="00B70FC0">
            <w:pPr>
              <w:pStyle w:val="Default"/>
              <w:rPr>
                <w:color w:val="auto"/>
                <w:sz w:val="22"/>
                <w:szCs w:val="22"/>
              </w:rPr>
            </w:pPr>
            <w:r w:rsidRPr="00180DF0">
              <w:rPr>
                <w:color w:val="auto"/>
                <w:sz w:val="22"/>
                <w:szCs w:val="22"/>
              </w:rPr>
              <w:t>Multifactor Authentication (MFA) provides additional layers of authentication beyond passwords, that attackers must also breach should passwords become known to them. Best practice frameworks such as Cyber Essentials recommend that MFA is applied where available, and always for cloud services. Accounts within the Police Service Windows AD domain have MFA configured, however, the process to enable this for Fire Service AD accounts is still ongoing.</w:t>
            </w:r>
          </w:p>
          <w:p w14:paraId="1D15AF80" w14:textId="77777777" w:rsidR="00966545" w:rsidRPr="00180DF0" w:rsidRDefault="00966545" w:rsidP="00B70FC0">
            <w:pPr>
              <w:pStyle w:val="Default"/>
              <w:rPr>
                <w:color w:val="auto"/>
                <w:sz w:val="22"/>
                <w:szCs w:val="22"/>
              </w:rPr>
            </w:pPr>
            <w:r w:rsidRPr="00180DF0">
              <w:rPr>
                <w:b/>
                <w:color w:val="auto"/>
                <w:sz w:val="22"/>
                <w:szCs w:val="22"/>
              </w:rPr>
              <w:t>Risk and Impact:</w:t>
            </w:r>
            <w:r w:rsidRPr="00180DF0">
              <w:rPr>
                <w:color w:val="auto"/>
                <w:sz w:val="22"/>
                <w:szCs w:val="22"/>
              </w:rPr>
              <w:t xml:space="preserve"> Should the passwords for Fire Service user accounts be determined in a security attack, such as through the use of malware, these accounts could be accessed resulting a severe security breach that could be used to access data across the network.</w:t>
            </w:r>
          </w:p>
        </w:tc>
        <w:tc>
          <w:tcPr>
            <w:tcW w:w="2410" w:type="dxa"/>
          </w:tcPr>
          <w:p w14:paraId="63FA8F6C" w14:textId="77777777" w:rsidR="00966545" w:rsidRPr="00180DF0" w:rsidRDefault="00966545" w:rsidP="00B70FC0">
            <w:pPr>
              <w:rPr>
                <w:rFonts w:ascii="Calibri" w:hAnsi="Calibri" w:cs="Calibri"/>
              </w:rPr>
            </w:pPr>
            <w:r w:rsidRPr="00180DF0">
              <w:rPr>
                <w:rFonts w:ascii="Calibri" w:hAnsi="Calibri" w:cs="Calibri"/>
              </w:rPr>
              <w:t>NCFRA should continue the process of setting up MFA for Fire Service accounts, ensuring that all accounts are covered by this process.</w:t>
            </w:r>
          </w:p>
        </w:tc>
        <w:tc>
          <w:tcPr>
            <w:tcW w:w="1134" w:type="dxa"/>
            <w:shd w:val="clear" w:color="auto" w:fill="FFC000"/>
          </w:tcPr>
          <w:p w14:paraId="1E5D1ED8" w14:textId="77777777" w:rsidR="00966545" w:rsidRPr="00180DF0" w:rsidRDefault="00966545" w:rsidP="00B70FC0">
            <w:pPr>
              <w:jc w:val="center"/>
              <w:rPr>
                <w:rFonts w:ascii="Calibri" w:hAnsi="Calibri" w:cs="Calibri"/>
                <w:b/>
              </w:rPr>
            </w:pPr>
            <w:r w:rsidRPr="00180DF0">
              <w:rPr>
                <w:rFonts w:ascii="Calibri" w:hAnsi="Calibri" w:cs="Calibri"/>
                <w:b/>
              </w:rPr>
              <w:t>Medium</w:t>
            </w:r>
          </w:p>
        </w:tc>
        <w:tc>
          <w:tcPr>
            <w:tcW w:w="5245" w:type="dxa"/>
          </w:tcPr>
          <w:p w14:paraId="23BD6C10" w14:textId="3A0E78F3" w:rsidR="00966545" w:rsidRPr="00180DF0" w:rsidRDefault="00966545" w:rsidP="00B70FC0">
            <w:pPr>
              <w:pStyle w:val="Default"/>
              <w:rPr>
                <w:bCs/>
                <w:sz w:val="22"/>
                <w:szCs w:val="22"/>
              </w:rPr>
            </w:pPr>
            <w:r w:rsidRPr="00180DF0">
              <w:rPr>
                <w:bCs/>
                <w:sz w:val="22"/>
                <w:szCs w:val="22"/>
              </w:rPr>
              <w:t xml:space="preserve">We agree with the audit recommendation and acknowledge the importance of multifactor authentication for securing Fire Service accounts. As noted in the recommendation, we have started the process of implementing this security measure for administrative accounts and on a per project basis. The intention would be to enable this for accounts within EntraID. Full implementation will require executive support from the organisation </w:t>
            </w:r>
            <w:r w:rsidR="00976D17">
              <w:rPr>
                <w:bCs/>
                <w:sz w:val="22"/>
                <w:szCs w:val="22"/>
              </w:rPr>
              <w:t xml:space="preserve">and of other affiliated bodies. </w:t>
            </w:r>
            <w:r w:rsidRPr="00180DF0">
              <w:rPr>
                <w:bCs/>
                <w:sz w:val="22"/>
                <w:szCs w:val="22"/>
              </w:rPr>
              <w:t>We will commence this process, monitor the progress, and report any issues or challenges. A date has been set of 30/09/2024 subject to approval by the</w:t>
            </w:r>
          </w:p>
          <w:p w14:paraId="0B00716F" w14:textId="77777777" w:rsidR="00966545" w:rsidRDefault="00966545" w:rsidP="00B70FC0">
            <w:pPr>
              <w:pStyle w:val="Default"/>
              <w:rPr>
                <w:bCs/>
                <w:sz w:val="22"/>
                <w:szCs w:val="22"/>
              </w:rPr>
            </w:pPr>
            <w:r w:rsidRPr="00180DF0">
              <w:rPr>
                <w:bCs/>
                <w:sz w:val="22"/>
                <w:szCs w:val="22"/>
              </w:rPr>
              <w:t>organisation.</w:t>
            </w:r>
          </w:p>
          <w:p w14:paraId="704B3AD4" w14:textId="77777777" w:rsidR="004F0A64" w:rsidRDefault="004F0A64" w:rsidP="00B70FC0">
            <w:pPr>
              <w:pStyle w:val="Default"/>
              <w:rPr>
                <w:bCs/>
                <w:sz w:val="22"/>
                <w:szCs w:val="22"/>
              </w:rPr>
            </w:pPr>
          </w:p>
          <w:p w14:paraId="34E75E21" w14:textId="09A6B7DB" w:rsidR="004D5B7E" w:rsidRPr="00A778F2" w:rsidRDefault="004D5B7E" w:rsidP="00A778F2">
            <w:pPr>
              <w:pStyle w:val="Default"/>
              <w:rPr>
                <w:bCs/>
                <w:sz w:val="22"/>
                <w:szCs w:val="22"/>
              </w:rPr>
            </w:pPr>
            <w:r>
              <w:rPr>
                <w:b/>
                <w:bCs/>
                <w:sz w:val="22"/>
                <w:szCs w:val="22"/>
              </w:rPr>
              <w:t xml:space="preserve">13.1.25 </w:t>
            </w:r>
            <w:r w:rsidRPr="004D5B7E">
              <w:rPr>
                <w:bCs/>
                <w:sz w:val="22"/>
                <w:szCs w:val="22"/>
              </w:rPr>
              <w:t>YH update</w:t>
            </w:r>
            <w:r>
              <w:rPr>
                <w:bCs/>
                <w:sz w:val="22"/>
                <w:szCs w:val="22"/>
              </w:rPr>
              <w:t xml:space="preserve">. </w:t>
            </w:r>
            <w:r w:rsidRPr="004D5B7E">
              <w:rPr>
                <w:bCs/>
                <w:sz w:val="22"/>
                <w:szCs w:val="22"/>
              </w:rPr>
              <w:t xml:space="preserve">A request for this action to be extended to Jan 2025 has been approved. Digital Security Architect developing paper for approval. On track </w:t>
            </w:r>
          </w:p>
        </w:tc>
        <w:tc>
          <w:tcPr>
            <w:tcW w:w="1559" w:type="dxa"/>
          </w:tcPr>
          <w:p w14:paraId="2B12FA4C" w14:textId="77777777" w:rsidR="00966545" w:rsidRPr="00180DF0" w:rsidRDefault="00966545" w:rsidP="00B70FC0">
            <w:pPr>
              <w:pStyle w:val="Default"/>
              <w:rPr>
                <w:color w:val="000000" w:themeColor="text1"/>
                <w:sz w:val="22"/>
                <w:szCs w:val="22"/>
              </w:rPr>
            </w:pPr>
            <w:r w:rsidRPr="00180DF0">
              <w:rPr>
                <w:color w:val="000000" w:themeColor="text1"/>
                <w:sz w:val="22"/>
                <w:szCs w:val="22"/>
              </w:rPr>
              <w:t>Roy Cowper, Enterprise Architect</w:t>
            </w:r>
          </w:p>
          <w:p w14:paraId="1218F514" w14:textId="77777777" w:rsidR="00966545" w:rsidRPr="00180DF0" w:rsidRDefault="00966545" w:rsidP="00B70FC0">
            <w:pPr>
              <w:pStyle w:val="Default"/>
              <w:rPr>
                <w:color w:val="000000" w:themeColor="text1"/>
                <w:sz w:val="22"/>
                <w:szCs w:val="22"/>
              </w:rPr>
            </w:pPr>
          </w:p>
          <w:p w14:paraId="2E5C5F6E" w14:textId="77777777" w:rsidR="00966545" w:rsidRDefault="00966545" w:rsidP="00B70FC0">
            <w:pPr>
              <w:pStyle w:val="Default"/>
              <w:rPr>
                <w:color w:val="000000" w:themeColor="text1"/>
                <w:sz w:val="22"/>
                <w:szCs w:val="22"/>
              </w:rPr>
            </w:pPr>
            <w:r w:rsidRPr="00180DF0">
              <w:rPr>
                <w:color w:val="000000" w:themeColor="text1"/>
                <w:sz w:val="22"/>
                <w:szCs w:val="22"/>
              </w:rPr>
              <w:t>30th Sept 2024</w:t>
            </w:r>
          </w:p>
          <w:p w14:paraId="49B07B6B" w14:textId="77777777" w:rsidR="00400B38" w:rsidRDefault="00400B38" w:rsidP="00B70FC0">
            <w:pPr>
              <w:pStyle w:val="Default"/>
              <w:rPr>
                <w:color w:val="000000" w:themeColor="text1"/>
                <w:sz w:val="22"/>
                <w:szCs w:val="22"/>
              </w:rPr>
            </w:pPr>
          </w:p>
          <w:p w14:paraId="2BE1EA26" w14:textId="77777777" w:rsidR="00400B38" w:rsidRDefault="00400B38" w:rsidP="00B70FC0">
            <w:pPr>
              <w:pStyle w:val="Default"/>
              <w:rPr>
                <w:color w:val="000000" w:themeColor="text1"/>
                <w:sz w:val="22"/>
                <w:szCs w:val="22"/>
              </w:rPr>
            </w:pPr>
          </w:p>
          <w:p w14:paraId="04D7CDEE" w14:textId="77777777" w:rsidR="00400B38" w:rsidRDefault="00400B38" w:rsidP="00B70FC0">
            <w:pPr>
              <w:pStyle w:val="Default"/>
              <w:rPr>
                <w:color w:val="000000" w:themeColor="text1"/>
                <w:sz w:val="22"/>
                <w:szCs w:val="22"/>
              </w:rPr>
            </w:pPr>
          </w:p>
          <w:p w14:paraId="3AC15939" w14:textId="77777777" w:rsidR="00400B38" w:rsidRDefault="00400B38" w:rsidP="00B70FC0">
            <w:pPr>
              <w:pStyle w:val="Default"/>
              <w:rPr>
                <w:color w:val="000000" w:themeColor="text1"/>
                <w:sz w:val="22"/>
                <w:szCs w:val="22"/>
              </w:rPr>
            </w:pPr>
          </w:p>
          <w:p w14:paraId="67A7717E" w14:textId="77777777" w:rsidR="00400B38" w:rsidRDefault="00400B38" w:rsidP="00B70FC0">
            <w:pPr>
              <w:pStyle w:val="Default"/>
              <w:rPr>
                <w:color w:val="000000" w:themeColor="text1"/>
                <w:sz w:val="22"/>
                <w:szCs w:val="22"/>
              </w:rPr>
            </w:pPr>
          </w:p>
          <w:p w14:paraId="7F291479" w14:textId="77777777" w:rsidR="00400B38" w:rsidRDefault="00400B38" w:rsidP="00B70FC0">
            <w:pPr>
              <w:pStyle w:val="Default"/>
              <w:rPr>
                <w:color w:val="000000" w:themeColor="text1"/>
                <w:sz w:val="22"/>
                <w:szCs w:val="22"/>
              </w:rPr>
            </w:pPr>
          </w:p>
          <w:p w14:paraId="2CE2F417" w14:textId="77777777" w:rsidR="00400B38" w:rsidRDefault="00400B38" w:rsidP="00B70FC0">
            <w:pPr>
              <w:pStyle w:val="Default"/>
              <w:rPr>
                <w:color w:val="000000" w:themeColor="text1"/>
                <w:sz w:val="22"/>
                <w:szCs w:val="22"/>
              </w:rPr>
            </w:pPr>
          </w:p>
          <w:p w14:paraId="2E3BCDFD" w14:textId="77777777" w:rsidR="00400B38" w:rsidRDefault="00400B38" w:rsidP="00B70FC0">
            <w:pPr>
              <w:pStyle w:val="Default"/>
              <w:rPr>
                <w:color w:val="000000" w:themeColor="text1"/>
                <w:sz w:val="22"/>
                <w:szCs w:val="22"/>
              </w:rPr>
            </w:pPr>
          </w:p>
          <w:p w14:paraId="5359205F" w14:textId="77777777" w:rsidR="00400B38" w:rsidRDefault="00400B38" w:rsidP="00B70FC0">
            <w:pPr>
              <w:pStyle w:val="Default"/>
              <w:rPr>
                <w:color w:val="000000" w:themeColor="text1"/>
                <w:sz w:val="22"/>
                <w:szCs w:val="22"/>
              </w:rPr>
            </w:pPr>
            <w:r>
              <w:rPr>
                <w:color w:val="000000" w:themeColor="text1"/>
                <w:sz w:val="22"/>
                <w:szCs w:val="22"/>
              </w:rPr>
              <w:t>New due date</w:t>
            </w:r>
          </w:p>
          <w:p w14:paraId="627EADF8" w14:textId="3B69E6B1" w:rsidR="00400B38" w:rsidRPr="00180DF0" w:rsidRDefault="00586416" w:rsidP="00B70FC0">
            <w:pPr>
              <w:pStyle w:val="Default"/>
              <w:rPr>
                <w:color w:val="000000" w:themeColor="text1"/>
                <w:sz w:val="22"/>
                <w:szCs w:val="22"/>
              </w:rPr>
            </w:pPr>
            <w:r>
              <w:rPr>
                <w:color w:val="000000" w:themeColor="text1"/>
                <w:sz w:val="22"/>
                <w:szCs w:val="22"/>
              </w:rPr>
              <w:t>31</w:t>
            </w:r>
            <w:r w:rsidRPr="00586416">
              <w:rPr>
                <w:color w:val="000000" w:themeColor="text1"/>
                <w:sz w:val="22"/>
                <w:szCs w:val="22"/>
                <w:vertAlign w:val="superscript"/>
              </w:rPr>
              <w:t>st</w:t>
            </w:r>
            <w:r>
              <w:rPr>
                <w:color w:val="000000" w:themeColor="text1"/>
                <w:sz w:val="22"/>
                <w:szCs w:val="22"/>
              </w:rPr>
              <w:t xml:space="preserve"> Jan 2025</w:t>
            </w:r>
          </w:p>
        </w:tc>
        <w:tc>
          <w:tcPr>
            <w:tcW w:w="850" w:type="dxa"/>
            <w:shd w:val="clear" w:color="auto" w:fill="FFC000"/>
          </w:tcPr>
          <w:p w14:paraId="30E4FBA8" w14:textId="77777777" w:rsidR="00966545" w:rsidRPr="005F5142" w:rsidRDefault="00966545" w:rsidP="00B70FC0">
            <w:pPr>
              <w:spacing w:line="276" w:lineRule="auto"/>
              <w:rPr>
                <w:rFonts w:asciiTheme="minorHAnsi" w:hAnsiTheme="minorHAnsi" w:cstheme="minorHAnsi"/>
                <w:b/>
                <w:color w:val="FF0000"/>
              </w:rPr>
            </w:pPr>
          </w:p>
        </w:tc>
      </w:tr>
    </w:tbl>
    <w:p w14:paraId="759D0459" w14:textId="48BE4B6F" w:rsidR="00E905C6" w:rsidRDefault="00E905C6" w:rsidP="007F3A8B">
      <w:pPr>
        <w:spacing w:after="200" w:line="276" w:lineRule="auto"/>
        <w:rPr>
          <w:rFonts w:cstheme="minorHAnsi"/>
          <w:b/>
          <w:bCs/>
          <w:color w:val="000000"/>
        </w:rPr>
      </w:pPr>
    </w:p>
    <w:p w14:paraId="02A8B3DF" w14:textId="77777777" w:rsidR="004F0A64" w:rsidRDefault="004F0A64" w:rsidP="007F3A8B">
      <w:pPr>
        <w:spacing w:after="200" w:line="276" w:lineRule="auto"/>
        <w:rPr>
          <w:rFonts w:cstheme="minorHAnsi"/>
          <w:b/>
          <w:bCs/>
          <w:color w:val="000000"/>
        </w:rPr>
      </w:pPr>
    </w:p>
    <w:p w14:paraId="04239040" w14:textId="77777777" w:rsidR="004F0A64" w:rsidRDefault="004F0A64" w:rsidP="007F3A8B">
      <w:pPr>
        <w:spacing w:after="200" w:line="276" w:lineRule="auto"/>
        <w:rPr>
          <w:rFonts w:cstheme="minorHAnsi"/>
          <w:b/>
          <w:bCs/>
          <w:color w:val="000000"/>
        </w:rPr>
      </w:pPr>
    </w:p>
    <w:p w14:paraId="33039D09" w14:textId="77777777" w:rsidR="004F0A64" w:rsidRDefault="004F0A64" w:rsidP="007F3A8B">
      <w:pPr>
        <w:spacing w:after="200" w:line="276" w:lineRule="auto"/>
        <w:rPr>
          <w:rFonts w:cstheme="minorHAnsi"/>
          <w:b/>
          <w:bCs/>
          <w:color w:val="000000"/>
        </w:rPr>
      </w:pPr>
    </w:p>
    <w:p w14:paraId="65939AF7" w14:textId="77777777" w:rsidR="004F0A64" w:rsidRDefault="004F0A64" w:rsidP="007F3A8B">
      <w:pPr>
        <w:spacing w:after="200" w:line="276" w:lineRule="auto"/>
        <w:rPr>
          <w:rFonts w:cstheme="minorHAnsi"/>
          <w:b/>
          <w:bCs/>
          <w:color w:val="000000"/>
        </w:rPr>
      </w:pPr>
    </w:p>
    <w:p w14:paraId="16AB4777" w14:textId="2CF08EB0" w:rsidR="001D369F" w:rsidRDefault="001D369F" w:rsidP="001D369F">
      <w:pPr>
        <w:spacing w:after="200" w:line="276" w:lineRule="auto"/>
        <w:rPr>
          <w:rFonts w:cstheme="minorHAnsi"/>
          <w:b/>
          <w:bCs/>
          <w:color w:val="000000"/>
        </w:rPr>
      </w:pPr>
      <w:r>
        <w:rPr>
          <w:rFonts w:cstheme="minorHAnsi"/>
          <w:b/>
          <w:bCs/>
          <w:color w:val="000000"/>
        </w:rPr>
        <w:lastRenderedPageBreak/>
        <w:t>Identity Access Management</w:t>
      </w:r>
      <w:r w:rsidR="00720080">
        <w:rPr>
          <w:rFonts w:cstheme="minorHAnsi"/>
          <w:b/>
          <w:bCs/>
          <w:color w:val="000000"/>
        </w:rPr>
        <w:t xml:space="preserve"> (Joint)</w:t>
      </w:r>
      <w:r>
        <w:rPr>
          <w:rFonts w:cstheme="minorHAnsi"/>
          <w:b/>
          <w:bCs/>
          <w:color w:val="000000"/>
        </w:rPr>
        <w:t xml:space="preserve"> – June 2024 (Limited compliance)</w:t>
      </w:r>
    </w:p>
    <w:tbl>
      <w:tblPr>
        <w:tblStyle w:val="TableGrid1"/>
        <w:tblW w:w="15309" w:type="dxa"/>
        <w:tblInd w:w="-572" w:type="dxa"/>
        <w:tblLook w:val="04A0" w:firstRow="1" w:lastRow="0" w:firstColumn="1" w:lastColumn="0" w:noHBand="0" w:noVBand="1"/>
      </w:tblPr>
      <w:tblGrid>
        <w:gridCol w:w="399"/>
        <w:gridCol w:w="4988"/>
        <w:gridCol w:w="2693"/>
        <w:gridCol w:w="1134"/>
        <w:gridCol w:w="3641"/>
        <w:gridCol w:w="1604"/>
        <w:gridCol w:w="850"/>
      </w:tblGrid>
      <w:tr w:rsidR="001D369F" w:rsidRPr="00291B4B" w14:paraId="784594AB" w14:textId="77777777" w:rsidTr="008A3EE2">
        <w:tc>
          <w:tcPr>
            <w:tcW w:w="399" w:type="dxa"/>
            <w:shd w:val="clear" w:color="auto" w:fill="632E9E"/>
          </w:tcPr>
          <w:p w14:paraId="33BFB63D"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 xml:space="preserve">   </w:t>
            </w:r>
          </w:p>
        </w:tc>
        <w:tc>
          <w:tcPr>
            <w:tcW w:w="4988" w:type="dxa"/>
            <w:shd w:val="clear" w:color="auto" w:fill="632E9E"/>
          </w:tcPr>
          <w:p w14:paraId="5CBF04EB"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272CA582"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76D6228C"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Priority</w:t>
            </w:r>
          </w:p>
        </w:tc>
        <w:tc>
          <w:tcPr>
            <w:tcW w:w="3641" w:type="dxa"/>
            <w:shd w:val="clear" w:color="auto" w:fill="632E9E"/>
          </w:tcPr>
          <w:p w14:paraId="0FF84927"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Agreed Actions</w:t>
            </w:r>
          </w:p>
        </w:tc>
        <w:tc>
          <w:tcPr>
            <w:tcW w:w="1604" w:type="dxa"/>
            <w:shd w:val="clear" w:color="auto" w:fill="632E9E"/>
          </w:tcPr>
          <w:p w14:paraId="431B0D0C"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7FD061D1"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Status</w:t>
            </w:r>
          </w:p>
        </w:tc>
      </w:tr>
      <w:tr w:rsidR="001D369F" w:rsidRPr="005F5142" w14:paraId="69D2278C" w14:textId="77777777" w:rsidTr="004063F2">
        <w:trPr>
          <w:trHeight w:val="844"/>
        </w:trPr>
        <w:tc>
          <w:tcPr>
            <w:tcW w:w="399" w:type="dxa"/>
            <w:tcMar>
              <w:left w:w="57" w:type="dxa"/>
              <w:right w:w="57" w:type="dxa"/>
            </w:tcMar>
          </w:tcPr>
          <w:p w14:paraId="20656D2B" w14:textId="77777777" w:rsidR="001D369F" w:rsidRPr="005F5142" w:rsidRDefault="001D369F" w:rsidP="00B70FC0">
            <w:pPr>
              <w:rPr>
                <w:rFonts w:asciiTheme="minorHAnsi" w:hAnsiTheme="minorHAnsi" w:cstheme="minorHAnsi"/>
                <w:b/>
              </w:rPr>
            </w:pPr>
            <w:r>
              <w:rPr>
                <w:rFonts w:asciiTheme="minorHAnsi" w:hAnsiTheme="minorHAnsi" w:cstheme="minorHAnsi"/>
                <w:b/>
              </w:rPr>
              <w:t>4.</w:t>
            </w:r>
          </w:p>
        </w:tc>
        <w:tc>
          <w:tcPr>
            <w:tcW w:w="4988" w:type="dxa"/>
          </w:tcPr>
          <w:p w14:paraId="6E19C6A3" w14:textId="77777777" w:rsidR="001D369F" w:rsidRDefault="001D369F" w:rsidP="00B70FC0">
            <w:pPr>
              <w:pStyle w:val="Default"/>
              <w:rPr>
                <w:rFonts w:asciiTheme="minorHAnsi" w:hAnsiTheme="minorHAnsi" w:cstheme="minorHAnsi"/>
                <w:b/>
                <w:bCs/>
                <w:sz w:val="22"/>
                <w:szCs w:val="22"/>
              </w:rPr>
            </w:pPr>
            <w:r w:rsidRPr="005228A2">
              <w:rPr>
                <w:rFonts w:asciiTheme="minorHAnsi" w:hAnsiTheme="minorHAnsi" w:cstheme="minorHAnsi"/>
                <w:b/>
                <w:bCs/>
                <w:sz w:val="22"/>
                <w:szCs w:val="22"/>
              </w:rPr>
              <w:t>Password Management Tool Implementation</w:t>
            </w:r>
          </w:p>
          <w:p w14:paraId="6DE64802" w14:textId="77777777" w:rsidR="001D369F" w:rsidRPr="005228A2" w:rsidRDefault="001D369F" w:rsidP="00B70FC0">
            <w:pPr>
              <w:pStyle w:val="Default"/>
              <w:rPr>
                <w:rFonts w:asciiTheme="minorHAnsi" w:hAnsiTheme="minorHAnsi" w:cstheme="minorHAnsi"/>
                <w:sz w:val="22"/>
                <w:szCs w:val="22"/>
              </w:rPr>
            </w:pPr>
            <w:r w:rsidRPr="005228A2">
              <w:rPr>
                <w:rFonts w:asciiTheme="minorHAnsi" w:hAnsiTheme="minorHAnsi" w:cstheme="minorHAnsi"/>
                <w:sz w:val="22"/>
                <w:szCs w:val="22"/>
              </w:rPr>
              <w:t>It is good practice to use a password management t</w:t>
            </w:r>
            <w:r>
              <w:rPr>
                <w:rFonts w:asciiTheme="minorHAnsi" w:hAnsiTheme="minorHAnsi" w:cstheme="minorHAnsi"/>
                <w:sz w:val="22"/>
                <w:szCs w:val="22"/>
              </w:rPr>
              <w:t xml:space="preserve">ool to secure the passwords for </w:t>
            </w:r>
            <w:r w:rsidRPr="005228A2">
              <w:rPr>
                <w:rFonts w:asciiTheme="minorHAnsi" w:hAnsiTheme="minorHAnsi" w:cstheme="minorHAnsi"/>
                <w:sz w:val="22"/>
                <w:szCs w:val="22"/>
              </w:rPr>
              <w:t>generic administration and service accounts in order to</w:t>
            </w:r>
            <w:r>
              <w:rPr>
                <w:rFonts w:asciiTheme="minorHAnsi" w:hAnsiTheme="minorHAnsi" w:cstheme="minorHAnsi"/>
                <w:sz w:val="22"/>
                <w:szCs w:val="22"/>
              </w:rPr>
              <w:t xml:space="preserve"> prevent their exposure through </w:t>
            </w:r>
            <w:r w:rsidRPr="005228A2">
              <w:rPr>
                <w:rFonts w:asciiTheme="minorHAnsi" w:hAnsiTheme="minorHAnsi" w:cstheme="minorHAnsi"/>
                <w:sz w:val="22"/>
                <w:szCs w:val="22"/>
              </w:rPr>
              <w:t>the use of less secure password storage</w:t>
            </w:r>
            <w:r>
              <w:rPr>
                <w:rFonts w:asciiTheme="minorHAnsi" w:hAnsiTheme="minorHAnsi" w:cstheme="minorHAnsi"/>
                <w:sz w:val="22"/>
                <w:szCs w:val="22"/>
              </w:rPr>
              <w:t xml:space="preserve"> methods. </w:t>
            </w:r>
            <w:r w:rsidRPr="005228A2">
              <w:rPr>
                <w:rFonts w:asciiTheme="minorHAnsi" w:hAnsiTheme="minorHAnsi" w:cstheme="minorHAnsi"/>
                <w:sz w:val="22"/>
                <w:szCs w:val="22"/>
              </w:rPr>
              <w:t>A password management tool has not been im</w:t>
            </w:r>
            <w:r>
              <w:rPr>
                <w:rFonts w:asciiTheme="minorHAnsi" w:hAnsiTheme="minorHAnsi" w:cstheme="minorHAnsi"/>
                <w:sz w:val="22"/>
                <w:szCs w:val="22"/>
              </w:rPr>
              <w:t xml:space="preserve">plemented for Police Service AD </w:t>
            </w:r>
            <w:r w:rsidRPr="005228A2">
              <w:rPr>
                <w:rFonts w:asciiTheme="minorHAnsi" w:hAnsiTheme="minorHAnsi" w:cstheme="minorHAnsi"/>
                <w:sz w:val="22"/>
                <w:szCs w:val="22"/>
              </w:rPr>
              <w:t>service accounts, whilst for Fire Service accounts a tool has been implemented but</w:t>
            </w:r>
            <w:r>
              <w:rPr>
                <w:rFonts w:asciiTheme="minorHAnsi" w:hAnsiTheme="minorHAnsi" w:cstheme="minorHAnsi"/>
                <w:sz w:val="22"/>
                <w:szCs w:val="22"/>
              </w:rPr>
              <w:t xml:space="preserve"> </w:t>
            </w:r>
            <w:r w:rsidRPr="005228A2">
              <w:rPr>
                <w:rFonts w:asciiTheme="minorHAnsi" w:hAnsiTheme="minorHAnsi" w:cstheme="minorHAnsi"/>
                <w:sz w:val="22"/>
                <w:szCs w:val="22"/>
              </w:rPr>
              <w:t>which only contains passwords for a small minority of accounts.</w:t>
            </w:r>
          </w:p>
          <w:p w14:paraId="36656B0A" w14:textId="77777777" w:rsidR="001D369F" w:rsidRPr="00D05F06" w:rsidRDefault="001D369F" w:rsidP="00B70FC0">
            <w:pPr>
              <w:pStyle w:val="Default"/>
              <w:rPr>
                <w:rFonts w:asciiTheme="minorHAnsi" w:hAnsiTheme="minorHAnsi" w:cstheme="minorHAnsi"/>
                <w:sz w:val="22"/>
                <w:szCs w:val="22"/>
              </w:rPr>
            </w:pPr>
            <w:r w:rsidRPr="005228A2">
              <w:rPr>
                <w:rFonts w:asciiTheme="minorHAnsi" w:hAnsiTheme="minorHAnsi" w:cstheme="minorHAnsi"/>
                <w:b/>
                <w:sz w:val="22"/>
                <w:szCs w:val="22"/>
              </w:rPr>
              <w:t>Risk and Impact:</w:t>
            </w:r>
            <w:r w:rsidRPr="005228A2">
              <w:rPr>
                <w:rFonts w:asciiTheme="minorHAnsi" w:hAnsiTheme="minorHAnsi" w:cstheme="minorHAnsi"/>
                <w:sz w:val="22"/>
                <w:szCs w:val="22"/>
              </w:rPr>
              <w:t xml:space="preserve"> Passwords may be documented </w:t>
            </w:r>
            <w:r>
              <w:rPr>
                <w:rFonts w:asciiTheme="minorHAnsi" w:hAnsiTheme="minorHAnsi" w:cstheme="minorHAnsi"/>
                <w:sz w:val="22"/>
                <w:szCs w:val="22"/>
              </w:rPr>
              <w:t xml:space="preserve">in insecure locations such that </w:t>
            </w:r>
            <w:r w:rsidRPr="005228A2">
              <w:rPr>
                <w:rFonts w:asciiTheme="minorHAnsi" w:hAnsiTheme="minorHAnsi" w:cstheme="minorHAnsi"/>
                <w:sz w:val="22"/>
                <w:szCs w:val="22"/>
              </w:rPr>
              <w:t>access to relevant accounts may be achieved the event of a security breach.</w:t>
            </w:r>
          </w:p>
        </w:tc>
        <w:tc>
          <w:tcPr>
            <w:tcW w:w="2693" w:type="dxa"/>
          </w:tcPr>
          <w:p w14:paraId="6BC83147" w14:textId="77777777" w:rsidR="001D369F" w:rsidRPr="00692C6E" w:rsidRDefault="001D369F" w:rsidP="00B70FC0">
            <w:pPr>
              <w:rPr>
                <w:rFonts w:asciiTheme="minorHAnsi" w:hAnsiTheme="minorHAnsi" w:cstheme="minorHAnsi"/>
              </w:rPr>
            </w:pPr>
            <w:r w:rsidRPr="00692C6E">
              <w:rPr>
                <w:rFonts w:asciiTheme="minorHAnsi" w:hAnsiTheme="minorHAnsi" w:cstheme="minorHAnsi"/>
              </w:rPr>
              <w:t>Each organisation should store all generic administration and</w:t>
            </w:r>
          </w:p>
          <w:p w14:paraId="7A17580A" w14:textId="77777777" w:rsidR="001D369F" w:rsidRPr="00A31E5D" w:rsidRDefault="001D369F" w:rsidP="00B70FC0">
            <w:pPr>
              <w:rPr>
                <w:rFonts w:asciiTheme="minorHAnsi" w:hAnsiTheme="minorHAnsi" w:cstheme="minorHAnsi"/>
              </w:rPr>
            </w:pPr>
            <w:r w:rsidRPr="00692C6E">
              <w:rPr>
                <w:rFonts w:asciiTheme="minorHAnsi" w:hAnsiTheme="minorHAnsi" w:cstheme="minorHAnsi"/>
              </w:rPr>
              <w:t>service account passwords in a password management tool.</w:t>
            </w:r>
          </w:p>
        </w:tc>
        <w:tc>
          <w:tcPr>
            <w:tcW w:w="1134" w:type="dxa"/>
            <w:shd w:val="clear" w:color="auto" w:fill="FFC000"/>
          </w:tcPr>
          <w:p w14:paraId="6C998386" w14:textId="77777777" w:rsidR="001D369F" w:rsidRPr="00D05F06" w:rsidRDefault="001D369F" w:rsidP="00B70FC0">
            <w:pPr>
              <w:jc w:val="center"/>
              <w:rPr>
                <w:rFonts w:ascii="Calibri" w:hAnsi="Calibri" w:cs="Calibri"/>
                <w:b/>
              </w:rPr>
            </w:pPr>
            <w:r>
              <w:rPr>
                <w:rFonts w:ascii="Calibri" w:hAnsi="Calibri" w:cs="Calibri"/>
                <w:b/>
              </w:rPr>
              <w:t>Medium</w:t>
            </w:r>
          </w:p>
        </w:tc>
        <w:tc>
          <w:tcPr>
            <w:tcW w:w="3641" w:type="dxa"/>
          </w:tcPr>
          <w:p w14:paraId="58578A50" w14:textId="77777777" w:rsidR="001D369F" w:rsidRPr="00692C6E" w:rsidRDefault="001D369F" w:rsidP="00B70FC0">
            <w:pPr>
              <w:pStyle w:val="Default"/>
              <w:rPr>
                <w:bCs/>
                <w:sz w:val="22"/>
                <w:szCs w:val="22"/>
              </w:rPr>
            </w:pPr>
            <w:r w:rsidRPr="00692C6E">
              <w:rPr>
                <w:bCs/>
                <w:sz w:val="22"/>
                <w:szCs w:val="22"/>
              </w:rPr>
              <w:t>This recommendation is accepted and there is a PAM (Password Access Management) Project in progress that is being led by the Transformation and</w:t>
            </w:r>
          </w:p>
          <w:p w14:paraId="171F4728" w14:textId="77777777" w:rsidR="001D369F" w:rsidRDefault="001D369F" w:rsidP="00B70FC0">
            <w:pPr>
              <w:pStyle w:val="Default"/>
              <w:rPr>
                <w:bCs/>
                <w:sz w:val="22"/>
                <w:szCs w:val="22"/>
              </w:rPr>
            </w:pPr>
            <w:r w:rsidRPr="00692C6E">
              <w:rPr>
                <w:bCs/>
                <w:sz w:val="22"/>
                <w:szCs w:val="22"/>
              </w:rPr>
              <w:t>Change team with a project manager assigned. Budget has been allocated and we have collated requirements which include t</w:t>
            </w:r>
            <w:r>
              <w:rPr>
                <w:bCs/>
                <w:sz w:val="22"/>
                <w:szCs w:val="22"/>
              </w:rPr>
              <w:t xml:space="preserve">he ability to store all generic </w:t>
            </w:r>
            <w:r w:rsidRPr="00692C6E">
              <w:rPr>
                <w:bCs/>
                <w:sz w:val="22"/>
                <w:szCs w:val="22"/>
              </w:rPr>
              <w:t>administration and service account passwords, and supplier demonstrations have now taken place. This will be reviewed bi</w:t>
            </w:r>
            <w:r>
              <w:rPr>
                <w:bCs/>
                <w:sz w:val="22"/>
                <w:szCs w:val="22"/>
              </w:rPr>
              <w:t xml:space="preserve">- monthly to ensure progress is </w:t>
            </w:r>
            <w:r w:rsidRPr="00692C6E">
              <w:rPr>
                <w:bCs/>
                <w:sz w:val="22"/>
                <w:szCs w:val="22"/>
              </w:rPr>
              <w:t>made.</w:t>
            </w:r>
          </w:p>
          <w:p w14:paraId="7D59A850" w14:textId="77777777" w:rsidR="004F0A64" w:rsidRDefault="004F0A64" w:rsidP="00B70FC0">
            <w:pPr>
              <w:pStyle w:val="Default"/>
              <w:rPr>
                <w:bCs/>
                <w:sz w:val="22"/>
                <w:szCs w:val="22"/>
              </w:rPr>
            </w:pPr>
          </w:p>
          <w:p w14:paraId="03F156B7" w14:textId="59A1B0F9" w:rsidR="004F0A64" w:rsidRDefault="004D7A44" w:rsidP="00B70FC0">
            <w:pPr>
              <w:pStyle w:val="Default"/>
              <w:rPr>
                <w:bCs/>
                <w:sz w:val="22"/>
                <w:szCs w:val="22"/>
              </w:rPr>
            </w:pPr>
            <w:r w:rsidRPr="004D7A44">
              <w:rPr>
                <w:b/>
                <w:bCs/>
                <w:sz w:val="22"/>
                <w:szCs w:val="22"/>
              </w:rPr>
              <w:t>7.11.24</w:t>
            </w:r>
            <w:r>
              <w:rPr>
                <w:bCs/>
                <w:sz w:val="22"/>
                <w:szCs w:val="22"/>
              </w:rPr>
              <w:t xml:space="preserve"> </w:t>
            </w:r>
            <w:r w:rsidRPr="004D7A44">
              <w:rPr>
                <w:bCs/>
                <w:sz w:val="22"/>
                <w:szCs w:val="22"/>
              </w:rPr>
              <w:t>YH update</w:t>
            </w:r>
            <w:r>
              <w:rPr>
                <w:bCs/>
                <w:sz w:val="22"/>
                <w:szCs w:val="22"/>
              </w:rPr>
              <w:t xml:space="preserve">, On track </w:t>
            </w:r>
            <w:r w:rsidR="004F0A64">
              <w:rPr>
                <w:bCs/>
                <w:sz w:val="22"/>
                <w:szCs w:val="22"/>
              </w:rPr>
              <w:t>–</w:t>
            </w:r>
            <w:r>
              <w:rPr>
                <w:bCs/>
                <w:sz w:val="22"/>
                <w:szCs w:val="22"/>
              </w:rPr>
              <w:t xml:space="preserve"> </w:t>
            </w:r>
          </w:p>
          <w:p w14:paraId="316208CA" w14:textId="6AACD842" w:rsidR="004D7A44" w:rsidRPr="004D7A44" w:rsidRDefault="004D7A44" w:rsidP="00B70FC0">
            <w:pPr>
              <w:pStyle w:val="Default"/>
              <w:rPr>
                <w:bCs/>
                <w:sz w:val="22"/>
                <w:szCs w:val="22"/>
              </w:rPr>
            </w:pPr>
            <w:r w:rsidRPr="004D7A44">
              <w:rPr>
                <w:bCs/>
                <w:sz w:val="22"/>
                <w:szCs w:val="22"/>
              </w:rPr>
              <w:t xml:space="preserve">Currently in the commercial process </w:t>
            </w:r>
            <w:r>
              <w:rPr>
                <w:bCs/>
                <w:sz w:val="22"/>
                <w:szCs w:val="22"/>
              </w:rPr>
              <w:t>for signing by the commissioner.</w:t>
            </w:r>
          </w:p>
        </w:tc>
        <w:tc>
          <w:tcPr>
            <w:tcW w:w="1604" w:type="dxa"/>
          </w:tcPr>
          <w:p w14:paraId="18F7EC2D" w14:textId="77777777" w:rsidR="001D369F" w:rsidRDefault="001D369F" w:rsidP="00B70FC0">
            <w:pPr>
              <w:pStyle w:val="Default"/>
              <w:rPr>
                <w:color w:val="000000" w:themeColor="text1"/>
                <w:sz w:val="22"/>
                <w:szCs w:val="22"/>
              </w:rPr>
            </w:pPr>
            <w:r w:rsidRPr="004703C9">
              <w:rPr>
                <w:color w:val="000000" w:themeColor="text1"/>
                <w:sz w:val="22"/>
                <w:szCs w:val="22"/>
              </w:rPr>
              <w:t>Andrew Jo</w:t>
            </w:r>
            <w:r>
              <w:rPr>
                <w:color w:val="000000" w:themeColor="text1"/>
                <w:sz w:val="22"/>
                <w:szCs w:val="22"/>
              </w:rPr>
              <w:t xml:space="preserve">nes, Head of Transformation and </w:t>
            </w:r>
            <w:r w:rsidRPr="004703C9">
              <w:rPr>
                <w:color w:val="000000" w:themeColor="text1"/>
                <w:sz w:val="22"/>
                <w:szCs w:val="22"/>
              </w:rPr>
              <w:t>Change</w:t>
            </w:r>
          </w:p>
          <w:p w14:paraId="7A2C3610" w14:textId="77777777" w:rsidR="001D369F" w:rsidRDefault="001D369F" w:rsidP="00B70FC0">
            <w:pPr>
              <w:pStyle w:val="Default"/>
              <w:rPr>
                <w:color w:val="000000" w:themeColor="text1"/>
                <w:sz w:val="22"/>
                <w:szCs w:val="22"/>
              </w:rPr>
            </w:pPr>
          </w:p>
          <w:p w14:paraId="3601B0D2" w14:textId="77777777" w:rsidR="004F0A64" w:rsidRDefault="004F0A64" w:rsidP="00B70FC0">
            <w:pPr>
              <w:pStyle w:val="Default"/>
              <w:rPr>
                <w:color w:val="000000" w:themeColor="text1"/>
                <w:sz w:val="22"/>
                <w:szCs w:val="22"/>
              </w:rPr>
            </w:pPr>
          </w:p>
          <w:p w14:paraId="016D4243" w14:textId="77777777" w:rsidR="004F0A64" w:rsidRDefault="004F0A64" w:rsidP="00B70FC0">
            <w:pPr>
              <w:pStyle w:val="Default"/>
              <w:rPr>
                <w:color w:val="000000" w:themeColor="text1"/>
                <w:sz w:val="22"/>
                <w:szCs w:val="22"/>
              </w:rPr>
            </w:pPr>
          </w:p>
          <w:p w14:paraId="5B3E84BB" w14:textId="77777777" w:rsidR="004F0A64" w:rsidRDefault="004F0A64" w:rsidP="00B70FC0">
            <w:pPr>
              <w:pStyle w:val="Default"/>
              <w:rPr>
                <w:color w:val="000000" w:themeColor="text1"/>
                <w:sz w:val="22"/>
                <w:szCs w:val="22"/>
              </w:rPr>
            </w:pPr>
          </w:p>
          <w:p w14:paraId="56448F73" w14:textId="77777777" w:rsidR="004F0A64" w:rsidRDefault="004F0A64" w:rsidP="00B70FC0">
            <w:pPr>
              <w:pStyle w:val="Default"/>
              <w:rPr>
                <w:color w:val="000000" w:themeColor="text1"/>
                <w:sz w:val="22"/>
                <w:szCs w:val="22"/>
              </w:rPr>
            </w:pPr>
          </w:p>
          <w:p w14:paraId="75A8D1CD" w14:textId="77777777" w:rsidR="004F0A64" w:rsidRDefault="004F0A64" w:rsidP="00B70FC0">
            <w:pPr>
              <w:pStyle w:val="Default"/>
              <w:rPr>
                <w:color w:val="000000" w:themeColor="text1"/>
                <w:sz w:val="22"/>
                <w:szCs w:val="22"/>
              </w:rPr>
            </w:pPr>
          </w:p>
          <w:p w14:paraId="69A4D601" w14:textId="77777777" w:rsidR="004F0A64" w:rsidRDefault="004F0A64" w:rsidP="00B70FC0">
            <w:pPr>
              <w:pStyle w:val="Default"/>
              <w:rPr>
                <w:color w:val="000000" w:themeColor="text1"/>
                <w:sz w:val="22"/>
                <w:szCs w:val="22"/>
              </w:rPr>
            </w:pPr>
          </w:p>
          <w:p w14:paraId="2EC119D4" w14:textId="77777777" w:rsidR="004F0A64" w:rsidRDefault="004F0A64" w:rsidP="00B70FC0">
            <w:pPr>
              <w:pStyle w:val="Default"/>
              <w:rPr>
                <w:color w:val="000000" w:themeColor="text1"/>
                <w:sz w:val="22"/>
                <w:szCs w:val="22"/>
              </w:rPr>
            </w:pPr>
          </w:p>
          <w:p w14:paraId="0109225D" w14:textId="77777777" w:rsidR="004F0A64" w:rsidRDefault="004F0A64" w:rsidP="00B70FC0">
            <w:pPr>
              <w:pStyle w:val="Default"/>
              <w:rPr>
                <w:color w:val="000000" w:themeColor="text1"/>
                <w:sz w:val="22"/>
                <w:szCs w:val="22"/>
              </w:rPr>
            </w:pPr>
          </w:p>
          <w:p w14:paraId="51FCDEE1" w14:textId="77777777" w:rsidR="004F0A64" w:rsidRDefault="004F0A64" w:rsidP="00B70FC0">
            <w:pPr>
              <w:pStyle w:val="Default"/>
              <w:rPr>
                <w:color w:val="000000" w:themeColor="text1"/>
                <w:sz w:val="22"/>
                <w:szCs w:val="22"/>
              </w:rPr>
            </w:pPr>
          </w:p>
          <w:p w14:paraId="14B3A992" w14:textId="77777777" w:rsidR="004F0A64" w:rsidRDefault="004F0A64" w:rsidP="00B70FC0">
            <w:pPr>
              <w:pStyle w:val="Default"/>
              <w:rPr>
                <w:color w:val="000000" w:themeColor="text1"/>
                <w:sz w:val="22"/>
                <w:szCs w:val="22"/>
              </w:rPr>
            </w:pPr>
          </w:p>
          <w:p w14:paraId="0D22FB1A" w14:textId="6CFF2ECF" w:rsidR="001D369F" w:rsidRDefault="001D369F" w:rsidP="00B70FC0">
            <w:pPr>
              <w:pStyle w:val="Default"/>
              <w:rPr>
                <w:color w:val="000000" w:themeColor="text1"/>
                <w:sz w:val="22"/>
                <w:szCs w:val="22"/>
              </w:rPr>
            </w:pPr>
            <w:r>
              <w:rPr>
                <w:color w:val="000000" w:themeColor="text1"/>
                <w:sz w:val="22"/>
                <w:szCs w:val="22"/>
              </w:rPr>
              <w:t xml:space="preserve">31 </w:t>
            </w:r>
            <w:r w:rsidR="004F0A64">
              <w:rPr>
                <w:color w:val="000000" w:themeColor="text1"/>
                <w:sz w:val="22"/>
                <w:szCs w:val="22"/>
              </w:rPr>
              <w:t>July</w:t>
            </w:r>
            <w:r w:rsidRPr="004703C9">
              <w:rPr>
                <w:color w:val="000000" w:themeColor="text1"/>
                <w:sz w:val="22"/>
                <w:szCs w:val="22"/>
              </w:rPr>
              <w:t xml:space="preserve"> 2025</w:t>
            </w:r>
          </w:p>
          <w:p w14:paraId="1207CE85" w14:textId="77777777" w:rsidR="001D369F" w:rsidRPr="00D05F06" w:rsidRDefault="001D369F" w:rsidP="00B70FC0">
            <w:pPr>
              <w:pStyle w:val="Default"/>
              <w:rPr>
                <w:color w:val="000000" w:themeColor="text1"/>
                <w:sz w:val="22"/>
                <w:szCs w:val="22"/>
              </w:rPr>
            </w:pPr>
          </w:p>
        </w:tc>
        <w:tc>
          <w:tcPr>
            <w:tcW w:w="850" w:type="dxa"/>
            <w:shd w:val="clear" w:color="auto" w:fill="FFFF00"/>
          </w:tcPr>
          <w:p w14:paraId="508A6F06" w14:textId="77777777" w:rsidR="001D369F" w:rsidRPr="005F5142" w:rsidRDefault="001D369F" w:rsidP="00B70FC0">
            <w:pPr>
              <w:spacing w:line="276" w:lineRule="auto"/>
              <w:rPr>
                <w:rFonts w:asciiTheme="minorHAnsi" w:hAnsiTheme="minorHAnsi" w:cstheme="minorHAnsi"/>
                <w:b/>
                <w:color w:val="FF0000"/>
              </w:rPr>
            </w:pPr>
          </w:p>
        </w:tc>
      </w:tr>
    </w:tbl>
    <w:p w14:paraId="3DEAC9DE" w14:textId="77777777" w:rsidR="00825312" w:rsidRDefault="00825312" w:rsidP="001D369F">
      <w:pPr>
        <w:spacing w:after="200" w:line="276" w:lineRule="auto"/>
        <w:rPr>
          <w:rFonts w:cstheme="minorHAnsi"/>
          <w:b/>
          <w:bCs/>
          <w:color w:val="000000"/>
        </w:rPr>
      </w:pPr>
    </w:p>
    <w:p w14:paraId="17B329A4" w14:textId="77777777" w:rsidR="004F0A64" w:rsidRDefault="004F0A64" w:rsidP="001D369F">
      <w:pPr>
        <w:spacing w:after="200" w:line="276" w:lineRule="auto"/>
        <w:rPr>
          <w:rFonts w:cstheme="minorHAnsi"/>
          <w:b/>
          <w:bCs/>
          <w:color w:val="000000"/>
        </w:rPr>
      </w:pPr>
    </w:p>
    <w:p w14:paraId="799AD52B" w14:textId="77777777" w:rsidR="004F0A64" w:rsidRDefault="004F0A64" w:rsidP="001D369F">
      <w:pPr>
        <w:spacing w:after="200" w:line="276" w:lineRule="auto"/>
        <w:rPr>
          <w:rFonts w:cstheme="minorHAnsi"/>
          <w:b/>
          <w:bCs/>
          <w:color w:val="000000"/>
        </w:rPr>
      </w:pPr>
    </w:p>
    <w:p w14:paraId="0542A387" w14:textId="77777777" w:rsidR="004F0A64" w:rsidRDefault="004F0A64" w:rsidP="001D369F">
      <w:pPr>
        <w:spacing w:after="200" w:line="276" w:lineRule="auto"/>
        <w:rPr>
          <w:rFonts w:cstheme="minorHAnsi"/>
          <w:b/>
          <w:bCs/>
          <w:color w:val="000000"/>
        </w:rPr>
      </w:pPr>
    </w:p>
    <w:p w14:paraId="4BF9FB22" w14:textId="77777777" w:rsidR="004F0A64" w:rsidRDefault="004F0A64" w:rsidP="001D369F">
      <w:pPr>
        <w:spacing w:after="200" w:line="276" w:lineRule="auto"/>
        <w:rPr>
          <w:rFonts w:cstheme="minorHAnsi"/>
          <w:b/>
          <w:bCs/>
          <w:color w:val="000000"/>
        </w:rPr>
      </w:pPr>
    </w:p>
    <w:p w14:paraId="1425D178" w14:textId="77777777" w:rsidR="004F0A64" w:rsidRDefault="004F0A64" w:rsidP="001D369F">
      <w:pPr>
        <w:spacing w:after="200" w:line="276" w:lineRule="auto"/>
        <w:rPr>
          <w:rFonts w:cstheme="minorHAnsi"/>
          <w:b/>
          <w:bCs/>
          <w:color w:val="000000"/>
        </w:rPr>
      </w:pPr>
    </w:p>
    <w:p w14:paraId="2FDC8853" w14:textId="77777777" w:rsidR="004F0A64" w:rsidRDefault="004F0A64" w:rsidP="001D369F">
      <w:pPr>
        <w:spacing w:after="200" w:line="276" w:lineRule="auto"/>
        <w:rPr>
          <w:rFonts w:cstheme="minorHAnsi"/>
          <w:b/>
          <w:bCs/>
          <w:color w:val="000000"/>
        </w:rPr>
      </w:pPr>
    </w:p>
    <w:p w14:paraId="49B606D4" w14:textId="5A5DFDDB" w:rsidR="001D369F" w:rsidRDefault="001D369F" w:rsidP="001D369F">
      <w:pPr>
        <w:spacing w:after="200" w:line="276" w:lineRule="auto"/>
        <w:rPr>
          <w:rFonts w:cstheme="minorHAnsi"/>
          <w:b/>
          <w:bCs/>
          <w:color w:val="000000"/>
        </w:rPr>
      </w:pPr>
      <w:r>
        <w:rPr>
          <w:rFonts w:cstheme="minorHAnsi"/>
          <w:b/>
          <w:bCs/>
          <w:color w:val="000000"/>
        </w:rPr>
        <w:lastRenderedPageBreak/>
        <w:t>Identity Access Management</w:t>
      </w:r>
      <w:r w:rsidR="00720080">
        <w:rPr>
          <w:rFonts w:cstheme="minorHAnsi"/>
          <w:b/>
          <w:bCs/>
          <w:color w:val="000000"/>
        </w:rPr>
        <w:t xml:space="preserve"> (Joint)</w:t>
      </w:r>
      <w:r>
        <w:rPr>
          <w:rFonts w:cstheme="minorHAnsi"/>
          <w:b/>
          <w:bCs/>
          <w:color w:val="000000"/>
        </w:rPr>
        <w:t xml:space="preserve"> – June 2024 (Limited compliance)</w:t>
      </w:r>
    </w:p>
    <w:tbl>
      <w:tblPr>
        <w:tblStyle w:val="TableGrid1"/>
        <w:tblW w:w="15309" w:type="dxa"/>
        <w:tblInd w:w="-572" w:type="dxa"/>
        <w:tblLook w:val="04A0" w:firstRow="1" w:lastRow="0" w:firstColumn="1" w:lastColumn="0" w:noHBand="0" w:noVBand="1"/>
      </w:tblPr>
      <w:tblGrid>
        <w:gridCol w:w="399"/>
        <w:gridCol w:w="4279"/>
        <w:gridCol w:w="2693"/>
        <w:gridCol w:w="1134"/>
        <w:gridCol w:w="4395"/>
        <w:gridCol w:w="1559"/>
        <w:gridCol w:w="850"/>
      </w:tblGrid>
      <w:tr w:rsidR="001D369F" w:rsidRPr="00291B4B" w14:paraId="1CE2B4D4" w14:textId="77777777" w:rsidTr="00B731B4">
        <w:tc>
          <w:tcPr>
            <w:tcW w:w="399" w:type="dxa"/>
            <w:shd w:val="clear" w:color="auto" w:fill="632E9E"/>
          </w:tcPr>
          <w:p w14:paraId="2E76C133" w14:textId="77777777" w:rsidR="001D369F" w:rsidRPr="00291B4B" w:rsidRDefault="001D369F" w:rsidP="00B70FC0">
            <w:pPr>
              <w:spacing w:line="276" w:lineRule="auto"/>
              <w:rPr>
                <w:b/>
                <w:color w:val="FFFFFF" w:themeColor="background1"/>
                <w:sz w:val="16"/>
                <w:szCs w:val="16"/>
              </w:rPr>
            </w:pPr>
            <w:bookmarkStart w:id="8" w:name="_Hlk172628023"/>
            <w:r>
              <w:rPr>
                <w:b/>
                <w:color w:val="FFFFFF" w:themeColor="background1"/>
                <w:sz w:val="16"/>
                <w:szCs w:val="16"/>
              </w:rPr>
              <w:t xml:space="preserve">   </w:t>
            </w:r>
          </w:p>
        </w:tc>
        <w:tc>
          <w:tcPr>
            <w:tcW w:w="4279" w:type="dxa"/>
            <w:shd w:val="clear" w:color="auto" w:fill="632E9E"/>
          </w:tcPr>
          <w:p w14:paraId="1CDE856A"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1FB0FCB7"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63DBBDB6"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Priority</w:t>
            </w:r>
          </w:p>
        </w:tc>
        <w:tc>
          <w:tcPr>
            <w:tcW w:w="4395" w:type="dxa"/>
            <w:shd w:val="clear" w:color="auto" w:fill="632E9E"/>
          </w:tcPr>
          <w:p w14:paraId="0009E908"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173D7954" w14:textId="77777777" w:rsidR="001D369F" w:rsidRPr="00291B4B" w:rsidRDefault="001D369F"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2C643F72" w14:textId="77777777" w:rsidR="001D369F" w:rsidRPr="00291B4B" w:rsidRDefault="001D369F" w:rsidP="00B70FC0">
            <w:pPr>
              <w:spacing w:line="276" w:lineRule="auto"/>
              <w:rPr>
                <w:b/>
                <w:color w:val="FFFFFF" w:themeColor="background1"/>
                <w:sz w:val="16"/>
                <w:szCs w:val="16"/>
              </w:rPr>
            </w:pPr>
            <w:r w:rsidRPr="00291B4B">
              <w:rPr>
                <w:b/>
                <w:color w:val="FFFFFF" w:themeColor="background1"/>
                <w:sz w:val="16"/>
                <w:szCs w:val="16"/>
              </w:rPr>
              <w:t>Status</w:t>
            </w:r>
          </w:p>
        </w:tc>
      </w:tr>
      <w:tr w:rsidR="001D369F" w:rsidRPr="005F5142" w14:paraId="57BFD5BC" w14:textId="77777777" w:rsidTr="00B731B4">
        <w:trPr>
          <w:trHeight w:val="844"/>
        </w:trPr>
        <w:tc>
          <w:tcPr>
            <w:tcW w:w="399" w:type="dxa"/>
            <w:tcMar>
              <w:left w:w="57" w:type="dxa"/>
              <w:right w:w="57" w:type="dxa"/>
            </w:tcMar>
          </w:tcPr>
          <w:p w14:paraId="403FE40F" w14:textId="77777777" w:rsidR="001D369F" w:rsidRPr="005F5142" w:rsidRDefault="001D369F" w:rsidP="00B70FC0">
            <w:pPr>
              <w:rPr>
                <w:rFonts w:asciiTheme="minorHAnsi" w:hAnsiTheme="minorHAnsi" w:cstheme="minorHAnsi"/>
                <w:b/>
              </w:rPr>
            </w:pPr>
            <w:r>
              <w:rPr>
                <w:rFonts w:asciiTheme="minorHAnsi" w:hAnsiTheme="minorHAnsi" w:cstheme="minorHAnsi"/>
                <w:b/>
              </w:rPr>
              <w:t>5.</w:t>
            </w:r>
          </w:p>
        </w:tc>
        <w:tc>
          <w:tcPr>
            <w:tcW w:w="4279" w:type="dxa"/>
          </w:tcPr>
          <w:p w14:paraId="6E1CF262" w14:textId="77777777" w:rsidR="001D369F" w:rsidRDefault="001D369F" w:rsidP="00B70FC0">
            <w:pPr>
              <w:pStyle w:val="Default"/>
              <w:rPr>
                <w:rFonts w:asciiTheme="minorHAnsi" w:hAnsiTheme="minorHAnsi" w:cstheme="minorHAnsi"/>
                <w:b/>
                <w:bCs/>
                <w:sz w:val="22"/>
                <w:szCs w:val="22"/>
              </w:rPr>
            </w:pPr>
            <w:r w:rsidRPr="000C7945">
              <w:rPr>
                <w:rFonts w:asciiTheme="minorHAnsi" w:hAnsiTheme="minorHAnsi" w:cstheme="minorHAnsi"/>
                <w:b/>
                <w:bCs/>
                <w:sz w:val="22"/>
                <w:szCs w:val="22"/>
              </w:rPr>
              <w:t>Completion of Access Changes</w:t>
            </w:r>
          </w:p>
          <w:p w14:paraId="678B78C2" w14:textId="77777777" w:rsidR="001D369F" w:rsidRPr="000C7945" w:rsidRDefault="001D369F" w:rsidP="00B70FC0">
            <w:pPr>
              <w:pStyle w:val="Default"/>
              <w:rPr>
                <w:rFonts w:asciiTheme="minorHAnsi" w:hAnsiTheme="minorHAnsi" w:cstheme="minorHAnsi"/>
                <w:sz w:val="22"/>
                <w:szCs w:val="22"/>
              </w:rPr>
            </w:pPr>
            <w:r w:rsidRPr="000C7945">
              <w:rPr>
                <w:rFonts w:asciiTheme="minorHAnsi" w:hAnsiTheme="minorHAnsi" w:cstheme="minorHAnsi"/>
                <w:sz w:val="22"/>
                <w:szCs w:val="22"/>
              </w:rPr>
              <w:t>Changes to access should only occur</w:t>
            </w:r>
            <w:r>
              <w:rPr>
                <w:rFonts w:asciiTheme="minorHAnsi" w:hAnsiTheme="minorHAnsi" w:cstheme="minorHAnsi"/>
                <w:sz w:val="22"/>
                <w:szCs w:val="22"/>
              </w:rPr>
              <w:t xml:space="preserve"> on supply of a proper request. </w:t>
            </w:r>
            <w:r w:rsidRPr="000C7945">
              <w:rPr>
                <w:rFonts w:asciiTheme="minorHAnsi" w:hAnsiTheme="minorHAnsi" w:cstheme="minorHAnsi"/>
                <w:sz w:val="22"/>
                <w:szCs w:val="22"/>
              </w:rPr>
              <w:t>The OPFCC, Force and NCFRA were unable to provide relevant documentation to</w:t>
            </w:r>
          </w:p>
          <w:p w14:paraId="6CA49EB0" w14:textId="77777777" w:rsidR="001D369F" w:rsidRPr="000C7945" w:rsidRDefault="001D369F" w:rsidP="00B70FC0">
            <w:pPr>
              <w:pStyle w:val="Default"/>
              <w:rPr>
                <w:rFonts w:asciiTheme="minorHAnsi" w:hAnsiTheme="minorHAnsi" w:cstheme="minorHAnsi"/>
                <w:sz w:val="22"/>
                <w:szCs w:val="22"/>
              </w:rPr>
            </w:pPr>
            <w:r w:rsidRPr="000C7945">
              <w:rPr>
                <w:rFonts w:asciiTheme="minorHAnsi" w:hAnsiTheme="minorHAnsi" w:cstheme="minorHAnsi"/>
                <w:sz w:val="22"/>
                <w:szCs w:val="22"/>
              </w:rPr>
              <w:t>support the completion of access changes as follows:</w:t>
            </w:r>
          </w:p>
          <w:p w14:paraId="0268BB94"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five out of eight joiners, a HR notification form was not available.</w:t>
            </w:r>
          </w:p>
          <w:p w14:paraId="06F0D723"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one out of eight joiners, evidence of vetting and training was not available.</w:t>
            </w:r>
          </w:p>
          <w:p w14:paraId="607A204C" w14:textId="77777777" w:rsidR="001D369F" w:rsidRPr="000C7945" w:rsidRDefault="001D369F" w:rsidP="001D369F">
            <w:pPr>
              <w:pStyle w:val="Default"/>
              <w:numPr>
                <w:ilvl w:val="0"/>
                <w:numId w:val="20"/>
              </w:numPr>
              <w:ind w:left="360"/>
              <w:rPr>
                <w:rFonts w:asciiTheme="minorHAnsi" w:hAnsiTheme="minorHAnsi" w:cstheme="minorHAnsi"/>
                <w:sz w:val="22"/>
                <w:szCs w:val="22"/>
              </w:rPr>
            </w:pPr>
            <w:r w:rsidRPr="000C7945">
              <w:rPr>
                <w:rFonts w:asciiTheme="minorHAnsi" w:hAnsiTheme="minorHAnsi" w:cstheme="minorHAnsi"/>
                <w:sz w:val="22"/>
                <w:szCs w:val="22"/>
              </w:rPr>
              <w:t>For all eight leavers, a HR notification form was not available.</w:t>
            </w:r>
          </w:p>
          <w:p w14:paraId="4835F87D" w14:textId="77777777" w:rsidR="001D369F" w:rsidRPr="00D05F06" w:rsidRDefault="001D369F" w:rsidP="00B70FC0">
            <w:pPr>
              <w:pStyle w:val="Default"/>
              <w:rPr>
                <w:rFonts w:asciiTheme="minorHAnsi" w:hAnsiTheme="minorHAnsi" w:cstheme="minorHAnsi"/>
                <w:sz w:val="22"/>
                <w:szCs w:val="22"/>
              </w:rPr>
            </w:pPr>
            <w:r w:rsidRPr="000C7945">
              <w:rPr>
                <w:rFonts w:asciiTheme="minorHAnsi" w:hAnsiTheme="minorHAnsi" w:cstheme="minorHAnsi"/>
                <w:b/>
                <w:sz w:val="22"/>
                <w:szCs w:val="22"/>
              </w:rPr>
              <w:t>Risk and Impact</w:t>
            </w:r>
            <w:r w:rsidRPr="000C7945">
              <w:rPr>
                <w:rFonts w:asciiTheme="minorHAnsi" w:hAnsiTheme="minorHAnsi" w:cstheme="minorHAnsi"/>
                <w:sz w:val="22"/>
                <w:szCs w:val="22"/>
              </w:rPr>
              <w:t>: User accounts may be cre</w:t>
            </w:r>
            <w:r>
              <w:rPr>
                <w:rFonts w:asciiTheme="minorHAnsi" w:hAnsiTheme="minorHAnsi" w:cstheme="minorHAnsi"/>
                <w:sz w:val="22"/>
                <w:szCs w:val="22"/>
              </w:rPr>
              <w:t xml:space="preserve">ated or disabled without proper </w:t>
            </w:r>
            <w:r w:rsidRPr="000C7945">
              <w:rPr>
                <w:rFonts w:asciiTheme="minorHAnsi" w:hAnsiTheme="minorHAnsi" w:cstheme="minorHAnsi"/>
                <w:sz w:val="22"/>
                <w:szCs w:val="22"/>
              </w:rPr>
              <w:t>justification.</w:t>
            </w:r>
          </w:p>
        </w:tc>
        <w:tc>
          <w:tcPr>
            <w:tcW w:w="2693" w:type="dxa"/>
          </w:tcPr>
          <w:p w14:paraId="598AABC0" w14:textId="77777777" w:rsidR="001D369F" w:rsidRPr="000C7945" w:rsidRDefault="001D369F" w:rsidP="00B70FC0">
            <w:pPr>
              <w:rPr>
                <w:rFonts w:asciiTheme="minorHAnsi" w:hAnsiTheme="minorHAnsi" w:cstheme="minorHAnsi"/>
              </w:rPr>
            </w:pPr>
            <w:r w:rsidRPr="000C7945">
              <w:rPr>
                <w:rFonts w:asciiTheme="minorHAnsi" w:hAnsiTheme="minorHAnsi" w:cstheme="minorHAnsi"/>
              </w:rPr>
              <w:t>Emails and other documents su</w:t>
            </w:r>
            <w:r>
              <w:rPr>
                <w:rFonts w:asciiTheme="minorHAnsi" w:hAnsiTheme="minorHAnsi" w:cstheme="minorHAnsi"/>
              </w:rPr>
              <w:t xml:space="preserve">pporting access requests should </w:t>
            </w:r>
            <w:r w:rsidRPr="000C7945">
              <w:rPr>
                <w:rFonts w:asciiTheme="minorHAnsi" w:hAnsiTheme="minorHAnsi" w:cstheme="minorHAnsi"/>
              </w:rPr>
              <w:t>be automatically attached to tickets</w:t>
            </w:r>
            <w:r>
              <w:rPr>
                <w:rFonts w:asciiTheme="minorHAnsi" w:hAnsiTheme="minorHAnsi" w:cstheme="minorHAnsi"/>
              </w:rPr>
              <w:t xml:space="preserve"> raised to the service desk. If </w:t>
            </w:r>
            <w:r w:rsidRPr="000C7945">
              <w:rPr>
                <w:rFonts w:asciiTheme="minorHAnsi" w:hAnsiTheme="minorHAnsi" w:cstheme="minorHAnsi"/>
              </w:rPr>
              <w:t>this is not feasible the access</w:t>
            </w:r>
            <w:r>
              <w:rPr>
                <w:rFonts w:asciiTheme="minorHAnsi" w:hAnsiTheme="minorHAnsi" w:cstheme="minorHAnsi"/>
              </w:rPr>
              <w:t xml:space="preserve"> management procedures followed </w:t>
            </w:r>
            <w:r w:rsidRPr="000C7945">
              <w:rPr>
                <w:rFonts w:asciiTheme="minorHAnsi" w:hAnsiTheme="minorHAnsi" w:cstheme="minorHAnsi"/>
              </w:rPr>
              <w:t>by the service desk should state</w:t>
            </w:r>
            <w:r>
              <w:rPr>
                <w:rFonts w:asciiTheme="minorHAnsi" w:hAnsiTheme="minorHAnsi" w:cstheme="minorHAnsi"/>
              </w:rPr>
              <w:t xml:space="preserve"> that all such emails/documents </w:t>
            </w:r>
            <w:r w:rsidRPr="000C7945">
              <w:rPr>
                <w:rFonts w:asciiTheme="minorHAnsi" w:hAnsiTheme="minorHAnsi" w:cstheme="minorHAnsi"/>
              </w:rPr>
              <w:t>should be manually attached to relevant tickets and relevant staff</w:t>
            </w:r>
          </w:p>
          <w:p w14:paraId="37EBC482" w14:textId="77777777" w:rsidR="001D369F" w:rsidRPr="00A31E5D" w:rsidRDefault="001D369F" w:rsidP="00B70FC0">
            <w:pPr>
              <w:rPr>
                <w:rFonts w:asciiTheme="minorHAnsi" w:hAnsiTheme="minorHAnsi" w:cstheme="minorHAnsi"/>
              </w:rPr>
            </w:pPr>
            <w:r>
              <w:rPr>
                <w:rFonts w:asciiTheme="minorHAnsi" w:hAnsiTheme="minorHAnsi" w:cstheme="minorHAnsi"/>
              </w:rPr>
              <w:t xml:space="preserve">made aware of this </w:t>
            </w:r>
            <w:r w:rsidRPr="000C7945">
              <w:rPr>
                <w:rFonts w:asciiTheme="minorHAnsi" w:hAnsiTheme="minorHAnsi" w:cstheme="minorHAnsi"/>
              </w:rPr>
              <w:t>requirement.</w:t>
            </w:r>
          </w:p>
        </w:tc>
        <w:tc>
          <w:tcPr>
            <w:tcW w:w="1134" w:type="dxa"/>
            <w:shd w:val="clear" w:color="auto" w:fill="FFC000"/>
          </w:tcPr>
          <w:p w14:paraId="6ADE8E4F" w14:textId="77777777" w:rsidR="001D369F" w:rsidRPr="00D05F06" w:rsidRDefault="001D369F" w:rsidP="00B70FC0">
            <w:pPr>
              <w:jc w:val="center"/>
              <w:rPr>
                <w:rFonts w:ascii="Calibri" w:hAnsi="Calibri" w:cs="Calibri"/>
                <w:b/>
              </w:rPr>
            </w:pPr>
            <w:r>
              <w:rPr>
                <w:rFonts w:ascii="Calibri" w:hAnsi="Calibri" w:cs="Calibri"/>
                <w:b/>
              </w:rPr>
              <w:t>Medium</w:t>
            </w:r>
          </w:p>
        </w:tc>
        <w:tc>
          <w:tcPr>
            <w:tcW w:w="4395" w:type="dxa"/>
          </w:tcPr>
          <w:p w14:paraId="1DB79E9D" w14:textId="77777777" w:rsidR="001D369F" w:rsidRDefault="001D369F" w:rsidP="00B70FC0">
            <w:pPr>
              <w:pStyle w:val="Default"/>
              <w:rPr>
                <w:bCs/>
                <w:sz w:val="22"/>
                <w:szCs w:val="22"/>
              </w:rPr>
            </w:pPr>
            <w:r w:rsidRPr="005E3EA0">
              <w:rPr>
                <w:bCs/>
                <w:sz w:val="22"/>
                <w:szCs w:val="22"/>
              </w:rPr>
              <w:t>This recommendation has been reviewed and has been accepted. Although tickets are already created from HR data, this proc</w:t>
            </w:r>
            <w:r>
              <w:rPr>
                <w:bCs/>
                <w:sz w:val="22"/>
                <w:szCs w:val="22"/>
              </w:rPr>
              <w:t xml:space="preserve">ess will now be reviewed to </w:t>
            </w:r>
            <w:r w:rsidRPr="005E3EA0">
              <w:rPr>
                <w:bCs/>
                <w:sz w:val="22"/>
                <w:szCs w:val="22"/>
              </w:rPr>
              <w:t>identify the capability of the current HR hub, ITSM tool and automation, if that cannot be easily done within these exist</w:t>
            </w:r>
            <w:r>
              <w:rPr>
                <w:bCs/>
                <w:sz w:val="22"/>
                <w:szCs w:val="22"/>
              </w:rPr>
              <w:t xml:space="preserve">ing platforms then this will be </w:t>
            </w:r>
            <w:r w:rsidRPr="005E3EA0">
              <w:rPr>
                <w:bCs/>
                <w:sz w:val="22"/>
                <w:szCs w:val="22"/>
              </w:rPr>
              <w:t>developed with the new ITSM tool. The associated action will be to review this and report to key stakeholders.</w:t>
            </w:r>
          </w:p>
          <w:p w14:paraId="73D39854" w14:textId="77777777" w:rsidR="004F0A64" w:rsidRDefault="004F0A64" w:rsidP="00B70FC0">
            <w:pPr>
              <w:pStyle w:val="Default"/>
              <w:rPr>
                <w:b/>
                <w:sz w:val="22"/>
                <w:szCs w:val="22"/>
              </w:rPr>
            </w:pPr>
          </w:p>
          <w:p w14:paraId="770659CB" w14:textId="6178D6C1" w:rsidR="00452EE1" w:rsidRPr="00D05F06" w:rsidRDefault="00452EE1" w:rsidP="00B70FC0">
            <w:pPr>
              <w:pStyle w:val="Default"/>
              <w:rPr>
                <w:bCs/>
                <w:sz w:val="22"/>
                <w:szCs w:val="22"/>
              </w:rPr>
            </w:pPr>
            <w:r w:rsidRPr="00452EE1">
              <w:rPr>
                <w:b/>
                <w:bCs/>
                <w:sz w:val="22"/>
                <w:szCs w:val="22"/>
              </w:rPr>
              <w:t>7.11.24</w:t>
            </w:r>
            <w:r>
              <w:rPr>
                <w:bCs/>
                <w:sz w:val="22"/>
                <w:szCs w:val="22"/>
              </w:rPr>
              <w:t xml:space="preserve"> YH update, On track - </w:t>
            </w:r>
            <w:r w:rsidRPr="00452EE1">
              <w:rPr>
                <w:bCs/>
                <w:sz w:val="22"/>
                <w:szCs w:val="22"/>
              </w:rPr>
              <w:t>The procurement for the tool is progressing well. The revised project stage gates remain accurate</w:t>
            </w:r>
            <w:r>
              <w:rPr>
                <w:bCs/>
                <w:sz w:val="22"/>
                <w:szCs w:val="22"/>
              </w:rPr>
              <w:t>.</w:t>
            </w:r>
          </w:p>
        </w:tc>
        <w:tc>
          <w:tcPr>
            <w:tcW w:w="1559" w:type="dxa"/>
          </w:tcPr>
          <w:p w14:paraId="49AFAC91" w14:textId="77777777" w:rsidR="001D369F" w:rsidRDefault="001D369F" w:rsidP="00B70FC0">
            <w:pPr>
              <w:pStyle w:val="Default"/>
              <w:rPr>
                <w:color w:val="000000" w:themeColor="text1"/>
                <w:sz w:val="22"/>
                <w:szCs w:val="22"/>
              </w:rPr>
            </w:pPr>
            <w:r w:rsidRPr="005E3EA0">
              <w:rPr>
                <w:color w:val="000000" w:themeColor="text1"/>
                <w:sz w:val="22"/>
                <w:szCs w:val="22"/>
              </w:rPr>
              <w:t>Dan Cooper, Head of Technical Support</w:t>
            </w:r>
          </w:p>
          <w:p w14:paraId="737C1F33" w14:textId="77777777" w:rsidR="001D369F" w:rsidRDefault="001D369F" w:rsidP="00B70FC0">
            <w:pPr>
              <w:pStyle w:val="Default"/>
              <w:rPr>
                <w:color w:val="000000" w:themeColor="text1"/>
                <w:sz w:val="22"/>
                <w:szCs w:val="22"/>
              </w:rPr>
            </w:pPr>
          </w:p>
          <w:p w14:paraId="541ED04C" w14:textId="77777777" w:rsidR="001D369F" w:rsidRDefault="001D369F" w:rsidP="00B70FC0">
            <w:pPr>
              <w:pStyle w:val="Default"/>
              <w:rPr>
                <w:color w:val="000000" w:themeColor="text1"/>
                <w:sz w:val="22"/>
                <w:szCs w:val="22"/>
              </w:rPr>
            </w:pPr>
            <w:r w:rsidRPr="005E3EA0">
              <w:rPr>
                <w:color w:val="000000" w:themeColor="text1"/>
                <w:sz w:val="22"/>
                <w:szCs w:val="22"/>
              </w:rPr>
              <w:t>01 July 2024</w:t>
            </w:r>
          </w:p>
          <w:p w14:paraId="0B677C2A" w14:textId="77777777" w:rsidR="002940B3" w:rsidRDefault="002940B3" w:rsidP="00B70FC0">
            <w:pPr>
              <w:pStyle w:val="Default"/>
              <w:rPr>
                <w:color w:val="000000" w:themeColor="text1"/>
                <w:sz w:val="22"/>
                <w:szCs w:val="22"/>
              </w:rPr>
            </w:pPr>
          </w:p>
          <w:p w14:paraId="20C38927" w14:textId="77777777" w:rsidR="002940B3" w:rsidRDefault="002940B3" w:rsidP="00B70FC0">
            <w:pPr>
              <w:pStyle w:val="Default"/>
              <w:rPr>
                <w:color w:val="000000" w:themeColor="text1"/>
                <w:sz w:val="22"/>
                <w:szCs w:val="22"/>
              </w:rPr>
            </w:pPr>
          </w:p>
          <w:p w14:paraId="01B912E1" w14:textId="77777777" w:rsidR="002940B3" w:rsidRDefault="002940B3" w:rsidP="00B70FC0">
            <w:pPr>
              <w:pStyle w:val="Default"/>
              <w:rPr>
                <w:color w:val="000000" w:themeColor="text1"/>
                <w:sz w:val="22"/>
                <w:szCs w:val="22"/>
              </w:rPr>
            </w:pPr>
          </w:p>
          <w:p w14:paraId="4A4A66B2" w14:textId="77777777" w:rsidR="002940B3" w:rsidRDefault="002940B3" w:rsidP="00B70FC0">
            <w:pPr>
              <w:pStyle w:val="Default"/>
              <w:rPr>
                <w:color w:val="000000" w:themeColor="text1"/>
                <w:sz w:val="22"/>
                <w:szCs w:val="22"/>
              </w:rPr>
            </w:pPr>
          </w:p>
          <w:p w14:paraId="33E99596" w14:textId="77777777" w:rsidR="002940B3" w:rsidRDefault="002940B3" w:rsidP="00B70FC0">
            <w:pPr>
              <w:pStyle w:val="Default"/>
              <w:rPr>
                <w:color w:val="000000" w:themeColor="text1"/>
                <w:sz w:val="22"/>
                <w:szCs w:val="22"/>
              </w:rPr>
            </w:pPr>
          </w:p>
          <w:p w14:paraId="7BC5D046" w14:textId="1BC4A19D" w:rsidR="002940B3" w:rsidRPr="00D05F06" w:rsidRDefault="002940B3" w:rsidP="00B70FC0">
            <w:pPr>
              <w:pStyle w:val="Default"/>
              <w:rPr>
                <w:color w:val="000000" w:themeColor="text1"/>
                <w:sz w:val="22"/>
                <w:szCs w:val="22"/>
              </w:rPr>
            </w:pPr>
            <w:r>
              <w:rPr>
                <w:color w:val="000000" w:themeColor="text1"/>
                <w:sz w:val="22"/>
                <w:szCs w:val="22"/>
              </w:rPr>
              <w:t>New due date 31</w:t>
            </w:r>
            <w:r w:rsidRPr="002940B3">
              <w:rPr>
                <w:color w:val="000000" w:themeColor="text1"/>
                <w:sz w:val="22"/>
                <w:szCs w:val="22"/>
                <w:vertAlign w:val="superscript"/>
              </w:rPr>
              <w:t>st</w:t>
            </w:r>
            <w:r w:rsidR="004F0A64">
              <w:rPr>
                <w:color w:val="000000" w:themeColor="text1"/>
                <w:sz w:val="22"/>
                <w:szCs w:val="22"/>
                <w:vertAlign w:val="superscript"/>
              </w:rPr>
              <w:t xml:space="preserve"> </w:t>
            </w:r>
            <w:r w:rsidR="004F0A64">
              <w:rPr>
                <w:color w:val="000000" w:themeColor="text1"/>
                <w:sz w:val="22"/>
                <w:szCs w:val="22"/>
              </w:rPr>
              <w:t>July</w:t>
            </w:r>
            <w:r w:rsidR="00730BEC">
              <w:rPr>
                <w:color w:val="000000" w:themeColor="text1"/>
                <w:sz w:val="22"/>
                <w:szCs w:val="22"/>
              </w:rPr>
              <w:t xml:space="preserve"> 25</w:t>
            </w:r>
          </w:p>
        </w:tc>
        <w:tc>
          <w:tcPr>
            <w:tcW w:w="850" w:type="dxa"/>
            <w:shd w:val="clear" w:color="auto" w:fill="FFC000"/>
          </w:tcPr>
          <w:p w14:paraId="6ED40B3B" w14:textId="77777777" w:rsidR="001D369F" w:rsidRPr="005F5142" w:rsidRDefault="001D369F" w:rsidP="00B70FC0">
            <w:pPr>
              <w:spacing w:line="276" w:lineRule="auto"/>
              <w:rPr>
                <w:rFonts w:asciiTheme="minorHAnsi" w:hAnsiTheme="minorHAnsi" w:cstheme="minorHAnsi"/>
                <w:b/>
                <w:color w:val="FF0000"/>
              </w:rPr>
            </w:pPr>
          </w:p>
        </w:tc>
      </w:tr>
      <w:bookmarkEnd w:id="8"/>
    </w:tbl>
    <w:p w14:paraId="05C8C7B4" w14:textId="78D37A1E" w:rsidR="001D369F" w:rsidRDefault="001D369F" w:rsidP="00A704E0">
      <w:pPr>
        <w:spacing w:after="200" w:line="276" w:lineRule="auto"/>
        <w:rPr>
          <w:rFonts w:cstheme="minorHAnsi"/>
          <w:b/>
          <w:bCs/>
          <w:color w:val="000000"/>
        </w:rPr>
      </w:pPr>
    </w:p>
    <w:p w14:paraId="0D887453" w14:textId="77777777" w:rsidR="004F0A64" w:rsidRDefault="004F0A64" w:rsidP="00A704E0">
      <w:pPr>
        <w:spacing w:after="200" w:line="276" w:lineRule="auto"/>
        <w:rPr>
          <w:rFonts w:cstheme="minorHAnsi"/>
          <w:b/>
          <w:bCs/>
          <w:color w:val="000000"/>
        </w:rPr>
      </w:pPr>
    </w:p>
    <w:p w14:paraId="18709AF7" w14:textId="77777777" w:rsidR="004F0A64" w:rsidRDefault="004F0A64" w:rsidP="00A704E0">
      <w:pPr>
        <w:spacing w:after="200" w:line="276" w:lineRule="auto"/>
        <w:rPr>
          <w:rFonts w:cstheme="minorHAnsi"/>
          <w:b/>
          <w:bCs/>
          <w:color w:val="000000"/>
        </w:rPr>
      </w:pPr>
    </w:p>
    <w:p w14:paraId="1657BD32" w14:textId="77777777" w:rsidR="004F0A64" w:rsidRDefault="004F0A64" w:rsidP="00A704E0">
      <w:pPr>
        <w:spacing w:after="200" w:line="276" w:lineRule="auto"/>
        <w:rPr>
          <w:rFonts w:cstheme="minorHAnsi"/>
          <w:b/>
          <w:bCs/>
          <w:color w:val="000000"/>
        </w:rPr>
      </w:pPr>
    </w:p>
    <w:p w14:paraId="4597F277" w14:textId="77777777" w:rsidR="004F0A64" w:rsidRDefault="004F0A64" w:rsidP="00A704E0">
      <w:pPr>
        <w:spacing w:after="200" w:line="276" w:lineRule="auto"/>
        <w:rPr>
          <w:rFonts w:cstheme="minorHAnsi"/>
          <w:b/>
          <w:bCs/>
          <w:color w:val="000000"/>
        </w:rPr>
      </w:pPr>
    </w:p>
    <w:p w14:paraId="633A384E" w14:textId="77777777" w:rsidR="004F0A64" w:rsidRDefault="004F0A64" w:rsidP="00A704E0">
      <w:pPr>
        <w:spacing w:after="200" w:line="276" w:lineRule="auto"/>
        <w:rPr>
          <w:rFonts w:cstheme="minorHAnsi"/>
          <w:b/>
          <w:bCs/>
          <w:color w:val="000000"/>
        </w:rPr>
      </w:pPr>
    </w:p>
    <w:p w14:paraId="44E65A3E" w14:textId="77777777" w:rsidR="004F0A64" w:rsidRDefault="004F0A64" w:rsidP="00A704E0">
      <w:pPr>
        <w:spacing w:after="200" w:line="276" w:lineRule="auto"/>
        <w:rPr>
          <w:rFonts w:cstheme="minorHAnsi"/>
          <w:b/>
          <w:bCs/>
          <w:color w:val="000000"/>
        </w:rPr>
      </w:pPr>
    </w:p>
    <w:p w14:paraId="0A200738" w14:textId="77777777" w:rsidR="004F0A64" w:rsidRDefault="004F0A64" w:rsidP="00A704E0">
      <w:pPr>
        <w:spacing w:after="200" w:line="276" w:lineRule="auto"/>
        <w:rPr>
          <w:rFonts w:cstheme="minorHAnsi"/>
          <w:b/>
          <w:bCs/>
          <w:color w:val="000000"/>
        </w:rPr>
      </w:pPr>
    </w:p>
    <w:p w14:paraId="6400D1FF" w14:textId="1111F3CA" w:rsidR="001D369F" w:rsidRDefault="00B01998" w:rsidP="00A704E0">
      <w:pPr>
        <w:spacing w:after="200" w:line="276" w:lineRule="auto"/>
        <w:rPr>
          <w:rFonts w:cstheme="minorHAnsi"/>
          <w:b/>
          <w:bCs/>
          <w:color w:val="000000"/>
        </w:rPr>
      </w:pPr>
      <w:r w:rsidRPr="00AA0A43">
        <w:rPr>
          <w:rFonts w:cstheme="minorHAnsi"/>
          <w:b/>
          <w:bCs/>
          <w:color w:val="000000"/>
        </w:rPr>
        <w:lastRenderedPageBreak/>
        <w:t>IT Asset Legacy Management</w:t>
      </w:r>
      <w:r>
        <w:rPr>
          <w:rFonts w:cstheme="minorHAnsi"/>
          <w:b/>
          <w:bCs/>
          <w:color w:val="000000"/>
        </w:rPr>
        <w:t xml:space="preserve"> </w:t>
      </w:r>
      <w:r w:rsidR="00720080">
        <w:rPr>
          <w:rFonts w:cstheme="minorHAnsi"/>
          <w:b/>
          <w:bCs/>
          <w:color w:val="000000"/>
        </w:rPr>
        <w:t xml:space="preserve">(Joint) </w:t>
      </w:r>
      <w:r>
        <w:rPr>
          <w:rFonts w:cstheme="minorHAnsi"/>
          <w:b/>
          <w:bCs/>
          <w:color w:val="000000"/>
        </w:rPr>
        <w:t>– June 2024</w:t>
      </w:r>
    </w:p>
    <w:tbl>
      <w:tblPr>
        <w:tblStyle w:val="TableGrid1"/>
        <w:tblW w:w="15309" w:type="dxa"/>
        <w:tblInd w:w="-572" w:type="dxa"/>
        <w:tblLook w:val="04A0" w:firstRow="1" w:lastRow="0" w:firstColumn="1" w:lastColumn="0" w:noHBand="0" w:noVBand="1"/>
      </w:tblPr>
      <w:tblGrid>
        <w:gridCol w:w="399"/>
        <w:gridCol w:w="4563"/>
        <w:gridCol w:w="2693"/>
        <w:gridCol w:w="992"/>
        <w:gridCol w:w="4253"/>
        <w:gridCol w:w="1559"/>
        <w:gridCol w:w="850"/>
      </w:tblGrid>
      <w:tr w:rsidR="00B01998" w:rsidRPr="00291B4B" w14:paraId="2DCA0406" w14:textId="77777777" w:rsidTr="00F257A3">
        <w:tc>
          <w:tcPr>
            <w:tcW w:w="399" w:type="dxa"/>
            <w:shd w:val="clear" w:color="auto" w:fill="632E9E"/>
          </w:tcPr>
          <w:p w14:paraId="76CAB74C"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 xml:space="preserve">   </w:t>
            </w:r>
          </w:p>
        </w:tc>
        <w:tc>
          <w:tcPr>
            <w:tcW w:w="4563" w:type="dxa"/>
            <w:shd w:val="clear" w:color="auto" w:fill="632E9E"/>
          </w:tcPr>
          <w:p w14:paraId="59E6E4F4"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09EA58B5"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7E59D917"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Priority</w:t>
            </w:r>
          </w:p>
        </w:tc>
        <w:tc>
          <w:tcPr>
            <w:tcW w:w="4253" w:type="dxa"/>
            <w:shd w:val="clear" w:color="auto" w:fill="632E9E"/>
          </w:tcPr>
          <w:p w14:paraId="57EA302E"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E47330C" w14:textId="77777777" w:rsidR="00B01998" w:rsidRPr="00291B4B" w:rsidRDefault="00B01998"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1C7E2123" w14:textId="77777777" w:rsidR="00B01998" w:rsidRPr="00291B4B" w:rsidRDefault="00B01998" w:rsidP="00B70FC0">
            <w:pPr>
              <w:spacing w:line="276" w:lineRule="auto"/>
              <w:rPr>
                <w:b/>
                <w:color w:val="FFFFFF" w:themeColor="background1"/>
                <w:sz w:val="16"/>
                <w:szCs w:val="16"/>
              </w:rPr>
            </w:pPr>
            <w:r w:rsidRPr="00291B4B">
              <w:rPr>
                <w:b/>
                <w:color w:val="FFFFFF" w:themeColor="background1"/>
                <w:sz w:val="16"/>
                <w:szCs w:val="16"/>
              </w:rPr>
              <w:t>Status</w:t>
            </w:r>
          </w:p>
        </w:tc>
      </w:tr>
      <w:tr w:rsidR="00B01998" w:rsidRPr="005F5142" w14:paraId="28B04AAC" w14:textId="77777777" w:rsidTr="00F257A3">
        <w:trPr>
          <w:trHeight w:val="844"/>
        </w:trPr>
        <w:tc>
          <w:tcPr>
            <w:tcW w:w="399" w:type="dxa"/>
            <w:tcMar>
              <w:left w:w="57" w:type="dxa"/>
              <w:right w:w="57" w:type="dxa"/>
            </w:tcMar>
          </w:tcPr>
          <w:p w14:paraId="3A091885" w14:textId="77777777" w:rsidR="00B01998" w:rsidRPr="005F5142" w:rsidRDefault="00B01998" w:rsidP="00B70FC0">
            <w:pPr>
              <w:rPr>
                <w:rFonts w:asciiTheme="minorHAnsi" w:hAnsiTheme="minorHAnsi" w:cstheme="minorHAnsi"/>
                <w:b/>
              </w:rPr>
            </w:pPr>
            <w:r>
              <w:rPr>
                <w:rFonts w:asciiTheme="minorHAnsi" w:hAnsiTheme="minorHAnsi" w:cstheme="minorHAnsi"/>
                <w:b/>
              </w:rPr>
              <w:t>1</w:t>
            </w:r>
          </w:p>
        </w:tc>
        <w:tc>
          <w:tcPr>
            <w:tcW w:w="4563" w:type="dxa"/>
          </w:tcPr>
          <w:p w14:paraId="09FE84F4" w14:textId="77777777" w:rsidR="00B01998" w:rsidRDefault="00B01998" w:rsidP="00B70FC0">
            <w:pPr>
              <w:pStyle w:val="Default"/>
              <w:rPr>
                <w:rFonts w:asciiTheme="minorHAnsi" w:hAnsiTheme="minorHAnsi" w:cstheme="minorHAnsi"/>
                <w:b/>
                <w:bCs/>
                <w:sz w:val="22"/>
                <w:szCs w:val="22"/>
              </w:rPr>
            </w:pPr>
            <w:r w:rsidRPr="00427C5F">
              <w:rPr>
                <w:rFonts w:asciiTheme="minorHAnsi" w:hAnsiTheme="minorHAnsi" w:cstheme="minorHAnsi"/>
                <w:b/>
                <w:bCs/>
                <w:sz w:val="22"/>
                <w:szCs w:val="22"/>
              </w:rPr>
              <w:t>Automated scanning of hardware and software is not used to identify inaccuracies in the IT asset register</w:t>
            </w:r>
          </w:p>
          <w:p w14:paraId="043F47EE" w14:textId="77777777" w:rsidR="00B01998" w:rsidRPr="00427C5F" w:rsidRDefault="00B01998" w:rsidP="00B70FC0">
            <w:pPr>
              <w:pStyle w:val="Default"/>
              <w:rPr>
                <w:rFonts w:asciiTheme="minorHAnsi" w:hAnsiTheme="minorHAnsi" w:cstheme="minorHAnsi"/>
                <w:sz w:val="22"/>
                <w:szCs w:val="22"/>
              </w:rPr>
            </w:pPr>
            <w:r w:rsidRPr="00427C5F">
              <w:rPr>
                <w:rFonts w:asciiTheme="minorHAnsi" w:hAnsiTheme="minorHAnsi" w:cstheme="minorHAnsi"/>
                <w:sz w:val="22"/>
                <w:szCs w:val="22"/>
              </w:rPr>
              <w:t>Automated scanning of hardware and software en</w:t>
            </w:r>
            <w:r>
              <w:rPr>
                <w:rFonts w:asciiTheme="minorHAnsi" w:hAnsiTheme="minorHAnsi" w:cstheme="minorHAnsi"/>
                <w:sz w:val="22"/>
                <w:szCs w:val="22"/>
              </w:rPr>
              <w:t xml:space="preserve">ables organisations to identify </w:t>
            </w:r>
            <w:r w:rsidRPr="00427C5F">
              <w:rPr>
                <w:rFonts w:asciiTheme="minorHAnsi" w:hAnsiTheme="minorHAnsi" w:cstheme="minorHAnsi"/>
                <w:sz w:val="22"/>
                <w:szCs w:val="22"/>
              </w:rPr>
              <w:t>discrepancies between the IT asset register and de</w:t>
            </w:r>
            <w:r>
              <w:rPr>
                <w:rFonts w:asciiTheme="minorHAnsi" w:hAnsiTheme="minorHAnsi" w:cstheme="minorHAnsi"/>
                <w:sz w:val="22"/>
                <w:szCs w:val="22"/>
              </w:rPr>
              <w:t xml:space="preserve">vices present on their network. </w:t>
            </w:r>
            <w:r w:rsidRPr="00427C5F">
              <w:rPr>
                <w:rFonts w:asciiTheme="minorHAnsi" w:hAnsiTheme="minorHAnsi" w:cstheme="minorHAnsi"/>
                <w:sz w:val="22"/>
                <w:szCs w:val="22"/>
              </w:rPr>
              <w:t>The Head of Digital, Data and Technology confi</w:t>
            </w:r>
            <w:r>
              <w:rPr>
                <w:rFonts w:asciiTheme="minorHAnsi" w:hAnsiTheme="minorHAnsi" w:cstheme="minorHAnsi"/>
                <w:sz w:val="22"/>
                <w:szCs w:val="22"/>
              </w:rPr>
              <w:t xml:space="preserve">rmed that there is currently no </w:t>
            </w:r>
            <w:r w:rsidRPr="00427C5F">
              <w:rPr>
                <w:rFonts w:asciiTheme="minorHAnsi" w:hAnsiTheme="minorHAnsi" w:cstheme="minorHAnsi"/>
                <w:sz w:val="22"/>
                <w:szCs w:val="22"/>
              </w:rPr>
              <w:t>software in place to scan the network for discrepancie</w:t>
            </w:r>
            <w:r>
              <w:rPr>
                <w:rFonts w:asciiTheme="minorHAnsi" w:hAnsiTheme="minorHAnsi" w:cstheme="minorHAnsi"/>
                <w:sz w:val="22"/>
                <w:szCs w:val="22"/>
              </w:rPr>
              <w:t xml:space="preserve">s between the IT Asset Register </w:t>
            </w:r>
            <w:r w:rsidRPr="00427C5F">
              <w:rPr>
                <w:rFonts w:asciiTheme="minorHAnsi" w:hAnsiTheme="minorHAnsi" w:cstheme="minorHAnsi"/>
                <w:sz w:val="22"/>
                <w:szCs w:val="22"/>
              </w:rPr>
              <w:t>and the actual devices deployed across the Force. Nor</w:t>
            </w:r>
            <w:r>
              <w:rPr>
                <w:rFonts w:asciiTheme="minorHAnsi" w:hAnsiTheme="minorHAnsi" w:cstheme="minorHAnsi"/>
                <w:sz w:val="22"/>
                <w:szCs w:val="22"/>
              </w:rPr>
              <w:t xml:space="preserve">thamptonshire Police &amp; Fire are </w:t>
            </w:r>
            <w:r w:rsidRPr="00427C5F">
              <w:rPr>
                <w:rFonts w:asciiTheme="minorHAnsi" w:hAnsiTheme="minorHAnsi" w:cstheme="minorHAnsi"/>
                <w:sz w:val="22"/>
                <w:szCs w:val="22"/>
              </w:rPr>
              <w:t>currently in the process of purchasing a new IT Service Management (ITSM) tool,</w:t>
            </w:r>
            <w:r>
              <w:rPr>
                <w:rFonts w:asciiTheme="minorHAnsi" w:hAnsiTheme="minorHAnsi" w:cstheme="minorHAnsi"/>
                <w:sz w:val="22"/>
                <w:szCs w:val="22"/>
              </w:rPr>
              <w:t xml:space="preserve"> </w:t>
            </w:r>
            <w:r w:rsidRPr="00427C5F">
              <w:rPr>
                <w:rFonts w:asciiTheme="minorHAnsi" w:hAnsiTheme="minorHAnsi" w:cstheme="minorHAnsi"/>
                <w:sz w:val="22"/>
                <w:szCs w:val="22"/>
              </w:rPr>
              <w:t>which we are informed will include this functi</w:t>
            </w:r>
            <w:r>
              <w:rPr>
                <w:rFonts w:asciiTheme="minorHAnsi" w:hAnsiTheme="minorHAnsi" w:cstheme="minorHAnsi"/>
                <w:sz w:val="22"/>
                <w:szCs w:val="22"/>
              </w:rPr>
              <w:t xml:space="preserve">on, with the intention to begin implementation from May 2024. </w:t>
            </w:r>
            <w:r w:rsidRPr="00427C5F">
              <w:rPr>
                <w:rFonts w:asciiTheme="minorHAnsi" w:hAnsiTheme="minorHAnsi" w:cstheme="minorHAnsi"/>
                <w:sz w:val="22"/>
                <w:szCs w:val="22"/>
              </w:rPr>
              <w:t>Furthermore, dependent on their type, most devices are separately managed by other</w:t>
            </w:r>
            <w:r>
              <w:rPr>
                <w:rFonts w:asciiTheme="minorHAnsi" w:hAnsiTheme="minorHAnsi" w:cstheme="minorHAnsi"/>
                <w:sz w:val="22"/>
                <w:szCs w:val="22"/>
              </w:rPr>
              <w:t xml:space="preserve"> </w:t>
            </w:r>
            <w:r w:rsidRPr="00427C5F">
              <w:rPr>
                <w:rFonts w:asciiTheme="minorHAnsi" w:hAnsiTheme="minorHAnsi" w:cstheme="minorHAnsi"/>
                <w:sz w:val="22"/>
                <w:szCs w:val="22"/>
              </w:rPr>
              <w:t>software; for example, laptops are registered by Intune</w:t>
            </w:r>
            <w:r>
              <w:rPr>
                <w:rFonts w:asciiTheme="minorHAnsi" w:hAnsiTheme="minorHAnsi" w:cstheme="minorHAnsi"/>
                <w:sz w:val="22"/>
                <w:szCs w:val="22"/>
              </w:rPr>
              <w:t xml:space="preserve">, however apart from a historic </w:t>
            </w:r>
            <w:r w:rsidRPr="00427C5F">
              <w:rPr>
                <w:rFonts w:asciiTheme="minorHAnsi" w:hAnsiTheme="minorHAnsi" w:cstheme="minorHAnsi"/>
                <w:sz w:val="22"/>
                <w:szCs w:val="22"/>
              </w:rPr>
              <w:t>feed from the Blackberry management software for mob</w:t>
            </w:r>
            <w:r>
              <w:rPr>
                <w:rFonts w:asciiTheme="minorHAnsi" w:hAnsiTheme="minorHAnsi" w:cstheme="minorHAnsi"/>
                <w:sz w:val="22"/>
                <w:szCs w:val="22"/>
              </w:rPr>
              <w:t xml:space="preserve">ile devices, there are no other </w:t>
            </w:r>
            <w:r w:rsidRPr="00427C5F">
              <w:rPr>
                <w:rFonts w:asciiTheme="minorHAnsi" w:hAnsiTheme="minorHAnsi" w:cstheme="minorHAnsi"/>
                <w:sz w:val="22"/>
                <w:szCs w:val="22"/>
              </w:rPr>
              <w:t>automated updates to the IT asset register to keep it updated.</w:t>
            </w:r>
          </w:p>
          <w:p w14:paraId="0AB72D49" w14:textId="77777777" w:rsidR="00B01998" w:rsidRPr="00D05F06" w:rsidRDefault="00B01998" w:rsidP="00B70FC0">
            <w:pPr>
              <w:pStyle w:val="Default"/>
              <w:rPr>
                <w:rFonts w:asciiTheme="minorHAnsi" w:hAnsiTheme="minorHAnsi" w:cstheme="minorHAnsi"/>
                <w:sz w:val="22"/>
                <w:szCs w:val="22"/>
              </w:rPr>
            </w:pPr>
            <w:r w:rsidRPr="00D53C4F">
              <w:rPr>
                <w:rFonts w:asciiTheme="minorHAnsi" w:hAnsiTheme="minorHAnsi" w:cstheme="minorHAnsi"/>
                <w:b/>
                <w:sz w:val="22"/>
                <w:szCs w:val="22"/>
              </w:rPr>
              <w:t>Risk and Impact:</w:t>
            </w:r>
            <w:r w:rsidRPr="00427C5F">
              <w:rPr>
                <w:rFonts w:asciiTheme="minorHAnsi" w:hAnsiTheme="minorHAnsi" w:cstheme="minorHAnsi"/>
                <w:sz w:val="22"/>
                <w:szCs w:val="22"/>
              </w:rPr>
              <w:t xml:space="preserve"> Inaccuracies in the IT asset register</w:t>
            </w:r>
            <w:r>
              <w:rPr>
                <w:rFonts w:asciiTheme="minorHAnsi" w:hAnsiTheme="minorHAnsi" w:cstheme="minorHAnsi"/>
                <w:sz w:val="22"/>
                <w:szCs w:val="22"/>
              </w:rPr>
              <w:t xml:space="preserve">, such as those that arise from </w:t>
            </w:r>
            <w:r w:rsidRPr="00427C5F">
              <w:rPr>
                <w:rFonts w:asciiTheme="minorHAnsi" w:hAnsiTheme="minorHAnsi" w:cstheme="minorHAnsi"/>
                <w:sz w:val="22"/>
                <w:szCs w:val="22"/>
              </w:rPr>
              <w:t>failure to apply manual updates of new devices, prev</w:t>
            </w:r>
            <w:r>
              <w:rPr>
                <w:rFonts w:asciiTheme="minorHAnsi" w:hAnsiTheme="minorHAnsi" w:cstheme="minorHAnsi"/>
                <w:sz w:val="22"/>
                <w:szCs w:val="22"/>
              </w:rPr>
              <w:t xml:space="preserve">ent effective management of the </w:t>
            </w:r>
            <w:r w:rsidRPr="00427C5F">
              <w:rPr>
                <w:rFonts w:asciiTheme="minorHAnsi" w:hAnsiTheme="minorHAnsi" w:cstheme="minorHAnsi"/>
                <w:sz w:val="22"/>
                <w:szCs w:val="22"/>
              </w:rPr>
              <w:t>Northamptonshire Police &amp; Fire devices, whether this b</w:t>
            </w:r>
            <w:r>
              <w:rPr>
                <w:rFonts w:asciiTheme="minorHAnsi" w:hAnsiTheme="minorHAnsi" w:cstheme="minorHAnsi"/>
                <w:sz w:val="22"/>
                <w:szCs w:val="22"/>
              </w:rPr>
              <w:t xml:space="preserve">e from a financial, security or </w:t>
            </w:r>
            <w:r w:rsidRPr="00427C5F">
              <w:rPr>
                <w:rFonts w:asciiTheme="minorHAnsi" w:hAnsiTheme="minorHAnsi" w:cstheme="minorHAnsi"/>
                <w:sz w:val="22"/>
                <w:szCs w:val="22"/>
              </w:rPr>
              <w:t>service management perspective.</w:t>
            </w:r>
          </w:p>
        </w:tc>
        <w:tc>
          <w:tcPr>
            <w:tcW w:w="2693" w:type="dxa"/>
          </w:tcPr>
          <w:p w14:paraId="3051095C"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Continue with the planned impleme</w:t>
            </w:r>
            <w:r>
              <w:rPr>
                <w:rFonts w:asciiTheme="minorHAnsi" w:hAnsiTheme="minorHAnsi" w:cstheme="minorHAnsi"/>
              </w:rPr>
              <w:t xml:space="preserve">ntation of a new ITSM tool that </w:t>
            </w:r>
            <w:r w:rsidRPr="00CB4A8C">
              <w:rPr>
                <w:rFonts w:asciiTheme="minorHAnsi" w:hAnsiTheme="minorHAnsi" w:cstheme="minorHAnsi"/>
              </w:rPr>
              <w:t>includes device scanning to identify discrepancies with the IT</w:t>
            </w:r>
          </w:p>
          <w:p w14:paraId="2FE0DEF9"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Asset Register.</w:t>
            </w:r>
          </w:p>
          <w:p w14:paraId="60D6B40C"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Once implemented the software should also consume feeds from</w:t>
            </w:r>
          </w:p>
          <w:p w14:paraId="27C6160A" w14:textId="77777777" w:rsidR="00B01998" w:rsidRPr="00CB4A8C" w:rsidRDefault="00B01998" w:rsidP="00B70FC0">
            <w:pPr>
              <w:rPr>
                <w:rFonts w:asciiTheme="minorHAnsi" w:hAnsiTheme="minorHAnsi" w:cstheme="minorHAnsi"/>
              </w:rPr>
            </w:pPr>
            <w:r w:rsidRPr="00CB4A8C">
              <w:rPr>
                <w:rFonts w:asciiTheme="minorHAnsi" w:hAnsiTheme="minorHAnsi" w:cstheme="minorHAnsi"/>
              </w:rPr>
              <w:t>the management software for each class of device.</w:t>
            </w:r>
          </w:p>
          <w:p w14:paraId="754843C3" w14:textId="77777777" w:rsidR="00B01998" w:rsidRPr="00CB4A8C" w:rsidRDefault="00B01998" w:rsidP="00B70FC0">
            <w:pPr>
              <w:rPr>
                <w:rFonts w:asciiTheme="minorHAnsi" w:hAnsiTheme="minorHAnsi" w:cstheme="minorHAnsi"/>
              </w:rPr>
            </w:pPr>
            <w:r>
              <w:rPr>
                <w:rFonts w:asciiTheme="minorHAnsi" w:hAnsiTheme="minorHAnsi" w:cstheme="minorHAnsi"/>
              </w:rPr>
              <w:t xml:space="preserve">IT asset register </w:t>
            </w:r>
            <w:r w:rsidRPr="00CB4A8C">
              <w:rPr>
                <w:rFonts w:asciiTheme="minorHAnsi" w:hAnsiTheme="minorHAnsi" w:cstheme="minorHAnsi"/>
              </w:rPr>
              <w:t>discrepancies identified by automated scanning</w:t>
            </w:r>
          </w:p>
          <w:p w14:paraId="705C90A4" w14:textId="77777777" w:rsidR="00B01998" w:rsidRPr="00A31E5D" w:rsidRDefault="00B01998" w:rsidP="00B70FC0">
            <w:pPr>
              <w:rPr>
                <w:rFonts w:asciiTheme="minorHAnsi" w:hAnsiTheme="minorHAnsi" w:cstheme="minorHAnsi"/>
              </w:rPr>
            </w:pPr>
            <w:r w:rsidRPr="00CB4A8C">
              <w:rPr>
                <w:rFonts w:asciiTheme="minorHAnsi" w:hAnsiTheme="minorHAnsi" w:cstheme="minorHAnsi"/>
              </w:rPr>
              <w:t>or following receipt of inf</w:t>
            </w:r>
            <w:r>
              <w:rPr>
                <w:rFonts w:asciiTheme="minorHAnsi" w:hAnsiTheme="minorHAnsi" w:cstheme="minorHAnsi"/>
              </w:rPr>
              <w:t xml:space="preserve">ormation from device management </w:t>
            </w:r>
            <w:r w:rsidRPr="00CB4A8C">
              <w:rPr>
                <w:rFonts w:asciiTheme="minorHAnsi" w:hAnsiTheme="minorHAnsi" w:cstheme="minorHAnsi"/>
              </w:rPr>
              <w:t>software should be investigated bef</w:t>
            </w:r>
            <w:r>
              <w:rPr>
                <w:rFonts w:asciiTheme="minorHAnsi" w:hAnsiTheme="minorHAnsi" w:cstheme="minorHAnsi"/>
              </w:rPr>
              <w:t xml:space="preserve">ore their application to the IT </w:t>
            </w:r>
            <w:r w:rsidRPr="00CB4A8C">
              <w:rPr>
                <w:rFonts w:asciiTheme="minorHAnsi" w:hAnsiTheme="minorHAnsi" w:cstheme="minorHAnsi"/>
              </w:rPr>
              <w:t>asset register.</w:t>
            </w:r>
          </w:p>
        </w:tc>
        <w:tc>
          <w:tcPr>
            <w:tcW w:w="992" w:type="dxa"/>
            <w:shd w:val="clear" w:color="auto" w:fill="FFC000"/>
          </w:tcPr>
          <w:p w14:paraId="2A25C6B6" w14:textId="77777777" w:rsidR="00B01998" w:rsidRPr="00D05F06" w:rsidRDefault="00B01998" w:rsidP="00B70FC0">
            <w:pPr>
              <w:jc w:val="center"/>
              <w:rPr>
                <w:rFonts w:ascii="Calibri" w:hAnsi="Calibri" w:cs="Calibri"/>
                <w:b/>
              </w:rPr>
            </w:pPr>
            <w:r>
              <w:rPr>
                <w:rFonts w:ascii="Calibri" w:hAnsi="Calibri" w:cs="Calibri"/>
                <w:b/>
              </w:rPr>
              <w:t>Medium</w:t>
            </w:r>
          </w:p>
        </w:tc>
        <w:tc>
          <w:tcPr>
            <w:tcW w:w="4253" w:type="dxa"/>
          </w:tcPr>
          <w:p w14:paraId="44D5D7DE" w14:textId="771ACCBD" w:rsidR="00B01998" w:rsidRDefault="00B01998" w:rsidP="00B70FC0">
            <w:pPr>
              <w:pStyle w:val="Default"/>
              <w:rPr>
                <w:bCs/>
                <w:sz w:val="22"/>
                <w:szCs w:val="22"/>
              </w:rPr>
            </w:pPr>
            <w:r w:rsidRPr="00D53C4F">
              <w:rPr>
                <w:bCs/>
                <w:sz w:val="22"/>
                <w:szCs w:val="22"/>
              </w:rPr>
              <w:t xml:space="preserve">The procurement and implementation of the new ITSM tool is ongoing and DDaT will implement the software in three phases, </w:t>
            </w:r>
            <w:r>
              <w:rPr>
                <w:bCs/>
                <w:sz w:val="22"/>
                <w:szCs w:val="22"/>
              </w:rPr>
              <w:t xml:space="preserve">starting from the first quarter </w:t>
            </w:r>
            <w:r w:rsidRPr="00D53C4F">
              <w:rPr>
                <w:bCs/>
                <w:sz w:val="22"/>
                <w:szCs w:val="22"/>
              </w:rPr>
              <w:t>of the current fiscal year and ending by the fourth q</w:t>
            </w:r>
            <w:r>
              <w:rPr>
                <w:bCs/>
                <w:sz w:val="22"/>
                <w:szCs w:val="22"/>
              </w:rPr>
              <w:t xml:space="preserve">uarter of the next fiscal year. </w:t>
            </w:r>
            <w:r w:rsidRPr="00D53C4F">
              <w:rPr>
                <w:bCs/>
                <w:sz w:val="22"/>
                <w:szCs w:val="22"/>
              </w:rPr>
              <w:t>The first phase will involve installing and configuring the software on the servers and integrating it with the existing IT systems.</w:t>
            </w:r>
            <w:r>
              <w:rPr>
                <w:bCs/>
                <w:sz w:val="22"/>
                <w:szCs w:val="22"/>
              </w:rPr>
              <w:t xml:space="preserve"> </w:t>
            </w:r>
            <w:r w:rsidRPr="00D53C4F">
              <w:rPr>
                <w:bCs/>
                <w:sz w:val="22"/>
                <w:szCs w:val="22"/>
              </w:rPr>
              <w:t>The second phase will involve testing and validating the software functionality and performance, as well as training the staff on how to use it. The third</w:t>
            </w:r>
            <w:r w:rsidR="00F257A3">
              <w:rPr>
                <w:bCs/>
                <w:sz w:val="22"/>
                <w:szCs w:val="22"/>
              </w:rPr>
              <w:t xml:space="preserve"> </w:t>
            </w:r>
            <w:r w:rsidRPr="00D53C4F">
              <w:rPr>
                <w:bCs/>
                <w:sz w:val="22"/>
                <w:szCs w:val="22"/>
              </w:rPr>
              <w:t>phase will involve deploying the software to all the devices and conducting a post-implementation review.</w:t>
            </w:r>
            <w:r w:rsidR="00527582">
              <w:rPr>
                <w:bCs/>
                <w:sz w:val="22"/>
                <w:szCs w:val="22"/>
              </w:rPr>
              <w:t xml:space="preserve"> </w:t>
            </w:r>
            <w:r w:rsidRPr="00D53C4F">
              <w:rPr>
                <w:bCs/>
                <w:sz w:val="22"/>
                <w:szCs w:val="22"/>
              </w:rPr>
              <w:t>The current system does not provide Integrations required to consume feeds, however these capabiliti</w:t>
            </w:r>
            <w:r>
              <w:rPr>
                <w:bCs/>
                <w:sz w:val="22"/>
                <w:szCs w:val="22"/>
              </w:rPr>
              <w:t xml:space="preserve">es are present in the new tool. </w:t>
            </w:r>
            <w:r w:rsidRPr="00D53C4F">
              <w:rPr>
                <w:bCs/>
                <w:sz w:val="22"/>
                <w:szCs w:val="22"/>
              </w:rPr>
              <w:t xml:space="preserve">In the meantime, we are currently exploring opportunities to see how the reporting tools can help us determine device usage. </w:t>
            </w:r>
            <w:r>
              <w:rPr>
                <w:bCs/>
                <w:sz w:val="22"/>
                <w:szCs w:val="22"/>
              </w:rPr>
              <w:t xml:space="preserve">The initial goal is to identify </w:t>
            </w:r>
            <w:r w:rsidRPr="00D53C4F">
              <w:rPr>
                <w:bCs/>
                <w:sz w:val="22"/>
                <w:szCs w:val="22"/>
              </w:rPr>
              <w:t>devices not in use against our asset lists.</w:t>
            </w:r>
          </w:p>
          <w:p w14:paraId="512ECDDD" w14:textId="77777777" w:rsidR="004F0A64" w:rsidRDefault="004F0A64" w:rsidP="00FB30A6">
            <w:pPr>
              <w:pStyle w:val="Default"/>
              <w:rPr>
                <w:bCs/>
                <w:sz w:val="22"/>
                <w:szCs w:val="22"/>
              </w:rPr>
            </w:pPr>
          </w:p>
          <w:p w14:paraId="4F53C9B9" w14:textId="53A30C42" w:rsidR="00452EE1" w:rsidRPr="00D05F06" w:rsidRDefault="00452EE1" w:rsidP="00FB30A6">
            <w:pPr>
              <w:pStyle w:val="Default"/>
              <w:rPr>
                <w:bCs/>
                <w:sz w:val="22"/>
                <w:szCs w:val="22"/>
              </w:rPr>
            </w:pPr>
            <w:r w:rsidRPr="00452EE1">
              <w:rPr>
                <w:b/>
                <w:bCs/>
                <w:sz w:val="22"/>
                <w:szCs w:val="22"/>
              </w:rPr>
              <w:t>7.11.25</w:t>
            </w:r>
            <w:r>
              <w:rPr>
                <w:bCs/>
                <w:sz w:val="22"/>
                <w:szCs w:val="22"/>
              </w:rPr>
              <w:t xml:space="preserve"> YH Update - </w:t>
            </w:r>
            <w:r w:rsidRPr="00452EE1">
              <w:rPr>
                <w:bCs/>
                <w:sz w:val="22"/>
                <w:szCs w:val="22"/>
              </w:rPr>
              <w:t>Request to move da</w:t>
            </w:r>
            <w:r>
              <w:rPr>
                <w:bCs/>
                <w:sz w:val="22"/>
                <w:szCs w:val="22"/>
              </w:rPr>
              <w:t>tes due to procurement accepted. New due date 31.03.25</w:t>
            </w:r>
          </w:p>
        </w:tc>
        <w:tc>
          <w:tcPr>
            <w:tcW w:w="1559" w:type="dxa"/>
          </w:tcPr>
          <w:p w14:paraId="5C6EA203" w14:textId="77777777" w:rsidR="00B01998" w:rsidRPr="00450832" w:rsidRDefault="00B01998" w:rsidP="00B70FC0">
            <w:pPr>
              <w:pStyle w:val="Default"/>
              <w:rPr>
                <w:color w:val="000000" w:themeColor="text1"/>
                <w:sz w:val="22"/>
                <w:szCs w:val="22"/>
              </w:rPr>
            </w:pPr>
            <w:r w:rsidRPr="00450832">
              <w:rPr>
                <w:color w:val="000000" w:themeColor="text1"/>
                <w:sz w:val="22"/>
                <w:szCs w:val="22"/>
              </w:rPr>
              <w:t>Dan Cooper, Head of Technical Support -</w:t>
            </w:r>
          </w:p>
          <w:p w14:paraId="1B4A24D5" w14:textId="77777777" w:rsidR="00B01998" w:rsidRDefault="00B01998" w:rsidP="00B70FC0">
            <w:pPr>
              <w:pStyle w:val="Default"/>
              <w:rPr>
                <w:color w:val="000000" w:themeColor="text1"/>
                <w:sz w:val="22"/>
                <w:szCs w:val="22"/>
              </w:rPr>
            </w:pPr>
            <w:r w:rsidRPr="00450832">
              <w:rPr>
                <w:color w:val="000000" w:themeColor="text1"/>
                <w:sz w:val="22"/>
                <w:szCs w:val="22"/>
              </w:rPr>
              <w:t>DDaT</w:t>
            </w:r>
          </w:p>
          <w:p w14:paraId="0673CDC2" w14:textId="77777777" w:rsidR="00B01998" w:rsidRDefault="00B01998" w:rsidP="00B70FC0">
            <w:pPr>
              <w:pStyle w:val="Default"/>
              <w:rPr>
                <w:color w:val="000000" w:themeColor="text1"/>
                <w:sz w:val="22"/>
                <w:szCs w:val="22"/>
              </w:rPr>
            </w:pPr>
          </w:p>
          <w:p w14:paraId="624B8038" w14:textId="77777777" w:rsidR="00B01998" w:rsidRDefault="00B01998" w:rsidP="00B70FC0">
            <w:pPr>
              <w:pStyle w:val="Default"/>
              <w:rPr>
                <w:color w:val="000000" w:themeColor="text1"/>
                <w:sz w:val="22"/>
                <w:szCs w:val="22"/>
              </w:rPr>
            </w:pPr>
            <w:r>
              <w:rPr>
                <w:color w:val="000000" w:themeColor="text1"/>
                <w:sz w:val="22"/>
                <w:szCs w:val="22"/>
              </w:rPr>
              <w:t>31 Dec</w:t>
            </w:r>
            <w:r w:rsidRPr="00450832">
              <w:rPr>
                <w:color w:val="000000" w:themeColor="text1"/>
                <w:sz w:val="22"/>
                <w:szCs w:val="22"/>
              </w:rPr>
              <w:t xml:space="preserve"> 2025</w:t>
            </w:r>
          </w:p>
          <w:p w14:paraId="53FEDD70" w14:textId="77777777" w:rsidR="00971D67" w:rsidRDefault="00971D67" w:rsidP="00B70FC0">
            <w:pPr>
              <w:pStyle w:val="Default"/>
              <w:rPr>
                <w:color w:val="000000" w:themeColor="text1"/>
                <w:sz w:val="22"/>
                <w:szCs w:val="22"/>
              </w:rPr>
            </w:pPr>
          </w:p>
          <w:p w14:paraId="7FA2B453" w14:textId="77777777" w:rsidR="00971D67" w:rsidRDefault="00971D67" w:rsidP="00B70FC0">
            <w:pPr>
              <w:pStyle w:val="Default"/>
              <w:rPr>
                <w:color w:val="000000" w:themeColor="text1"/>
                <w:sz w:val="22"/>
                <w:szCs w:val="22"/>
              </w:rPr>
            </w:pPr>
          </w:p>
          <w:p w14:paraId="3426C6D5" w14:textId="77777777" w:rsidR="00971D67" w:rsidRDefault="00971D67" w:rsidP="00B70FC0">
            <w:pPr>
              <w:pStyle w:val="Default"/>
              <w:rPr>
                <w:color w:val="000000" w:themeColor="text1"/>
                <w:sz w:val="22"/>
                <w:szCs w:val="22"/>
              </w:rPr>
            </w:pPr>
          </w:p>
          <w:p w14:paraId="2614663F" w14:textId="77777777" w:rsidR="00971D67" w:rsidRDefault="00971D67" w:rsidP="00B70FC0">
            <w:pPr>
              <w:pStyle w:val="Default"/>
              <w:rPr>
                <w:color w:val="000000" w:themeColor="text1"/>
                <w:sz w:val="22"/>
                <w:szCs w:val="22"/>
              </w:rPr>
            </w:pPr>
          </w:p>
          <w:p w14:paraId="678C92A1" w14:textId="77777777" w:rsidR="00971D67" w:rsidRDefault="00971D67" w:rsidP="00B70FC0">
            <w:pPr>
              <w:pStyle w:val="Default"/>
              <w:rPr>
                <w:color w:val="000000" w:themeColor="text1"/>
                <w:sz w:val="22"/>
                <w:szCs w:val="22"/>
              </w:rPr>
            </w:pPr>
          </w:p>
          <w:p w14:paraId="79AA35CA" w14:textId="77777777" w:rsidR="00971D67" w:rsidRDefault="00971D67" w:rsidP="00B70FC0">
            <w:pPr>
              <w:pStyle w:val="Default"/>
              <w:rPr>
                <w:color w:val="000000" w:themeColor="text1"/>
                <w:sz w:val="22"/>
                <w:szCs w:val="22"/>
              </w:rPr>
            </w:pPr>
          </w:p>
          <w:p w14:paraId="59596CDA" w14:textId="77777777" w:rsidR="00971D67" w:rsidRDefault="00971D67" w:rsidP="00B70FC0">
            <w:pPr>
              <w:pStyle w:val="Default"/>
              <w:rPr>
                <w:color w:val="000000" w:themeColor="text1"/>
                <w:sz w:val="22"/>
                <w:szCs w:val="22"/>
              </w:rPr>
            </w:pPr>
          </w:p>
          <w:p w14:paraId="68DB4980" w14:textId="77777777" w:rsidR="00971D67" w:rsidRDefault="00971D67" w:rsidP="00B70FC0">
            <w:pPr>
              <w:pStyle w:val="Default"/>
              <w:rPr>
                <w:color w:val="000000" w:themeColor="text1"/>
                <w:sz w:val="22"/>
                <w:szCs w:val="22"/>
              </w:rPr>
            </w:pPr>
          </w:p>
          <w:p w14:paraId="41912B7F" w14:textId="77777777" w:rsidR="00971D67" w:rsidRDefault="00971D67" w:rsidP="00B70FC0">
            <w:pPr>
              <w:pStyle w:val="Default"/>
              <w:rPr>
                <w:color w:val="000000" w:themeColor="text1"/>
                <w:sz w:val="22"/>
                <w:szCs w:val="22"/>
              </w:rPr>
            </w:pPr>
          </w:p>
          <w:p w14:paraId="2DA3F7F9" w14:textId="77777777" w:rsidR="00971D67" w:rsidRDefault="00971D67" w:rsidP="00B70FC0">
            <w:pPr>
              <w:pStyle w:val="Default"/>
              <w:rPr>
                <w:color w:val="000000" w:themeColor="text1"/>
                <w:sz w:val="22"/>
                <w:szCs w:val="22"/>
              </w:rPr>
            </w:pPr>
          </w:p>
          <w:p w14:paraId="72642D5B" w14:textId="77777777" w:rsidR="00971D67" w:rsidRDefault="00971D67" w:rsidP="00B70FC0">
            <w:pPr>
              <w:pStyle w:val="Default"/>
              <w:rPr>
                <w:color w:val="000000" w:themeColor="text1"/>
                <w:sz w:val="22"/>
                <w:szCs w:val="22"/>
              </w:rPr>
            </w:pPr>
          </w:p>
          <w:p w14:paraId="4E070EC4" w14:textId="77777777" w:rsidR="00971D67" w:rsidRDefault="00971D67" w:rsidP="00B70FC0">
            <w:pPr>
              <w:pStyle w:val="Default"/>
              <w:rPr>
                <w:color w:val="000000" w:themeColor="text1"/>
                <w:sz w:val="22"/>
                <w:szCs w:val="22"/>
              </w:rPr>
            </w:pPr>
          </w:p>
          <w:p w14:paraId="3DF9DF4B" w14:textId="77777777" w:rsidR="00971D67" w:rsidRDefault="00971D67" w:rsidP="00B70FC0">
            <w:pPr>
              <w:pStyle w:val="Default"/>
              <w:rPr>
                <w:color w:val="000000" w:themeColor="text1"/>
                <w:sz w:val="22"/>
                <w:szCs w:val="22"/>
              </w:rPr>
            </w:pPr>
          </w:p>
          <w:p w14:paraId="0C83BB26" w14:textId="77777777" w:rsidR="00971D67" w:rsidRDefault="00971D67" w:rsidP="00B70FC0">
            <w:pPr>
              <w:pStyle w:val="Default"/>
              <w:rPr>
                <w:color w:val="000000" w:themeColor="text1"/>
                <w:sz w:val="22"/>
                <w:szCs w:val="22"/>
              </w:rPr>
            </w:pPr>
          </w:p>
          <w:p w14:paraId="66EFF847" w14:textId="77777777" w:rsidR="00971D67" w:rsidRDefault="00971D67" w:rsidP="00B70FC0">
            <w:pPr>
              <w:pStyle w:val="Default"/>
              <w:rPr>
                <w:color w:val="000000" w:themeColor="text1"/>
                <w:sz w:val="22"/>
                <w:szCs w:val="22"/>
              </w:rPr>
            </w:pPr>
          </w:p>
          <w:p w14:paraId="655B10A4" w14:textId="77777777" w:rsidR="00971D67" w:rsidRDefault="00971D67" w:rsidP="00B70FC0">
            <w:pPr>
              <w:pStyle w:val="Default"/>
              <w:rPr>
                <w:color w:val="000000" w:themeColor="text1"/>
                <w:sz w:val="22"/>
                <w:szCs w:val="22"/>
              </w:rPr>
            </w:pPr>
          </w:p>
          <w:p w14:paraId="1FE56312" w14:textId="77777777" w:rsidR="00971D67" w:rsidRDefault="00971D67" w:rsidP="00B70FC0">
            <w:pPr>
              <w:pStyle w:val="Default"/>
              <w:rPr>
                <w:color w:val="000000" w:themeColor="text1"/>
                <w:sz w:val="22"/>
                <w:szCs w:val="22"/>
              </w:rPr>
            </w:pPr>
          </w:p>
          <w:p w14:paraId="23A93ECE" w14:textId="30AFE027" w:rsidR="00971D67" w:rsidRPr="00D05F06" w:rsidRDefault="00971D67" w:rsidP="00B70FC0">
            <w:pPr>
              <w:pStyle w:val="Default"/>
              <w:rPr>
                <w:color w:val="000000" w:themeColor="text1"/>
                <w:sz w:val="22"/>
                <w:szCs w:val="22"/>
              </w:rPr>
            </w:pPr>
            <w:r>
              <w:rPr>
                <w:color w:val="000000" w:themeColor="text1"/>
                <w:sz w:val="22"/>
                <w:szCs w:val="22"/>
              </w:rPr>
              <w:t>New due date 31</w:t>
            </w:r>
            <w:r w:rsidRPr="00971D67">
              <w:rPr>
                <w:color w:val="000000" w:themeColor="text1"/>
                <w:sz w:val="22"/>
                <w:szCs w:val="22"/>
                <w:vertAlign w:val="superscript"/>
              </w:rPr>
              <w:t>st</w:t>
            </w:r>
            <w:r w:rsidR="00BD19B1">
              <w:rPr>
                <w:color w:val="000000" w:themeColor="text1"/>
                <w:sz w:val="22"/>
                <w:szCs w:val="22"/>
              </w:rPr>
              <w:t xml:space="preserve"> Mar 2025</w:t>
            </w:r>
          </w:p>
        </w:tc>
        <w:tc>
          <w:tcPr>
            <w:tcW w:w="850" w:type="dxa"/>
            <w:shd w:val="clear" w:color="auto" w:fill="FFFF00"/>
          </w:tcPr>
          <w:p w14:paraId="2EDB2893" w14:textId="77777777" w:rsidR="00B01998" w:rsidRPr="005F5142" w:rsidRDefault="00B01998" w:rsidP="00B70FC0">
            <w:pPr>
              <w:spacing w:line="276" w:lineRule="auto"/>
              <w:rPr>
                <w:rFonts w:asciiTheme="minorHAnsi" w:hAnsiTheme="minorHAnsi" w:cstheme="minorHAnsi"/>
                <w:b/>
                <w:color w:val="FF0000"/>
              </w:rPr>
            </w:pPr>
          </w:p>
        </w:tc>
      </w:tr>
    </w:tbl>
    <w:p w14:paraId="26F1B88E" w14:textId="77777777" w:rsidR="00521B84" w:rsidRDefault="00521B84" w:rsidP="00D96CC1">
      <w:pPr>
        <w:spacing w:after="200" w:line="276" w:lineRule="auto"/>
        <w:rPr>
          <w:rFonts w:cstheme="minorHAnsi"/>
          <w:b/>
          <w:bCs/>
          <w:color w:val="000000"/>
        </w:rPr>
      </w:pPr>
    </w:p>
    <w:p w14:paraId="6ADEDF25" w14:textId="55270BD4" w:rsidR="00720080" w:rsidRDefault="00720080" w:rsidP="00720080">
      <w:pPr>
        <w:spacing w:after="200" w:line="276" w:lineRule="auto"/>
        <w:rPr>
          <w:rFonts w:cstheme="minorHAnsi"/>
          <w:b/>
          <w:bCs/>
          <w:color w:val="000000"/>
        </w:rPr>
      </w:pPr>
      <w:bookmarkStart w:id="9" w:name="_Hlk176165363"/>
      <w:r w:rsidRPr="00AA0A43">
        <w:rPr>
          <w:rFonts w:cstheme="minorHAnsi"/>
          <w:b/>
          <w:bCs/>
          <w:color w:val="000000"/>
        </w:rPr>
        <w:lastRenderedPageBreak/>
        <w:t>IT Asset Legacy Management</w:t>
      </w:r>
      <w:r>
        <w:rPr>
          <w:rFonts w:cstheme="minorHAnsi"/>
          <w:b/>
          <w:bCs/>
          <w:color w:val="000000"/>
        </w:rPr>
        <w:t xml:space="preserve"> (Joint) – June 2024</w:t>
      </w:r>
    </w:p>
    <w:tbl>
      <w:tblPr>
        <w:tblStyle w:val="TableGrid1"/>
        <w:tblW w:w="15309" w:type="dxa"/>
        <w:tblInd w:w="-572" w:type="dxa"/>
        <w:tblLook w:val="04A0" w:firstRow="1" w:lastRow="0" w:firstColumn="1" w:lastColumn="0" w:noHBand="0" w:noVBand="1"/>
      </w:tblPr>
      <w:tblGrid>
        <w:gridCol w:w="399"/>
        <w:gridCol w:w="4421"/>
        <w:gridCol w:w="2410"/>
        <w:gridCol w:w="992"/>
        <w:gridCol w:w="4678"/>
        <w:gridCol w:w="1559"/>
        <w:gridCol w:w="850"/>
      </w:tblGrid>
      <w:tr w:rsidR="00720080" w:rsidRPr="00291B4B" w14:paraId="69F87CD0" w14:textId="77777777" w:rsidTr="00A3272A">
        <w:tc>
          <w:tcPr>
            <w:tcW w:w="399" w:type="dxa"/>
            <w:shd w:val="clear" w:color="auto" w:fill="632E9E"/>
          </w:tcPr>
          <w:p w14:paraId="6FB7D651" w14:textId="77777777" w:rsidR="00720080" w:rsidRPr="00291B4B" w:rsidRDefault="00720080" w:rsidP="00B70FC0">
            <w:pPr>
              <w:spacing w:line="276" w:lineRule="auto"/>
              <w:rPr>
                <w:b/>
                <w:color w:val="FFFFFF" w:themeColor="background1"/>
                <w:sz w:val="16"/>
                <w:szCs w:val="16"/>
              </w:rPr>
            </w:pPr>
            <w:bookmarkStart w:id="10" w:name="_Hlk176165344"/>
            <w:bookmarkEnd w:id="9"/>
            <w:r>
              <w:rPr>
                <w:b/>
                <w:color w:val="FFFFFF" w:themeColor="background1"/>
                <w:sz w:val="16"/>
                <w:szCs w:val="16"/>
              </w:rPr>
              <w:t xml:space="preserve">   </w:t>
            </w:r>
          </w:p>
        </w:tc>
        <w:tc>
          <w:tcPr>
            <w:tcW w:w="4421" w:type="dxa"/>
            <w:shd w:val="clear" w:color="auto" w:fill="632E9E"/>
          </w:tcPr>
          <w:p w14:paraId="7AA5E3CC"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49210B69"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13BF9031"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Priority</w:t>
            </w:r>
          </w:p>
        </w:tc>
        <w:tc>
          <w:tcPr>
            <w:tcW w:w="4678" w:type="dxa"/>
            <w:shd w:val="clear" w:color="auto" w:fill="632E9E"/>
          </w:tcPr>
          <w:p w14:paraId="370B617F"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AA819BB" w14:textId="77777777" w:rsidR="00720080" w:rsidRPr="00291B4B" w:rsidRDefault="00720080" w:rsidP="00B70FC0">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2DEFF78C" w14:textId="77777777" w:rsidR="00720080" w:rsidRPr="00291B4B" w:rsidRDefault="00720080" w:rsidP="00B70FC0">
            <w:pPr>
              <w:spacing w:line="276" w:lineRule="auto"/>
              <w:rPr>
                <w:b/>
                <w:color w:val="FFFFFF" w:themeColor="background1"/>
                <w:sz w:val="16"/>
                <w:szCs w:val="16"/>
              </w:rPr>
            </w:pPr>
            <w:r w:rsidRPr="00291B4B">
              <w:rPr>
                <w:b/>
                <w:color w:val="FFFFFF" w:themeColor="background1"/>
                <w:sz w:val="16"/>
                <w:szCs w:val="16"/>
              </w:rPr>
              <w:t>Status</w:t>
            </w:r>
          </w:p>
        </w:tc>
      </w:tr>
      <w:tr w:rsidR="00720080" w:rsidRPr="005F5142" w14:paraId="2755DF6C" w14:textId="77777777" w:rsidTr="00A3272A">
        <w:trPr>
          <w:trHeight w:val="844"/>
        </w:trPr>
        <w:tc>
          <w:tcPr>
            <w:tcW w:w="399" w:type="dxa"/>
            <w:tcMar>
              <w:left w:w="57" w:type="dxa"/>
              <w:right w:w="57" w:type="dxa"/>
            </w:tcMar>
          </w:tcPr>
          <w:p w14:paraId="7CD93849" w14:textId="77777777" w:rsidR="00720080" w:rsidRPr="005F5142" w:rsidRDefault="00720080" w:rsidP="00B70FC0">
            <w:pPr>
              <w:rPr>
                <w:rFonts w:asciiTheme="minorHAnsi" w:hAnsiTheme="minorHAnsi" w:cstheme="minorHAnsi"/>
                <w:b/>
              </w:rPr>
            </w:pPr>
            <w:r>
              <w:rPr>
                <w:rFonts w:asciiTheme="minorHAnsi" w:hAnsiTheme="minorHAnsi" w:cstheme="minorHAnsi"/>
                <w:b/>
              </w:rPr>
              <w:t>5</w:t>
            </w:r>
          </w:p>
        </w:tc>
        <w:tc>
          <w:tcPr>
            <w:tcW w:w="4421" w:type="dxa"/>
          </w:tcPr>
          <w:p w14:paraId="34514AF9" w14:textId="77777777" w:rsidR="00720080" w:rsidRDefault="00720080" w:rsidP="00B70FC0">
            <w:pPr>
              <w:pStyle w:val="Default"/>
              <w:rPr>
                <w:rFonts w:asciiTheme="minorHAnsi" w:hAnsiTheme="minorHAnsi" w:cstheme="minorHAnsi"/>
                <w:b/>
                <w:sz w:val="22"/>
                <w:szCs w:val="22"/>
              </w:rPr>
            </w:pPr>
            <w:r w:rsidRPr="00FF4CA6">
              <w:rPr>
                <w:rFonts w:asciiTheme="minorHAnsi" w:hAnsiTheme="minorHAnsi" w:cstheme="minorHAnsi"/>
                <w:b/>
                <w:sz w:val="22"/>
                <w:szCs w:val="22"/>
              </w:rPr>
              <w:t>A formal IT Asset Management policy/procedure document has not yet been implemented.</w:t>
            </w:r>
          </w:p>
          <w:p w14:paraId="2DB5EF13"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sz w:val="22"/>
                <w:szCs w:val="22"/>
              </w:rPr>
              <w:t>An IT asset management policy is necessary for appr</w:t>
            </w:r>
            <w:r>
              <w:rPr>
                <w:rFonts w:asciiTheme="minorHAnsi" w:hAnsiTheme="minorHAnsi" w:cstheme="minorHAnsi"/>
                <w:sz w:val="22"/>
                <w:szCs w:val="22"/>
              </w:rPr>
              <w:t xml:space="preserve">opriate governance of IT assets </w:t>
            </w:r>
            <w:r w:rsidRPr="004219DB">
              <w:rPr>
                <w:rFonts w:asciiTheme="minorHAnsi" w:hAnsiTheme="minorHAnsi" w:cstheme="minorHAnsi"/>
                <w:sz w:val="22"/>
                <w:szCs w:val="22"/>
              </w:rPr>
              <w:t>acquired and managed by the Force.</w:t>
            </w:r>
          </w:p>
          <w:p w14:paraId="37A183B8"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sz w:val="22"/>
                <w:szCs w:val="22"/>
              </w:rPr>
              <w:t>By enquiry with management, we noted that an IT A</w:t>
            </w:r>
            <w:r>
              <w:rPr>
                <w:rFonts w:asciiTheme="minorHAnsi" w:hAnsiTheme="minorHAnsi" w:cstheme="minorHAnsi"/>
                <w:sz w:val="22"/>
                <w:szCs w:val="22"/>
              </w:rPr>
              <w:t xml:space="preserve">sset Management Policy is being </w:t>
            </w:r>
            <w:r w:rsidRPr="004219DB">
              <w:rPr>
                <w:rFonts w:asciiTheme="minorHAnsi" w:hAnsiTheme="minorHAnsi" w:cstheme="minorHAnsi"/>
                <w:sz w:val="22"/>
                <w:szCs w:val="22"/>
              </w:rPr>
              <w:t>drafted but has not yet been released to staff. Managemen</w:t>
            </w:r>
            <w:r>
              <w:rPr>
                <w:rFonts w:asciiTheme="minorHAnsi" w:hAnsiTheme="minorHAnsi" w:cstheme="minorHAnsi"/>
                <w:sz w:val="22"/>
                <w:szCs w:val="22"/>
              </w:rPr>
              <w:t xml:space="preserve">t are looking to implement </w:t>
            </w:r>
            <w:r w:rsidRPr="004219DB">
              <w:rPr>
                <w:rFonts w:asciiTheme="minorHAnsi" w:hAnsiTheme="minorHAnsi" w:cstheme="minorHAnsi"/>
                <w:sz w:val="22"/>
                <w:szCs w:val="22"/>
              </w:rPr>
              <w:t>the policy from April 2024.</w:t>
            </w:r>
          </w:p>
          <w:p w14:paraId="4A46FF30" w14:textId="77777777" w:rsidR="00720080" w:rsidRPr="004219DB" w:rsidRDefault="00720080" w:rsidP="00B70FC0">
            <w:pPr>
              <w:pStyle w:val="Default"/>
              <w:rPr>
                <w:rFonts w:asciiTheme="minorHAnsi" w:hAnsiTheme="minorHAnsi" w:cstheme="minorHAnsi"/>
                <w:sz w:val="22"/>
                <w:szCs w:val="22"/>
              </w:rPr>
            </w:pPr>
            <w:r w:rsidRPr="004219DB">
              <w:rPr>
                <w:rFonts w:asciiTheme="minorHAnsi" w:hAnsiTheme="minorHAnsi" w:cstheme="minorHAnsi"/>
                <w:b/>
                <w:sz w:val="22"/>
                <w:szCs w:val="22"/>
              </w:rPr>
              <w:t>Risk and Impact</w:t>
            </w:r>
            <w:r w:rsidRPr="004219DB">
              <w:rPr>
                <w:rFonts w:asciiTheme="minorHAnsi" w:hAnsiTheme="minorHAnsi" w:cstheme="minorHAnsi"/>
                <w:sz w:val="22"/>
                <w:szCs w:val="22"/>
              </w:rPr>
              <w:t>: Confusion in the effective managem</w:t>
            </w:r>
            <w:r>
              <w:rPr>
                <w:rFonts w:asciiTheme="minorHAnsi" w:hAnsiTheme="minorHAnsi" w:cstheme="minorHAnsi"/>
                <w:sz w:val="22"/>
                <w:szCs w:val="22"/>
              </w:rPr>
              <w:t xml:space="preserve">ent of IT assets and failure to </w:t>
            </w:r>
            <w:r w:rsidRPr="004219DB">
              <w:rPr>
                <w:rFonts w:asciiTheme="minorHAnsi" w:hAnsiTheme="minorHAnsi" w:cstheme="minorHAnsi"/>
                <w:sz w:val="22"/>
                <w:szCs w:val="22"/>
              </w:rPr>
              <w:t>track assets effectively, potentially leading to unnec</w:t>
            </w:r>
            <w:r>
              <w:rPr>
                <w:rFonts w:asciiTheme="minorHAnsi" w:hAnsiTheme="minorHAnsi" w:cstheme="minorHAnsi"/>
                <w:sz w:val="22"/>
                <w:szCs w:val="22"/>
              </w:rPr>
              <w:t xml:space="preserve">essary procurement of IT assets </w:t>
            </w:r>
            <w:r w:rsidRPr="004219DB">
              <w:rPr>
                <w:rFonts w:asciiTheme="minorHAnsi" w:hAnsiTheme="minorHAnsi" w:cstheme="minorHAnsi"/>
                <w:sz w:val="22"/>
                <w:szCs w:val="22"/>
              </w:rPr>
              <w:t>and failure to effectively manage IT assets omitted from the IT asset register.</w:t>
            </w:r>
          </w:p>
        </w:tc>
        <w:tc>
          <w:tcPr>
            <w:tcW w:w="2410" w:type="dxa"/>
          </w:tcPr>
          <w:p w14:paraId="20B8AA02" w14:textId="77777777" w:rsidR="00720080" w:rsidRPr="00A31E5D" w:rsidRDefault="00720080" w:rsidP="00B70FC0">
            <w:pPr>
              <w:rPr>
                <w:rFonts w:asciiTheme="minorHAnsi" w:hAnsiTheme="minorHAnsi" w:cstheme="minorHAnsi"/>
              </w:rPr>
            </w:pPr>
            <w:r w:rsidRPr="004219DB">
              <w:rPr>
                <w:rFonts w:asciiTheme="minorHAnsi" w:hAnsiTheme="minorHAnsi" w:cstheme="minorHAnsi"/>
              </w:rPr>
              <w:t>As planned, publish an IT Asse</w:t>
            </w:r>
            <w:r>
              <w:rPr>
                <w:rFonts w:asciiTheme="minorHAnsi" w:hAnsiTheme="minorHAnsi" w:cstheme="minorHAnsi"/>
              </w:rPr>
              <w:t xml:space="preserve">t Management policy setting out </w:t>
            </w:r>
            <w:r w:rsidRPr="004219DB">
              <w:rPr>
                <w:rFonts w:asciiTheme="minorHAnsi" w:hAnsiTheme="minorHAnsi" w:cstheme="minorHAnsi"/>
              </w:rPr>
              <w:t>policy statements relate</w:t>
            </w:r>
            <w:r>
              <w:rPr>
                <w:rFonts w:asciiTheme="minorHAnsi" w:hAnsiTheme="minorHAnsi" w:cstheme="minorHAnsi"/>
              </w:rPr>
              <w:t xml:space="preserve">d to each stage in the IT asset </w:t>
            </w:r>
            <w:r w:rsidRPr="004219DB">
              <w:rPr>
                <w:rFonts w:asciiTheme="minorHAnsi" w:hAnsiTheme="minorHAnsi" w:cstheme="minorHAnsi"/>
              </w:rPr>
              <w:t>lifecycle.</w:t>
            </w:r>
          </w:p>
        </w:tc>
        <w:tc>
          <w:tcPr>
            <w:tcW w:w="992" w:type="dxa"/>
            <w:shd w:val="clear" w:color="auto" w:fill="92D050"/>
          </w:tcPr>
          <w:p w14:paraId="675ED2D6" w14:textId="77777777" w:rsidR="00720080" w:rsidRPr="00D05F06" w:rsidRDefault="00720080" w:rsidP="00B70FC0">
            <w:pPr>
              <w:jc w:val="center"/>
              <w:rPr>
                <w:rFonts w:ascii="Calibri" w:hAnsi="Calibri" w:cs="Calibri"/>
                <w:b/>
              </w:rPr>
            </w:pPr>
            <w:r>
              <w:rPr>
                <w:rFonts w:ascii="Calibri" w:hAnsi="Calibri" w:cs="Calibri"/>
                <w:b/>
              </w:rPr>
              <w:t>Low</w:t>
            </w:r>
          </w:p>
        </w:tc>
        <w:tc>
          <w:tcPr>
            <w:tcW w:w="4678" w:type="dxa"/>
          </w:tcPr>
          <w:p w14:paraId="762F8D65" w14:textId="2FAA3E9D" w:rsidR="00720080" w:rsidRDefault="00720080" w:rsidP="00B70FC0">
            <w:pPr>
              <w:pStyle w:val="Default"/>
              <w:rPr>
                <w:bCs/>
                <w:sz w:val="22"/>
                <w:szCs w:val="22"/>
              </w:rPr>
            </w:pPr>
            <w:r w:rsidRPr="004219DB">
              <w:rPr>
                <w:bCs/>
                <w:sz w:val="22"/>
                <w:szCs w:val="22"/>
              </w:rPr>
              <w:t>We agree with this recommendation and have initiated the process of developing an IT Asset Management policy that covers</w:t>
            </w:r>
            <w:r w:rsidR="00527B93">
              <w:rPr>
                <w:bCs/>
                <w:sz w:val="22"/>
                <w:szCs w:val="22"/>
              </w:rPr>
              <w:t xml:space="preserve"> all the stages of the IT asset </w:t>
            </w:r>
            <w:r w:rsidRPr="004219DB">
              <w:rPr>
                <w:bCs/>
                <w:sz w:val="22"/>
                <w:szCs w:val="22"/>
              </w:rPr>
              <w:t>lifecycle, from planning and acquisition t</w:t>
            </w:r>
            <w:r w:rsidR="00527B93">
              <w:rPr>
                <w:bCs/>
                <w:sz w:val="22"/>
                <w:szCs w:val="22"/>
              </w:rPr>
              <w:t xml:space="preserve">o disposal and decommissioning. </w:t>
            </w:r>
            <w:r w:rsidRPr="004219DB">
              <w:rPr>
                <w:bCs/>
                <w:sz w:val="22"/>
                <w:szCs w:val="22"/>
              </w:rPr>
              <w:t>The draft IT Asset Management policy is currently under review by the senior management team.</w:t>
            </w:r>
          </w:p>
          <w:p w14:paraId="1C94E3BF" w14:textId="77777777" w:rsidR="004335DA" w:rsidRDefault="004335DA" w:rsidP="00D63D84">
            <w:pPr>
              <w:pStyle w:val="Default"/>
              <w:rPr>
                <w:b/>
                <w:sz w:val="22"/>
                <w:szCs w:val="22"/>
              </w:rPr>
            </w:pPr>
          </w:p>
          <w:p w14:paraId="3FC933A1" w14:textId="2265204D" w:rsidR="00AA7CE5" w:rsidRPr="00F24AC8" w:rsidRDefault="00AA7CE5" w:rsidP="00D63D84">
            <w:pPr>
              <w:pStyle w:val="Default"/>
              <w:rPr>
                <w:b/>
                <w:sz w:val="22"/>
                <w:szCs w:val="22"/>
              </w:rPr>
            </w:pPr>
            <w:r w:rsidRPr="00AA7CE5">
              <w:rPr>
                <w:b/>
                <w:bCs/>
                <w:sz w:val="22"/>
                <w:szCs w:val="22"/>
              </w:rPr>
              <w:t>27.1.25</w:t>
            </w:r>
            <w:r>
              <w:rPr>
                <w:bCs/>
                <w:sz w:val="22"/>
                <w:szCs w:val="22"/>
              </w:rPr>
              <w:t xml:space="preserve"> JO update. Awaiting consultation finish date from Policy admin. </w:t>
            </w:r>
          </w:p>
        </w:tc>
        <w:tc>
          <w:tcPr>
            <w:tcW w:w="1559" w:type="dxa"/>
          </w:tcPr>
          <w:p w14:paraId="24CE8B38" w14:textId="77777777" w:rsidR="00720080" w:rsidRPr="004219DB" w:rsidRDefault="00720080" w:rsidP="00B70FC0">
            <w:pPr>
              <w:pStyle w:val="Default"/>
              <w:rPr>
                <w:color w:val="000000" w:themeColor="text1"/>
                <w:sz w:val="22"/>
                <w:szCs w:val="22"/>
              </w:rPr>
            </w:pPr>
            <w:r w:rsidRPr="004219DB">
              <w:rPr>
                <w:color w:val="000000" w:themeColor="text1"/>
                <w:sz w:val="22"/>
                <w:szCs w:val="22"/>
              </w:rPr>
              <w:t>Dan Cooper, Head of Technical Support -</w:t>
            </w:r>
          </w:p>
          <w:p w14:paraId="2F6DB565" w14:textId="30EAB7E1" w:rsidR="00720080" w:rsidRDefault="00720080" w:rsidP="00B70FC0">
            <w:pPr>
              <w:pStyle w:val="Default"/>
              <w:rPr>
                <w:color w:val="000000" w:themeColor="text1"/>
                <w:sz w:val="22"/>
                <w:szCs w:val="22"/>
              </w:rPr>
            </w:pPr>
            <w:r w:rsidRPr="004219DB">
              <w:rPr>
                <w:color w:val="000000" w:themeColor="text1"/>
                <w:sz w:val="22"/>
                <w:szCs w:val="22"/>
              </w:rPr>
              <w:t>DDaT</w:t>
            </w:r>
          </w:p>
          <w:p w14:paraId="1D97C5DF" w14:textId="77777777" w:rsidR="00720080" w:rsidRDefault="00720080" w:rsidP="00B70FC0">
            <w:pPr>
              <w:pStyle w:val="Default"/>
              <w:rPr>
                <w:color w:val="000000" w:themeColor="text1"/>
                <w:sz w:val="22"/>
                <w:szCs w:val="22"/>
              </w:rPr>
            </w:pPr>
            <w:r>
              <w:rPr>
                <w:color w:val="000000" w:themeColor="text1"/>
                <w:sz w:val="22"/>
                <w:szCs w:val="22"/>
              </w:rPr>
              <w:t>30</w:t>
            </w:r>
            <w:r w:rsidRPr="004219DB">
              <w:rPr>
                <w:color w:val="000000" w:themeColor="text1"/>
                <w:sz w:val="22"/>
                <w:szCs w:val="22"/>
                <w:vertAlign w:val="superscript"/>
              </w:rPr>
              <w:t>th</w:t>
            </w:r>
            <w:r>
              <w:rPr>
                <w:color w:val="000000" w:themeColor="text1"/>
                <w:sz w:val="22"/>
                <w:szCs w:val="22"/>
              </w:rPr>
              <w:t xml:space="preserve"> Jun 2024</w:t>
            </w:r>
          </w:p>
          <w:p w14:paraId="1739DCB9" w14:textId="77777777" w:rsidR="00D63D84" w:rsidRDefault="00D63D84" w:rsidP="00B70FC0">
            <w:pPr>
              <w:pStyle w:val="Default"/>
              <w:rPr>
                <w:color w:val="000000" w:themeColor="text1"/>
                <w:sz w:val="22"/>
                <w:szCs w:val="22"/>
              </w:rPr>
            </w:pPr>
          </w:p>
          <w:p w14:paraId="11D77651" w14:textId="77777777" w:rsidR="00D63D84" w:rsidRDefault="00D63D84" w:rsidP="00B70FC0">
            <w:pPr>
              <w:pStyle w:val="Default"/>
              <w:rPr>
                <w:color w:val="000000" w:themeColor="text1"/>
                <w:sz w:val="22"/>
                <w:szCs w:val="22"/>
              </w:rPr>
            </w:pPr>
          </w:p>
          <w:p w14:paraId="1ED4BD02" w14:textId="352695F7" w:rsidR="00D63D84" w:rsidRPr="00D05F06" w:rsidRDefault="00F24AC8" w:rsidP="00B70FC0">
            <w:pPr>
              <w:pStyle w:val="Default"/>
              <w:rPr>
                <w:color w:val="000000" w:themeColor="text1"/>
                <w:sz w:val="22"/>
                <w:szCs w:val="22"/>
              </w:rPr>
            </w:pPr>
            <w:r>
              <w:rPr>
                <w:color w:val="000000" w:themeColor="text1"/>
                <w:sz w:val="22"/>
                <w:szCs w:val="22"/>
              </w:rPr>
              <w:t>New date 31</w:t>
            </w:r>
            <w:r w:rsidRPr="00F24AC8">
              <w:rPr>
                <w:color w:val="000000" w:themeColor="text1"/>
                <w:sz w:val="22"/>
                <w:szCs w:val="22"/>
                <w:vertAlign w:val="superscript"/>
              </w:rPr>
              <w:t>st</w:t>
            </w:r>
            <w:r>
              <w:rPr>
                <w:color w:val="000000" w:themeColor="text1"/>
                <w:sz w:val="22"/>
                <w:szCs w:val="22"/>
              </w:rPr>
              <w:t xml:space="preserve"> J</w:t>
            </w:r>
            <w:r w:rsidR="004335DA">
              <w:rPr>
                <w:color w:val="000000" w:themeColor="text1"/>
                <w:sz w:val="22"/>
                <w:szCs w:val="22"/>
              </w:rPr>
              <w:t>uly</w:t>
            </w:r>
            <w:r>
              <w:rPr>
                <w:color w:val="000000" w:themeColor="text1"/>
                <w:sz w:val="22"/>
                <w:szCs w:val="22"/>
              </w:rPr>
              <w:t xml:space="preserve"> 2025</w:t>
            </w:r>
            <w:r w:rsidR="004131C9">
              <w:rPr>
                <w:color w:val="000000" w:themeColor="text1"/>
                <w:sz w:val="22"/>
                <w:szCs w:val="22"/>
              </w:rPr>
              <w:t xml:space="preserve"> </w:t>
            </w:r>
          </w:p>
        </w:tc>
        <w:tc>
          <w:tcPr>
            <w:tcW w:w="850" w:type="dxa"/>
            <w:shd w:val="clear" w:color="auto" w:fill="FFC000"/>
          </w:tcPr>
          <w:p w14:paraId="6263BCFB" w14:textId="77777777" w:rsidR="00720080" w:rsidRPr="005F5142" w:rsidRDefault="00720080" w:rsidP="00B70FC0">
            <w:pPr>
              <w:spacing w:line="276" w:lineRule="auto"/>
              <w:rPr>
                <w:rFonts w:asciiTheme="minorHAnsi" w:hAnsiTheme="minorHAnsi" w:cstheme="minorHAnsi"/>
                <w:b/>
                <w:color w:val="FF0000"/>
              </w:rPr>
            </w:pPr>
          </w:p>
        </w:tc>
      </w:tr>
      <w:bookmarkEnd w:id="10"/>
    </w:tbl>
    <w:p w14:paraId="097258CE" w14:textId="068B2D53" w:rsidR="00EE34DC" w:rsidRDefault="00EE34DC" w:rsidP="00FB30A6">
      <w:pPr>
        <w:spacing w:after="200" w:line="276" w:lineRule="auto"/>
        <w:rPr>
          <w:rFonts w:cstheme="minorHAnsi"/>
          <w:b/>
          <w:bCs/>
          <w:color w:val="000000"/>
        </w:rPr>
      </w:pPr>
    </w:p>
    <w:p w14:paraId="2501F5F0" w14:textId="77777777" w:rsidR="00FD769B" w:rsidRDefault="00FD769B" w:rsidP="00FB30A6">
      <w:pPr>
        <w:spacing w:after="200" w:line="276" w:lineRule="auto"/>
        <w:rPr>
          <w:rFonts w:cstheme="minorHAnsi"/>
          <w:b/>
          <w:bCs/>
          <w:color w:val="000000"/>
        </w:rPr>
      </w:pPr>
    </w:p>
    <w:p w14:paraId="039C665A" w14:textId="77777777" w:rsidR="00FD769B" w:rsidRDefault="00FD769B" w:rsidP="00FB30A6">
      <w:pPr>
        <w:spacing w:after="200" w:line="276" w:lineRule="auto"/>
        <w:rPr>
          <w:rFonts w:cstheme="minorHAnsi"/>
          <w:b/>
          <w:bCs/>
          <w:color w:val="000000"/>
        </w:rPr>
      </w:pPr>
    </w:p>
    <w:p w14:paraId="3DEACE7E" w14:textId="77777777" w:rsidR="00FD769B" w:rsidRDefault="00FD769B" w:rsidP="00FB30A6">
      <w:pPr>
        <w:spacing w:after="200" w:line="276" w:lineRule="auto"/>
        <w:rPr>
          <w:rFonts w:cstheme="minorHAnsi"/>
          <w:b/>
          <w:bCs/>
          <w:color w:val="000000"/>
        </w:rPr>
      </w:pPr>
    </w:p>
    <w:p w14:paraId="54FEA449" w14:textId="77777777" w:rsidR="00FD769B" w:rsidRDefault="00FD769B" w:rsidP="00FB30A6">
      <w:pPr>
        <w:spacing w:after="200" w:line="276" w:lineRule="auto"/>
        <w:rPr>
          <w:rFonts w:cstheme="minorHAnsi"/>
          <w:b/>
          <w:bCs/>
          <w:color w:val="000000"/>
        </w:rPr>
      </w:pPr>
    </w:p>
    <w:p w14:paraId="10A40DC5" w14:textId="77777777" w:rsidR="00FD769B" w:rsidRDefault="00FD769B" w:rsidP="00FB30A6">
      <w:pPr>
        <w:spacing w:after="200" w:line="276" w:lineRule="auto"/>
        <w:rPr>
          <w:rFonts w:cstheme="minorHAnsi"/>
          <w:b/>
          <w:bCs/>
          <w:color w:val="000000"/>
        </w:rPr>
      </w:pPr>
    </w:p>
    <w:p w14:paraId="22393F87" w14:textId="77777777" w:rsidR="00FD769B" w:rsidRDefault="00FD769B" w:rsidP="00FB30A6">
      <w:pPr>
        <w:spacing w:after="200" w:line="276" w:lineRule="auto"/>
        <w:rPr>
          <w:rFonts w:cstheme="minorHAnsi"/>
          <w:b/>
          <w:bCs/>
          <w:color w:val="000000"/>
        </w:rPr>
      </w:pPr>
    </w:p>
    <w:p w14:paraId="007E4EDA" w14:textId="77777777" w:rsidR="00FD769B" w:rsidRDefault="00FD769B" w:rsidP="00FB30A6">
      <w:pPr>
        <w:spacing w:after="200" w:line="276" w:lineRule="auto"/>
        <w:rPr>
          <w:rFonts w:cstheme="minorHAnsi"/>
          <w:b/>
          <w:bCs/>
          <w:color w:val="000000"/>
        </w:rPr>
      </w:pPr>
    </w:p>
    <w:p w14:paraId="4778B0F1" w14:textId="496F0F35" w:rsidR="004F314E" w:rsidRPr="00022AFC" w:rsidRDefault="004F314E" w:rsidP="004F314E">
      <w:pPr>
        <w:spacing w:before="120" w:after="120"/>
        <w:rPr>
          <w:rFonts w:cstheme="minorHAnsi"/>
          <w:b/>
          <w:bCs/>
          <w:color w:val="000000"/>
          <w:u w:val="single"/>
        </w:rPr>
      </w:pPr>
      <w:r>
        <w:rPr>
          <w:rFonts w:cstheme="minorHAnsi"/>
          <w:b/>
          <w:bCs/>
          <w:color w:val="000000"/>
          <w:u w:val="single"/>
        </w:rPr>
        <w:lastRenderedPageBreak/>
        <w:t>2024/25</w:t>
      </w:r>
    </w:p>
    <w:p w14:paraId="48311FDD" w14:textId="521367F8" w:rsidR="004F314E" w:rsidRDefault="004F314E" w:rsidP="004F314E">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283"/>
        <w:gridCol w:w="7167"/>
        <w:gridCol w:w="1781"/>
        <w:gridCol w:w="889"/>
        <w:gridCol w:w="2788"/>
        <w:gridCol w:w="1554"/>
        <w:gridCol w:w="847"/>
      </w:tblGrid>
      <w:tr w:rsidR="00CC47B5" w:rsidRPr="00291B4B" w14:paraId="6E081DCF" w14:textId="77777777" w:rsidTr="00CC47B5">
        <w:tc>
          <w:tcPr>
            <w:tcW w:w="283" w:type="dxa"/>
            <w:shd w:val="clear" w:color="auto" w:fill="632E9E"/>
          </w:tcPr>
          <w:p w14:paraId="4F3FC472"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7167" w:type="dxa"/>
            <w:shd w:val="clear" w:color="auto" w:fill="632E9E"/>
          </w:tcPr>
          <w:p w14:paraId="5C602533"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1781" w:type="dxa"/>
            <w:shd w:val="clear" w:color="auto" w:fill="632E9E"/>
          </w:tcPr>
          <w:p w14:paraId="6F8002EC"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1CFCF912"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788" w:type="dxa"/>
            <w:shd w:val="clear" w:color="auto" w:fill="632E9E"/>
          </w:tcPr>
          <w:p w14:paraId="2FEBD93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554" w:type="dxa"/>
            <w:shd w:val="clear" w:color="auto" w:fill="632E9E"/>
          </w:tcPr>
          <w:p w14:paraId="05F8FD3C"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7" w:type="dxa"/>
            <w:shd w:val="clear" w:color="auto" w:fill="632E9E"/>
          </w:tcPr>
          <w:p w14:paraId="3C1789A4"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3A203520" w14:textId="77777777" w:rsidTr="00CC47B5">
        <w:trPr>
          <w:trHeight w:val="844"/>
        </w:trPr>
        <w:tc>
          <w:tcPr>
            <w:tcW w:w="283" w:type="dxa"/>
            <w:tcMar>
              <w:left w:w="57" w:type="dxa"/>
              <w:right w:w="57" w:type="dxa"/>
            </w:tcMar>
          </w:tcPr>
          <w:p w14:paraId="486C881B" w14:textId="2A008765" w:rsidR="004F314E" w:rsidRPr="005F5142" w:rsidRDefault="004F314E" w:rsidP="007A7F18">
            <w:pPr>
              <w:rPr>
                <w:rFonts w:asciiTheme="minorHAnsi" w:hAnsiTheme="minorHAnsi" w:cstheme="minorHAnsi"/>
                <w:b/>
              </w:rPr>
            </w:pPr>
            <w:r>
              <w:rPr>
                <w:rFonts w:asciiTheme="minorHAnsi" w:hAnsiTheme="minorHAnsi" w:cstheme="minorHAnsi"/>
                <w:b/>
              </w:rPr>
              <w:t>1</w:t>
            </w:r>
          </w:p>
        </w:tc>
        <w:tc>
          <w:tcPr>
            <w:tcW w:w="7167" w:type="dxa"/>
          </w:tcPr>
          <w:p w14:paraId="0183F2D1" w14:textId="77777777" w:rsidR="001A6412" w:rsidRPr="00CC47B5" w:rsidRDefault="001A6412" w:rsidP="0051006E">
            <w:pPr>
              <w:autoSpaceDE w:val="0"/>
              <w:autoSpaceDN w:val="0"/>
              <w:adjustRightInd w:val="0"/>
              <w:rPr>
                <w:rFonts w:asciiTheme="minorHAnsi" w:hAnsiTheme="minorHAnsi" w:cstheme="minorHAnsi"/>
                <w:b/>
                <w:bCs/>
                <w:color w:val="464B4B"/>
                <w:sz w:val="20"/>
                <w:szCs w:val="20"/>
              </w:rPr>
            </w:pPr>
            <w:r w:rsidRPr="00CC47B5">
              <w:rPr>
                <w:rFonts w:asciiTheme="minorHAnsi" w:hAnsiTheme="minorHAnsi" w:cstheme="minorHAnsi"/>
                <w:b/>
                <w:bCs/>
                <w:color w:val="464B4B"/>
                <w:sz w:val="20"/>
                <w:szCs w:val="20"/>
              </w:rPr>
              <w:t>The Service does not have oversight of whether all staff have been subject to a DBS check.</w:t>
            </w:r>
          </w:p>
          <w:p w14:paraId="52AF11F5" w14:textId="6321C5A9" w:rsidR="0051006E" w:rsidRPr="00CC47B5" w:rsidRDefault="0051006E" w:rsidP="0051006E">
            <w:pPr>
              <w:autoSpaceDE w:val="0"/>
              <w:autoSpaceDN w:val="0"/>
              <w:adjustRightInd w:val="0"/>
              <w:rPr>
                <w:rFonts w:asciiTheme="minorHAnsi" w:hAnsiTheme="minorHAnsi" w:cstheme="minorHAnsi"/>
                <w:color w:val="464B4B"/>
                <w:sz w:val="20"/>
                <w:szCs w:val="20"/>
              </w:rPr>
            </w:pPr>
            <w:r w:rsidRPr="00CC47B5">
              <w:rPr>
                <w:rFonts w:asciiTheme="minorHAnsi" w:hAnsiTheme="minorHAnsi" w:cstheme="minorHAnsi"/>
                <w:color w:val="464B4B"/>
                <w:sz w:val="20"/>
                <w:szCs w:val="20"/>
              </w:rPr>
              <w:t>Section 2 of the Rehabilitation of Offenders Act 1974 allows fire and rescue services to perform a minimum of a standard DBS</w:t>
            </w:r>
            <w:r w:rsidR="00EE34DC" w:rsidRPr="00CC47B5">
              <w:rPr>
                <w:rFonts w:asciiTheme="minorHAnsi" w:hAnsiTheme="minorHAnsi" w:cstheme="minorHAnsi"/>
                <w:color w:val="464B4B"/>
                <w:sz w:val="20"/>
                <w:szCs w:val="20"/>
              </w:rPr>
              <w:t xml:space="preserve"> check for all representatives.</w:t>
            </w:r>
            <w:r w:rsidR="00F257A3" w:rsidRPr="00CC47B5">
              <w:rPr>
                <w:rFonts w:asciiTheme="minorHAnsi" w:hAnsiTheme="minorHAnsi" w:cstheme="minorHAnsi"/>
                <w:color w:val="464B4B"/>
                <w:sz w:val="20"/>
                <w:szCs w:val="20"/>
              </w:rPr>
              <w:t xml:space="preserve"> </w:t>
            </w:r>
            <w:r w:rsidRPr="00CC47B5">
              <w:rPr>
                <w:rFonts w:asciiTheme="minorHAnsi" w:hAnsiTheme="minorHAnsi" w:cstheme="minorHAnsi"/>
                <w:color w:val="464B4B"/>
                <w:sz w:val="20"/>
                <w:szCs w:val="20"/>
              </w:rPr>
              <w:t>The Service’s Disclosure and Barring Policy outlines that a minimum of a standard DBS check is required for all staff and volunteers. Operational employees, who through the course of incident responses or targeted prevention / protection activities, carry out work with vulnerable individuals require an Enhanced DBS check. Rechecks are required every three years. The HR Projec</w:t>
            </w:r>
            <w:r w:rsidR="00EE34DC" w:rsidRPr="00CC47B5">
              <w:rPr>
                <w:rFonts w:asciiTheme="minorHAnsi" w:hAnsiTheme="minorHAnsi" w:cstheme="minorHAnsi"/>
                <w:color w:val="464B4B"/>
                <w:sz w:val="20"/>
                <w:szCs w:val="20"/>
              </w:rPr>
              <w:t xml:space="preserve">ts Advisor maintains the Active </w:t>
            </w:r>
            <w:r w:rsidRPr="00CC47B5">
              <w:rPr>
                <w:rFonts w:asciiTheme="minorHAnsi" w:hAnsiTheme="minorHAnsi" w:cstheme="minorHAnsi"/>
                <w:color w:val="464B4B"/>
                <w:sz w:val="20"/>
                <w:szCs w:val="20"/>
              </w:rPr>
              <w:t>Master DBS spreadsheet to record DBS data for employees, including certificate issue date, expected re-check date and any disclosures or bars on an individual. We conducted data analysis on the Active Mas</w:t>
            </w:r>
            <w:r w:rsidR="001A6412" w:rsidRPr="00CC47B5">
              <w:rPr>
                <w:rFonts w:asciiTheme="minorHAnsi" w:hAnsiTheme="minorHAnsi" w:cstheme="minorHAnsi"/>
                <w:color w:val="464B4B"/>
                <w:sz w:val="20"/>
                <w:szCs w:val="20"/>
              </w:rPr>
              <w:t xml:space="preserve">ter DBS spreadsheet in order to </w:t>
            </w:r>
            <w:r w:rsidRPr="00CC47B5">
              <w:rPr>
                <w:rFonts w:asciiTheme="minorHAnsi" w:hAnsiTheme="minorHAnsi" w:cstheme="minorHAnsi"/>
                <w:color w:val="464B4B"/>
                <w:sz w:val="20"/>
                <w:szCs w:val="20"/>
              </w:rPr>
              <w:t>confirm whether all employees possessed an in date DBS. We noted the following:</w:t>
            </w:r>
          </w:p>
          <w:p w14:paraId="2150B441" w14:textId="687DE732" w:rsidR="0051006E" w:rsidRPr="00CC47B5" w:rsidRDefault="0051006E" w:rsidP="00EE34DC">
            <w:pPr>
              <w:pStyle w:val="ListParagraph"/>
              <w:numPr>
                <w:ilvl w:val="0"/>
                <w:numId w:val="22"/>
              </w:numPr>
              <w:autoSpaceDE w:val="0"/>
              <w:autoSpaceDN w:val="0"/>
              <w:adjustRightInd w:val="0"/>
              <w:ind w:left="360"/>
              <w:rPr>
                <w:rFonts w:asciiTheme="minorHAnsi" w:hAnsiTheme="minorHAnsi" w:cstheme="minorHAnsi"/>
                <w:color w:val="464B4B"/>
                <w:sz w:val="20"/>
                <w:szCs w:val="20"/>
              </w:rPr>
            </w:pPr>
            <w:r w:rsidRPr="00CC47B5">
              <w:rPr>
                <w:rFonts w:asciiTheme="minorHAnsi" w:hAnsiTheme="minorHAnsi" w:cstheme="minorHAnsi"/>
                <w:color w:val="464B4B"/>
                <w:sz w:val="20"/>
                <w:szCs w:val="20"/>
              </w:rPr>
              <w:t>For 156 employees no DBS data was listed, including 61 firefighter personnel.</w:t>
            </w:r>
          </w:p>
          <w:p w14:paraId="53552176" w14:textId="180ABE6D" w:rsidR="0051006E" w:rsidRPr="00CC47B5" w:rsidRDefault="0051006E" w:rsidP="00EE34DC">
            <w:pPr>
              <w:pStyle w:val="ListParagraph"/>
              <w:numPr>
                <w:ilvl w:val="0"/>
                <w:numId w:val="22"/>
              </w:numPr>
              <w:autoSpaceDE w:val="0"/>
              <w:autoSpaceDN w:val="0"/>
              <w:adjustRightInd w:val="0"/>
              <w:ind w:left="360"/>
              <w:rPr>
                <w:rFonts w:asciiTheme="minorHAnsi" w:hAnsiTheme="minorHAnsi" w:cstheme="minorHAnsi"/>
                <w:color w:val="464B4B"/>
                <w:sz w:val="20"/>
                <w:szCs w:val="20"/>
              </w:rPr>
            </w:pPr>
            <w:r w:rsidRPr="00CC47B5">
              <w:rPr>
                <w:rFonts w:asciiTheme="minorHAnsi" w:hAnsiTheme="minorHAnsi" w:cstheme="minorHAnsi"/>
                <w:color w:val="464B4B"/>
                <w:sz w:val="20"/>
                <w:szCs w:val="20"/>
              </w:rPr>
              <w:t>Eight employees were recorded as having up to date DBS checks however, there was no record to indicate whether they had disclosures or bars.</w:t>
            </w:r>
          </w:p>
          <w:p w14:paraId="663584CF" w14:textId="5AF3EECE" w:rsidR="0051006E" w:rsidRPr="00CC47B5" w:rsidRDefault="0051006E" w:rsidP="00EE34DC">
            <w:pPr>
              <w:pStyle w:val="ListParagraph"/>
              <w:numPr>
                <w:ilvl w:val="0"/>
                <w:numId w:val="22"/>
              </w:numPr>
              <w:autoSpaceDE w:val="0"/>
              <w:autoSpaceDN w:val="0"/>
              <w:adjustRightInd w:val="0"/>
              <w:ind w:left="360"/>
              <w:rPr>
                <w:rFonts w:asciiTheme="minorHAnsi" w:hAnsiTheme="minorHAnsi" w:cstheme="minorHAnsi"/>
                <w:color w:val="464B4B"/>
                <w:sz w:val="20"/>
                <w:szCs w:val="20"/>
              </w:rPr>
            </w:pPr>
            <w:r w:rsidRPr="00CC47B5">
              <w:rPr>
                <w:rFonts w:asciiTheme="minorHAnsi" w:hAnsiTheme="minorHAnsi" w:cstheme="minorHAnsi"/>
                <w:color w:val="464B4B"/>
                <w:sz w:val="20"/>
                <w:szCs w:val="20"/>
              </w:rPr>
              <w:t>Three employees were recorded as having DBS checks without a re-check being performed.</w:t>
            </w:r>
          </w:p>
          <w:p w14:paraId="1429CF09" w14:textId="639E3000" w:rsidR="0051006E" w:rsidRPr="00CC47B5" w:rsidRDefault="0051006E" w:rsidP="001A6412">
            <w:pPr>
              <w:autoSpaceDE w:val="0"/>
              <w:autoSpaceDN w:val="0"/>
              <w:adjustRightInd w:val="0"/>
              <w:rPr>
                <w:rFonts w:asciiTheme="minorHAnsi" w:hAnsiTheme="minorHAnsi" w:cstheme="minorHAnsi"/>
                <w:color w:val="464B4B"/>
                <w:sz w:val="20"/>
                <w:szCs w:val="20"/>
              </w:rPr>
            </w:pPr>
            <w:r w:rsidRPr="00CC47B5">
              <w:rPr>
                <w:rFonts w:asciiTheme="minorHAnsi" w:hAnsiTheme="minorHAnsi" w:cstheme="minorHAnsi"/>
                <w:color w:val="464B4B"/>
                <w:sz w:val="20"/>
                <w:szCs w:val="20"/>
              </w:rPr>
              <w:t xml:space="preserve">The HR Projects Advisor informed us that when the HR Data Hub Team inherited the responsibility for managing DBS checks from West Northamptonshire Council (WNC) in April 2024, WNC did not provide the team with </w:t>
            </w:r>
            <w:r w:rsidR="00EE34DC" w:rsidRPr="00CC47B5">
              <w:rPr>
                <w:rFonts w:asciiTheme="minorHAnsi" w:hAnsiTheme="minorHAnsi" w:cstheme="minorHAnsi"/>
                <w:color w:val="464B4B"/>
                <w:sz w:val="20"/>
                <w:szCs w:val="20"/>
              </w:rPr>
              <w:t xml:space="preserve">DBS information for a number of </w:t>
            </w:r>
            <w:r w:rsidRPr="00CC47B5">
              <w:rPr>
                <w:rFonts w:asciiTheme="minorHAnsi" w:hAnsiTheme="minorHAnsi" w:cstheme="minorHAnsi"/>
                <w:color w:val="464B4B"/>
                <w:sz w:val="20"/>
                <w:szCs w:val="20"/>
              </w:rPr>
              <w:t>employees. Due to this, the Service implemented two phases of DBS applications to obtain DBS checks for those employees for whom it did not possess DBS information. The HR Data Hub Team is currently in the process</w:t>
            </w:r>
            <w:r w:rsidR="001A6412" w:rsidRPr="00CC47B5">
              <w:rPr>
                <w:rFonts w:asciiTheme="minorHAnsi" w:hAnsiTheme="minorHAnsi" w:cstheme="minorHAnsi"/>
                <w:color w:val="464B4B"/>
                <w:sz w:val="20"/>
                <w:szCs w:val="20"/>
              </w:rPr>
              <w:t xml:space="preserve"> of phase 2 and expects to have </w:t>
            </w:r>
            <w:r w:rsidRPr="00CC47B5">
              <w:rPr>
                <w:rFonts w:asciiTheme="minorHAnsi" w:hAnsiTheme="minorHAnsi" w:cstheme="minorHAnsi"/>
                <w:color w:val="464B4B"/>
                <w:sz w:val="20"/>
                <w:szCs w:val="20"/>
              </w:rPr>
              <w:t>received DBS information from WNC for the outstand</w:t>
            </w:r>
            <w:r w:rsidR="001A6412" w:rsidRPr="00CC47B5">
              <w:rPr>
                <w:rFonts w:asciiTheme="minorHAnsi" w:hAnsiTheme="minorHAnsi" w:cstheme="minorHAnsi"/>
                <w:color w:val="464B4B"/>
                <w:sz w:val="20"/>
                <w:szCs w:val="20"/>
              </w:rPr>
              <w:t xml:space="preserve">ing 156 employees by the end of </w:t>
            </w:r>
            <w:r w:rsidRPr="00CC47B5">
              <w:rPr>
                <w:rFonts w:asciiTheme="minorHAnsi" w:hAnsiTheme="minorHAnsi" w:cstheme="minorHAnsi"/>
                <w:color w:val="464B4B"/>
                <w:sz w:val="20"/>
                <w:szCs w:val="20"/>
              </w:rPr>
              <w:t>July 2024.</w:t>
            </w:r>
          </w:p>
          <w:p w14:paraId="6D25A711" w14:textId="633B863A" w:rsidR="004F314E" w:rsidRPr="004219DB" w:rsidRDefault="0051006E" w:rsidP="0051006E">
            <w:pPr>
              <w:pStyle w:val="Default"/>
              <w:rPr>
                <w:rFonts w:asciiTheme="minorHAnsi" w:hAnsiTheme="minorHAnsi" w:cstheme="minorHAnsi"/>
                <w:sz w:val="22"/>
                <w:szCs w:val="22"/>
              </w:rPr>
            </w:pPr>
            <w:r w:rsidRPr="00CC47B5">
              <w:rPr>
                <w:rFonts w:asciiTheme="minorHAnsi" w:hAnsiTheme="minorHAnsi" w:cstheme="minorHAnsi"/>
                <w:b/>
                <w:bCs/>
                <w:sz w:val="20"/>
                <w:szCs w:val="20"/>
              </w:rPr>
              <w:t xml:space="preserve">Risk and Impact: </w:t>
            </w:r>
            <w:r w:rsidRPr="00CC47B5">
              <w:rPr>
                <w:rFonts w:asciiTheme="minorHAnsi" w:hAnsiTheme="minorHAnsi" w:cstheme="minorHAnsi"/>
                <w:sz w:val="20"/>
                <w:szCs w:val="20"/>
              </w:rPr>
              <w:t>The Service is unable to confirm wh</w:t>
            </w:r>
            <w:r w:rsidR="00EE34DC" w:rsidRPr="00CC47B5">
              <w:rPr>
                <w:rFonts w:asciiTheme="minorHAnsi" w:hAnsiTheme="minorHAnsi" w:cstheme="minorHAnsi"/>
                <w:sz w:val="20"/>
                <w:szCs w:val="20"/>
              </w:rPr>
              <w:t xml:space="preserve">ether all staff have received a </w:t>
            </w:r>
            <w:r w:rsidRPr="00CC47B5">
              <w:rPr>
                <w:rFonts w:asciiTheme="minorHAnsi" w:hAnsiTheme="minorHAnsi" w:cstheme="minorHAnsi"/>
                <w:sz w:val="20"/>
                <w:szCs w:val="20"/>
              </w:rPr>
              <w:t>DBS check, potentially leading to individuals with undi</w:t>
            </w:r>
            <w:r w:rsidR="00EE34DC" w:rsidRPr="00CC47B5">
              <w:rPr>
                <w:rFonts w:asciiTheme="minorHAnsi" w:hAnsiTheme="minorHAnsi" w:cstheme="minorHAnsi"/>
                <w:sz w:val="20"/>
                <w:szCs w:val="20"/>
              </w:rPr>
              <w:t xml:space="preserve">sclosed issues working in roles </w:t>
            </w:r>
            <w:r w:rsidRPr="00CC47B5">
              <w:rPr>
                <w:rFonts w:asciiTheme="minorHAnsi" w:hAnsiTheme="minorHAnsi" w:cstheme="minorHAnsi"/>
                <w:sz w:val="20"/>
                <w:szCs w:val="20"/>
              </w:rPr>
              <w:t>they may not be suitable for.</w:t>
            </w:r>
          </w:p>
        </w:tc>
        <w:tc>
          <w:tcPr>
            <w:tcW w:w="1781" w:type="dxa"/>
          </w:tcPr>
          <w:p w14:paraId="5594F836" w14:textId="4B14D0DC" w:rsidR="0051006E" w:rsidRPr="0051006E" w:rsidRDefault="0051006E" w:rsidP="0051006E">
            <w:pPr>
              <w:rPr>
                <w:rFonts w:asciiTheme="minorHAnsi" w:hAnsiTheme="minorHAnsi" w:cstheme="minorHAnsi"/>
              </w:rPr>
            </w:pPr>
            <w:r w:rsidRPr="0051006E">
              <w:rPr>
                <w:rFonts w:asciiTheme="minorHAnsi" w:hAnsiTheme="minorHAnsi" w:cstheme="minorHAnsi"/>
              </w:rPr>
              <w:t>The Service should ensure it prioritises the completion of DBS</w:t>
            </w:r>
            <w:r>
              <w:rPr>
                <w:rFonts w:asciiTheme="minorHAnsi" w:hAnsiTheme="minorHAnsi" w:cstheme="minorHAnsi"/>
              </w:rPr>
              <w:t xml:space="preserve"> </w:t>
            </w:r>
            <w:r w:rsidRPr="0051006E">
              <w:rPr>
                <w:rFonts w:asciiTheme="minorHAnsi" w:hAnsiTheme="minorHAnsi" w:cstheme="minorHAnsi"/>
              </w:rPr>
              <w:t>checks for the 61 firefighter personnel at the earliest opportunity.</w:t>
            </w:r>
          </w:p>
          <w:p w14:paraId="58873175" w14:textId="429F4844" w:rsidR="004F314E" w:rsidRPr="00A31E5D" w:rsidRDefault="0051006E" w:rsidP="0051006E">
            <w:pPr>
              <w:rPr>
                <w:rFonts w:asciiTheme="minorHAnsi" w:hAnsiTheme="minorHAnsi" w:cstheme="minorHAnsi"/>
              </w:rPr>
            </w:pPr>
            <w:r w:rsidRPr="0051006E">
              <w:rPr>
                <w:rFonts w:asciiTheme="minorHAnsi" w:hAnsiTheme="minorHAnsi" w:cstheme="minorHAnsi"/>
              </w:rPr>
              <w:t>Following this, the Service should obtain DBS checks for the</w:t>
            </w:r>
            <w:r>
              <w:rPr>
                <w:rFonts w:asciiTheme="minorHAnsi" w:hAnsiTheme="minorHAnsi" w:cstheme="minorHAnsi"/>
              </w:rPr>
              <w:t xml:space="preserve"> </w:t>
            </w:r>
            <w:r w:rsidRPr="0051006E">
              <w:rPr>
                <w:rFonts w:asciiTheme="minorHAnsi" w:hAnsiTheme="minorHAnsi" w:cstheme="minorHAnsi"/>
              </w:rPr>
              <w:t>remaining 95 employees.</w:t>
            </w:r>
          </w:p>
        </w:tc>
        <w:tc>
          <w:tcPr>
            <w:tcW w:w="889" w:type="dxa"/>
            <w:shd w:val="clear" w:color="auto" w:fill="FF0000"/>
          </w:tcPr>
          <w:p w14:paraId="55814020" w14:textId="76AA69CA" w:rsidR="004F314E" w:rsidRPr="00D05F06" w:rsidRDefault="0051006E" w:rsidP="007A7F18">
            <w:pPr>
              <w:jc w:val="center"/>
              <w:rPr>
                <w:rFonts w:ascii="Calibri" w:hAnsi="Calibri" w:cs="Calibri"/>
                <w:b/>
              </w:rPr>
            </w:pPr>
            <w:r>
              <w:rPr>
                <w:rFonts w:ascii="Calibri" w:hAnsi="Calibri" w:cs="Calibri"/>
                <w:b/>
              </w:rPr>
              <w:t>High</w:t>
            </w:r>
          </w:p>
        </w:tc>
        <w:tc>
          <w:tcPr>
            <w:tcW w:w="2788" w:type="dxa"/>
          </w:tcPr>
          <w:p w14:paraId="71C082BD" w14:textId="77777777" w:rsidR="004F314E" w:rsidRDefault="002D2C48" w:rsidP="002D2C48">
            <w:pPr>
              <w:pStyle w:val="Default"/>
              <w:rPr>
                <w:bCs/>
                <w:sz w:val="22"/>
                <w:szCs w:val="22"/>
              </w:rPr>
            </w:pPr>
            <w:r w:rsidRPr="002D2C48">
              <w:rPr>
                <w:bCs/>
                <w:sz w:val="22"/>
                <w:szCs w:val="22"/>
              </w:rPr>
              <w:t>Final checks with WNC for those outstanding DBS checks to ensure no records held, prior to undertaking new DBS checks,</w:t>
            </w:r>
            <w:r>
              <w:rPr>
                <w:bCs/>
                <w:sz w:val="22"/>
                <w:szCs w:val="22"/>
              </w:rPr>
              <w:t xml:space="preserve"> to take place at the beginning of September. </w:t>
            </w:r>
            <w:r w:rsidRPr="002D2C48">
              <w:rPr>
                <w:bCs/>
                <w:sz w:val="22"/>
                <w:szCs w:val="22"/>
              </w:rPr>
              <w:t>Outstanding DBS checks to commence as soon as possible.</w:t>
            </w:r>
          </w:p>
          <w:p w14:paraId="7C72BB10" w14:textId="77777777" w:rsidR="00A709EB" w:rsidRDefault="00A709EB" w:rsidP="002D2C48">
            <w:pPr>
              <w:pStyle w:val="Default"/>
              <w:rPr>
                <w:bCs/>
                <w:sz w:val="22"/>
                <w:szCs w:val="22"/>
              </w:rPr>
            </w:pPr>
          </w:p>
          <w:p w14:paraId="50DB3C18" w14:textId="75D004B3" w:rsidR="00A709EB" w:rsidRPr="00D87A0F" w:rsidRDefault="00A709EB" w:rsidP="00A709EB">
            <w:pPr>
              <w:pStyle w:val="Default"/>
              <w:rPr>
                <w:bCs/>
              </w:rPr>
            </w:pPr>
            <w:r>
              <w:rPr>
                <w:b/>
                <w:bCs/>
                <w:sz w:val="22"/>
                <w:szCs w:val="22"/>
              </w:rPr>
              <w:t>Completed 01/07/2025</w:t>
            </w:r>
            <w:r w:rsidR="00ED4C4D">
              <w:rPr>
                <w:b/>
                <w:bCs/>
                <w:sz w:val="22"/>
                <w:szCs w:val="22"/>
              </w:rPr>
              <w:t xml:space="preserve"> </w:t>
            </w:r>
            <w:r w:rsidRPr="00D87A0F">
              <w:rPr>
                <w:bCs/>
              </w:rPr>
              <w:t>DBS checking is now completed within the Fire service, all renewals are logged and new starters are subject to the same processes.  PDRA’s are completed with all DBS where required to do so.</w:t>
            </w:r>
          </w:p>
          <w:p w14:paraId="4403F497" w14:textId="059D43F5" w:rsidR="00ED4C4D" w:rsidRPr="00ED4C4D" w:rsidRDefault="00ED4C4D" w:rsidP="002D2C48">
            <w:pPr>
              <w:pStyle w:val="Default"/>
              <w:rPr>
                <w:b/>
                <w:bCs/>
                <w:sz w:val="22"/>
                <w:szCs w:val="22"/>
              </w:rPr>
            </w:pPr>
          </w:p>
        </w:tc>
        <w:tc>
          <w:tcPr>
            <w:tcW w:w="1554" w:type="dxa"/>
          </w:tcPr>
          <w:p w14:paraId="2E8341B6" w14:textId="751D46D4" w:rsidR="004F314E" w:rsidRDefault="002D2C48" w:rsidP="007A7F18">
            <w:pPr>
              <w:pStyle w:val="Default"/>
              <w:rPr>
                <w:color w:val="000000" w:themeColor="text1"/>
                <w:sz w:val="22"/>
                <w:szCs w:val="22"/>
              </w:rPr>
            </w:pPr>
            <w:r>
              <w:rPr>
                <w:color w:val="000000" w:themeColor="text1"/>
                <w:sz w:val="22"/>
                <w:szCs w:val="22"/>
              </w:rPr>
              <w:t>June Withey</w:t>
            </w:r>
          </w:p>
          <w:p w14:paraId="7F332068" w14:textId="676F3D79" w:rsidR="002D2C48" w:rsidRDefault="002D2C48" w:rsidP="007A7F18">
            <w:pPr>
              <w:pStyle w:val="Default"/>
              <w:rPr>
                <w:color w:val="000000" w:themeColor="text1"/>
                <w:sz w:val="22"/>
                <w:szCs w:val="22"/>
              </w:rPr>
            </w:pPr>
          </w:p>
          <w:p w14:paraId="3196495D" w14:textId="0644D8B4" w:rsidR="002D2C48" w:rsidRDefault="002D2C48" w:rsidP="007A7F18">
            <w:pPr>
              <w:pStyle w:val="Default"/>
              <w:rPr>
                <w:color w:val="000000" w:themeColor="text1"/>
                <w:sz w:val="22"/>
                <w:szCs w:val="22"/>
              </w:rPr>
            </w:pPr>
            <w:r>
              <w:rPr>
                <w:color w:val="000000" w:themeColor="text1"/>
                <w:sz w:val="22"/>
                <w:szCs w:val="22"/>
              </w:rPr>
              <w:t>31</w:t>
            </w:r>
            <w:r w:rsidRPr="002D2C48">
              <w:rPr>
                <w:color w:val="000000" w:themeColor="text1"/>
                <w:sz w:val="22"/>
                <w:szCs w:val="22"/>
                <w:vertAlign w:val="superscript"/>
              </w:rPr>
              <w:t>st</w:t>
            </w:r>
            <w:r>
              <w:rPr>
                <w:color w:val="000000" w:themeColor="text1"/>
                <w:sz w:val="22"/>
                <w:szCs w:val="22"/>
              </w:rPr>
              <w:t xml:space="preserve"> Mar 25</w:t>
            </w:r>
          </w:p>
          <w:p w14:paraId="28C0CF48" w14:textId="75C5560E" w:rsidR="002D2C48" w:rsidRPr="00D05F06" w:rsidRDefault="002D2C48" w:rsidP="007A7F18">
            <w:pPr>
              <w:pStyle w:val="Default"/>
              <w:rPr>
                <w:color w:val="000000" w:themeColor="text1"/>
                <w:sz w:val="22"/>
                <w:szCs w:val="22"/>
              </w:rPr>
            </w:pPr>
          </w:p>
        </w:tc>
        <w:tc>
          <w:tcPr>
            <w:tcW w:w="847" w:type="dxa"/>
            <w:shd w:val="clear" w:color="auto" w:fill="00B050"/>
          </w:tcPr>
          <w:p w14:paraId="07DCBBE0" w14:textId="77777777" w:rsidR="004F314E" w:rsidRPr="005F5142" w:rsidRDefault="004F314E" w:rsidP="007A7F18">
            <w:pPr>
              <w:spacing w:line="276" w:lineRule="auto"/>
              <w:rPr>
                <w:rFonts w:asciiTheme="minorHAnsi" w:hAnsiTheme="minorHAnsi" w:cstheme="minorHAnsi"/>
                <w:b/>
                <w:color w:val="FF0000"/>
              </w:rPr>
            </w:pPr>
          </w:p>
        </w:tc>
      </w:tr>
    </w:tbl>
    <w:p w14:paraId="0C856569" w14:textId="5D098A14" w:rsidR="004F314E" w:rsidRDefault="004F314E" w:rsidP="00FB30A6">
      <w:pPr>
        <w:spacing w:after="200" w:line="276" w:lineRule="auto"/>
        <w:rPr>
          <w:rFonts w:cstheme="minorHAnsi"/>
          <w:b/>
          <w:bCs/>
          <w:color w:val="000000"/>
        </w:rPr>
      </w:pPr>
    </w:p>
    <w:p w14:paraId="52030B97" w14:textId="3A17002F"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7"/>
        <w:gridCol w:w="5415"/>
        <w:gridCol w:w="2971"/>
        <w:gridCol w:w="998"/>
        <w:gridCol w:w="3198"/>
        <w:gridCol w:w="1481"/>
        <w:gridCol w:w="849"/>
      </w:tblGrid>
      <w:tr w:rsidR="004F314E" w:rsidRPr="00291B4B" w14:paraId="76A115FF" w14:textId="77777777" w:rsidTr="000E6659">
        <w:tc>
          <w:tcPr>
            <w:tcW w:w="397" w:type="dxa"/>
            <w:shd w:val="clear" w:color="auto" w:fill="632E9E"/>
          </w:tcPr>
          <w:p w14:paraId="553F27BC"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lastRenderedPageBreak/>
              <w:t xml:space="preserve">   </w:t>
            </w:r>
          </w:p>
        </w:tc>
        <w:tc>
          <w:tcPr>
            <w:tcW w:w="5415" w:type="dxa"/>
            <w:shd w:val="clear" w:color="auto" w:fill="632E9E"/>
          </w:tcPr>
          <w:p w14:paraId="72E441EB"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971" w:type="dxa"/>
            <w:shd w:val="clear" w:color="auto" w:fill="632E9E"/>
          </w:tcPr>
          <w:p w14:paraId="39C1C06B"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8" w:type="dxa"/>
            <w:shd w:val="clear" w:color="auto" w:fill="632E9E"/>
          </w:tcPr>
          <w:p w14:paraId="58FFA003"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3198" w:type="dxa"/>
            <w:shd w:val="clear" w:color="auto" w:fill="632E9E"/>
          </w:tcPr>
          <w:p w14:paraId="61AA7671"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638EC7B5"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9" w:type="dxa"/>
            <w:shd w:val="clear" w:color="auto" w:fill="632E9E"/>
          </w:tcPr>
          <w:p w14:paraId="779051DA"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093B3054" w14:textId="77777777" w:rsidTr="004872F5">
        <w:trPr>
          <w:trHeight w:val="558"/>
        </w:trPr>
        <w:tc>
          <w:tcPr>
            <w:tcW w:w="397" w:type="dxa"/>
            <w:tcMar>
              <w:left w:w="57" w:type="dxa"/>
              <w:right w:w="57" w:type="dxa"/>
            </w:tcMar>
          </w:tcPr>
          <w:p w14:paraId="1CD5D6F1" w14:textId="5B667619" w:rsidR="004F314E" w:rsidRPr="005F5142" w:rsidRDefault="004F314E" w:rsidP="007A7F18">
            <w:pPr>
              <w:rPr>
                <w:rFonts w:asciiTheme="minorHAnsi" w:hAnsiTheme="minorHAnsi" w:cstheme="minorHAnsi"/>
                <w:b/>
              </w:rPr>
            </w:pPr>
            <w:r>
              <w:rPr>
                <w:rFonts w:asciiTheme="minorHAnsi" w:hAnsiTheme="minorHAnsi" w:cstheme="minorHAnsi"/>
                <w:b/>
              </w:rPr>
              <w:t>5</w:t>
            </w:r>
          </w:p>
        </w:tc>
        <w:tc>
          <w:tcPr>
            <w:tcW w:w="5415" w:type="dxa"/>
          </w:tcPr>
          <w:p w14:paraId="5A69CC24" w14:textId="09B51F3A" w:rsidR="00DB598E" w:rsidRPr="00CC47B5" w:rsidRDefault="00DB598E" w:rsidP="00F257A3">
            <w:pPr>
              <w:pStyle w:val="Default"/>
              <w:rPr>
                <w:rFonts w:asciiTheme="minorHAnsi" w:hAnsiTheme="minorHAnsi" w:cstheme="minorHAnsi"/>
                <w:b/>
                <w:bCs/>
                <w:sz w:val="20"/>
                <w:szCs w:val="20"/>
              </w:rPr>
            </w:pPr>
            <w:r w:rsidRPr="00CC47B5">
              <w:rPr>
                <w:rFonts w:asciiTheme="minorHAnsi" w:hAnsiTheme="minorHAnsi" w:cstheme="minorHAnsi"/>
                <w:b/>
                <w:bCs/>
                <w:sz w:val="20"/>
                <w:szCs w:val="20"/>
              </w:rPr>
              <w:t xml:space="preserve">Completion rates of safeguarding training are not adequately monitored. </w:t>
            </w:r>
            <w:r w:rsidRPr="00CC47B5">
              <w:rPr>
                <w:rFonts w:asciiTheme="minorHAnsi" w:hAnsiTheme="minorHAnsi" w:cstheme="minorHAnsi"/>
                <w:color w:val="464B4B"/>
                <w:sz w:val="20"/>
                <w:szCs w:val="20"/>
              </w:rPr>
              <w:t>The Service requires its employees to complete National Chief Fire Council (NFCC) safeguarding training. The level of training required is determined by the likelihood that an employee will come into contact with a vulnerable individual, based on their role. As per the Service’s Safeguarding Adults / Children and Young People Policies, NFCC level one training should be provided to all staff and volunteers who come into contact with vulnerable individuals. Supervisory managers across the Service should complete NFCC level two. Designated leads should complete NFCC level four. Staff are required to recomplete the training at a two year frequency. We sought to confirm how oversight is maintained of the number of employees who</w:t>
            </w:r>
            <w:r w:rsidR="00F257A3" w:rsidRPr="00CC47B5">
              <w:rPr>
                <w:rFonts w:asciiTheme="minorHAnsi" w:hAnsiTheme="minorHAnsi" w:cstheme="minorHAnsi"/>
                <w:color w:val="464B4B"/>
                <w:sz w:val="20"/>
                <w:szCs w:val="20"/>
              </w:rPr>
              <w:t xml:space="preserve"> </w:t>
            </w:r>
            <w:r w:rsidRPr="00CC47B5">
              <w:rPr>
                <w:rFonts w:asciiTheme="minorHAnsi" w:hAnsiTheme="minorHAnsi" w:cstheme="minorHAnsi"/>
                <w:color w:val="464B4B"/>
                <w:sz w:val="20"/>
                <w:szCs w:val="20"/>
              </w:rPr>
              <w:t>are compliant with the Service’s training requirements. We observed that completion rates for NFCC level one training are monitored for all</w:t>
            </w:r>
            <w:r w:rsidR="00F257A3" w:rsidRPr="00CC47B5">
              <w:rPr>
                <w:rFonts w:asciiTheme="minorHAnsi" w:hAnsiTheme="minorHAnsi" w:cstheme="minorHAnsi"/>
                <w:color w:val="464B4B"/>
                <w:sz w:val="20"/>
                <w:szCs w:val="20"/>
              </w:rPr>
              <w:t xml:space="preserve"> </w:t>
            </w:r>
            <w:r w:rsidRPr="00CC47B5">
              <w:rPr>
                <w:rFonts w:asciiTheme="minorHAnsi" w:hAnsiTheme="minorHAnsi" w:cstheme="minorHAnsi"/>
                <w:color w:val="464B4B"/>
                <w:sz w:val="20"/>
                <w:szCs w:val="20"/>
              </w:rPr>
              <w:t>employees by the Competency Framework Team through Red Kite (Personal Development System).</w:t>
            </w:r>
          </w:p>
          <w:p w14:paraId="6F579B3B" w14:textId="0A579D6B" w:rsidR="00DB598E" w:rsidRPr="00CC47B5" w:rsidRDefault="00DB598E" w:rsidP="00DB598E">
            <w:pPr>
              <w:autoSpaceDE w:val="0"/>
              <w:autoSpaceDN w:val="0"/>
              <w:adjustRightInd w:val="0"/>
              <w:rPr>
                <w:rFonts w:asciiTheme="minorHAnsi" w:hAnsiTheme="minorHAnsi" w:cstheme="minorHAnsi"/>
                <w:color w:val="464B4B"/>
                <w:sz w:val="20"/>
                <w:szCs w:val="20"/>
              </w:rPr>
            </w:pPr>
            <w:r w:rsidRPr="00CC47B5">
              <w:rPr>
                <w:rFonts w:asciiTheme="minorHAnsi" w:hAnsiTheme="minorHAnsi" w:cstheme="minorHAnsi"/>
                <w:color w:val="464B4B"/>
                <w:sz w:val="20"/>
                <w:szCs w:val="20"/>
              </w:rPr>
              <w:t>Despite this, we were informed by the Prevention Team Leader that Red Kite does not currently possess the functionality to create a central log of all employees who have completed the additional NFCC training modules (levels two and four). Completion of these modules is instead currently recorded in an individual’s personal development record, which is on</w:t>
            </w:r>
            <w:r w:rsidR="00AE4C6E" w:rsidRPr="00CC47B5">
              <w:rPr>
                <w:rFonts w:asciiTheme="minorHAnsi" w:hAnsiTheme="minorHAnsi" w:cstheme="minorHAnsi"/>
                <w:color w:val="464B4B"/>
                <w:sz w:val="20"/>
                <w:szCs w:val="20"/>
              </w:rPr>
              <w:t xml:space="preserve">ly visible to the Line Manager. </w:t>
            </w:r>
            <w:r w:rsidRPr="00CC47B5">
              <w:rPr>
                <w:rFonts w:asciiTheme="minorHAnsi" w:hAnsiTheme="minorHAnsi" w:cstheme="minorHAnsi"/>
                <w:color w:val="464B4B"/>
                <w:sz w:val="20"/>
                <w:szCs w:val="20"/>
              </w:rPr>
              <w:t>The Prevention Team Leader informed us that the Service intends to build new modules into Red Kite to allow the additional NFCC modules to be recorded within an individual’s safeguarding competency profile. This s</w:t>
            </w:r>
            <w:r w:rsidR="00AE4C6E" w:rsidRPr="00CC47B5">
              <w:rPr>
                <w:rFonts w:asciiTheme="minorHAnsi" w:hAnsiTheme="minorHAnsi" w:cstheme="minorHAnsi"/>
                <w:color w:val="464B4B"/>
                <w:sz w:val="20"/>
                <w:szCs w:val="20"/>
              </w:rPr>
              <w:t xml:space="preserve">hould then allow the Service to </w:t>
            </w:r>
            <w:r w:rsidRPr="00CC47B5">
              <w:rPr>
                <w:rFonts w:asciiTheme="minorHAnsi" w:hAnsiTheme="minorHAnsi" w:cstheme="minorHAnsi"/>
                <w:color w:val="464B4B"/>
                <w:sz w:val="20"/>
                <w:szCs w:val="20"/>
              </w:rPr>
              <w:t>monitor completion rates of the NFCC additional modules across the workforce.</w:t>
            </w:r>
          </w:p>
          <w:p w14:paraId="52A3A667" w14:textId="137FC1DA" w:rsidR="00DB598E" w:rsidRPr="00CC47B5" w:rsidRDefault="00DB598E" w:rsidP="00DB598E">
            <w:pPr>
              <w:autoSpaceDE w:val="0"/>
              <w:autoSpaceDN w:val="0"/>
              <w:adjustRightInd w:val="0"/>
              <w:rPr>
                <w:rFonts w:asciiTheme="minorHAnsi" w:hAnsiTheme="minorHAnsi" w:cstheme="minorHAnsi"/>
                <w:color w:val="464B4B"/>
                <w:sz w:val="20"/>
                <w:szCs w:val="20"/>
              </w:rPr>
            </w:pPr>
            <w:r w:rsidRPr="00CC47B5">
              <w:rPr>
                <w:rFonts w:asciiTheme="minorHAnsi" w:hAnsiTheme="minorHAnsi" w:cstheme="minorHAnsi"/>
                <w:b/>
                <w:bCs/>
                <w:color w:val="464B4B"/>
                <w:sz w:val="20"/>
                <w:szCs w:val="20"/>
              </w:rPr>
              <w:t xml:space="preserve">Risk and Impact: </w:t>
            </w:r>
            <w:r w:rsidRPr="00CC47B5">
              <w:rPr>
                <w:rFonts w:asciiTheme="minorHAnsi" w:hAnsiTheme="minorHAnsi" w:cstheme="minorHAnsi"/>
                <w:color w:val="464B4B"/>
                <w:sz w:val="20"/>
                <w:szCs w:val="20"/>
              </w:rPr>
              <w:t>Employees may not complete the appropriate level of safeguarding training pertinent to their role and may not have the necessary skills or knowledge to appropriately deal with safeguarding matters.</w:t>
            </w:r>
          </w:p>
        </w:tc>
        <w:tc>
          <w:tcPr>
            <w:tcW w:w="2971" w:type="dxa"/>
          </w:tcPr>
          <w:p w14:paraId="7181A707"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The Service should:</w:t>
            </w:r>
          </w:p>
          <w:p w14:paraId="6D70300D" w14:textId="7FB3BB16" w:rsidR="00DB598E" w:rsidRPr="00DB598E" w:rsidRDefault="00DB598E" w:rsidP="00DB598E">
            <w:pPr>
              <w:rPr>
                <w:rFonts w:asciiTheme="minorHAnsi" w:hAnsiTheme="minorHAnsi" w:cstheme="minorHAnsi"/>
              </w:rPr>
            </w:pPr>
            <w:r w:rsidRPr="00DB598E">
              <w:rPr>
                <w:rFonts w:asciiTheme="minorHAnsi" w:hAnsiTheme="minorHAnsi" w:cstheme="minorHAnsi"/>
              </w:rPr>
              <w:t>1. Prioritise building new modules into Red Kite which facilitate</w:t>
            </w:r>
            <w:r>
              <w:rPr>
                <w:rFonts w:asciiTheme="minorHAnsi" w:hAnsiTheme="minorHAnsi" w:cstheme="minorHAnsi"/>
              </w:rPr>
              <w:t xml:space="preserve"> </w:t>
            </w:r>
            <w:r w:rsidRPr="00DB598E">
              <w:rPr>
                <w:rFonts w:asciiTheme="minorHAnsi" w:hAnsiTheme="minorHAnsi" w:cstheme="minorHAnsi"/>
              </w:rPr>
              <w:t>centralised tracking and monitoring of all NFCC training</w:t>
            </w:r>
            <w:r>
              <w:rPr>
                <w:rFonts w:asciiTheme="minorHAnsi" w:hAnsiTheme="minorHAnsi" w:cstheme="minorHAnsi"/>
              </w:rPr>
              <w:t xml:space="preserve"> </w:t>
            </w:r>
            <w:r w:rsidRPr="00DB598E">
              <w:rPr>
                <w:rFonts w:asciiTheme="minorHAnsi" w:hAnsiTheme="minorHAnsi" w:cstheme="minorHAnsi"/>
              </w:rPr>
              <w:t>levels.</w:t>
            </w:r>
          </w:p>
          <w:p w14:paraId="03F05571"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2. Consider establishing an interim process for centrally</w:t>
            </w:r>
          </w:p>
          <w:p w14:paraId="360A8720"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recording and monitoring the completion of additional NFCC</w:t>
            </w:r>
          </w:p>
          <w:p w14:paraId="4CEE9D82"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training modules. For example, through obtaining employee</w:t>
            </w:r>
          </w:p>
          <w:p w14:paraId="75B74EF7" w14:textId="45FD65FF" w:rsidR="00DB598E" w:rsidRPr="00DB598E" w:rsidRDefault="00DB598E" w:rsidP="00DB598E">
            <w:pPr>
              <w:rPr>
                <w:rFonts w:asciiTheme="minorHAnsi" w:hAnsiTheme="minorHAnsi" w:cstheme="minorHAnsi"/>
              </w:rPr>
            </w:pPr>
            <w:r w:rsidRPr="00DB598E">
              <w:rPr>
                <w:rFonts w:asciiTheme="minorHAnsi" w:hAnsiTheme="minorHAnsi" w:cstheme="minorHAnsi"/>
              </w:rPr>
              <w:t>training records from Line Managers and recording employee</w:t>
            </w:r>
            <w:r>
              <w:rPr>
                <w:rFonts w:asciiTheme="minorHAnsi" w:hAnsiTheme="minorHAnsi" w:cstheme="minorHAnsi"/>
              </w:rPr>
              <w:t xml:space="preserve"> </w:t>
            </w:r>
            <w:r w:rsidRPr="00DB598E">
              <w:rPr>
                <w:rFonts w:asciiTheme="minorHAnsi" w:hAnsiTheme="minorHAnsi" w:cstheme="minorHAnsi"/>
              </w:rPr>
              <w:t>completion rates within a spreadsheet.</w:t>
            </w:r>
          </w:p>
          <w:p w14:paraId="145D62A1" w14:textId="77777777" w:rsidR="00DB598E" w:rsidRPr="00DB598E" w:rsidRDefault="00DB598E" w:rsidP="00DB598E">
            <w:pPr>
              <w:rPr>
                <w:rFonts w:asciiTheme="minorHAnsi" w:hAnsiTheme="minorHAnsi" w:cstheme="minorHAnsi"/>
              </w:rPr>
            </w:pPr>
            <w:r w:rsidRPr="00DB598E">
              <w:rPr>
                <w:rFonts w:asciiTheme="minorHAnsi" w:hAnsiTheme="minorHAnsi" w:cstheme="minorHAnsi"/>
              </w:rPr>
              <w:t>3. Conduct regular audits to ensure that all employees have</w:t>
            </w:r>
          </w:p>
          <w:p w14:paraId="6B33A8DD" w14:textId="5D9D6891" w:rsidR="004F314E" w:rsidRPr="00A31E5D" w:rsidRDefault="00DB598E" w:rsidP="00DB598E">
            <w:pPr>
              <w:rPr>
                <w:rFonts w:asciiTheme="minorHAnsi" w:hAnsiTheme="minorHAnsi" w:cstheme="minorHAnsi"/>
              </w:rPr>
            </w:pPr>
            <w:r w:rsidRPr="00DB598E">
              <w:rPr>
                <w:rFonts w:asciiTheme="minorHAnsi" w:hAnsiTheme="minorHAnsi" w:cstheme="minorHAnsi"/>
              </w:rPr>
              <w:t>completed the required level of training.</w:t>
            </w:r>
          </w:p>
        </w:tc>
        <w:tc>
          <w:tcPr>
            <w:tcW w:w="998" w:type="dxa"/>
            <w:shd w:val="clear" w:color="auto" w:fill="FFC000"/>
          </w:tcPr>
          <w:p w14:paraId="37E21242" w14:textId="60EA1F90" w:rsidR="004F314E" w:rsidRPr="00D05F06" w:rsidRDefault="00DB598E" w:rsidP="007A7F18">
            <w:pPr>
              <w:jc w:val="center"/>
              <w:rPr>
                <w:rFonts w:ascii="Calibri" w:hAnsi="Calibri" w:cs="Calibri"/>
                <w:b/>
              </w:rPr>
            </w:pPr>
            <w:r>
              <w:rPr>
                <w:rFonts w:ascii="Calibri" w:hAnsi="Calibri" w:cs="Calibri"/>
                <w:b/>
              </w:rPr>
              <w:t>Medium</w:t>
            </w:r>
          </w:p>
        </w:tc>
        <w:tc>
          <w:tcPr>
            <w:tcW w:w="3198" w:type="dxa"/>
          </w:tcPr>
          <w:p w14:paraId="447AEB02" w14:textId="777BE1C8" w:rsidR="00DB598E" w:rsidRPr="00DB598E" w:rsidRDefault="00DB598E" w:rsidP="00DB598E">
            <w:pPr>
              <w:pStyle w:val="Default"/>
              <w:rPr>
                <w:bCs/>
                <w:sz w:val="22"/>
                <w:szCs w:val="22"/>
              </w:rPr>
            </w:pPr>
            <w:r w:rsidRPr="00DB598E">
              <w:rPr>
                <w:bCs/>
                <w:sz w:val="22"/>
                <w:szCs w:val="22"/>
              </w:rPr>
              <w:t xml:space="preserve">The competency framework for NFRS staff has now been agreed and can be mapped into RedKite to improve recording </w:t>
            </w:r>
            <w:r>
              <w:rPr>
                <w:bCs/>
                <w:sz w:val="22"/>
                <w:szCs w:val="22"/>
              </w:rPr>
              <w:t xml:space="preserve">of competency and the alignment </w:t>
            </w:r>
            <w:r w:rsidRPr="00DB598E">
              <w:rPr>
                <w:bCs/>
                <w:sz w:val="22"/>
                <w:szCs w:val="22"/>
              </w:rPr>
              <w:t>of specific training modules to different competency levels.</w:t>
            </w:r>
          </w:p>
          <w:p w14:paraId="3E1B5FFE" w14:textId="37B53A7F" w:rsidR="00DB598E" w:rsidRPr="00DB598E" w:rsidRDefault="00DB598E" w:rsidP="00DB598E">
            <w:pPr>
              <w:pStyle w:val="Default"/>
              <w:rPr>
                <w:bCs/>
                <w:sz w:val="22"/>
                <w:szCs w:val="22"/>
              </w:rPr>
            </w:pPr>
            <w:r w:rsidRPr="00DB598E">
              <w:rPr>
                <w:bCs/>
                <w:sz w:val="22"/>
                <w:szCs w:val="22"/>
              </w:rPr>
              <w:t>This will include those training modules provided internally, from NFCC and from the Local Safeguarding Boards for Adu</w:t>
            </w:r>
            <w:r>
              <w:rPr>
                <w:bCs/>
                <w:sz w:val="22"/>
                <w:szCs w:val="22"/>
              </w:rPr>
              <w:t xml:space="preserve">lts and Children. These will be </w:t>
            </w:r>
            <w:r w:rsidRPr="00DB598E">
              <w:rPr>
                <w:bCs/>
                <w:sz w:val="22"/>
                <w:szCs w:val="22"/>
              </w:rPr>
              <w:t>provided by the Safeguarding Leads within the Prevention team.</w:t>
            </w:r>
          </w:p>
          <w:p w14:paraId="2FC1C4BF" w14:textId="77777777" w:rsidR="000E6659" w:rsidRDefault="00DB598E" w:rsidP="00DB598E">
            <w:pPr>
              <w:pStyle w:val="Default"/>
            </w:pPr>
            <w:r w:rsidRPr="00DB598E">
              <w:rPr>
                <w:bCs/>
                <w:sz w:val="22"/>
                <w:szCs w:val="22"/>
              </w:rPr>
              <w:t>This work will be added to action plans for the Training Department and will be undertaken by the Competency F</w:t>
            </w:r>
            <w:r>
              <w:rPr>
                <w:bCs/>
                <w:sz w:val="22"/>
                <w:szCs w:val="22"/>
              </w:rPr>
              <w:t xml:space="preserve">ramework Manager and Competency </w:t>
            </w:r>
            <w:r w:rsidRPr="00DB598E">
              <w:rPr>
                <w:bCs/>
                <w:sz w:val="22"/>
                <w:szCs w:val="22"/>
              </w:rPr>
              <w:t>Systems Coordinator.</w:t>
            </w:r>
            <w:r w:rsidR="000E6659">
              <w:t xml:space="preserve"> </w:t>
            </w:r>
          </w:p>
          <w:p w14:paraId="3E4B4F52" w14:textId="77777777" w:rsidR="004872F5" w:rsidRDefault="004872F5" w:rsidP="00DB598E">
            <w:pPr>
              <w:pStyle w:val="Default"/>
            </w:pPr>
          </w:p>
          <w:p w14:paraId="4AC5F0D5" w14:textId="7303357F" w:rsidR="00EB61EF" w:rsidRPr="00EB61EF" w:rsidRDefault="004872F5" w:rsidP="00EB61EF">
            <w:pPr>
              <w:rPr>
                <w:rFonts w:ascii="Calibri" w:hAnsi="Calibri" w:cs="Calibri"/>
              </w:rPr>
            </w:pPr>
            <w:r>
              <w:rPr>
                <w:rFonts w:ascii="Calibri" w:hAnsi="Calibri" w:cs="Calibri"/>
                <w:b/>
              </w:rPr>
              <w:t>Closed 01/07/2025</w:t>
            </w:r>
            <w:r w:rsidR="00EB61EF">
              <w:rPr>
                <w:rFonts w:ascii="Calibri" w:hAnsi="Calibri" w:cs="Calibri"/>
              </w:rPr>
              <w:t xml:space="preserve"> </w:t>
            </w:r>
            <w:r>
              <w:rPr>
                <w:rFonts w:ascii="Calibri" w:hAnsi="Calibri" w:cs="Calibri"/>
              </w:rPr>
              <w:t>New Moodle platform is now live and training is monitored for completion. A new safeguarding package has also been created.</w:t>
            </w:r>
          </w:p>
          <w:p w14:paraId="76E33E12" w14:textId="78FEE6FE" w:rsidR="000E6659" w:rsidRPr="00D05F06" w:rsidRDefault="000E6659" w:rsidP="00DB598E">
            <w:pPr>
              <w:pStyle w:val="Default"/>
              <w:rPr>
                <w:bCs/>
                <w:sz w:val="22"/>
                <w:szCs w:val="22"/>
              </w:rPr>
            </w:pPr>
          </w:p>
        </w:tc>
        <w:tc>
          <w:tcPr>
            <w:tcW w:w="1481" w:type="dxa"/>
          </w:tcPr>
          <w:p w14:paraId="0071AFFC" w14:textId="4AA1E5DB" w:rsidR="00DB598E" w:rsidRDefault="00DB598E" w:rsidP="007A7F18">
            <w:pPr>
              <w:pStyle w:val="Default"/>
              <w:rPr>
                <w:color w:val="000000" w:themeColor="text1"/>
                <w:sz w:val="22"/>
                <w:szCs w:val="22"/>
              </w:rPr>
            </w:pPr>
            <w:r>
              <w:rPr>
                <w:color w:val="000000" w:themeColor="text1"/>
                <w:sz w:val="22"/>
                <w:szCs w:val="22"/>
              </w:rPr>
              <w:t>Neil Sadler</w:t>
            </w:r>
          </w:p>
          <w:p w14:paraId="4FBF39AB" w14:textId="56F65A36" w:rsidR="00DB598E" w:rsidRDefault="00DB598E" w:rsidP="007A7F18">
            <w:pPr>
              <w:pStyle w:val="Default"/>
              <w:rPr>
                <w:color w:val="000000" w:themeColor="text1"/>
                <w:sz w:val="22"/>
                <w:szCs w:val="22"/>
              </w:rPr>
            </w:pPr>
            <w:r>
              <w:rPr>
                <w:color w:val="000000" w:themeColor="text1"/>
                <w:sz w:val="22"/>
                <w:szCs w:val="22"/>
              </w:rPr>
              <w:t>31</w:t>
            </w:r>
            <w:r w:rsidRPr="00DB598E">
              <w:rPr>
                <w:color w:val="000000" w:themeColor="text1"/>
                <w:sz w:val="22"/>
                <w:szCs w:val="22"/>
                <w:vertAlign w:val="superscript"/>
              </w:rPr>
              <w:t>st</w:t>
            </w:r>
            <w:r>
              <w:rPr>
                <w:color w:val="000000" w:themeColor="text1"/>
                <w:sz w:val="22"/>
                <w:szCs w:val="22"/>
              </w:rPr>
              <w:t xml:space="preserve"> Dec 2024</w:t>
            </w:r>
          </w:p>
          <w:p w14:paraId="43EFA601" w14:textId="5BC04CC7" w:rsidR="00EB61EF" w:rsidRDefault="00EB61EF" w:rsidP="007A7F18">
            <w:pPr>
              <w:pStyle w:val="Default"/>
              <w:rPr>
                <w:color w:val="000000" w:themeColor="text1"/>
                <w:sz w:val="22"/>
                <w:szCs w:val="22"/>
              </w:rPr>
            </w:pPr>
          </w:p>
          <w:p w14:paraId="1CB5F5CC" w14:textId="77777777" w:rsidR="004872F5" w:rsidRDefault="004872F5" w:rsidP="007A7F18">
            <w:pPr>
              <w:pStyle w:val="Default"/>
              <w:rPr>
                <w:color w:val="000000" w:themeColor="text1"/>
                <w:sz w:val="22"/>
                <w:szCs w:val="22"/>
              </w:rPr>
            </w:pPr>
          </w:p>
          <w:p w14:paraId="1510B50D" w14:textId="77777777" w:rsidR="004872F5" w:rsidRDefault="004872F5" w:rsidP="007A7F18">
            <w:pPr>
              <w:pStyle w:val="Default"/>
              <w:rPr>
                <w:color w:val="000000" w:themeColor="text1"/>
                <w:sz w:val="22"/>
                <w:szCs w:val="22"/>
              </w:rPr>
            </w:pPr>
          </w:p>
          <w:p w14:paraId="07B2B6BA" w14:textId="77777777" w:rsidR="004872F5" w:rsidRDefault="004872F5" w:rsidP="007A7F18">
            <w:pPr>
              <w:pStyle w:val="Default"/>
              <w:rPr>
                <w:color w:val="000000" w:themeColor="text1"/>
                <w:sz w:val="22"/>
                <w:szCs w:val="22"/>
              </w:rPr>
            </w:pPr>
          </w:p>
          <w:p w14:paraId="45F37805" w14:textId="77777777" w:rsidR="004872F5" w:rsidRDefault="004872F5" w:rsidP="007A7F18">
            <w:pPr>
              <w:pStyle w:val="Default"/>
              <w:rPr>
                <w:color w:val="000000" w:themeColor="text1"/>
                <w:sz w:val="22"/>
                <w:szCs w:val="22"/>
              </w:rPr>
            </w:pPr>
          </w:p>
          <w:p w14:paraId="28B2FE83" w14:textId="77777777" w:rsidR="004872F5" w:rsidRDefault="004872F5" w:rsidP="007A7F18">
            <w:pPr>
              <w:pStyle w:val="Default"/>
              <w:rPr>
                <w:color w:val="000000" w:themeColor="text1"/>
                <w:sz w:val="22"/>
                <w:szCs w:val="22"/>
              </w:rPr>
            </w:pPr>
          </w:p>
          <w:p w14:paraId="64696890" w14:textId="77777777" w:rsidR="004872F5" w:rsidRDefault="004872F5" w:rsidP="007A7F18">
            <w:pPr>
              <w:pStyle w:val="Default"/>
              <w:rPr>
                <w:color w:val="000000" w:themeColor="text1"/>
                <w:sz w:val="22"/>
                <w:szCs w:val="22"/>
              </w:rPr>
            </w:pPr>
          </w:p>
          <w:p w14:paraId="5505B5BC" w14:textId="77777777" w:rsidR="004872F5" w:rsidRDefault="004872F5" w:rsidP="007A7F18">
            <w:pPr>
              <w:pStyle w:val="Default"/>
              <w:rPr>
                <w:color w:val="000000" w:themeColor="text1"/>
                <w:sz w:val="22"/>
                <w:szCs w:val="22"/>
              </w:rPr>
            </w:pPr>
          </w:p>
          <w:p w14:paraId="12AE9EC1" w14:textId="77777777" w:rsidR="004872F5" w:rsidRDefault="004872F5" w:rsidP="007A7F18">
            <w:pPr>
              <w:pStyle w:val="Default"/>
              <w:rPr>
                <w:color w:val="000000" w:themeColor="text1"/>
                <w:sz w:val="22"/>
                <w:szCs w:val="22"/>
              </w:rPr>
            </w:pPr>
          </w:p>
          <w:p w14:paraId="1D5A5204" w14:textId="77777777" w:rsidR="004872F5" w:rsidRDefault="004872F5" w:rsidP="007A7F18">
            <w:pPr>
              <w:pStyle w:val="Default"/>
              <w:rPr>
                <w:color w:val="000000" w:themeColor="text1"/>
                <w:sz w:val="22"/>
                <w:szCs w:val="22"/>
              </w:rPr>
            </w:pPr>
          </w:p>
          <w:p w14:paraId="50DE38D7" w14:textId="77777777" w:rsidR="004872F5" w:rsidRDefault="004872F5" w:rsidP="007A7F18">
            <w:pPr>
              <w:pStyle w:val="Default"/>
              <w:rPr>
                <w:color w:val="000000" w:themeColor="text1"/>
                <w:sz w:val="22"/>
                <w:szCs w:val="22"/>
              </w:rPr>
            </w:pPr>
          </w:p>
          <w:p w14:paraId="0069C048" w14:textId="77777777" w:rsidR="004872F5" w:rsidRDefault="004872F5" w:rsidP="007A7F18">
            <w:pPr>
              <w:pStyle w:val="Default"/>
              <w:rPr>
                <w:color w:val="000000" w:themeColor="text1"/>
                <w:sz w:val="22"/>
                <w:szCs w:val="22"/>
              </w:rPr>
            </w:pPr>
          </w:p>
          <w:p w14:paraId="13655427" w14:textId="77777777" w:rsidR="004872F5" w:rsidRDefault="004872F5" w:rsidP="007A7F18">
            <w:pPr>
              <w:pStyle w:val="Default"/>
              <w:rPr>
                <w:color w:val="000000" w:themeColor="text1"/>
                <w:sz w:val="22"/>
                <w:szCs w:val="22"/>
              </w:rPr>
            </w:pPr>
          </w:p>
          <w:p w14:paraId="3E723613" w14:textId="77777777" w:rsidR="00EB61EF" w:rsidRDefault="00EB61EF" w:rsidP="007A7F18">
            <w:pPr>
              <w:pStyle w:val="Default"/>
              <w:rPr>
                <w:color w:val="000000" w:themeColor="text1"/>
                <w:sz w:val="22"/>
                <w:szCs w:val="22"/>
              </w:rPr>
            </w:pPr>
          </w:p>
          <w:p w14:paraId="06D13F6A" w14:textId="29580734" w:rsidR="00DB598E" w:rsidRPr="00D05F06" w:rsidRDefault="00DB598E" w:rsidP="007A7F18">
            <w:pPr>
              <w:pStyle w:val="Default"/>
              <w:rPr>
                <w:color w:val="000000" w:themeColor="text1"/>
                <w:sz w:val="22"/>
                <w:szCs w:val="22"/>
              </w:rPr>
            </w:pPr>
          </w:p>
        </w:tc>
        <w:tc>
          <w:tcPr>
            <w:tcW w:w="849" w:type="dxa"/>
            <w:shd w:val="clear" w:color="auto" w:fill="00B050"/>
          </w:tcPr>
          <w:p w14:paraId="247A7730" w14:textId="77777777" w:rsidR="004F314E" w:rsidRPr="005F5142" w:rsidRDefault="004F314E" w:rsidP="007A7F18">
            <w:pPr>
              <w:spacing w:line="276" w:lineRule="auto"/>
              <w:rPr>
                <w:rFonts w:asciiTheme="minorHAnsi" w:hAnsiTheme="minorHAnsi" w:cstheme="minorHAnsi"/>
                <w:b/>
                <w:color w:val="FF0000"/>
              </w:rPr>
            </w:pPr>
          </w:p>
        </w:tc>
      </w:tr>
    </w:tbl>
    <w:p w14:paraId="40CC4B6D" w14:textId="1A2B5C63" w:rsidR="000E6659" w:rsidRDefault="000E6659" w:rsidP="00FB30A6">
      <w:pPr>
        <w:spacing w:after="200" w:line="276" w:lineRule="auto"/>
        <w:rPr>
          <w:rFonts w:cstheme="minorHAnsi"/>
          <w:b/>
          <w:bCs/>
          <w:color w:val="000000"/>
        </w:rPr>
      </w:pPr>
    </w:p>
    <w:p w14:paraId="1BA79D5A" w14:textId="77777777" w:rsidR="00AA7CE5" w:rsidRDefault="00AA7CE5" w:rsidP="00FB30A6">
      <w:pPr>
        <w:spacing w:after="200" w:line="276" w:lineRule="auto"/>
        <w:rPr>
          <w:rFonts w:cstheme="minorHAnsi"/>
          <w:b/>
          <w:bCs/>
          <w:color w:val="000000"/>
        </w:rPr>
      </w:pPr>
    </w:p>
    <w:p w14:paraId="73A2F3A7" w14:textId="5EBAD6B8" w:rsidR="004F314E" w:rsidRDefault="004F314E" w:rsidP="00FB30A6">
      <w:pPr>
        <w:spacing w:after="200" w:line="276" w:lineRule="auto"/>
        <w:rPr>
          <w:rFonts w:cstheme="minorHAnsi"/>
          <w:b/>
          <w:bCs/>
          <w:color w:val="000000"/>
        </w:rPr>
      </w:pPr>
      <w:r>
        <w:rPr>
          <w:rFonts w:cstheme="minorHAnsi"/>
          <w:b/>
          <w:bCs/>
          <w:color w:val="000000"/>
        </w:rPr>
        <w:lastRenderedPageBreak/>
        <w:t>Safeguarding – September 2024</w:t>
      </w:r>
    </w:p>
    <w:tbl>
      <w:tblPr>
        <w:tblStyle w:val="TableGrid1"/>
        <w:tblW w:w="15309" w:type="dxa"/>
        <w:tblInd w:w="-572" w:type="dxa"/>
        <w:tblLook w:val="04A0" w:firstRow="1" w:lastRow="0" w:firstColumn="1" w:lastColumn="0" w:noHBand="0" w:noVBand="1"/>
      </w:tblPr>
      <w:tblGrid>
        <w:gridCol w:w="391"/>
        <w:gridCol w:w="6272"/>
        <w:gridCol w:w="3018"/>
        <w:gridCol w:w="989"/>
        <w:gridCol w:w="2311"/>
        <w:gridCol w:w="1481"/>
        <w:gridCol w:w="847"/>
      </w:tblGrid>
      <w:tr w:rsidR="004F314E" w:rsidRPr="00291B4B" w14:paraId="07B9F728" w14:textId="77777777" w:rsidTr="00681096">
        <w:tc>
          <w:tcPr>
            <w:tcW w:w="391" w:type="dxa"/>
            <w:shd w:val="clear" w:color="auto" w:fill="632E9E"/>
          </w:tcPr>
          <w:p w14:paraId="5F127504"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6272" w:type="dxa"/>
            <w:shd w:val="clear" w:color="auto" w:fill="632E9E"/>
          </w:tcPr>
          <w:p w14:paraId="622011D0"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3018" w:type="dxa"/>
            <w:shd w:val="clear" w:color="auto" w:fill="632E9E"/>
          </w:tcPr>
          <w:p w14:paraId="03584B6E"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89" w:type="dxa"/>
            <w:shd w:val="clear" w:color="auto" w:fill="632E9E"/>
          </w:tcPr>
          <w:p w14:paraId="6D527FE4"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311" w:type="dxa"/>
            <w:shd w:val="clear" w:color="auto" w:fill="632E9E"/>
          </w:tcPr>
          <w:p w14:paraId="1101523B"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7ABC536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7" w:type="dxa"/>
            <w:shd w:val="clear" w:color="auto" w:fill="632E9E"/>
          </w:tcPr>
          <w:p w14:paraId="25D8C2E8"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128A37E2" w14:textId="77777777" w:rsidTr="00681096">
        <w:trPr>
          <w:trHeight w:val="844"/>
        </w:trPr>
        <w:tc>
          <w:tcPr>
            <w:tcW w:w="391" w:type="dxa"/>
            <w:tcMar>
              <w:left w:w="57" w:type="dxa"/>
              <w:right w:w="57" w:type="dxa"/>
            </w:tcMar>
          </w:tcPr>
          <w:p w14:paraId="044B67D7" w14:textId="040A6DEF" w:rsidR="004F314E" w:rsidRPr="005F5142" w:rsidRDefault="004F314E" w:rsidP="007A7F18">
            <w:pPr>
              <w:rPr>
                <w:rFonts w:asciiTheme="minorHAnsi" w:hAnsiTheme="minorHAnsi" w:cstheme="minorHAnsi"/>
                <w:b/>
              </w:rPr>
            </w:pPr>
            <w:r>
              <w:rPr>
                <w:rFonts w:asciiTheme="minorHAnsi" w:hAnsiTheme="minorHAnsi" w:cstheme="minorHAnsi"/>
                <w:b/>
              </w:rPr>
              <w:t>6</w:t>
            </w:r>
          </w:p>
        </w:tc>
        <w:tc>
          <w:tcPr>
            <w:tcW w:w="6272" w:type="dxa"/>
          </w:tcPr>
          <w:p w14:paraId="5D301596" w14:textId="16C6384F" w:rsidR="003E12D5" w:rsidRPr="00681096" w:rsidRDefault="003E12D5" w:rsidP="003E12D5">
            <w:pPr>
              <w:autoSpaceDE w:val="0"/>
              <w:autoSpaceDN w:val="0"/>
              <w:adjustRightInd w:val="0"/>
              <w:rPr>
                <w:rFonts w:asciiTheme="minorHAnsi" w:hAnsiTheme="minorHAnsi" w:cstheme="minorHAnsi"/>
                <w:color w:val="464B4B"/>
                <w:sz w:val="20"/>
                <w:szCs w:val="20"/>
              </w:rPr>
            </w:pPr>
            <w:r w:rsidRPr="00681096">
              <w:rPr>
                <w:rFonts w:asciiTheme="minorHAnsi" w:hAnsiTheme="minorHAnsi" w:cstheme="minorHAnsi"/>
                <w:b/>
                <w:bCs/>
                <w:sz w:val="20"/>
                <w:szCs w:val="20"/>
              </w:rPr>
              <w:t xml:space="preserve">Staff members are not appropriately chased to ensure mandatory safeguarding training is completed in a timely manner. </w:t>
            </w:r>
            <w:r w:rsidRPr="00681096">
              <w:rPr>
                <w:rFonts w:asciiTheme="minorHAnsi" w:hAnsiTheme="minorHAnsi" w:cstheme="minorHAnsi"/>
                <w:color w:val="464B4B"/>
                <w:sz w:val="20"/>
                <w:szCs w:val="20"/>
              </w:rPr>
              <w:t>The Service requires all staff and volunteers who come into contact with vulnerable people to complete the NFCC level one safeguarding training module which is accessible via the Moodle portal. Staff are required to retake the module at a two year frequency.</w:t>
            </w:r>
            <w:r w:rsidR="00F257A3" w:rsidRPr="00681096">
              <w:rPr>
                <w:rFonts w:asciiTheme="minorHAnsi" w:hAnsiTheme="minorHAnsi" w:cstheme="minorHAnsi"/>
                <w:color w:val="464B4B"/>
                <w:sz w:val="20"/>
                <w:szCs w:val="20"/>
              </w:rPr>
              <w:t xml:space="preserve"> </w:t>
            </w:r>
            <w:r w:rsidRPr="00681096">
              <w:rPr>
                <w:rFonts w:asciiTheme="minorHAnsi" w:hAnsiTheme="minorHAnsi" w:cstheme="minorHAnsi"/>
                <w:color w:val="464B4B"/>
                <w:sz w:val="20"/>
                <w:szCs w:val="20"/>
              </w:rPr>
              <w:t>Completion rates for the module are monitored by the Competency Framework Team through Red Kite (Personal Development System). A reminder email is generated automatically based on the training renewal date. We reviewed an extract of the completion rates and noted that 95% of staff had completed the training. Three staff were overdue to retake the training and 24 staff were yet to complete the training. We selected a sample of two staff members who were overdue to retake the training and three who had not completed the training and requested evidence to support that they had been appropriately reminded by the Competency Framework Team. We noted the following:</w:t>
            </w:r>
          </w:p>
          <w:p w14:paraId="2B2C67D9" w14:textId="7B560DD6" w:rsidR="003E12D5" w:rsidRPr="00681096" w:rsidRDefault="003E12D5" w:rsidP="00AE4C6E">
            <w:pPr>
              <w:pStyle w:val="ListParagraph"/>
              <w:numPr>
                <w:ilvl w:val="0"/>
                <w:numId w:val="26"/>
              </w:numPr>
              <w:autoSpaceDE w:val="0"/>
              <w:autoSpaceDN w:val="0"/>
              <w:adjustRightInd w:val="0"/>
              <w:ind w:left="360"/>
              <w:rPr>
                <w:rFonts w:asciiTheme="minorHAnsi" w:hAnsiTheme="minorHAnsi" w:cstheme="minorHAnsi"/>
                <w:color w:val="464B4B"/>
                <w:sz w:val="20"/>
                <w:szCs w:val="20"/>
              </w:rPr>
            </w:pPr>
            <w:r w:rsidRPr="00681096">
              <w:rPr>
                <w:rFonts w:asciiTheme="minorHAnsi" w:hAnsiTheme="minorHAnsi" w:cstheme="minorHAnsi"/>
                <w:color w:val="464B4B"/>
                <w:sz w:val="20"/>
                <w:szCs w:val="20"/>
              </w:rPr>
              <w:t>Two staff members were notified that the training was overdue one day after the two-year period ended (24/06/2024). However, after the initial notification no further reminder emails / escalations were conducted. The training was overdue by 41 days at the time of audit.</w:t>
            </w:r>
          </w:p>
          <w:p w14:paraId="51566E33" w14:textId="7D42EF78" w:rsidR="003E12D5" w:rsidRPr="00681096" w:rsidRDefault="003E12D5" w:rsidP="00AE4C6E">
            <w:pPr>
              <w:pStyle w:val="ListParagraph"/>
              <w:numPr>
                <w:ilvl w:val="0"/>
                <w:numId w:val="26"/>
              </w:numPr>
              <w:autoSpaceDE w:val="0"/>
              <w:autoSpaceDN w:val="0"/>
              <w:adjustRightInd w:val="0"/>
              <w:ind w:left="360"/>
              <w:rPr>
                <w:rFonts w:asciiTheme="minorHAnsi" w:hAnsiTheme="minorHAnsi" w:cstheme="minorHAnsi"/>
                <w:color w:val="464B4B"/>
                <w:sz w:val="20"/>
                <w:szCs w:val="20"/>
              </w:rPr>
            </w:pPr>
            <w:r w:rsidRPr="00681096">
              <w:rPr>
                <w:rFonts w:asciiTheme="minorHAnsi" w:hAnsiTheme="minorHAnsi" w:cstheme="minorHAnsi"/>
                <w:color w:val="464B4B"/>
                <w:sz w:val="20"/>
                <w:szCs w:val="20"/>
              </w:rPr>
              <w:t>The three staff members who are yet to complete the training have not received any reminder emails / escalations. Each of them joined the Service between the 24/06/2024 and 15/07/2024. The current process is to set the training renewal date at two years from the employee’s start date. As such, these employees would not receive a reminder email until 2026 despite having never completed the training.</w:t>
            </w:r>
          </w:p>
          <w:p w14:paraId="173EA365" w14:textId="29C52395" w:rsidR="003E12D5" w:rsidRPr="00681096" w:rsidRDefault="003E12D5" w:rsidP="003E12D5">
            <w:pPr>
              <w:autoSpaceDE w:val="0"/>
              <w:autoSpaceDN w:val="0"/>
              <w:adjustRightInd w:val="0"/>
              <w:rPr>
                <w:rFonts w:asciiTheme="minorHAnsi" w:hAnsiTheme="minorHAnsi" w:cstheme="minorHAnsi"/>
                <w:color w:val="464B4B"/>
                <w:sz w:val="20"/>
                <w:szCs w:val="20"/>
              </w:rPr>
            </w:pPr>
            <w:r w:rsidRPr="00681096">
              <w:rPr>
                <w:rFonts w:asciiTheme="minorHAnsi" w:hAnsiTheme="minorHAnsi" w:cstheme="minorHAnsi"/>
                <w:color w:val="464B4B"/>
                <w:sz w:val="20"/>
                <w:szCs w:val="20"/>
              </w:rPr>
              <w:t>We were informed by the Competency Systems Co-ordinator that a robust process is not in place to continually chase individuals because following the initial automated Red Kite notification, any further correspondence has to be initiated manually. Due to</w:t>
            </w:r>
          </w:p>
          <w:p w14:paraId="65668949" w14:textId="103D4186" w:rsidR="003E12D5" w:rsidRPr="00681096" w:rsidRDefault="003E12D5" w:rsidP="003E12D5">
            <w:pPr>
              <w:autoSpaceDE w:val="0"/>
              <w:autoSpaceDN w:val="0"/>
              <w:adjustRightInd w:val="0"/>
              <w:rPr>
                <w:rFonts w:asciiTheme="minorHAnsi" w:hAnsiTheme="minorHAnsi" w:cstheme="minorHAnsi"/>
                <w:color w:val="464B4B"/>
                <w:sz w:val="20"/>
                <w:szCs w:val="20"/>
              </w:rPr>
            </w:pPr>
            <w:r w:rsidRPr="00681096">
              <w:rPr>
                <w:rFonts w:asciiTheme="minorHAnsi" w:hAnsiTheme="minorHAnsi" w:cstheme="minorHAnsi"/>
                <w:color w:val="464B4B"/>
                <w:sz w:val="20"/>
                <w:szCs w:val="20"/>
              </w:rPr>
              <w:t xml:space="preserve">the number of training modules staff have to complete across the Service, it is considered unachievable to continually chase individuals manually. The Competency Systems Co-ordinator was in the process of finalising a proposal paper at the time of audit to manually update the renewal dates </w:t>
            </w:r>
            <w:r w:rsidRPr="00681096">
              <w:rPr>
                <w:rFonts w:asciiTheme="minorHAnsi" w:hAnsiTheme="minorHAnsi" w:cstheme="minorHAnsi"/>
                <w:color w:val="464B4B"/>
                <w:sz w:val="20"/>
                <w:szCs w:val="20"/>
              </w:rPr>
              <w:lastRenderedPageBreak/>
              <w:t>for mandatory training so that when new staff are enrolled, the renewal date is set for between one to three months of the employee’s start date. This is to ensure that the employee receives the</w:t>
            </w:r>
          </w:p>
          <w:p w14:paraId="29AD949B" w14:textId="77777777" w:rsidR="003E12D5" w:rsidRPr="00681096" w:rsidRDefault="003E12D5" w:rsidP="003E12D5">
            <w:pPr>
              <w:autoSpaceDE w:val="0"/>
              <w:autoSpaceDN w:val="0"/>
              <w:adjustRightInd w:val="0"/>
              <w:rPr>
                <w:rFonts w:asciiTheme="minorHAnsi" w:hAnsiTheme="minorHAnsi" w:cstheme="minorHAnsi"/>
                <w:color w:val="464B4B"/>
                <w:sz w:val="20"/>
                <w:szCs w:val="20"/>
              </w:rPr>
            </w:pPr>
            <w:r w:rsidRPr="00681096">
              <w:rPr>
                <w:rFonts w:asciiTheme="minorHAnsi" w:hAnsiTheme="minorHAnsi" w:cstheme="minorHAnsi"/>
                <w:color w:val="464B4B"/>
                <w:sz w:val="20"/>
                <w:szCs w:val="20"/>
              </w:rPr>
              <w:t>first chaser notification at a much sooner date.</w:t>
            </w:r>
          </w:p>
          <w:p w14:paraId="5BDB6052" w14:textId="30344F08" w:rsidR="003E12D5" w:rsidRPr="003E12D5" w:rsidRDefault="003E12D5" w:rsidP="003E12D5">
            <w:pPr>
              <w:autoSpaceDE w:val="0"/>
              <w:autoSpaceDN w:val="0"/>
              <w:adjustRightInd w:val="0"/>
              <w:rPr>
                <w:rFonts w:asciiTheme="minorHAnsi" w:hAnsiTheme="minorHAnsi" w:cstheme="minorHAnsi"/>
                <w:color w:val="464B4B"/>
              </w:rPr>
            </w:pPr>
            <w:r w:rsidRPr="00681096">
              <w:rPr>
                <w:rFonts w:asciiTheme="minorHAnsi" w:hAnsiTheme="minorHAnsi" w:cstheme="minorHAnsi"/>
                <w:b/>
                <w:bCs/>
                <w:color w:val="464B4B"/>
                <w:sz w:val="20"/>
                <w:szCs w:val="20"/>
              </w:rPr>
              <w:t xml:space="preserve">Risk and Impact: </w:t>
            </w:r>
            <w:r w:rsidRPr="00681096">
              <w:rPr>
                <w:rFonts w:asciiTheme="minorHAnsi" w:hAnsiTheme="minorHAnsi" w:cstheme="minorHAnsi"/>
                <w:color w:val="464B4B"/>
                <w:sz w:val="20"/>
                <w:szCs w:val="20"/>
              </w:rPr>
              <w:t>Staff may not complete the mandatory NFCC level one safeguarding training on time and as such are not adequately prepared to handle situations involving vulnerable individuals. This increases the risk of harm or neglect.</w:t>
            </w:r>
          </w:p>
        </w:tc>
        <w:tc>
          <w:tcPr>
            <w:tcW w:w="3018" w:type="dxa"/>
          </w:tcPr>
          <w:p w14:paraId="4B981DDF" w14:textId="77777777"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lastRenderedPageBreak/>
              <w:t>The Service should:</w:t>
            </w:r>
          </w:p>
          <w:p w14:paraId="0074B2C1" w14:textId="5B8DD182"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1. Investigate whether the Re</w:t>
            </w:r>
            <w:r>
              <w:rPr>
                <w:rFonts w:ascii="Calibri" w:hAnsi="Calibri" w:cs="Calibri"/>
                <w:color w:val="464B4B"/>
              </w:rPr>
              <w:t xml:space="preserve">d Kite system could be enhanced </w:t>
            </w:r>
            <w:r w:rsidRPr="003E12D5">
              <w:rPr>
                <w:rFonts w:ascii="Calibri" w:hAnsi="Calibri" w:cs="Calibri"/>
                <w:color w:val="464B4B"/>
              </w:rPr>
              <w:t>to automate follow-up reminder em</w:t>
            </w:r>
            <w:r>
              <w:rPr>
                <w:rFonts w:ascii="Calibri" w:hAnsi="Calibri" w:cs="Calibri"/>
                <w:color w:val="464B4B"/>
              </w:rPr>
              <w:t xml:space="preserve">ails at regular intervals until </w:t>
            </w:r>
            <w:r w:rsidRPr="003E12D5">
              <w:rPr>
                <w:rFonts w:ascii="Calibri" w:hAnsi="Calibri" w:cs="Calibri"/>
                <w:color w:val="464B4B"/>
              </w:rPr>
              <w:t>the training is completed.</w:t>
            </w:r>
          </w:p>
          <w:p w14:paraId="02504004" w14:textId="1C6C9BBB" w:rsidR="003E12D5"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2. Adjust the process so that t</w:t>
            </w:r>
            <w:r>
              <w:rPr>
                <w:rFonts w:ascii="Calibri" w:hAnsi="Calibri" w:cs="Calibri"/>
                <w:color w:val="464B4B"/>
              </w:rPr>
              <w:t xml:space="preserve">he training renewal date is set within the first few months of employment for new starters. </w:t>
            </w:r>
            <w:r w:rsidRPr="003E12D5">
              <w:rPr>
                <w:rFonts w:ascii="Calibri" w:hAnsi="Calibri" w:cs="Calibri"/>
                <w:color w:val="464B4B"/>
              </w:rPr>
              <w:t>This is to ensure that where tr</w:t>
            </w:r>
            <w:r>
              <w:rPr>
                <w:rFonts w:ascii="Calibri" w:hAnsi="Calibri" w:cs="Calibri"/>
                <w:color w:val="464B4B"/>
              </w:rPr>
              <w:t xml:space="preserve">aining is incomplete, employees </w:t>
            </w:r>
            <w:r w:rsidRPr="003E12D5">
              <w:rPr>
                <w:rFonts w:ascii="Calibri" w:hAnsi="Calibri" w:cs="Calibri"/>
                <w:color w:val="464B4B"/>
              </w:rPr>
              <w:t>receive the reminder email</w:t>
            </w:r>
            <w:r>
              <w:rPr>
                <w:rFonts w:ascii="Calibri" w:hAnsi="Calibri" w:cs="Calibri"/>
                <w:color w:val="464B4B"/>
              </w:rPr>
              <w:t xml:space="preserve"> within the first few months of </w:t>
            </w:r>
            <w:r w:rsidRPr="003E12D5">
              <w:rPr>
                <w:rFonts w:ascii="Calibri" w:hAnsi="Calibri" w:cs="Calibri"/>
                <w:color w:val="464B4B"/>
              </w:rPr>
              <w:t>employment instead of the current two year frequency.</w:t>
            </w:r>
          </w:p>
          <w:p w14:paraId="0A0B12FE" w14:textId="48D6CE1F" w:rsidR="004F314E" w:rsidRPr="003E12D5" w:rsidRDefault="003E12D5" w:rsidP="003E12D5">
            <w:pPr>
              <w:autoSpaceDE w:val="0"/>
              <w:autoSpaceDN w:val="0"/>
              <w:adjustRightInd w:val="0"/>
              <w:rPr>
                <w:rFonts w:ascii="Calibri" w:hAnsi="Calibri" w:cs="Calibri"/>
                <w:color w:val="464B4B"/>
              </w:rPr>
            </w:pPr>
            <w:r w:rsidRPr="003E12D5">
              <w:rPr>
                <w:rFonts w:ascii="Calibri" w:hAnsi="Calibri" w:cs="Calibri"/>
                <w:color w:val="464B4B"/>
              </w:rPr>
              <w:t xml:space="preserve">3. Implement an escalation </w:t>
            </w:r>
            <w:r>
              <w:rPr>
                <w:rFonts w:ascii="Calibri" w:hAnsi="Calibri" w:cs="Calibri"/>
                <w:color w:val="464B4B"/>
              </w:rPr>
              <w:t xml:space="preserve">process where if a staff member </w:t>
            </w:r>
            <w:r w:rsidRPr="003E12D5">
              <w:rPr>
                <w:rFonts w:ascii="Calibri" w:hAnsi="Calibri" w:cs="Calibri"/>
                <w:color w:val="464B4B"/>
              </w:rPr>
              <w:t>does not complete the tra</w:t>
            </w:r>
            <w:r>
              <w:rPr>
                <w:rFonts w:ascii="Calibri" w:hAnsi="Calibri" w:cs="Calibri"/>
                <w:color w:val="464B4B"/>
              </w:rPr>
              <w:t xml:space="preserve">ining after a certain number of </w:t>
            </w:r>
            <w:r w:rsidRPr="003E12D5">
              <w:rPr>
                <w:rFonts w:ascii="Calibri" w:hAnsi="Calibri" w:cs="Calibri"/>
                <w:color w:val="464B4B"/>
              </w:rPr>
              <w:t>reminders, Line Managers are not</w:t>
            </w:r>
            <w:r>
              <w:rPr>
                <w:rFonts w:ascii="Calibri" w:hAnsi="Calibri" w:cs="Calibri"/>
                <w:color w:val="464B4B"/>
              </w:rPr>
              <w:t xml:space="preserve">ified and disciplinary </w:t>
            </w:r>
            <w:r w:rsidRPr="003E12D5">
              <w:rPr>
                <w:rFonts w:ascii="Calibri" w:hAnsi="Calibri" w:cs="Calibri"/>
                <w:color w:val="464B4B"/>
              </w:rPr>
              <w:t>procedures are carried out following repeat non-compliance.</w:t>
            </w:r>
          </w:p>
        </w:tc>
        <w:tc>
          <w:tcPr>
            <w:tcW w:w="989" w:type="dxa"/>
            <w:shd w:val="clear" w:color="auto" w:fill="FFC000"/>
          </w:tcPr>
          <w:p w14:paraId="65E44EA5" w14:textId="1EA7B141" w:rsidR="004F314E" w:rsidRPr="00D05F06" w:rsidRDefault="003E12D5" w:rsidP="007A7F18">
            <w:pPr>
              <w:jc w:val="center"/>
              <w:rPr>
                <w:rFonts w:ascii="Calibri" w:hAnsi="Calibri" w:cs="Calibri"/>
                <w:b/>
              </w:rPr>
            </w:pPr>
            <w:r>
              <w:rPr>
                <w:rFonts w:ascii="Calibri" w:hAnsi="Calibri" w:cs="Calibri"/>
                <w:b/>
              </w:rPr>
              <w:t>Medium</w:t>
            </w:r>
          </w:p>
        </w:tc>
        <w:tc>
          <w:tcPr>
            <w:tcW w:w="2311" w:type="dxa"/>
          </w:tcPr>
          <w:p w14:paraId="23AEBF0B" w14:textId="77777777" w:rsidR="003E12D5" w:rsidRPr="003E12D5" w:rsidRDefault="003E12D5" w:rsidP="003E12D5">
            <w:pPr>
              <w:autoSpaceDE w:val="0"/>
              <w:autoSpaceDN w:val="0"/>
              <w:adjustRightInd w:val="0"/>
              <w:rPr>
                <w:rFonts w:asciiTheme="minorHAnsi" w:hAnsiTheme="minorHAnsi" w:cstheme="minorHAnsi"/>
                <w:color w:val="464B4B"/>
              </w:rPr>
            </w:pPr>
            <w:r w:rsidRPr="003E12D5">
              <w:rPr>
                <w:rFonts w:asciiTheme="minorHAnsi" w:hAnsiTheme="minorHAnsi" w:cstheme="minorHAnsi"/>
                <w:color w:val="464B4B"/>
              </w:rPr>
              <w:t>This work will cut across Training and Workforce Development and so will be allocated to the two teams to work together. This will ensure that processes</w:t>
            </w:r>
          </w:p>
          <w:p w14:paraId="7369057E" w14:textId="77777777" w:rsidR="004F314E" w:rsidRDefault="003E12D5" w:rsidP="003E12D5">
            <w:pPr>
              <w:pStyle w:val="Default"/>
              <w:rPr>
                <w:rFonts w:asciiTheme="minorHAnsi" w:hAnsiTheme="minorHAnsi" w:cstheme="minorHAnsi"/>
                <w:color w:val="464B4B"/>
                <w:sz w:val="22"/>
                <w:szCs w:val="22"/>
              </w:rPr>
            </w:pPr>
            <w:r w:rsidRPr="003E12D5">
              <w:rPr>
                <w:rFonts w:asciiTheme="minorHAnsi" w:hAnsiTheme="minorHAnsi" w:cstheme="minorHAnsi"/>
                <w:color w:val="464B4B"/>
                <w:sz w:val="22"/>
                <w:szCs w:val="22"/>
              </w:rPr>
              <w:t>for induction training, initial and renewed competency sign off are working effectively.</w:t>
            </w:r>
          </w:p>
          <w:p w14:paraId="2687BADE" w14:textId="77777777" w:rsidR="00681096" w:rsidRDefault="00681096" w:rsidP="00CC47B5">
            <w:pPr>
              <w:rPr>
                <w:rFonts w:ascii="Calibri" w:hAnsi="Calibri" w:cs="Calibri"/>
                <w:b/>
              </w:rPr>
            </w:pPr>
          </w:p>
          <w:p w14:paraId="74D7B23F" w14:textId="61FC48F5" w:rsidR="00CC47B5" w:rsidRPr="00EB61EF" w:rsidRDefault="00CC47B5" w:rsidP="00CC47B5">
            <w:pPr>
              <w:rPr>
                <w:rFonts w:ascii="Calibri" w:hAnsi="Calibri" w:cs="Calibri"/>
              </w:rPr>
            </w:pPr>
            <w:r>
              <w:rPr>
                <w:rFonts w:ascii="Calibri" w:hAnsi="Calibri" w:cs="Calibri"/>
                <w:b/>
              </w:rPr>
              <w:t>Closed 01/07/2025</w:t>
            </w:r>
            <w:r>
              <w:rPr>
                <w:rFonts w:ascii="Calibri" w:hAnsi="Calibri" w:cs="Calibri"/>
              </w:rPr>
              <w:t xml:space="preserve"> New Moodle platform is now live and training is monitored for completion. A new safeguarding package has also been created.</w:t>
            </w:r>
          </w:p>
          <w:p w14:paraId="02AA0EE0" w14:textId="0F217C0E" w:rsidR="00EB61EF" w:rsidRPr="000E6659" w:rsidRDefault="00EB61EF" w:rsidP="003E12D5">
            <w:pPr>
              <w:pStyle w:val="Default"/>
              <w:rPr>
                <w:bCs/>
                <w:sz w:val="22"/>
                <w:szCs w:val="22"/>
              </w:rPr>
            </w:pPr>
          </w:p>
        </w:tc>
        <w:tc>
          <w:tcPr>
            <w:tcW w:w="1481" w:type="dxa"/>
          </w:tcPr>
          <w:p w14:paraId="788B915C" w14:textId="77777777" w:rsidR="004F314E" w:rsidRDefault="003E12D5" w:rsidP="007A7F18">
            <w:pPr>
              <w:pStyle w:val="Default"/>
              <w:rPr>
                <w:color w:val="000000" w:themeColor="text1"/>
                <w:sz w:val="22"/>
                <w:szCs w:val="22"/>
              </w:rPr>
            </w:pPr>
            <w:r>
              <w:rPr>
                <w:color w:val="000000" w:themeColor="text1"/>
                <w:sz w:val="22"/>
                <w:szCs w:val="22"/>
              </w:rPr>
              <w:t>Neil Sadler</w:t>
            </w:r>
          </w:p>
          <w:p w14:paraId="49526CBC" w14:textId="77777777" w:rsidR="003E12D5" w:rsidRDefault="003E12D5" w:rsidP="007A7F18">
            <w:pPr>
              <w:pStyle w:val="Default"/>
              <w:rPr>
                <w:color w:val="000000" w:themeColor="text1"/>
                <w:sz w:val="22"/>
                <w:szCs w:val="22"/>
              </w:rPr>
            </w:pPr>
          </w:p>
          <w:p w14:paraId="307E130B" w14:textId="77777777" w:rsidR="003E12D5" w:rsidRDefault="003E12D5" w:rsidP="007A7F18">
            <w:pPr>
              <w:pStyle w:val="Default"/>
              <w:rPr>
                <w:color w:val="000000" w:themeColor="text1"/>
                <w:sz w:val="22"/>
                <w:szCs w:val="22"/>
              </w:rPr>
            </w:pPr>
            <w:r>
              <w:rPr>
                <w:color w:val="000000" w:themeColor="text1"/>
                <w:sz w:val="22"/>
                <w:szCs w:val="22"/>
              </w:rPr>
              <w:t>31</w:t>
            </w:r>
            <w:r w:rsidRPr="003E12D5">
              <w:rPr>
                <w:color w:val="000000" w:themeColor="text1"/>
                <w:sz w:val="22"/>
                <w:szCs w:val="22"/>
                <w:vertAlign w:val="superscript"/>
              </w:rPr>
              <w:t>st</w:t>
            </w:r>
            <w:r>
              <w:rPr>
                <w:color w:val="000000" w:themeColor="text1"/>
                <w:sz w:val="22"/>
                <w:szCs w:val="22"/>
              </w:rPr>
              <w:t xml:space="preserve"> Dec 2024</w:t>
            </w:r>
          </w:p>
          <w:p w14:paraId="669D3BF6" w14:textId="77777777" w:rsidR="00EB61EF" w:rsidRDefault="00EB61EF" w:rsidP="007A7F18">
            <w:pPr>
              <w:pStyle w:val="Default"/>
              <w:rPr>
                <w:color w:val="000000" w:themeColor="text1"/>
                <w:sz w:val="22"/>
                <w:szCs w:val="22"/>
              </w:rPr>
            </w:pPr>
          </w:p>
          <w:p w14:paraId="0F44C503" w14:textId="77777777" w:rsidR="00EB61EF" w:rsidRDefault="00EB61EF" w:rsidP="007A7F18">
            <w:pPr>
              <w:pStyle w:val="Default"/>
              <w:rPr>
                <w:color w:val="000000" w:themeColor="text1"/>
                <w:sz w:val="22"/>
                <w:szCs w:val="22"/>
              </w:rPr>
            </w:pPr>
            <w:r>
              <w:rPr>
                <w:color w:val="000000" w:themeColor="text1"/>
                <w:sz w:val="22"/>
                <w:szCs w:val="22"/>
              </w:rPr>
              <w:t xml:space="preserve">New due date </w:t>
            </w:r>
          </w:p>
          <w:p w14:paraId="51094F50" w14:textId="55455EB7" w:rsidR="00EB61EF" w:rsidRPr="00D05F06" w:rsidRDefault="00EB61EF" w:rsidP="007A7F18">
            <w:pPr>
              <w:pStyle w:val="Default"/>
              <w:rPr>
                <w:color w:val="000000" w:themeColor="text1"/>
                <w:sz w:val="22"/>
                <w:szCs w:val="22"/>
              </w:rPr>
            </w:pPr>
            <w:r>
              <w:rPr>
                <w:color w:val="000000" w:themeColor="text1"/>
                <w:sz w:val="22"/>
                <w:szCs w:val="22"/>
              </w:rPr>
              <w:t>31</w:t>
            </w:r>
            <w:r w:rsidRPr="00EB61EF">
              <w:rPr>
                <w:color w:val="000000" w:themeColor="text1"/>
                <w:sz w:val="22"/>
                <w:szCs w:val="22"/>
                <w:vertAlign w:val="superscript"/>
              </w:rPr>
              <w:t>st</w:t>
            </w:r>
            <w:r>
              <w:rPr>
                <w:color w:val="000000" w:themeColor="text1"/>
                <w:sz w:val="22"/>
                <w:szCs w:val="22"/>
              </w:rPr>
              <w:t xml:space="preserve"> Jan 2025</w:t>
            </w:r>
          </w:p>
        </w:tc>
        <w:tc>
          <w:tcPr>
            <w:tcW w:w="847" w:type="dxa"/>
            <w:shd w:val="clear" w:color="auto" w:fill="00B050"/>
          </w:tcPr>
          <w:p w14:paraId="6D3482C9" w14:textId="77777777" w:rsidR="004F314E" w:rsidRPr="005F5142" w:rsidRDefault="004F314E" w:rsidP="007A7F18">
            <w:pPr>
              <w:spacing w:line="276" w:lineRule="auto"/>
              <w:rPr>
                <w:rFonts w:asciiTheme="minorHAnsi" w:hAnsiTheme="minorHAnsi" w:cstheme="minorHAnsi"/>
                <w:b/>
                <w:color w:val="FF0000"/>
              </w:rPr>
            </w:pPr>
          </w:p>
        </w:tc>
      </w:tr>
    </w:tbl>
    <w:p w14:paraId="58B19940" w14:textId="77777777" w:rsidR="00681096" w:rsidRDefault="00681096" w:rsidP="00FB30A6">
      <w:pPr>
        <w:spacing w:after="200" w:line="276" w:lineRule="auto"/>
        <w:rPr>
          <w:rFonts w:cstheme="minorHAnsi"/>
          <w:b/>
          <w:bCs/>
          <w:color w:val="000000"/>
        </w:rPr>
      </w:pPr>
    </w:p>
    <w:p w14:paraId="1CB56075" w14:textId="3A959CE1" w:rsidR="004F314E" w:rsidRDefault="004F314E" w:rsidP="00FB30A6">
      <w:pPr>
        <w:spacing w:after="200" w:line="276" w:lineRule="auto"/>
        <w:rPr>
          <w:rFonts w:cstheme="minorHAnsi"/>
          <w:b/>
          <w:bCs/>
          <w:color w:val="000000"/>
        </w:rPr>
      </w:pPr>
      <w:r>
        <w:rPr>
          <w:rFonts w:cstheme="minorHAnsi"/>
          <w:b/>
          <w:bCs/>
          <w:color w:val="000000"/>
        </w:rPr>
        <w:t>Safeguarding – September 2024</w:t>
      </w:r>
    </w:p>
    <w:tbl>
      <w:tblPr>
        <w:tblStyle w:val="TableGrid1"/>
        <w:tblW w:w="15309" w:type="dxa"/>
        <w:tblInd w:w="-572" w:type="dxa"/>
        <w:tblLook w:val="04A0" w:firstRow="1" w:lastRow="0" w:firstColumn="1" w:lastColumn="0" w:noHBand="0" w:noVBand="1"/>
      </w:tblPr>
      <w:tblGrid>
        <w:gridCol w:w="394"/>
        <w:gridCol w:w="6228"/>
        <w:gridCol w:w="2542"/>
        <w:gridCol w:w="889"/>
        <w:gridCol w:w="2928"/>
        <w:gridCol w:w="1481"/>
        <w:gridCol w:w="847"/>
      </w:tblGrid>
      <w:tr w:rsidR="004F314E" w:rsidRPr="00291B4B" w14:paraId="4C526C3D" w14:textId="77777777" w:rsidTr="006D7AAC">
        <w:tc>
          <w:tcPr>
            <w:tcW w:w="395" w:type="dxa"/>
            <w:shd w:val="clear" w:color="auto" w:fill="632E9E"/>
          </w:tcPr>
          <w:p w14:paraId="48E3F6B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 xml:space="preserve">   </w:t>
            </w:r>
          </w:p>
        </w:tc>
        <w:tc>
          <w:tcPr>
            <w:tcW w:w="6268" w:type="dxa"/>
            <w:shd w:val="clear" w:color="auto" w:fill="632E9E"/>
          </w:tcPr>
          <w:p w14:paraId="6C7CCF0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Observation/Risk</w:t>
            </w:r>
          </w:p>
        </w:tc>
        <w:tc>
          <w:tcPr>
            <w:tcW w:w="2549" w:type="dxa"/>
            <w:shd w:val="clear" w:color="auto" w:fill="632E9E"/>
          </w:tcPr>
          <w:p w14:paraId="0B1F25C0"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44F7E0EF"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Priority</w:t>
            </w:r>
          </w:p>
        </w:tc>
        <w:tc>
          <w:tcPr>
            <w:tcW w:w="2940" w:type="dxa"/>
            <w:shd w:val="clear" w:color="auto" w:fill="632E9E"/>
          </w:tcPr>
          <w:p w14:paraId="747D14C7"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Agreed Actions</w:t>
            </w:r>
          </w:p>
        </w:tc>
        <w:tc>
          <w:tcPr>
            <w:tcW w:w="1420" w:type="dxa"/>
            <w:shd w:val="clear" w:color="auto" w:fill="632E9E"/>
          </w:tcPr>
          <w:p w14:paraId="7D92FBF8" w14:textId="77777777" w:rsidR="004F314E" w:rsidRPr="00291B4B" w:rsidRDefault="004F314E" w:rsidP="007A7F18">
            <w:pPr>
              <w:spacing w:line="276" w:lineRule="auto"/>
              <w:rPr>
                <w:b/>
                <w:color w:val="FFFFFF" w:themeColor="background1"/>
                <w:sz w:val="16"/>
                <w:szCs w:val="16"/>
              </w:rPr>
            </w:pPr>
            <w:r>
              <w:rPr>
                <w:b/>
                <w:color w:val="FFFFFF" w:themeColor="background1"/>
                <w:sz w:val="16"/>
                <w:szCs w:val="16"/>
              </w:rPr>
              <w:t>Timescale/ Responsibility</w:t>
            </w:r>
          </w:p>
        </w:tc>
        <w:tc>
          <w:tcPr>
            <w:tcW w:w="848" w:type="dxa"/>
            <w:shd w:val="clear" w:color="auto" w:fill="632E9E"/>
          </w:tcPr>
          <w:p w14:paraId="0AD945AB" w14:textId="77777777" w:rsidR="004F314E" w:rsidRPr="00291B4B" w:rsidRDefault="004F314E" w:rsidP="007A7F18">
            <w:pPr>
              <w:spacing w:line="276" w:lineRule="auto"/>
              <w:rPr>
                <w:b/>
                <w:color w:val="FFFFFF" w:themeColor="background1"/>
                <w:sz w:val="16"/>
                <w:szCs w:val="16"/>
              </w:rPr>
            </w:pPr>
            <w:r w:rsidRPr="00291B4B">
              <w:rPr>
                <w:b/>
                <w:color w:val="FFFFFF" w:themeColor="background1"/>
                <w:sz w:val="16"/>
                <w:szCs w:val="16"/>
              </w:rPr>
              <w:t>Status</w:t>
            </w:r>
          </w:p>
        </w:tc>
      </w:tr>
      <w:tr w:rsidR="004F314E" w:rsidRPr="005F5142" w14:paraId="27F1B007" w14:textId="77777777" w:rsidTr="003D08FB">
        <w:trPr>
          <w:trHeight w:val="844"/>
        </w:trPr>
        <w:tc>
          <w:tcPr>
            <w:tcW w:w="395" w:type="dxa"/>
            <w:tcMar>
              <w:left w:w="57" w:type="dxa"/>
              <w:right w:w="57" w:type="dxa"/>
            </w:tcMar>
          </w:tcPr>
          <w:p w14:paraId="110F4611" w14:textId="673B0EE6" w:rsidR="004F314E" w:rsidRPr="005F5142" w:rsidRDefault="004F314E" w:rsidP="007A7F18">
            <w:pPr>
              <w:rPr>
                <w:rFonts w:asciiTheme="minorHAnsi" w:hAnsiTheme="minorHAnsi" w:cstheme="minorHAnsi"/>
                <w:b/>
              </w:rPr>
            </w:pPr>
            <w:r>
              <w:rPr>
                <w:rFonts w:asciiTheme="minorHAnsi" w:hAnsiTheme="minorHAnsi" w:cstheme="minorHAnsi"/>
                <w:b/>
              </w:rPr>
              <w:t>7</w:t>
            </w:r>
          </w:p>
        </w:tc>
        <w:tc>
          <w:tcPr>
            <w:tcW w:w="6268" w:type="dxa"/>
          </w:tcPr>
          <w:p w14:paraId="78F9788F" w14:textId="62ACF0F2"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b/>
                <w:bCs/>
              </w:rPr>
              <w:t xml:space="preserve">Performance reporting on DBS checks does not provide the SLT with adequate oversight. </w:t>
            </w:r>
            <w:r w:rsidRPr="004373BA">
              <w:rPr>
                <w:rFonts w:asciiTheme="minorHAnsi" w:hAnsiTheme="minorHAnsi" w:cstheme="minorHAnsi"/>
                <w:color w:val="464B4B"/>
              </w:rPr>
              <w:t>The HR Projects Advisor uses the Active Master D</w:t>
            </w:r>
            <w:r>
              <w:rPr>
                <w:rFonts w:asciiTheme="minorHAnsi" w:hAnsiTheme="minorHAnsi" w:cstheme="minorHAnsi"/>
                <w:color w:val="464B4B"/>
              </w:rPr>
              <w:t xml:space="preserve">BS spreadsheet to calculate DBS </w:t>
            </w:r>
            <w:r w:rsidRPr="004373BA">
              <w:rPr>
                <w:rFonts w:asciiTheme="minorHAnsi" w:hAnsiTheme="minorHAnsi" w:cstheme="minorHAnsi"/>
                <w:color w:val="464B4B"/>
              </w:rPr>
              <w:t>performance information, which is reported to the Se</w:t>
            </w:r>
            <w:r>
              <w:rPr>
                <w:rFonts w:asciiTheme="minorHAnsi" w:hAnsiTheme="minorHAnsi" w:cstheme="minorHAnsi"/>
                <w:color w:val="464B4B"/>
              </w:rPr>
              <w:t xml:space="preserve">nior Leadership Team (SLT) at a </w:t>
            </w:r>
            <w:r w:rsidRPr="004373BA">
              <w:rPr>
                <w:rFonts w:asciiTheme="minorHAnsi" w:hAnsiTheme="minorHAnsi" w:cstheme="minorHAnsi"/>
                <w:color w:val="464B4B"/>
              </w:rPr>
              <w:t>monthly frequency within the Fire DBS Check Update report.</w:t>
            </w:r>
          </w:p>
          <w:p w14:paraId="19818B1D" w14:textId="716ABFFF"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We reviewed the three most recent Fire DBS Ch</w:t>
            </w:r>
            <w:r>
              <w:rPr>
                <w:rFonts w:asciiTheme="minorHAnsi" w:hAnsiTheme="minorHAnsi" w:cstheme="minorHAnsi"/>
                <w:color w:val="464B4B"/>
              </w:rPr>
              <w:t xml:space="preserve">eck Update reports (21/05/2024, </w:t>
            </w:r>
            <w:r w:rsidRPr="004373BA">
              <w:rPr>
                <w:rFonts w:asciiTheme="minorHAnsi" w:hAnsiTheme="minorHAnsi" w:cstheme="minorHAnsi"/>
                <w:color w:val="464B4B"/>
              </w:rPr>
              <w:t>19/06/2024, 17/07/2024) in order to confirm whethe</w:t>
            </w:r>
            <w:r>
              <w:rPr>
                <w:rFonts w:asciiTheme="minorHAnsi" w:hAnsiTheme="minorHAnsi" w:cstheme="minorHAnsi"/>
                <w:color w:val="464B4B"/>
              </w:rPr>
              <w:t xml:space="preserve">r each possessed an appropriate </w:t>
            </w:r>
            <w:r w:rsidRPr="004373BA">
              <w:rPr>
                <w:rFonts w:asciiTheme="minorHAnsi" w:hAnsiTheme="minorHAnsi" w:cstheme="minorHAnsi"/>
                <w:color w:val="464B4B"/>
              </w:rPr>
              <w:t>level of detail to allow the SLT to effectively monitor DBS Performance.</w:t>
            </w:r>
            <w:r w:rsidR="00F257A3">
              <w:rPr>
                <w:rFonts w:asciiTheme="minorHAnsi" w:hAnsiTheme="minorHAnsi" w:cstheme="minorHAnsi"/>
                <w:color w:val="464B4B"/>
              </w:rPr>
              <w:t xml:space="preserve"> </w:t>
            </w:r>
            <w:r w:rsidRPr="004373BA">
              <w:rPr>
                <w:rFonts w:asciiTheme="minorHAnsi" w:hAnsiTheme="minorHAnsi" w:cstheme="minorHAnsi"/>
                <w:color w:val="464B4B"/>
              </w:rPr>
              <w:t>We noted that each report did not include performance metrics outlining process times</w:t>
            </w:r>
            <w:r w:rsidR="00F257A3">
              <w:rPr>
                <w:rFonts w:asciiTheme="minorHAnsi" w:hAnsiTheme="minorHAnsi" w:cstheme="minorHAnsi"/>
                <w:color w:val="464B4B"/>
              </w:rPr>
              <w:t xml:space="preserve"> </w:t>
            </w:r>
            <w:r w:rsidRPr="004373BA">
              <w:rPr>
                <w:rFonts w:asciiTheme="minorHAnsi" w:hAnsiTheme="minorHAnsi" w:cstheme="minorHAnsi"/>
                <w:color w:val="464B4B"/>
              </w:rPr>
              <w:t>for DBS requests as well as tracking of DBS requests that are</w:t>
            </w:r>
            <w:r>
              <w:rPr>
                <w:rFonts w:asciiTheme="minorHAnsi" w:hAnsiTheme="minorHAnsi" w:cstheme="minorHAnsi"/>
                <w:color w:val="464B4B"/>
              </w:rPr>
              <w:t xml:space="preserve"> nearing / have reached </w:t>
            </w:r>
            <w:r w:rsidRPr="004373BA">
              <w:rPr>
                <w:rFonts w:asciiTheme="minorHAnsi" w:hAnsiTheme="minorHAnsi" w:cstheme="minorHAnsi"/>
                <w:color w:val="464B4B"/>
              </w:rPr>
              <w:t>the end of the three-year period.</w:t>
            </w:r>
          </w:p>
          <w:p w14:paraId="35C224A2" w14:textId="7985EDF1"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In order to effectively monitor DBS performance, it w</w:t>
            </w:r>
            <w:r>
              <w:rPr>
                <w:rFonts w:asciiTheme="minorHAnsi" w:hAnsiTheme="minorHAnsi" w:cstheme="minorHAnsi"/>
                <w:color w:val="464B4B"/>
              </w:rPr>
              <w:t xml:space="preserve">ould be beneficial for the Fire </w:t>
            </w:r>
            <w:r w:rsidRPr="004373BA">
              <w:rPr>
                <w:rFonts w:asciiTheme="minorHAnsi" w:hAnsiTheme="minorHAnsi" w:cstheme="minorHAnsi"/>
                <w:color w:val="464B4B"/>
              </w:rPr>
              <w:t>DBS Check Update report to include these performance</w:t>
            </w:r>
            <w:r>
              <w:rPr>
                <w:rFonts w:asciiTheme="minorHAnsi" w:hAnsiTheme="minorHAnsi" w:cstheme="minorHAnsi"/>
                <w:color w:val="464B4B"/>
              </w:rPr>
              <w:t xml:space="preserve"> indicators. This would provide </w:t>
            </w:r>
            <w:r w:rsidRPr="004373BA">
              <w:rPr>
                <w:rFonts w:asciiTheme="minorHAnsi" w:hAnsiTheme="minorHAnsi" w:cstheme="minorHAnsi"/>
                <w:color w:val="464B4B"/>
              </w:rPr>
              <w:t>the SLT with a more complete picture of the DBS process and allow them to make</w:t>
            </w:r>
            <w:r w:rsidR="00F257A3">
              <w:rPr>
                <w:rFonts w:asciiTheme="minorHAnsi" w:hAnsiTheme="minorHAnsi" w:cstheme="minorHAnsi"/>
                <w:color w:val="464B4B"/>
              </w:rPr>
              <w:t xml:space="preserve"> </w:t>
            </w:r>
            <w:r w:rsidRPr="004373BA">
              <w:rPr>
                <w:rFonts w:asciiTheme="minorHAnsi" w:hAnsiTheme="minorHAnsi" w:cstheme="minorHAnsi"/>
                <w:color w:val="464B4B"/>
              </w:rPr>
              <w:t>more informed decisions.</w:t>
            </w:r>
          </w:p>
          <w:p w14:paraId="11FFAEDA" w14:textId="41F66C1E" w:rsidR="004F314E"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b/>
                <w:bCs/>
                <w:color w:val="464B4B"/>
              </w:rPr>
              <w:t xml:space="preserve">Risk and Impact: </w:t>
            </w:r>
            <w:r w:rsidRPr="004373BA">
              <w:rPr>
                <w:rFonts w:asciiTheme="minorHAnsi" w:hAnsiTheme="minorHAnsi" w:cstheme="minorHAnsi"/>
                <w:color w:val="464B4B"/>
              </w:rPr>
              <w:t>Incomplete performance reporting ma</w:t>
            </w:r>
            <w:r>
              <w:rPr>
                <w:rFonts w:asciiTheme="minorHAnsi" w:hAnsiTheme="minorHAnsi" w:cstheme="minorHAnsi"/>
                <w:color w:val="464B4B"/>
              </w:rPr>
              <w:t xml:space="preserve">y lead to potential blind spots </w:t>
            </w:r>
            <w:r w:rsidRPr="004373BA">
              <w:rPr>
                <w:rFonts w:asciiTheme="minorHAnsi" w:hAnsiTheme="minorHAnsi" w:cstheme="minorHAnsi"/>
                <w:color w:val="464B4B"/>
              </w:rPr>
              <w:t>in the SLT’s understanding of the DBS process, negatively impacting decision making</w:t>
            </w:r>
            <w:r>
              <w:rPr>
                <w:rFonts w:asciiTheme="minorHAnsi" w:hAnsiTheme="minorHAnsi" w:cstheme="minorHAnsi"/>
                <w:color w:val="464B4B"/>
              </w:rPr>
              <w:t xml:space="preserve"> </w:t>
            </w:r>
            <w:r w:rsidRPr="004373BA">
              <w:rPr>
                <w:rFonts w:asciiTheme="minorHAnsi" w:hAnsiTheme="minorHAnsi" w:cstheme="minorHAnsi"/>
                <w:color w:val="464B4B"/>
              </w:rPr>
              <w:t>and risk management.</w:t>
            </w:r>
          </w:p>
        </w:tc>
        <w:tc>
          <w:tcPr>
            <w:tcW w:w="2549" w:type="dxa"/>
          </w:tcPr>
          <w:p w14:paraId="6190B857" w14:textId="4919B7FF"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The Service should ensure that there is regular reporting of</w:t>
            </w:r>
            <w:r w:rsidR="00F257A3">
              <w:rPr>
                <w:rFonts w:asciiTheme="minorHAnsi" w:hAnsiTheme="minorHAnsi" w:cstheme="minorHAnsi"/>
                <w:color w:val="464B4B"/>
              </w:rPr>
              <w:t xml:space="preserve"> </w:t>
            </w:r>
            <w:r w:rsidRPr="004373BA">
              <w:rPr>
                <w:rFonts w:asciiTheme="minorHAnsi" w:hAnsiTheme="minorHAnsi" w:cstheme="minorHAnsi"/>
                <w:color w:val="464B4B"/>
              </w:rPr>
              <w:t>performance indicators that cover processing times for DBS</w:t>
            </w:r>
            <w:r w:rsidR="00F257A3">
              <w:rPr>
                <w:rFonts w:asciiTheme="minorHAnsi" w:hAnsiTheme="minorHAnsi" w:cstheme="minorHAnsi"/>
                <w:color w:val="464B4B"/>
              </w:rPr>
              <w:t xml:space="preserve"> </w:t>
            </w:r>
            <w:r w:rsidRPr="004373BA">
              <w:rPr>
                <w:rFonts w:asciiTheme="minorHAnsi" w:hAnsiTheme="minorHAnsi" w:cstheme="minorHAnsi"/>
                <w:color w:val="464B4B"/>
              </w:rPr>
              <w:t xml:space="preserve">requests and provide an overview </w:t>
            </w:r>
            <w:r>
              <w:rPr>
                <w:rFonts w:asciiTheme="minorHAnsi" w:hAnsiTheme="minorHAnsi" w:cstheme="minorHAnsi"/>
                <w:color w:val="464B4B"/>
              </w:rPr>
              <w:t xml:space="preserve">of DBS’s close to / requiring a </w:t>
            </w:r>
            <w:r w:rsidRPr="004373BA">
              <w:rPr>
                <w:rFonts w:asciiTheme="minorHAnsi" w:hAnsiTheme="minorHAnsi" w:cstheme="minorHAnsi"/>
                <w:color w:val="464B4B"/>
              </w:rPr>
              <w:t>re-check such as the following:</w:t>
            </w:r>
          </w:p>
          <w:p w14:paraId="07FCBEE5" w14:textId="1F7A3839" w:rsidR="004373BA" w:rsidRPr="004373BA" w:rsidRDefault="004373BA" w:rsidP="004373BA">
            <w:pPr>
              <w:pStyle w:val="ListParagraph"/>
              <w:numPr>
                <w:ilvl w:val="0"/>
                <w:numId w:val="27"/>
              </w:numPr>
              <w:autoSpaceDE w:val="0"/>
              <w:autoSpaceDN w:val="0"/>
              <w:adjustRightInd w:val="0"/>
              <w:ind w:left="360"/>
              <w:rPr>
                <w:rFonts w:asciiTheme="minorHAnsi" w:hAnsiTheme="minorHAnsi" w:cstheme="minorHAnsi"/>
                <w:color w:val="464B4B"/>
              </w:rPr>
            </w:pPr>
            <w:r w:rsidRPr="004373BA">
              <w:rPr>
                <w:rFonts w:asciiTheme="minorHAnsi" w:hAnsiTheme="minorHAnsi" w:cstheme="minorHAnsi"/>
                <w:color w:val="464B4B"/>
              </w:rPr>
              <w:t>Average time taken to process a DBS check.</w:t>
            </w:r>
          </w:p>
          <w:p w14:paraId="165BEA5B" w14:textId="4D8AA81C" w:rsidR="004373BA" w:rsidRPr="004373BA" w:rsidRDefault="004373BA" w:rsidP="004373BA">
            <w:pPr>
              <w:pStyle w:val="ListParagraph"/>
              <w:numPr>
                <w:ilvl w:val="0"/>
                <w:numId w:val="27"/>
              </w:numPr>
              <w:autoSpaceDE w:val="0"/>
              <w:autoSpaceDN w:val="0"/>
              <w:adjustRightInd w:val="0"/>
              <w:ind w:left="360"/>
              <w:rPr>
                <w:rFonts w:asciiTheme="minorHAnsi" w:hAnsiTheme="minorHAnsi" w:cstheme="minorHAnsi"/>
                <w:color w:val="464B4B"/>
              </w:rPr>
            </w:pPr>
            <w:r w:rsidRPr="004373BA">
              <w:rPr>
                <w:rFonts w:asciiTheme="minorHAnsi" w:hAnsiTheme="minorHAnsi" w:cstheme="minorHAnsi"/>
                <w:color w:val="464B4B"/>
              </w:rPr>
              <w:t>Number / % of DBS checks that require a re-check in less</w:t>
            </w:r>
            <w:r>
              <w:rPr>
                <w:rFonts w:asciiTheme="minorHAnsi" w:hAnsiTheme="minorHAnsi" w:cstheme="minorHAnsi"/>
                <w:color w:val="464B4B"/>
              </w:rPr>
              <w:t xml:space="preserve"> </w:t>
            </w:r>
            <w:r w:rsidRPr="004373BA">
              <w:rPr>
                <w:rFonts w:asciiTheme="minorHAnsi" w:hAnsiTheme="minorHAnsi" w:cstheme="minorHAnsi"/>
                <w:color w:val="464B4B"/>
              </w:rPr>
              <w:t>than a month.</w:t>
            </w:r>
          </w:p>
          <w:p w14:paraId="18E3AF46" w14:textId="257D7474" w:rsidR="004F314E" w:rsidRPr="004373BA" w:rsidRDefault="004373BA" w:rsidP="004373BA">
            <w:pPr>
              <w:pStyle w:val="ListParagraph"/>
              <w:numPr>
                <w:ilvl w:val="0"/>
                <w:numId w:val="27"/>
              </w:numPr>
              <w:ind w:left="360"/>
              <w:rPr>
                <w:rFonts w:asciiTheme="minorHAnsi" w:hAnsiTheme="minorHAnsi" w:cstheme="minorHAnsi"/>
              </w:rPr>
            </w:pPr>
            <w:r w:rsidRPr="004373BA">
              <w:rPr>
                <w:rFonts w:asciiTheme="minorHAnsi" w:hAnsiTheme="minorHAnsi" w:cstheme="minorHAnsi"/>
                <w:color w:val="464B4B"/>
              </w:rPr>
              <w:t>Number / % of DBS checks requiring a re-check.</w:t>
            </w:r>
          </w:p>
        </w:tc>
        <w:tc>
          <w:tcPr>
            <w:tcW w:w="889" w:type="dxa"/>
            <w:shd w:val="clear" w:color="auto" w:fill="92D050"/>
          </w:tcPr>
          <w:p w14:paraId="71C7CE3E" w14:textId="11C085E3" w:rsidR="004F314E" w:rsidRPr="00D05F06" w:rsidRDefault="004373BA" w:rsidP="007A7F18">
            <w:pPr>
              <w:jc w:val="center"/>
              <w:rPr>
                <w:rFonts w:ascii="Calibri" w:hAnsi="Calibri" w:cs="Calibri"/>
                <w:b/>
              </w:rPr>
            </w:pPr>
            <w:r>
              <w:rPr>
                <w:rFonts w:ascii="Calibri" w:hAnsi="Calibri" w:cs="Calibri"/>
                <w:b/>
              </w:rPr>
              <w:t>Low</w:t>
            </w:r>
          </w:p>
        </w:tc>
        <w:tc>
          <w:tcPr>
            <w:tcW w:w="2940" w:type="dxa"/>
          </w:tcPr>
          <w:p w14:paraId="4EA1CA84" w14:textId="77777777" w:rsidR="004373BA" w:rsidRPr="004373BA" w:rsidRDefault="004373BA" w:rsidP="004373BA">
            <w:pPr>
              <w:autoSpaceDE w:val="0"/>
              <w:autoSpaceDN w:val="0"/>
              <w:adjustRightInd w:val="0"/>
              <w:rPr>
                <w:rFonts w:asciiTheme="minorHAnsi" w:hAnsiTheme="minorHAnsi" w:cstheme="minorHAnsi"/>
                <w:color w:val="464B4B"/>
              </w:rPr>
            </w:pPr>
            <w:r w:rsidRPr="004373BA">
              <w:rPr>
                <w:rFonts w:asciiTheme="minorHAnsi" w:hAnsiTheme="minorHAnsi" w:cstheme="minorHAnsi"/>
                <w:color w:val="464B4B"/>
              </w:rPr>
              <w:t>Regular reporting of DBS checks by HR can be added to the Safeguarding Management Group agenda, this group has oversight of Safeguarding within</w:t>
            </w:r>
          </w:p>
          <w:p w14:paraId="3279BBE5" w14:textId="77777777" w:rsidR="004F314E" w:rsidRDefault="004373BA" w:rsidP="004373BA">
            <w:pPr>
              <w:pStyle w:val="Default"/>
              <w:rPr>
                <w:rFonts w:asciiTheme="minorHAnsi" w:hAnsiTheme="minorHAnsi" w:cstheme="minorHAnsi"/>
                <w:color w:val="464B4B"/>
                <w:sz w:val="22"/>
                <w:szCs w:val="22"/>
              </w:rPr>
            </w:pPr>
            <w:r w:rsidRPr="004373BA">
              <w:rPr>
                <w:rFonts w:asciiTheme="minorHAnsi" w:hAnsiTheme="minorHAnsi" w:cstheme="minorHAnsi"/>
                <w:color w:val="464B4B"/>
                <w:sz w:val="22"/>
                <w:szCs w:val="22"/>
              </w:rPr>
              <w:t>NFRS and has cross departmental representation.</w:t>
            </w:r>
          </w:p>
          <w:p w14:paraId="69E6069A" w14:textId="77777777" w:rsidR="008709FC" w:rsidRDefault="008709FC" w:rsidP="004373BA">
            <w:pPr>
              <w:pStyle w:val="Default"/>
              <w:rPr>
                <w:rFonts w:cstheme="minorHAnsi"/>
                <w:bCs/>
                <w:color w:val="464B4B"/>
                <w:sz w:val="22"/>
                <w:szCs w:val="22"/>
              </w:rPr>
            </w:pPr>
            <w:r w:rsidRPr="008709FC">
              <w:rPr>
                <w:rFonts w:cstheme="minorHAnsi"/>
                <w:b/>
                <w:color w:val="464B4B"/>
                <w:sz w:val="22"/>
                <w:szCs w:val="22"/>
              </w:rPr>
              <w:t>20.11.24</w:t>
            </w:r>
            <w:r>
              <w:rPr>
                <w:rFonts w:cstheme="minorHAnsi"/>
                <w:b/>
                <w:color w:val="464B4B"/>
                <w:sz w:val="22"/>
                <w:szCs w:val="22"/>
              </w:rPr>
              <w:t xml:space="preserve"> </w:t>
            </w:r>
            <w:r w:rsidRPr="008709FC">
              <w:rPr>
                <w:rFonts w:cstheme="minorHAnsi"/>
                <w:bCs/>
                <w:color w:val="464B4B"/>
                <w:sz w:val="22"/>
                <w:szCs w:val="22"/>
              </w:rPr>
              <w:t>update. O</w:t>
            </w:r>
            <w:r>
              <w:rPr>
                <w:rFonts w:cstheme="minorHAnsi"/>
                <w:bCs/>
                <w:color w:val="464B4B"/>
                <w:sz w:val="22"/>
                <w:szCs w:val="22"/>
              </w:rPr>
              <w:t>n</w:t>
            </w:r>
            <w:r w:rsidRPr="008709FC">
              <w:rPr>
                <w:rFonts w:cstheme="minorHAnsi"/>
                <w:bCs/>
                <w:color w:val="464B4B"/>
                <w:sz w:val="22"/>
                <w:szCs w:val="22"/>
              </w:rPr>
              <w:t xml:space="preserve"> track</w:t>
            </w:r>
            <w:r>
              <w:rPr>
                <w:rFonts w:cstheme="minorHAnsi"/>
                <w:b/>
                <w:color w:val="464B4B"/>
                <w:sz w:val="22"/>
                <w:szCs w:val="22"/>
              </w:rPr>
              <w:t xml:space="preserve"> </w:t>
            </w:r>
            <w:r w:rsidRPr="008709FC">
              <w:rPr>
                <w:rFonts w:cstheme="minorHAnsi"/>
                <w:bCs/>
                <w:color w:val="464B4B"/>
                <w:sz w:val="22"/>
                <w:szCs w:val="22"/>
              </w:rPr>
              <w:t>for completion by end of Dec 2024</w:t>
            </w:r>
          </w:p>
          <w:p w14:paraId="19401B1C" w14:textId="34200451" w:rsidR="003D08FB" w:rsidRPr="008709FC" w:rsidRDefault="003D08FB" w:rsidP="004373BA">
            <w:pPr>
              <w:pStyle w:val="Default"/>
              <w:rPr>
                <w:b/>
                <w:sz w:val="22"/>
                <w:szCs w:val="22"/>
              </w:rPr>
            </w:pPr>
            <w:r w:rsidRPr="003D08FB">
              <w:rPr>
                <w:rFonts w:cstheme="minorHAnsi"/>
                <w:b/>
                <w:bCs/>
                <w:color w:val="464B4B"/>
                <w:sz w:val="22"/>
                <w:szCs w:val="22"/>
              </w:rPr>
              <w:t>24.1.25</w:t>
            </w:r>
            <w:r>
              <w:rPr>
                <w:rFonts w:cstheme="minorHAnsi"/>
                <w:bCs/>
                <w:color w:val="464B4B"/>
                <w:sz w:val="22"/>
                <w:szCs w:val="22"/>
              </w:rPr>
              <w:t xml:space="preserve"> LB update - </w:t>
            </w:r>
            <w:r w:rsidRPr="003D08FB">
              <w:rPr>
                <w:sz w:val="22"/>
                <w:szCs w:val="22"/>
              </w:rPr>
              <w:t>metrics have been agreed with HR colleagues and we received our first reporting into S</w:t>
            </w:r>
            <w:r>
              <w:rPr>
                <w:sz w:val="22"/>
                <w:szCs w:val="22"/>
              </w:rPr>
              <w:t>MG. This will continue as BAU.</w:t>
            </w:r>
          </w:p>
        </w:tc>
        <w:tc>
          <w:tcPr>
            <w:tcW w:w="1420" w:type="dxa"/>
          </w:tcPr>
          <w:p w14:paraId="6088096C" w14:textId="77777777" w:rsidR="004F314E" w:rsidRDefault="004373BA" w:rsidP="007A7F18">
            <w:pPr>
              <w:pStyle w:val="Default"/>
              <w:rPr>
                <w:color w:val="000000" w:themeColor="text1"/>
                <w:sz w:val="22"/>
                <w:szCs w:val="22"/>
              </w:rPr>
            </w:pPr>
            <w:r>
              <w:rPr>
                <w:color w:val="000000" w:themeColor="text1"/>
                <w:sz w:val="22"/>
                <w:szCs w:val="22"/>
              </w:rPr>
              <w:t>Lisa Bryan</w:t>
            </w:r>
          </w:p>
          <w:p w14:paraId="386B1247" w14:textId="77777777" w:rsidR="004373BA" w:rsidRDefault="004373BA" w:rsidP="007A7F18">
            <w:pPr>
              <w:pStyle w:val="Default"/>
              <w:rPr>
                <w:color w:val="000000" w:themeColor="text1"/>
                <w:sz w:val="22"/>
                <w:szCs w:val="22"/>
              </w:rPr>
            </w:pPr>
          </w:p>
          <w:p w14:paraId="6159907D" w14:textId="77777777" w:rsidR="004373BA" w:rsidRDefault="004373BA" w:rsidP="007A7F18">
            <w:pPr>
              <w:pStyle w:val="Default"/>
              <w:rPr>
                <w:color w:val="000000" w:themeColor="text1"/>
                <w:sz w:val="22"/>
                <w:szCs w:val="22"/>
              </w:rPr>
            </w:pPr>
            <w:r>
              <w:rPr>
                <w:color w:val="000000" w:themeColor="text1"/>
                <w:sz w:val="22"/>
                <w:szCs w:val="22"/>
              </w:rPr>
              <w:t>31</w:t>
            </w:r>
            <w:r w:rsidRPr="004373BA">
              <w:rPr>
                <w:color w:val="000000" w:themeColor="text1"/>
                <w:sz w:val="22"/>
                <w:szCs w:val="22"/>
                <w:vertAlign w:val="superscript"/>
              </w:rPr>
              <w:t>st</w:t>
            </w:r>
            <w:r>
              <w:rPr>
                <w:color w:val="000000" w:themeColor="text1"/>
                <w:sz w:val="22"/>
                <w:szCs w:val="22"/>
              </w:rPr>
              <w:t xml:space="preserve"> Dec 2024</w:t>
            </w:r>
          </w:p>
          <w:p w14:paraId="25D3A877" w14:textId="77777777" w:rsidR="003D08FB" w:rsidRDefault="003D08FB" w:rsidP="007A7F18">
            <w:pPr>
              <w:pStyle w:val="Default"/>
              <w:rPr>
                <w:color w:val="000000" w:themeColor="text1"/>
                <w:sz w:val="22"/>
                <w:szCs w:val="22"/>
              </w:rPr>
            </w:pPr>
          </w:p>
          <w:p w14:paraId="4B5CBAF1" w14:textId="3FF901EA" w:rsidR="003D08FB" w:rsidRPr="00D05F06" w:rsidRDefault="003D08FB" w:rsidP="007A7F18">
            <w:pPr>
              <w:pStyle w:val="Default"/>
              <w:rPr>
                <w:color w:val="000000" w:themeColor="text1"/>
                <w:sz w:val="22"/>
                <w:szCs w:val="22"/>
              </w:rPr>
            </w:pPr>
            <w:r>
              <w:rPr>
                <w:color w:val="000000" w:themeColor="text1"/>
                <w:sz w:val="22"/>
                <w:szCs w:val="22"/>
              </w:rPr>
              <w:t>Completed</w:t>
            </w:r>
          </w:p>
        </w:tc>
        <w:tc>
          <w:tcPr>
            <w:tcW w:w="848" w:type="dxa"/>
            <w:shd w:val="clear" w:color="auto" w:fill="00B050"/>
          </w:tcPr>
          <w:p w14:paraId="3F7C8B1D" w14:textId="77777777" w:rsidR="004F314E" w:rsidRPr="005F5142" w:rsidRDefault="004F314E" w:rsidP="007A7F18">
            <w:pPr>
              <w:spacing w:line="276" w:lineRule="auto"/>
              <w:rPr>
                <w:rFonts w:asciiTheme="minorHAnsi" w:hAnsiTheme="minorHAnsi" w:cstheme="minorHAnsi"/>
                <w:b/>
                <w:color w:val="FF0000"/>
              </w:rPr>
            </w:pPr>
          </w:p>
        </w:tc>
      </w:tr>
    </w:tbl>
    <w:p w14:paraId="71596636" w14:textId="77777777" w:rsidR="00AA7CE5" w:rsidRDefault="00AA7CE5" w:rsidP="00421455">
      <w:pPr>
        <w:spacing w:after="200" w:line="276" w:lineRule="auto"/>
        <w:rPr>
          <w:rFonts w:cstheme="minorHAnsi"/>
          <w:b/>
          <w:bCs/>
          <w:color w:val="000000"/>
        </w:rPr>
      </w:pPr>
    </w:p>
    <w:p w14:paraId="6FDCA085" w14:textId="084C4756" w:rsidR="00421455" w:rsidRDefault="00421455" w:rsidP="00421455">
      <w:pPr>
        <w:spacing w:after="200" w:line="276" w:lineRule="auto"/>
        <w:rPr>
          <w:rFonts w:cstheme="minorHAnsi"/>
          <w:b/>
          <w:bCs/>
          <w:color w:val="000000"/>
        </w:rPr>
      </w:pPr>
      <w:r>
        <w:rPr>
          <w:rFonts w:cstheme="minorHAnsi"/>
          <w:b/>
          <w:bCs/>
          <w:color w:val="000000"/>
        </w:rPr>
        <w:lastRenderedPageBreak/>
        <w:t>Asset Management (Joint)</w:t>
      </w:r>
      <w:r w:rsidR="00EA229C">
        <w:rPr>
          <w:rFonts w:cstheme="minorHAnsi"/>
          <w:b/>
          <w:bCs/>
          <w:color w:val="000000"/>
        </w:rPr>
        <w:t xml:space="preserve"> </w:t>
      </w:r>
      <w:r>
        <w:rPr>
          <w:rFonts w:cstheme="minorHAnsi"/>
          <w:b/>
          <w:bCs/>
          <w:color w:val="000000"/>
        </w:rPr>
        <w:t>– October 2024</w:t>
      </w:r>
    </w:p>
    <w:tbl>
      <w:tblPr>
        <w:tblStyle w:val="TableGrid1"/>
        <w:tblW w:w="15309" w:type="dxa"/>
        <w:tblInd w:w="-572" w:type="dxa"/>
        <w:tblLook w:val="04A0" w:firstRow="1" w:lastRow="0" w:firstColumn="1" w:lastColumn="0" w:noHBand="0" w:noVBand="1"/>
      </w:tblPr>
      <w:tblGrid>
        <w:gridCol w:w="393"/>
        <w:gridCol w:w="6411"/>
        <w:gridCol w:w="2410"/>
        <w:gridCol w:w="992"/>
        <w:gridCol w:w="2775"/>
        <w:gridCol w:w="1481"/>
        <w:gridCol w:w="847"/>
      </w:tblGrid>
      <w:tr w:rsidR="00421455" w:rsidRPr="00291B4B" w14:paraId="1888976B" w14:textId="77777777" w:rsidTr="006D7AAC">
        <w:tc>
          <w:tcPr>
            <w:tcW w:w="393" w:type="dxa"/>
            <w:shd w:val="clear" w:color="auto" w:fill="632E9E"/>
          </w:tcPr>
          <w:p w14:paraId="6FE16255"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 xml:space="preserve">   </w:t>
            </w:r>
          </w:p>
        </w:tc>
        <w:tc>
          <w:tcPr>
            <w:tcW w:w="6411" w:type="dxa"/>
            <w:shd w:val="clear" w:color="auto" w:fill="632E9E"/>
          </w:tcPr>
          <w:p w14:paraId="34864E9E"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1F82C111"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76356F75"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Priority</w:t>
            </w:r>
          </w:p>
        </w:tc>
        <w:tc>
          <w:tcPr>
            <w:tcW w:w="2775" w:type="dxa"/>
            <w:shd w:val="clear" w:color="auto" w:fill="632E9E"/>
          </w:tcPr>
          <w:p w14:paraId="7B01C3E0"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Agreed Actions</w:t>
            </w:r>
          </w:p>
        </w:tc>
        <w:tc>
          <w:tcPr>
            <w:tcW w:w="1481" w:type="dxa"/>
            <w:shd w:val="clear" w:color="auto" w:fill="632E9E"/>
          </w:tcPr>
          <w:p w14:paraId="0DC469A1" w14:textId="77777777" w:rsidR="00421455" w:rsidRPr="00291B4B" w:rsidRDefault="00421455" w:rsidP="007A7F18">
            <w:pPr>
              <w:spacing w:line="276" w:lineRule="auto"/>
              <w:rPr>
                <w:b/>
                <w:color w:val="FFFFFF" w:themeColor="background1"/>
                <w:sz w:val="16"/>
                <w:szCs w:val="16"/>
              </w:rPr>
            </w:pPr>
            <w:r>
              <w:rPr>
                <w:b/>
                <w:color w:val="FFFFFF" w:themeColor="background1"/>
                <w:sz w:val="16"/>
                <w:szCs w:val="16"/>
              </w:rPr>
              <w:t>Timescale/ Responsibility</w:t>
            </w:r>
          </w:p>
        </w:tc>
        <w:tc>
          <w:tcPr>
            <w:tcW w:w="847" w:type="dxa"/>
            <w:shd w:val="clear" w:color="auto" w:fill="632E9E"/>
          </w:tcPr>
          <w:p w14:paraId="431505B4" w14:textId="77777777" w:rsidR="00421455" w:rsidRPr="00291B4B" w:rsidRDefault="00421455" w:rsidP="007A7F18">
            <w:pPr>
              <w:spacing w:line="276" w:lineRule="auto"/>
              <w:rPr>
                <w:b/>
                <w:color w:val="FFFFFF" w:themeColor="background1"/>
                <w:sz w:val="16"/>
                <w:szCs w:val="16"/>
              </w:rPr>
            </w:pPr>
            <w:r w:rsidRPr="00291B4B">
              <w:rPr>
                <w:b/>
                <w:color w:val="FFFFFF" w:themeColor="background1"/>
                <w:sz w:val="16"/>
                <w:szCs w:val="16"/>
              </w:rPr>
              <w:t>Status</w:t>
            </w:r>
          </w:p>
        </w:tc>
      </w:tr>
      <w:tr w:rsidR="000C279A" w:rsidRPr="005F5142" w14:paraId="62BE0E58" w14:textId="77777777" w:rsidTr="006D7AAC">
        <w:trPr>
          <w:trHeight w:val="844"/>
        </w:trPr>
        <w:tc>
          <w:tcPr>
            <w:tcW w:w="393" w:type="dxa"/>
            <w:tcMar>
              <w:left w:w="57" w:type="dxa"/>
              <w:right w:w="57" w:type="dxa"/>
            </w:tcMar>
          </w:tcPr>
          <w:p w14:paraId="4B25B338" w14:textId="42F4EC67" w:rsidR="00421455" w:rsidRPr="005F5142" w:rsidRDefault="00421455" w:rsidP="007A7F18">
            <w:pPr>
              <w:rPr>
                <w:rFonts w:asciiTheme="minorHAnsi" w:hAnsiTheme="minorHAnsi" w:cstheme="minorHAnsi"/>
                <w:b/>
              </w:rPr>
            </w:pPr>
            <w:r>
              <w:rPr>
                <w:rFonts w:asciiTheme="minorHAnsi" w:hAnsiTheme="minorHAnsi" w:cstheme="minorHAnsi"/>
                <w:b/>
              </w:rPr>
              <w:t>1</w:t>
            </w:r>
          </w:p>
        </w:tc>
        <w:tc>
          <w:tcPr>
            <w:tcW w:w="6411" w:type="dxa"/>
          </w:tcPr>
          <w:p w14:paraId="7ED561C4" w14:textId="77777777" w:rsidR="000C279A" w:rsidRPr="000C279A" w:rsidRDefault="000C279A" w:rsidP="000C279A">
            <w:pPr>
              <w:pStyle w:val="Default"/>
              <w:rPr>
                <w:sz w:val="22"/>
                <w:szCs w:val="22"/>
              </w:rPr>
            </w:pPr>
            <w:r w:rsidRPr="000C279A">
              <w:rPr>
                <w:b/>
                <w:bCs/>
                <w:sz w:val="22"/>
                <w:szCs w:val="22"/>
              </w:rPr>
              <w:t xml:space="preserve">Lack of Equipment Inventory Checks. </w:t>
            </w:r>
          </w:p>
          <w:p w14:paraId="2D5163D7" w14:textId="71B6F1FC" w:rsidR="000C279A" w:rsidRPr="000C279A" w:rsidRDefault="000C279A" w:rsidP="000C279A">
            <w:pPr>
              <w:pStyle w:val="Default"/>
              <w:rPr>
                <w:sz w:val="22"/>
                <w:szCs w:val="22"/>
              </w:rPr>
            </w:pPr>
            <w:r w:rsidRPr="000C279A">
              <w:rPr>
                <w:sz w:val="22"/>
                <w:szCs w:val="22"/>
              </w:rPr>
              <w:t xml:space="preserve">The Force and the Service should ensure that regular equipment inventories are taken to ensure operational readiness, to ensure that all the necessary equipment is available and in proper working conditions in preparation for an emergency. We noted that the Force does not operate a system which allows it to check the equipment that 'belongs' in a vehicle. We reviewed the 'Occupational Driving Policy’ and noted that it is the police officer’s responsibility to ensure that the appropriate equipment is held in the vehicle, which should be checked daily. We noted that there is no auditable trail that can be evidenced to show that equipment checks are being completed. </w:t>
            </w:r>
          </w:p>
          <w:p w14:paraId="1C9DF457" w14:textId="77777777" w:rsidR="000C279A" w:rsidRDefault="000C279A" w:rsidP="000C279A">
            <w:pPr>
              <w:pStyle w:val="Default"/>
              <w:rPr>
                <w:sz w:val="22"/>
                <w:szCs w:val="22"/>
              </w:rPr>
            </w:pPr>
            <w:r w:rsidRPr="000C279A">
              <w:rPr>
                <w:sz w:val="22"/>
                <w:szCs w:val="22"/>
              </w:rPr>
              <w:t>We reviewed a sample of 10 vehicles to ensure that the appropriate equipment was in the vehicle. We used the ‘Vehicle Safety Inspection and Equipment Checklist', and matched this to the relevant department to ensure that the correct equipment is carried on the vehicle. We were not able to inspect four vehicles as the vehicles were out, however for the other six we noted that three vehicles did not have the correct equipment</w:t>
            </w:r>
            <w:r>
              <w:rPr>
                <w:sz w:val="22"/>
                <w:szCs w:val="22"/>
              </w:rPr>
              <w:t xml:space="preserve">.  </w:t>
            </w:r>
            <w:r w:rsidRPr="000C279A">
              <w:rPr>
                <w:sz w:val="22"/>
                <w:szCs w:val="22"/>
              </w:rPr>
              <w:t xml:space="preserve">During our review of equipment management of the Service, we noted that barcodes for equipment are important in ensuring that the correct piece of equipment is checked out to the correct pump on the Redkite system. We identified that for five out of 57 pieces of equipment that was reviewed, there were no barcodes. </w:t>
            </w:r>
          </w:p>
          <w:p w14:paraId="4013CBC0" w14:textId="665577A9" w:rsidR="000C279A" w:rsidRPr="000C279A" w:rsidRDefault="000C279A" w:rsidP="000C279A">
            <w:pPr>
              <w:pStyle w:val="Default"/>
              <w:rPr>
                <w:sz w:val="22"/>
                <w:szCs w:val="22"/>
              </w:rPr>
            </w:pPr>
            <w:r w:rsidRPr="000C279A">
              <w:rPr>
                <w:sz w:val="22"/>
                <w:szCs w:val="22"/>
              </w:rPr>
              <w:t>After discussions with the firefighters, we noted that there is some difficulty in raising a defect in the redkite system if there i</w:t>
            </w:r>
            <w:r>
              <w:rPr>
                <w:sz w:val="22"/>
                <w:szCs w:val="22"/>
              </w:rPr>
              <w:t xml:space="preserve">s no barcode on the equipment. </w:t>
            </w:r>
            <w:r w:rsidRPr="000C279A">
              <w:rPr>
                <w:sz w:val="22"/>
                <w:szCs w:val="22"/>
              </w:rPr>
              <w:t xml:space="preserve">We noted that the full inventory checks of the pump should be carried out on a weekly basis, however we identified that weekly checks had not been noted on Redkite for four pumps and we could not confirm that weekly checks had been completed. </w:t>
            </w:r>
          </w:p>
          <w:p w14:paraId="173D7D09" w14:textId="1A6186B7" w:rsidR="00421455" w:rsidRPr="000C279A" w:rsidRDefault="000C279A" w:rsidP="000C279A">
            <w:pPr>
              <w:pStyle w:val="Default"/>
              <w:rPr>
                <w:sz w:val="22"/>
                <w:szCs w:val="22"/>
              </w:rPr>
            </w:pPr>
            <w:r w:rsidRPr="000C279A">
              <w:rPr>
                <w:b/>
                <w:bCs/>
                <w:sz w:val="22"/>
                <w:szCs w:val="22"/>
              </w:rPr>
              <w:t xml:space="preserve">Risk and Impact: </w:t>
            </w:r>
            <w:r w:rsidRPr="000C279A">
              <w:rPr>
                <w:sz w:val="22"/>
                <w:szCs w:val="22"/>
              </w:rPr>
              <w:t>Incorrect equipment may result in a lack of readiness in emergency situations.</w:t>
            </w:r>
          </w:p>
        </w:tc>
        <w:tc>
          <w:tcPr>
            <w:tcW w:w="2410" w:type="dxa"/>
          </w:tcPr>
          <w:p w14:paraId="75A461AA" w14:textId="5F6D92B2" w:rsidR="000C279A" w:rsidRPr="000C279A" w:rsidRDefault="000C279A" w:rsidP="000C279A">
            <w:pPr>
              <w:pStyle w:val="Default"/>
              <w:rPr>
                <w:rFonts w:asciiTheme="minorHAnsi" w:hAnsiTheme="minorHAnsi" w:cstheme="minorHAnsi"/>
                <w:color w:val="1F497D" w:themeColor="text2"/>
                <w:sz w:val="22"/>
                <w:szCs w:val="22"/>
              </w:rPr>
            </w:pPr>
            <w:r w:rsidRPr="000C279A">
              <w:rPr>
                <w:rFonts w:asciiTheme="minorHAnsi" w:hAnsiTheme="minorHAnsi" w:cstheme="minorHAnsi"/>
                <w:color w:val="1F497D" w:themeColor="text2"/>
                <w:sz w:val="22"/>
                <w:szCs w:val="22"/>
              </w:rPr>
              <w:t xml:space="preserve">The Force should ensure that inventory checks are carried out daily (or as suggested in the policy) and that an auditable trail is kept to evidence that inventory checks are completed. </w:t>
            </w:r>
          </w:p>
          <w:p w14:paraId="09A1ABA1" w14:textId="77777777" w:rsidR="000C279A" w:rsidRPr="000C279A" w:rsidRDefault="000C279A" w:rsidP="000C279A">
            <w:pPr>
              <w:pStyle w:val="Default"/>
              <w:rPr>
                <w:rFonts w:asciiTheme="minorHAnsi" w:hAnsiTheme="minorHAnsi" w:cstheme="minorHAnsi"/>
                <w:sz w:val="22"/>
                <w:szCs w:val="22"/>
              </w:rPr>
            </w:pPr>
          </w:p>
          <w:p w14:paraId="0EEC0D1F" w14:textId="4381B323" w:rsidR="00421455" w:rsidRPr="004373BA" w:rsidRDefault="000C279A" w:rsidP="000C279A">
            <w:pPr>
              <w:pStyle w:val="ListParagraph"/>
              <w:ind w:left="0"/>
              <w:rPr>
                <w:rFonts w:asciiTheme="minorHAnsi" w:hAnsiTheme="minorHAnsi" w:cstheme="minorHAnsi"/>
              </w:rPr>
            </w:pPr>
            <w:r w:rsidRPr="000C279A">
              <w:rPr>
                <w:rFonts w:asciiTheme="minorHAnsi" w:hAnsiTheme="minorHAnsi" w:cstheme="minorHAnsi"/>
                <w:color w:val="FF0000"/>
              </w:rPr>
              <w:t>The Service should ensure that all equipment is barcoded where appropriate to allow for effective and efficient inventory checks.</w:t>
            </w:r>
            <w:r w:rsidRPr="000C279A">
              <w:rPr>
                <w:color w:val="FF0000"/>
                <w:sz w:val="20"/>
                <w:szCs w:val="20"/>
              </w:rPr>
              <w:t xml:space="preserve"> </w:t>
            </w:r>
          </w:p>
        </w:tc>
        <w:tc>
          <w:tcPr>
            <w:tcW w:w="992" w:type="dxa"/>
            <w:shd w:val="clear" w:color="auto" w:fill="FFC000"/>
          </w:tcPr>
          <w:p w14:paraId="10C01B42" w14:textId="032FAB68" w:rsidR="00421455" w:rsidRPr="00D05F06" w:rsidRDefault="000C279A" w:rsidP="007A7F18">
            <w:pPr>
              <w:jc w:val="center"/>
              <w:rPr>
                <w:rFonts w:ascii="Calibri" w:hAnsi="Calibri" w:cs="Calibri"/>
                <w:b/>
              </w:rPr>
            </w:pPr>
            <w:r>
              <w:rPr>
                <w:rFonts w:ascii="Calibri" w:hAnsi="Calibri" w:cs="Calibri"/>
                <w:b/>
              </w:rPr>
              <w:t>Medium</w:t>
            </w:r>
          </w:p>
        </w:tc>
        <w:tc>
          <w:tcPr>
            <w:tcW w:w="2775" w:type="dxa"/>
          </w:tcPr>
          <w:p w14:paraId="03BC33F9" w14:textId="77777777" w:rsidR="000C279A" w:rsidRDefault="000C279A" w:rsidP="000C279A">
            <w:pPr>
              <w:pStyle w:val="Default"/>
              <w:rPr>
                <w:sz w:val="22"/>
                <w:szCs w:val="22"/>
              </w:rPr>
            </w:pPr>
            <w:r w:rsidRPr="000C279A">
              <w:rPr>
                <w:sz w:val="22"/>
                <w:szCs w:val="22"/>
              </w:rPr>
              <w:t xml:space="preserve">The organisations will need 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 </w:t>
            </w:r>
          </w:p>
          <w:p w14:paraId="7853E028" w14:textId="227BC714" w:rsidR="006D7AAC" w:rsidRPr="000C279A" w:rsidRDefault="00FD20D0" w:rsidP="000C279A">
            <w:pPr>
              <w:pStyle w:val="Default"/>
              <w:rPr>
                <w:sz w:val="22"/>
                <w:szCs w:val="22"/>
              </w:rPr>
            </w:pPr>
            <w:r>
              <w:rPr>
                <w:b/>
                <w:bCs/>
                <w:sz w:val="22"/>
                <w:szCs w:val="22"/>
              </w:rPr>
              <w:t>28/06/2025</w:t>
            </w:r>
            <w:r w:rsidR="006D7AAC">
              <w:rPr>
                <w:sz w:val="22"/>
                <w:szCs w:val="22"/>
              </w:rPr>
              <w:t xml:space="preserve"> LH update – In progress and on track.</w:t>
            </w:r>
          </w:p>
          <w:p w14:paraId="6BAC8B61" w14:textId="1FB9A6C8" w:rsidR="00421455" w:rsidRPr="000C279A" w:rsidRDefault="00421455" w:rsidP="007A7F18">
            <w:pPr>
              <w:pStyle w:val="Default"/>
              <w:rPr>
                <w:bCs/>
                <w:sz w:val="22"/>
                <w:szCs w:val="22"/>
              </w:rPr>
            </w:pPr>
          </w:p>
        </w:tc>
        <w:tc>
          <w:tcPr>
            <w:tcW w:w="1481" w:type="dxa"/>
          </w:tcPr>
          <w:p w14:paraId="6007241C" w14:textId="77777777" w:rsidR="00421455" w:rsidRDefault="000C279A" w:rsidP="007A7F18">
            <w:pPr>
              <w:pStyle w:val="Default"/>
              <w:rPr>
                <w:color w:val="000000" w:themeColor="text1"/>
                <w:sz w:val="22"/>
                <w:szCs w:val="22"/>
              </w:rPr>
            </w:pPr>
            <w:r>
              <w:rPr>
                <w:color w:val="000000" w:themeColor="text1"/>
                <w:sz w:val="22"/>
                <w:szCs w:val="22"/>
              </w:rPr>
              <w:t>Leanne Hanson</w:t>
            </w:r>
          </w:p>
          <w:p w14:paraId="037D137E" w14:textId="77777777" w:rsidR="000C279A" w:rsidRDefault="000C279A" w:rsidP="007A7F18">
            <w:pPr>
              <w:pStyle w:val="Default"/>
              <w:rPr>
                <w:color w:val="000000" w:themeColor="text1"/>
                <w:sz w:val="22"/>
                <w:szCs w:val="22"/>
              </w:rPr>
            </w:pPr>
          </w:p>
          <w:p w14:paraId="62673DF7" w14:textId="418EB43A" w:rsidR="000C279A" w:rsidRPr="00D05F06" w:rsidRDefault="000C279A" w:rsidP="007A7F18">
            <w:pPr>
              <w:pStyle w:val="Default"/>
              <w:rPr>
                <w:color w:val="000000" w:themeColor="text1"/>
                <w:sz w:val="22"/>
                <w:szCs w:val="22"/>
              </w:rPr>
            </w:pPr>
            <w:r>
              <w:rPr>
                <w:color w:val="000000" w:themeColor="text1"/>
                <w:sz w:val="22"/>
                <w:szCs w:val="22"/>
              </w:rPr>
              <w:t>30</w:t>
            </w:r>
            <w:r w:rsidRPr="000C279A">
              <w:rPr>
                <w:color w:val="000000" w:themeColor="text1"/>
                <w:sz w:val="22"/>
                <w:szCs w:val="22"/>
                <w:vertAlign w:val="superscript"/>
              </w:rPr>
              <w:t>th</w:t>
            </w:r>
            <w:r>
              <w:rPr>
                <w:color w:val="000000" w:themeColor="text1"/>
                <w:sz w:val="22"/>
                <w:szCs w:val="22"/>
              </w:rPr>
              <w:t xml:space="preserve"> Nov 2025</w:t>
            </w:r>
          </w:p>
        </w:tc>
        <w:tc>
          <w:tcPr>
            <w:tcW w:w="847" w:type="dxa"/>
            <w:shd w:val="clear" w:color="auto" w:fill="FFFF00"/>
          </w:tcPr>
          <w:p w14:paraId="2DC11136" w14:textId="77777777" w:rsidR="00421455" w:rsidRPr="005F5142" w:rsidRDefault="00421455" w:rsidP="007A7F18">
            <w:pPr>
              <w:spacing w:line="276" w:lineRule="auto"/>
              <w:rPr>
                <w:rFonts w:asciiTheme="minorHAnsi" w:hAnsiTheme="minorHAnsi" w:cstheme="minorHAnsi"/>
                <w:b/>
                <w:color w:val="FF0000"/>
              </w:rPr>
            </w:pPr>
          </w:p>
        </w:tc>
      </w:tr>
    </w:tbl>
    <w:p w14:paraId="2AEFEFEF" w14:textId="77777777" w:rsidR="00AA7CE5" w:rsidRDefault="00AA7CE5" w:rsidP="00EA229C">
      <w:pPr>
        <w:spacing w:after="200" w:line="276" w:lineRule="auto"/>
        <w:rPr>
          <w:rFonts w:cstheme="minorHAnsi"/>
          <w:b/>
          <w:bCs/>
          <w:color w:val="000000"/>
        </w:rPr>
      </w:pPr>
    </w:p>
    <w:p w14:paraId="2153EB65" w14:textId="0DB319C2" w:rsidR="00EA229C" w:rsidRDefault="00EA229C" w:rsidP="00EA229C">
      <w:pPr>
        <w:spacing w:after="200" w:line="276" w:lineRule="auto"/>
        <w:rPr>
          <w:rFonts w:cstheme="minorHAnsi"/>
          <w:b/>
          <w:bCs/>
          <w:color w:val="000000"/>
        </w:rPr>
      </w:pPr>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271"/>
        <w:gridCol w:w="2835"/>
        <w:gridCol w:w="1276"/>
        <w:gridCol w:w="3119"/>
        <w:gridCol w:w="1559"/>
        <w:gridCol w:w="850"/>
      </w:tblGrid>
      <w:tr w:rsidR="00EA229C" w:rsidRPr="00291B4B" w14:paraId="659D98B4" w14:textId="77777777" w:rsidTr="006D7AAC">
        <w:tc>
          <w:tcPr>
            <w:tcW w:w="399" w:type="dxa"/>
            <w:shd w:val="clear" w:color="auto" w:fill="632E9E"/>
          </w:tcPr>
          <w:p w14:paraId="58129CB3"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271" w:type="dxa"/>
            <w:shd w:val="clear" w:color="auto" w:fill="632E9E"/>
          </w:tcPr>
          <w:p w14:paraId="5D125A37"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241BCBFF"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1276" w:type="dxa"/>
            <w:shd w:val="clear" w:color="auto" w:fill="632E9E"/>
          </w:tcPr>
          <w:p w14:paraId="596DAB36"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119" w:type="dxa"/>
            <w:shd w:val="clear" w:color="auto" w:fill="632E9E"/>
          </w:tcPr>
          <w:p w14:paraId="5F4E0B96"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501F5295"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CAFF6D8"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2E5EBD95" w14:textId="77777777" w:rsidTr="006D7AAC">
        <w:trPr>
          <w:trHeight w:val="844"/>
        </w:trPr>
        <w:tc>
          <w:tcPr>
            <w:tcW w:w="399" w:type="dxa"/>
            <w:tcMar>
              <w:left w:w="57" w:type="dxa"/>
              <w:right w:w="57" w:type="dxa"/>
            </w:tcMar>
          </w:tcPr>
          <w:p w14:paraId="69F8223B" w14:textId="7AD21167" w:rsidR="00EA229C" w:rsidRPr="005F5142" w:rsidRDefault="00EA229C" w:rsidP="007A7F18">
            <w:pPr>
              <w:rPr>
                <w:rFonts w:asciiTheme="minorHAnsi" w:hAnsiTheme="minorHAnsi" w:cstheme="minorHAnsi"/>
                <w:b/>
              </w:rPr>
            </w:pPr>
            <w:r>
              <w:rPr>
                <w:rFonts w:asciiTheme="minorHAnsi" w:hAnsiTheme="minorHAnsi" w:cstheme="minorHAnsi"/>
                <w:b/>
              </w:rPr>
              <w:t>2</w:t>
            </w:r>
          </w:p>
        </w:tc>
        <w:tc>
          <w:tcPr>
            <w:tcW w:w="5271" w:type="dxa"/>
          </w:tcPr>
          <w:p w14:paraId="7423737A" w14:textId="77777777" w:rsidR="000C279A" w:rsidRPr="000C279A" w:rsidRDefault="000C279A" w:rsidP="000C279A">
            <w:pPr>
              <w:pStyle w:val="Default"/>
              <w:rPr>
                <w:b/>
                <w:sz w:val="22"/>
                <w:szCs w:val="22"/>
              </w:rPr>
            </w:pPr>
            <w:r w:rsidRPr="000C279A">
              <w:rPr>
                <w:b/>
                <w:sz w:val="22"/>
                <w:szCs w:val="22"/>
              </w:rPr>
              <w:t xml:space="preserve">Lack of updated policies and procedures.  </w:t>
            </w:r>
          </w:p>
          <w:p w14:paraId="50EA7EE2" w14:textId="77777777" w:rsidR="000C279A" w:rsidRPr="000C279A" w:rsidRDefault="000C279A" w:rsidP="000C279A">
            <w:pPr>
              <w:pStyle w:val="Default"/>
              <w:rPr>
                <w:sz w:val="22"/>
                <w:szCs w:val="22"/>
              </w:rPr>
            </w:pPr>
            <w:r w:rsidRPr="000C279A">
              <w:rPr>
                <w:sz w:val="22"/>
                <w:szCs w:val="22"/>
              </w:rPr>
              <w:t xml:space="preserve">An asset management policy and procedural document allows for resource optimisation, accountability, maintenance planning and ensuring equipment safety. </w:t>
            </w:r>
          </w:p>
          <w:p w14:paraId="4F128C2D" w14:textId="77777777" w:rsidR="000C279A" w:rsidRPr="000C279A" w:rsidRDefault="000C279A" w:rsidP="000C279A">
            <w:pPr>
              <w:pStyle w:val="Default"/>
              <w:rPr>
                <w:sz w:val="22"/>
                <w:szCs w:val="22"/>
              </w:rPr>
            </w:pPr>
            <w:r w:rsidRPr="000C279A">
              <w:rPr>
                <w:sz w:val="22"/>
                <w:szCs w:val="22"/>
              </w:rPr>
              <w:t xml:space="preserve">A review of policies, process and guidance documents highlighted that the Service’s Asset Management Guidance document was from March 2020 and did not appear to have been reviewed. </w:t>
            </w:r>
          </w:p>
          <w:p w14:paraId="15987FA7" w14:textId="77777777" w:rsidR="000C279A" w:rsidRPr="000C279A" w:rsidRDefault="000C279A" w:rsidP="000C279A">
            <w:pPr>
              <w:pStyle w:val="Default"/>
              <w:rPr>
                <w:sz w:val="22"/>
                <w:szCs w:val="22"/>
              </w:rPr>
            </w:pPr>
            <w:r w:rsidRPr="000C279A">
              <w:rPr>
                <w:sz w:val="22"/>
                <w:szCs w:val="22"/>
              </w:rPr>
              <w:t xml:space="preserve">Additionally, we were informed by the Head of Transport and Travel and the Chief Asset Officer that there were other policy and procedure documents that were currently out of date, and they are currently in the process of update and review. </w:t>
            </w:r>
          </w:p>
          <w:p w14:paraId="6F462066" w14:textId="6929ADAD" w:rsidR="00EA229C" w:rsidRPr="000C279A" w:rsidRDefault="000C279A" w:rsidP="000C279A">
            <w:pPr>
              <w:pStyle w:val="Default"/>
              <w:rPr>
                <w:b/>
                <w:sz w:val="22"/>
                <w:szCs w:val="22"/>
              </w:rPr>
            </w:pPr>
            <w:r w:rsidRPr="000C279A">
              <w:rPr>
                <w:b/>
                <w:bCs/>
                <w:sz w:val="22"/>
                <w:szCs w:val="22"/>
              </w:rPr>
              <w:t xml:space="preserve">Risk and Impact: </w:t>
            </w:r>
            <w:r w:rsidRPr="000C279A">
              <w:rPr>
                <w:sz w:val="22"/>
                <w:szCs w:val="22"/>
              </w:rPr>
              <w:t xml:space="preserve">The OPCC, Force and Service do not achieve their objectives regarding Fleet / Asset Management and more widely across medium/long term objectives. </w:t>
            </w:r>
          </w:p>
        </w:tc>
        <w:tc>
          <w:tcPr>
            <w:tcW w:w="2835" w:type="dxa"/>
          </w:tcPr>
          <w:p w14:paraId="3C4B5FAC" w14:textId="77777777" w:rsidR="000C279A" w:rsidRPr="000C279A" w:rsidRDefault="000C279A" w:rsidP="000C279A">
            <w:pPr>
              <w:pStyle w:val="Default"/>
              <w:rPr>
                <w:sz w:val="22"/>
                <w:szCs w:val="22"/>
              </w:rPr>
            </w:pPr>
            <w:r w:rsidRPr="000C279A">
              <w:rPr>
                <w:sz w:val="22"/>
                <w:szCs w:val="22"/>
              </w:rPr>
              <w:t xml:space="preserve">The Force and the Service should ensure that policy and procedural documents for Asset Management are updated and shared with the staff members, including the Service’s Asset Management Guidance document. </w:t>
            </w:r>
          </w:p>
          <w:p w14:paraId="7055E9A1" w14:textId="77777777" w:rsidR="00EA229C" w:rsidRPr="004373BA" w:rsidRDefault="00EA229C" w:rsidP="000C279A">
            <w:pPr>
              <w:pStyle w:val="ListParagraph"/>
              <w:ind w:left="0"/>
              <w:rPr>
                <w:rFonts w:asciiTheme="minorHAnsi" w:hAnsiTheme="minorHAnsi" w:cstheme="minorHAnsi"/>
              </w:rPr>
            </w:pPr>
          </w:p>
        </w:tc>
        <w:tc>
          <w:tcPr>
            <w:tcW w:w="1276" w:type="dxa"/>
            <w:shd w:val="clear" w:color="auto" w:fill="92D050"/>
          </w:tcPr>
          <w:p w14:paraId="2AF0BA01" w14:textId="11DA9591" w:rsidR="00EA229C" w:rsidRPr="00D05F06" w:rsidRDefault="000C279A" w:rsidP="007A7F18">
            <w:pPr>
              <w:jc w:val="center"/>
              <w:rPr>
                <w:rFonts w:ascii="Calibri" w:hAnsi="Calibri" w:cs="Calibri"/>
                <w:b/>
              </w:rPr>
            </w:pPr>
            <w:r>
              <w:rPr>
                <w:rFonts w:ascii="Calibri" w:hAnsi="Calibri" w:cs="Calibri"/>
                <w:b/>
              </w:rPr>
              <w:t>Low</w:t>
            </w:r>
          </w:p>
        </w:tc>
        <w:tc>
          <w:tcPr>
            <w:tcW w:w="3119" w:type="dxa"/>
          </w:tcPr>
          <w:p w14:paraId="4D8BB4BC" w14:textId="77777777" w:rsidR="000C279A" w:rsidRDefault="000C279A" w:rsidP="000C279A">
            <w:pPr>
              <w:pStyle w:val="Default"/>
              <w:rPr>
                <w:sz w:val="22"/>
                <w:szCs w:val="22"/>
              </w:rPr>
            </w:pPr>
            <w:r w:rsidRPr="000C279A">
              <w:rPr>
                <w:sz w:val="22"/>
                <w:szCs w:val="22"/>
              </w:rPr>
              <w:t xml:space="preserve">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 </w:t>
            </w:r>
          </w:p>
          <w:p w14:paraId="403C737F" w14:textId="06A56DE6" w:rsidR="006D7AAC" w:rsidRPr="000C279A" w:rsidRDefault="006D7AAC" w:rsidP="006D7AAC">
            <w:pPr>
              <w:pStyle w:val="Default"/>
              <w:rPr>
                <w:sz w:val="22"/>
                <w:szCs w:val="22"/>
              </w:rPr>
            </w:pPr>
            <w:r w:rsidRPr="006D7AAC">
              <w:rPr>
                <w:b/>
                <w:bCs/>
                <w:sz w:val="22"/>
                <w:szCs w:val="22"/>
              </w:rPr>
              <w:t>2</w:t>
            </w:r>
            <w:r w:rsidR="00BE65FD">
              <w:rPr>
                <w:b/>
                <w:bCs/>
                <w:sz w:val="22"/>
                <w:szCs w:val="22"/>
              </w:rPr>
              <w:t>8/06/2025</w:t>
            </w:r>
            <w:r>
              <w:rPr>
                <w:sz w:val="22"/>
                <w:szCs w:val="22"/>
              </w:rPr>
              <w:t>LH update – In progress and on track.</w:t>
            </w:r>
          </w:p>
          <w:p w14:paraId="35635EE6" w14:textId="77777777" w:rsidR="006D7AAC" w:rsidRPr="000C279A" w:rsidRDefault="006D7AAC" w:rsidP="000C279A">
            <w:pPr>
              <w:pStyle w:val="Default"/>
              <w:rPr>
                <w:sz w:val="22"/>
                <w:szCs w:val="22"/>
              </w:rPr>
            </w:pPr>
          </w:p>
          <w:p w14:paraId="701C7D38" w14:textId="77777777" w:rsidR="00EA229C" w:rsidRPr="00D05F06" w:rsidRDefault="00EA229C" w:rsidP="007A7F18">
            <w:pPr>
              <w:pStyle w:val="Default"/>
              <w:rPr>
                <w:bCs/>
                <w:sz w:val="22"/>
                <w:szCs w:val="22"/>
              </w:rPr>
            </w:pPr>
          </w:p>
        </w:tc>
        <w:tc>
          <w:tcPr>
            <w:tcW w:w="1559" w:type="dxa"/>
          </w:tcPr>
          <w:p w14:paraId="0B35CD38" w14:textId="77777777" w:rsidR="00EA229C" w:rsidRDefault="000C279A" w:rsidP="007A7F18">
            <w:pPr>
              <w:pStyle w:val="Default"/>
              <w:rPr>
                <w:color w:val="000000" w:themeColor="text1"/>
                <w:sz w:val="22"/>
                <w:szCs w:val="22"/>
              </w:rPr>
            </w:pPr>
            <w:r>
              <w:rPr>
                <w:color w:val="000000" w:themeColor="text1"/>
                <w:sz w:val="22"/>
                <w:szCs w:val="22"/>
              </w:rPr>
              <w:t>Leanne Hanson</w:t>
            </w:r>
          </w:p>
          <w:p w14:paraId="0FFCCAC7" w14:textId="3183951B" w:rsidR="000C279A" w:rsidRPr="00D05F06" w:rsidRDefault="000C279A" w:rsidP="007A7F18">
            <w:pPr>
              <w:pStyle w:val="Default"/>
              <w:rPr>
                <w:color w:val="000000" w:themeColor="text1"/>
                <w:sz w:val="22"/>
                <w:szCs w:val="22"/>
              </w:rPr>
            </w:pPr>
            <w:r>
              <w:rPr>
                <w:color w:val="000000" w:themeColor="text1"/>
                <w:sz w:val="22"/>
                <w:szCs w:val="22"/>
              </w:rPr>
              <w:t>30</w:t>
            </w:r>
            <w:r w:rsidRPr="000C279A">
              <w:rPr>
                <w:color w:val="000000" w:themeColor="text1"/>
                <w:sz w:val="22"/>
                <w:szCs w:val="22"/>
                <w:vertAlign w:val="superscript"/>
              </w:rPr>
              <w:t>th</w:t>
            </w:r>
            <w:r>
              <w:rPr>
                <w:color w:val="000000" w:themeColor="text1"/>
                <w:sz w:val="22"/>
                <w:szCs w:val="22"/>
              </w:rPr>
              <w:t xml:space="preserve"> Sept 2025</w:t>
            </w:r>
          </w:p>
        </w:tc>
        <w:tc>
          <w:tcPr>
            <w:tcW w:w="850" w:type="dxa"/>
            <w:shd w:val="clear" w:color="auto" w:fill="FFFF00"/>
          </w:tcPr>
          <w:p w14:paraId="6FFBEA77" w14:textId="77777777" w:rsidR="00EA229C" w:rsidRPr="005F5142" w:rsidRDefault="00EA229C" w:rsidP="007A7F18">
            <w:pPr>
              <w:spacing w:line="276" w:lineRule="auto"/>
              <w:rPr>
                <w:rFonts w:asciiTheme="minorHAnsi" w:hAnsiTheme="minorHAnsi" w:cstheme="minorHAnsi"/>
                <w:b/>
                <w:color w:val="FF0000"/>
              </w:rPr>
            </w:pPr>
          </w:p>
        </w:tc>
      </w:tr>
    </w:tbl>
    <w:p w14:paraId="2670546F" w14:textId="77777777" w:rsidR="00B04C2D" w:rsidRDefault="00B04C2D" w:rsidP="00FB30A6">
      <w:pPr>
        <w:spacing w:after="200" w:line="276" w:lineRule="auto"/>
        <w:rPr>
          <w:rFonts w:cstheme="minorHAnsi"/>
          <w:b/>
          <w:bCs/>
          <w:color w:val="000000"/>
        </w:rPr>
      </w:pPr>
    </w:p>
    <w:p w14:paraId="7CB38C7A" w14:textId="241D2D27" w:rsidR="00EA229C" w:rsidRDefault="00EA229C" w:rsidP="00FB30A6">
      <w:pPr>
        <w:spacing w:after="200" w:line="276" w:lineRule="auto"/>
        <w:rPr>
          <w:rFonts w:cstheme="minorHAnsi"/>
          <w:b/>
          <w:bCs/>
          <w:color w:val="000000"/>
        </w:rPr>
      </w:pPr>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130"/>
        <w:gridCol w:w="2835"/>
        <w:gridCol w:w="992"/>
        <w:gridCol w:w="3544"/>
        <w:gridCol w:w="1559"/>
        <w:gridCol w:w="850"/>
      </w:tblGrid>
      <w:tr w:rsidR="00EA229C" w:rsidRPr="00291B4B" w14:paraId="1E74AA33" w14:textId="77777777" w:rsidTr="008C0410">
        <w:tc>
          <w:tcPr>
            <w:tcW w:w="399" w:type="dxa"/>
            <w:shd w:val="clear" w:color="auto" w:fill="632E9E"/>
          </w:tcPr>
          <w:p w14:paraId="0587E699"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130" w:type="dxa"/>
            <w:shd w:val="clear" w:color="auto" w:fill="632E9E"/>
          </w:tcPr>
          <w:p w14:paraId="49A63B6C"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835" w:type="dxa"/>
            <w:shd w:val="clear" w:color="auto" w:fill="632E9E"/>
          </w:tcPr>
          <w:p w14:paraId="09426EC9"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54A0D29C"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38BC905A"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34FA92D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BDFA975"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0E1D336B" w14:textId="77777777" w:rsidTr="004063F2">
        <w:trPr>
          <w:trHeight w:val="844"/>
        </w:trPr>
        <w:tc>
          <w:tcPr>
            <w:tcW w:w="399" w:type="dxa"/>
            <w:tcMar>
              <w:left w:w="57" w:type="dxa"/>
              <w:right w:w="57" w:type="dxa"/>
            </w:tcMar>
          </w:tcPr>
          <w:p w14:paraId="7CB21EF2" w14:textId="1FB238B5" w:rsidR="00EA229C" w:rsidRPr="005F5142" w:rsidRDefault="008C0410" w:rsidP="007A7F18">
            <w:pPr>
              <w:rPr>
                <w:rFonts w:asciiTheme="minorHAnsi" w:hAnsiTheme="minorHAnsi" w:cstheme="minorHAnsi"/>
                <w:b/>
              </w:rPr>
            </w:pPr>
            <w:r>
              <w:rPr>
                <w:rFonts w:asciiTheme="minorHAnsi" w:hAnsiTheme="minorHAnsi" w:cstheme="minorHAnsi"/>
                <w:b/>
              </w:rPr>
              <w:t>3</w:t>
            </w:r>
          </w:p>
        </w:tc>
        <w:tc>
          <w:tcPr>
            <w:tcW w:w="5130" w:type="dxa"/>
          </w:tcPr>
          <w:p w14:paraId="18F4F7FB" w14:textId="77777777" w:rsidR="008C0410" w:rsidRPr="008C0410" w:rsidRDefault="008C0410" w:rsidP="008C0410">
            <w:pPr>
              <w:pStyle w:val="Default"/>
              <w:rPr>
                <w:rFonts w:asciiTheme="minorHAnsi" w:hAnsiTheme="minorHAnsi" w:cstheme="minorHAnsi"/>
                <w:sz w:val="22"/>
                <w:szCs w:val="22"/>
              </w:rPr>
            </w:pPr>
            <w:r w:rsidRPr="008C0410">
              <w:rPr>
                <w:rFonts w:asciiTheme="minorHAnsi" w:hAnsiTheme="minorHAnsi" w:cstheme="minorHAnsi"/>
                <w:b/>
                <w:bCs/>
                <w:sz w:val="22"/>
                <w:szCs w:val="22"/>
              </w:rPr>
              <w:t xml:space="preserve">Force – Lack of Equipment Testing. </w:t>
            </w:r>
          </w:p>
          <w:tbl>
            <w:tblPr>
              <w:tblW w:w="0" w:type="auto"/>
              <w:tblBorders>
                <w:top w:val="nil"/>
                <w:left w:val="nil"/>
                <w:bottom w:val="nil"/>
                <w:right w:val="nil"/>
              </w:tblBorders>
              <w:tblLook w:val="0000" w:firstRow="0" w:lastRow="0" w:firstColumn="0" w:lastColumn="0" w:noHBand="0" w:noVBand="0"/>
            </w:tblPr>
            <w:tblGrid>
              <w:gridCol w:w="4914"/>
            </w:tblGrid>
            <w:tr w:rsidR="008C0410" w:rsidRPr="008C0410" w14:paraId="469CAB52" w14:textId="77777777">
              <w:trPr>
                <w:trHeight w:val="1236"/>
              </w:trPr>
              <w:tc>
                <w:tcPr>
                  <w:tcW w:w="0" w:type="auto"/>
                </w:tcPr>
                <w:p w14:paraId="08DA1C72"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color w:val="000000"/>
                    </w:rPr>
                    <w:t xml:space="preserve">Equipment testing across the Force and the Service allows for operational readiness to ensure that vehicles and equipment are ready for duty in case of an emergency. </w:t>
                  </w:r>
                </w:p>
                <w:p w14:paraId="32820719"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color w:val="000000"/>
                    </w:rPr>
                    <w:t xml:space="preserve">We noted at the Force that equipment is 'tested' if required when the police officer does the </w:t>
                  </w:r>
                  <w:r w:rsidRPr="008C0410">
                    <w:rPr>
                      <w:rFonts w:asciiTheme="minorHAnsi" w:hAnsiTheme="minorHAnsi" w:cstheme="minorHAnsi"/>
                      <w:color w:val="000000"/>
                    </w:rPr>
                    <w:lastRenderedPageBreak/>
                    <w:t xml:space="preserve">equipment checks on the car, however we noted that there was no auditable trail for equipment checks therefore cannot confirm that the checks are happening daily as per the guidance in the 'Occupational Driving Policy'. </w:t>
                  </w:r>
                </w:p>
                <w:p w14:paraId="41572113" w14:textId="77777777" w:rsidR="008C0410" w:rsidRPr="008C0410" w:rsidRDefault="008C0410" w:rsidP="008C0410">
                  <w:pPr>
                    <w:autoSpaceDE w:val="0"/>
                    <w:autoSpaceDN w:val="0"/>
                    <w:adjustRightInd w:val="0"/>
                    <w:rPr>
                      <w:rFonts w:asciiTheme="minorHAnsi" w:hAnsiTheme="minorHAnsi" w:cstheme="minorHAnsi"/>
                      <w:color w:val="000000"/>
                    </w:rPr>
                  </w:pPr>
                  <w:r w:rsidRPr="008C0410">
                    <w:rPr>
                      <w:rFonts w:asciiTheme="minorHAnsi" w:hAnsiTheme="minorHAnsi" w:cstheme="minorHAnsi"/>
                      <w:b/>
                      <w:bCs/>
                      <w:color w:val="000000"/>
                    </w:rPr>
                    <w:t xml:space="preserve">Risk and Impact: </w:t>
                  </w:r>
                  <w:r w:rsidRPr="008C0410">
                    <w:rPr>
                      <w:rFonts w:asciiTheme="minorHAnsi" w:hAnsiTheme="minorHAnsi" w:cstheme="minorHAnsi"/>
                      <w:color w:val="000000"/>
                    </w:rPr>
                    <w:t xml:space="preserve">Lack of safe equipment may compromise The Force's ability to respond effectively in the event of an emergency. </w:t>
                  </w:r>
                </w:p>
              </w:tc>
            </w:tr>
          </w:tbl>
          <w:p w14:paraId="585A2180" w14:textId="03654554" w:rsidR="00EA229C" w:rsidRPr="004373BA" w:rsidRDefault="00EA229C" w:rsidP="007A7F18">
            <w:pPr>
              <w:autoSpaceDE w:val="0"/>
              <w:autoSpaceDN w:val="0"/>
              <w:adjustRightInd w:val="0"/>
              <w:rPr>
                <w:rFonts w:asciiTheme="minorHAnsi" w:hAnsiTheme="minorHAnsi" w:cstheme="minorHAnsi"/>
                <w:color w:val="464B4B"/>
              </w:rPr>
            </w:pPr>
          </w:p>
        </w:tc>
        <w:tc>
          <w:tcPr>
            <w:tcW w:w="2835" w:type="dxa"/>
          </w:tcPr>
          <w:p w14:paraId="423686A3" w14:textId="77777777" w:rsidR="008C0410" w:rsidRPr="008C0410" w:rsidRDefault="008C0410" w:rsidP="008C0410">
            <w:pPr>
              <w:pStyle w:val="Default"/>
              <w:rPr>
                <w:color w:val="1F497D" w:themeColor="text2"/>
                <w:sz w:val="22"/>
                <w:szCs w:val="22"/>
              </w:rPr>
            </w:pPr>
            <w:r w:rsidRPr="008C0410">
              <w:rPr>
                <w:color w:val="1F497D" w:themeColor="text2"/>
                <w:sz w:val="22"/>
                <w:szCs w:val="22"/>
              </w:rPr>
              <w:lastRenderedPageBreak/>
              <w:t xml:space="preserve">The Force should ensure that equipment testing is carried out where appropriate, and include guidance for officers within procedural documents, as well as keeping an audit trail of this. </w:t>
            </w:r>
          </w:p>
          <w:p w14:paraId="14C40172" w14:textId="5DF274C8" w:rsidR="00EA229C" w:rsidRPr="004373BA" w:rsidRDefault="00EA229C" w:rsidP="008C0410">
            <w:pPr>
              <w:pStyle w:val="ListParagraph"/>
              <w:ind w:left="0"/>
              <w:rPr>
                <w:rFonts w:asciiTheme="minorHAnsi" w:hAnsiTheme="minorHAnsi" w:cstheme="minorHAnsi"/>
              </w:rPr>
            </w:pPr>
          </w:p>
        </w:tc>
        <w:tc>
          <w:tcPr>
            <w:tcW w:w="992" w:type="dxa"/>
            <w:shd w:val="clear" w:color="auto" w:fill="92D050"/>
          </w:tcPr>
          <w:p w14:paraId="3E783301" w14:textId="22737937" w:rsidR="00EA229C" w:rsidRPr="00D05F06" w:rsidRDefault="008C0410" w:rsidP="007A7F18">
            <w:pPr>
              <w:jc w:val="center"/>
              <w:rPr>
                <w:rFonts w:ascii="Calibri" w:hAnsi="Calibri" w:cs="Calibri"/>
                <w:b/>
              </w:rPr>
            </w:pPr>
            <w:r>
              <w:rPr>
                <w:rFonts w:ascii="Calibri" w:hAnsi="Calibri" w:cs="Calibri"/>
                <w:b/>
              </w:rPr>
              <w:lastRenderedPageBreak/>
              <w:t>Low</w:t>
            </w:r>
          </w:p>
        </w:tc>
        <w:tc>
          <w:tcPr>
            <w:tcW w:w="3544" w:type="dxa"/>
          </w:tcPr>
          <w:p w14:paraId="21C9A4D1" w14:textId="77777777" w:rsidR="00EA229C" w:rsidRPr="008C0410" w:rsidRDefault="008C0410" w:rsidP="007A7F18">
            <w:pPr>
              <w:pStyle w:val="Default"/>
              <w:rPr>
                <w:rFonts w:asciiTheme="minorHAnsi" w:hAnsiTheme="minorHAnsi" w:cstheme="minorHAnsi"/>
                <w:b/>
                <w:sz w:val="22"/>
                <w:szCs w:val="22"/>
              </w:rPr>
            </w:pPr>
            <w:r w:rsidRPr="008C0410">
              <w:rPr>
                <w:rFonts w:asciiTheme="minorHAnsi" w:hAnsiTheme="minorHAnsi" w:cstheme="minorHAnsi"/>
                <w:b/>
                <w:sz w:val="22"/>
                <w:szCs w:val="22"/>
              </w:rPr>
              <w:t>Police only action</w:t>
            </w:r>
          </w:p>
          <w:p w14:paraId="60C7260D" w14:textId="77777777" w:rsidR="008C0410" w:rsidRDefault="008C0410" w:rsidP="008C0410">
            <w:pPr>
              <w:pStyle w:val="Default"/>
              <w:rPr>
                <w:sz w:val="22"/>
                <w:szCs w:val="22"/>
              </w:rPr>
            </w:pPr>
            <w:r w:rsidRPr="008C0410">
              <w:rPr>
                <w:sz w:val="22"/>
                <w:szCs w:val="22"/>
              </w:rPr>
              <w:t xml:space="preserve">The organisations will need to implement a new system to support the ongoing management and testing of the equipment within operational fleet. A project mandate shall now be submitted to support </w:t>
            </w:r>
            <w:r w:rsidRPr="008C0410">
              <w:rPr>
                <w:sz w:val="22"/>
                <w:szCs w:val="22"/>
              </w:rPr>
              <w:lastRenderedPageBreak/>
              <w:t xml:space="preserve">the commencement of a new programme of work to implement a new system. The timeline for delivery shall then be determined by the project portfolio capacity, the data cleansing and the procurement process. </w:t>
            </w:r>
          </w:p>
          <w:p w14:paraId="244976DF" w14:textId="2908F809" w:rsidR="008C0410" w:rsidRPr="006D7AAC" w:rsidRDefault="006D7AAC" w:rsidP="007A7F18">
            <w:pPr>
              <w:pStyle w:val="Default"/>
              <w:rPr>
                <w:sz w:val="22"/>
                <w:szCs w:val="22"/>
              </w:rPr>
            </w:pPr>
            <w:r w:rsidRPr="006D7AAC">
              <w:rPr>
                <w:b/>
                <w:bCs/>
                <w:sz w:val="22"/>
                <w:szCs w:val="22"/>
              </w:rPr>
              <w:t>2</w:t>
            </w:r>
            <w:r w:rsidR="00BE65FD">
              <w:rPr>
                <w:b/>
                <w:bCs/>
                <w:sz w:val="22"/>
                <w:szCs w:val="22"/>
              </w:rPr>
              <w:t>8/06/2025</w:t>
            </w:r>
            <w:r>
              <w:rPr>
                <w:sz w:val="22"/>
                <w:szCs w:val="22"/>
              </w:rPr>
              <w:t xml:space="preserve"> LH update – In progress and on track.</w:t>
            </w:r>
          </w:p>
        </w:tc>
        <w:tc>
          <w:tcPr>
            <w:tcW w:w="1559" w:type="dxa"/>
          </w:tcPr>
          <w:p w14:paraId="41974835" w14:textId="77777777" w:rsidR="00EA229C" w:rsidRDefault="008C0410" w:rsidP="007A7F18">
            <w:pPr>
              <w:pStyle w:val="Default"/>
              <w:rPr>
                <w:color w:val="000000" w:themeColor="text1"/>
                <w:sz w:val="22"/>
                <w:szCs w:val="22"/>
              </w:rPr>
            </w:pPr>
            <w:r>
              <w:rPr>
                <w:color w:val="000000" w:themeColor="text1"/>
                <w:sz w:val="22"/>
                <w:szCs w:val="22"/>
              </w:rPr>
              <w:lastRenderedPageBreak/>
              <w:t>Leanne Hanson</w:t>
            </w:r>
          </w:p>
          <w:p w14:paraId="316203C2" w14:textId="2D8F17DC" w:rsidR="008C0410" w:rsidRPr="00D05F06" w:rsidRDefault="008C0410" w:rsidP="007A7F18">
            <w:pPr>
              <w:pStyle w:val="Default"/>
              <w:rPr>
                <w:color w:val="000000" w:themeColor="text1"/>
                <w:sz w:val="22"/>
                <w:szCs w:val="22"/>
              </w:rPr>
            </w:pPr>
            <w:r>
              <w:rPr>
                <w:color w:val="000000" w:themeColor="text1"/>
                <w:sz w:val="22"/>
                <w:szCs w:val="22"/>
              </w:rPr>
              <w:t>31</w:t>
            </w:r>
            <w:r w:rsidRPr="008C0410">
              <w:rPr>
                <w:color w:val="000000" w:themeColor="text1"/>
                <w:sz w:val="22"/>
                <w:szCs w:val="22"/>
                <w:vertAlign w:val="superscript"/>
              </w:rPr>
              <w:t>st</w:t>
            </w:r>
            <w:r>
              <w:rPr>
                <w:color w:val="000000" w:themeColor="text1"/>
                <w:sz w:val="22"/>
                <w:szCs w:val="22"/>
              </w:rPr>
              <w:t xml:space="preserve"> Nov 2025</w:t>
            </w:r>
          </w:p>
        </w:tc>
        <w:tc>
          <w:tcPr>
            <w:tcW w:w="850" w:type="dxa"/>
            <w:shd w:val="clear" w:color="auto" w:fill="FFFF00"/>
          </w:tcPr>
          <w:p w14:paraId="1836EC8A" w14:textId="77777777" w:rsidR="00EA229C" w:rsidRPr="005F5142" w:rsidRDefault="00EA229C" w:rsidP="007A7F18">
            <w:pPr>
              <w:spacing w:line="276" w:lineRule="auto"/>
              <w:rPr>
                <w:rFonts w:asciiTheme="minorHAnsi" w:hAnsiTheme="minorHAnsi" w:cstheme="minorHAnsi"/>
                <w:b/>
                <w:color w:val="FF0000"/>
              </w:rPr>
            </w:pPr>
          </w:p>
        </w:tc>
      </w:tr>
    </w:tbl>
    <w:p w14:paraId="0B7C7989" w14:textId="1B324AD6" w:rsidR="008C0410" w:rsidRDefault="008C0410" w:rsidP="00FB30A6">
      <w:pPr>
        <w:spacing w:after="200" w:line="276" w:lineRule="auto"/>
        <w:rPr>
          <w:rFonts w:cstheme="minorHAnsi"/>
          <w:b/>
          <w:bCs/>
          <w:color w:val="000000"/>
        </w:rPr>
      </w:pPr>
    </w:p>
    <w:p w14:paraId="2B320DC5" w14:textId="748A7553" w:rsidR="00EA229C" w:rsidRDefault="00EA229C" w:rsidP="00FB30A6">
      <w:pPr>
        <w:spacing w:after="200" w:line="276" w:lineRule="auto"/>
        <w:rPr>
          <w:rFonts w:cstheme="minorHAnsi"/>
          <w:b/>
          <w:bCs/>
          <w:color w:val="000000"/>
        </w:rPr>
      </w:pPr>
      <w:bookmarkStart w:id="11" w:name="_Hlk184729925"/>
      <w:r>
        <w:rPr>
          <w:rFonts w:cstheme="minorHAnsi"/>
          <w:b/>
          <w:bCs/>
          <w:color w:val="000000"/>
        </w:rPr>
        <w:t>Asset Management (Joint) – October 2024</w:t>
      </w:r>
    </w:p>
    <w:tbl>
      <w:tblPr>
        <w:tblStyle w:val="TableGrid1"/>
        <w:tblW w:w="15309" w:type="dxa"/>
        <w:tblInd w:w="-572" w:type="dxa"/>
        <w:tblLook w:val="04A0" w:firstRow="1" w:lastRow="0" w:firstColumn="1" w:lastColumn="0" w:noHBand="0" w:noVBand="1"/>
      </w:tblPr>
      <w:tblGrid>
        <w:gridCol w:w="399"/>
        <w:gridCol w:w="5555"/>
        <w:gridCol w:w="2268"/>
        <w:gridCol w:w="1134"/>
        <w:gridCol w:w="3544"/>
        <w:gridCol w:w="1559"/>
        <w:gridCol w:w="850"/>
      </w:tblGrid>
      <w:tr w:rsidR="00EA229C" w:rsidRPr="00291B4B" w14:paraId="71ADB09B" w14:textId="77777777" w:rsidTr="006D7AAC">
        <w:tc>
          <w:tcPr>
            <w:tcW w:w="399" w:type="dxa"/>
            <w:shd w:val="clear" w:color="auto" w:fill="632E9E"/>
          </w:tcPr>
          <w:bookmarkEnd w:id="11"/>
          <w:p w14:paraId="5333DAA7"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 xml:space="preserve">   </w:t>
            </w:r>
          </w:p>
        </w:tc>
        <w:tc>
          <w:tcPr>
            <w:tcW w:w="5555" w:type="dxa"/>
            <w:shd w:val="clear" w:color="auto" w:fill="632E9E"/>
          </w:tcPr>
          <w:p w14:paraId="07580F70"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Observation/Risk</w:t>
            </w:r>
          </w:p>
        </w:tc>
        <w:tc>
          <w:tcPr>
            <w:tcW w:w="2268" w:type="dxa"/>
            <w:shd w:val="clear" w:color="auto" w:fill="632E9E"/>
          </w:tcPr>
          <w:p w14:paraId="5854FC33"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Recommendation</w:t>
            </w:r>
          </w:p>
        </w:tc>
        <w:tc>
          <w:tcPr>
            <w:tcW w:w="1134" w:type="dxa"/>
            <w:shd w:val="clear" w:color="auto" w:fill="632E9E"/>
          </w:tcPr>
          <w:p w14:paraId="4F5C196D"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1B484FD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02B3AB4" w14:textId="77777777" w:rsidR="00EA229C" w:rsidRPr="00291B4B" w:rsidRDefault="00EA229C" w:rsidP="007A7F18">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5577D831" w14:textId="77777777" w:rsidR="00EA229C" w:rsidRPr="00291B4B" w:rsidRDefault="00EA229C" w:rsidP="007A7F18">
            <w:pPr>
              <w:spacing w:line="276" w:lineRule="auto"/>
              <w:rPr>
                <w:b/>
                <w:color w:val="FFFFFF" w:themeColor="background1"/>
                <w:sz w:val="16"/>
                <w:szCs w:val="16"/>
              </w:rPr>
            </w:pPr>
            <w:r w:rsidRPr="00291B4B">
              <w:rPr>
                <w:b/>
                <w:color w:val="FFFFFF" w:themeColor="background1"/>
                <w:sz w:val="16"/>
                <w:szCs w:val="16"/>
              </w:rPr>
              <w:t>Status</w:t>
            </w:r>
          </w:p>
        </w:tc>
      </w:tr>
      <w:tr w:rsidR="00EA229C" w:rsidRPr="005F5142" w14:paraId="21896033" w14:textId="77777777" w:rsidTr="006D7AAC">
        <w:trPr>
          <w:trHeight w:val="844"/>
        </w:trPr>
        <w:tc>
          <w:tcPr>
            <w:tcW w:w="399" w:type="dxa"/>
            <w:tcMar>
              <w:left w:w="57" w:type="dxa"/>
              <w:right w:w="57" w:type="dxa"/>
            </w:tcMar>
          </w:tcPr>
          <w:p w14:paraId="2F5D1E39" w14:textId="6F44ED5A" w:rsidR="00EA229C" w:rsidRPr="005F5142" w:rsidRDefault="00EA229C" w:rsidP="007A7F18">
            <w:pPr>
              <w:rPr>
                <w:rFonts w:asciiTheme="minorHAnsi" w:hAnsiTheme="minorHAnsi" w:cstheme="minorHAnsi"/>
                <w:b/>
              </w:rPr>
            </w:pPr>
            <w:r>
              <w:rPr>
                <w:rFonts w:asciiTheme="minorHAnsi" w:hAnsiTheme="minorHAnsi" w:cstheme="minorHAnsi"/>
                <w:b/>
              </w:rPr>
              <w:t>4</w:t>
            </w:r>
          </w:p>
        </w:tc>
        <w:tc>
          <w:tcPr>
            <w:tcW w:w="5555" w:type="dxa"/>
          </w:tcPr>
          <w:p w14:paraId="1021C200" w14:textId="4815CF4A" w:rsidR="008C0410" w:rsidRPr="008C0410" w:rsidRDefault="008C0410" w:rsidP="008C0410">
            <w:pPr>
              <w:pStyle w:val="Default"/>
              <w:rPr>
                <w:sz w:val="22"/>
                <w:szCs w:val="22"/>
              </w:rPr>
            </w:pPr>
            <w:r w:rsidRPr="008C0410">
              <w:rPr>
                <w:b/>
                <w:bCs/>
                <w:sz w:val="22"/>
                <w:szCs w:val="22"/>
              </w:rPr>
              <w:t xml:space="preserve">Service – Reliance on spreadsheet for the Vehicle Maintenance and Records.  </w:t>
            </w:r>
            <w:r w:rsidRPr="008C0410">
              <w:rPr>
                <w:sz w:val="22"/>
                <w:szCs w:val="22"/>
              </w:rPr>
              <w:t xml:space="preserve">We noted that Fire Engines (pumps) are serviced every three months, six months and annually. While the Force uses TranMan to track maintenance and availability, the Service currently tracks this using a manual workbook tracked and updated by the Senior Fleet Administrator. </w:t>
            </w:r>
          </w:p>
          <w:p w14:paraId="7A1C3869" w14:textId="77777777" w:rsidR="008C0410" w:rsidRPr="008C0410" w:rsidRDefault="008C0410" w:rsidP="008C0410">
            <w:pPr>
              <w:pStyle w:val="Default"/>
              <w:rPr>
                <w:sz w:val="22"/>
                <w:szCs w:val="22"/>
              </w:rPr>
            </w:pPr>
            <w:r w:rsidRPr="008C0410">
              <w:rPr>
                <w:sz w:val="22"/>
                <w:szCs w:val="22"/>
              </w:rPr>
              <w:t xml:space="preserve">We noted that the TranMan Management system is available for NCFRA, but it is not utilised therefore, currently there is no availability tracking system used for fire trucks. Head of Transport and Travel aims to implement the use of TranMan for fire, we noted that this may be a potential area for training. </w:t>
            </w:r>
          </w:p>
          <w:p w14:paraId="27AD201D" w14:textId="77777777" w:rsidR="008C0410" w:rsidRPr="008C0410" w:rsidRDefault="008C0410" w:rsidP="008C0410">
            <w:pPr>
              <w:pStyle w:val="Default"/>
              <w:rPr>
                <w:sz w:val="22"/>
                <w:szCs w:val="22"/>
              </w:rPr>
            </w:pPr>
            <w:r w:rsidRPr="008C0410">
              <w:rPr>
                <w:sz w:val="22"/>
                <w:szCs w:val="22"/>
              </w:rPr>
              <w:t xml:space="preserve">Additionally, we reviewed the sample of recently purchased fire fleet and noted that fire engine services were completed late for three out of eight vehicles. We noted that once the services were completed, they were dated and signed by the brigade technician and the supervising officer. </w:t>
            </w:r>
          </w:p>
          <w:p w14:paraId="225D4A8C" w14:textId="5C8978E7" w:rsidR="00EA229C" w:rsidRPr="008C0410" w:rsidRDefault="008C0410" w:rsidP="008C0410">
            <w:pPr>
              <w:pStyle w:val="Default"/>
              <w:rPr>
                <w:sz w:val="22"/>
                <w:szCs w:val="22"/>
              </w:rPr>
            </w:pPr>
            <w:r w:rsidRPr="008C0410">
              <w:rPr>
                <w:b/>
                <w:bCs/>
                <w:sz w:val="22"/>
                <w:szCs w:val="22"/>
              </w:rPr>
              <w:t xml:space="preserve">Risk and Impact: </w:t>
            </w:r>
            <w:r w:rsidRPr="008C0410">
              <w:rPr>
                <w:sz w:val="22"/>
                <w:szCs w:val="22"/>
              </w:rPr>
              <w:t>The use of spreadsheets, leads to human error as well as extra</w:t>
            </w:r>
            <w:r>
              <w:rPr>
                <w:sz w:val="22"/>
                <w:szCs w:val="22"/>
              </w:rPr>
              <w:t xml:space="preserve"> workload for operational staff.</w:t>
            </w:r>
          </w:p>
        </w:tc>
        <w:tc>
          <w:tcPr>
            <w:tcW w:w="2268" w:type="dxa"/>
          </w:tcPr>
          <w:p w14:paraId="51639B00" w14:textId="77777777" w:rsidR="008C0410" w:rsidRPr="007B646F" w:rsidRDefault="008C0410" w:rsidP="008C0410">
            <w:pPr>
              <w:pStyle w:val="Default"/>
              <w:rPr>
                <w:color w:val="FF0000"/>
                <w:sz w:val="22"/>
                <w:szCs w:val="22"/>
              </w:rPr>
            </w:pPr>
            <w:r w:rsidRPr="007B646F">
              <w:rPr>
                <w:color w:val="FF0000"/>
                <w:sz w:val="22"/>
                <w:szCs w:val="22"/>
              </w:rPr>
              <w:t xml:space="preserve">Once the Service has transitioned to TranMan system, they should implement a programme of training on how to utilise the TranMan system for operational asset management staff. </w:t>
            </w:r>
          </w:p>
          <w:p w14:paraId="7001AE87" w14:textId="77777777" w:rsidR="00EA229C" w:rsidRPr="008C0410" w:rsidRDefault="00EA229C" w:rsidP="007A7F18">
            <w:pPr>
              <w:pStyle w:val="ListParagraph"/>
              <w:ind w:left="360"/>
              <w:rPr>
                <w:rFonts w:asciiTheme="minorHAnsi" w:hAnsiTheme="minorHAnsi" w:cstheme="minorHAnsi"/>
              </w:rPr>
            </w:pPr>
          </w:p>
        </w:tc>
        <w:tc>
          <w:tcPr>
            <w:tcW w:w="1134" w:type="dxa"/>
            <w:shd w:val="clear" w:color="auto" w:fill="92D050"/>
          </w:tcPr>
          <w:p w14:paraId="0B9170CD" w14:textId="483ADF0E" w:rsidR="00EA229C" w:rsidRPr="008C0410" w:rsidRDefault="008C0410" w:rsidP="007A7F18">
            <w:pPr>
              <w:jc w:val="center"/>
              <w:rPr>
                <w:rFonts w:ascii="Calibri" w:hAnsi="Calibri" w:cs="Calibri"/>
                <w:b/>
              </w:rPr>
            </w:pPr>
            <w:r>
              <w:rPr>
                <w:rFonts w:ascii="Calibri" w:hAnsi="Calibri" w:cs="Calibri"/>
                <w:b/>
              </w:rPr>
              <w:t>Low</w:t>
            </w:r>
          </w:p>
        </w:tc>
        <w:tc>
          <w:tcPr>
            <w:tcW w:w="3544" w:type="dxa"/>
          </w:tcPr>
          <w:p w14:paraId="05BE8A8D" w14:textId="77777777" w:rsidR="008C0410" w:rsidRDefault="008C0410" w:rsidP="008C0410">
            <w:pPr>
              <w:pStyle w:val="Default"/>
              <w:rPr>
                <w:sz w:val="22"/>
                <w:szCs w:val="22"/>
              </w:rPr>
            </w:pPr>
            <w:r w:rsidRPr="008C0410">
              <w:rPr>
                <w:sz w:val="22"/>
                <w:szCs w:val="22"/>
              </w:rPr>
              <w:t xml:space="preserve">The Department is currently undergoing a review and potential restructure. As part of this work the maintenance of the Fire Appliances is being outsourced. Linked to this will then be a full review of all Policies and Procedures to take into account the revised delivery model. And then ensure that the incumbent system is utilised to its full potential whilst work is undertaken to implement a new fleet/equipment management system. </w:t>
            </w:r>
          </w:p>
          <w:p w14:paraId="680F03B0" w14:textId="7370FE00" w:rsidR="006D7AAC" w:rsidRPr="000C279A" w:rsidRDefault="006D7AAC" w:rsidP="006D7AAC">
            <w:pPr>
              <w:pStyle w:val="Default"/>
              <w:rPr>
                <w:sz w:val="22"/>
                <w:szCs w:val="22"/>
              </w:rPr>
            </w:pPr>
            <w:r w:rsidRPr="006D7AAC">
              <w:rPr>
                <w:b/>
                <w:bCs/>
                <w:sz w:val="22"/>
                <w:szCs w:val="22"/>
              </w:rPr>
              <w:t>2</w:t>
            </w:r>
            <w:r w:rsidR="00735455">
              <w:rPr>
                <w:b/>
                <w:bCs/>
                <w:sz w:val="22"/>
                <w:szCs w:val="22"/>
              </w:rPr>
              <w:t>8/06/2025</w:t>
            </w:r>
            <w:r>
              <w:rPr>
                <w:sz w:val="22"/>
                <w:szCs w:val="22"/>
              </w:rPr>
              <w:t xml:space="preserve"> LH update – In progress.</w:t>
            </w:r>
          </w:p>
          <w:p w14:paraId="15FEB914" w14:textId="77777777" w:rsidR="006D7AAC" w:rsidRPr="008C0410" w:rsidRDefault="006D7AAC" w:rsidP="008C0410">
            <w:pPr>
              <w:pStyle w:val="Default"/>
              <w:rPr>
                <w:sz w:val="22"/>
                <w:szCs w:val="22"/>
              </w:rPr>
            </w:pPr>
          </w:p>
          <w:p w14:paraId="65A11068" w14:textId="77777777" w:rsidR="00EA229C" w:rsidRPr="008C0410" w:rsidRDefault="00EA229C" w:rsidP="007A7F18">
            <w:pPr>
              <w:pStyle w:val="Default"/>
              <w:rPr>
                <w:bCs/>
                <w:sz w:val="22"/>
                <w:szCs w:val="22"/>
              </w:rPr>
            </w:pPr>
          </w:p>
        </w:tc>
        <w:tc>
          <w:tcPr>
            <w:tcW w:w="1559" w:type="dxa"/>
          </w:tcPr>
          <w:p w14:paraId="034C99B7" w14:textId="77777777" w:rsidR="00EA229C" w:rsidRDefault="008C0410" w:rsidP="007A7F18">
            <w:pPr>
              <w:pStyle w:val="Default"/>
              <w:rPr>
                <w:color w:val="000000" w:themeColor="text1"/>
                <w:sz w:val="22"/>
                <w:szCs w:val="22"/>
              </w:rPr>
            </w:pPr>
            <w:r>
              <w:rPr>
                <w:color w:val="000000" w:themeColor="text1"/>
                <w:sz w:val="22"/>
                <w:szCs w:val="22"/>
              </w:rPr>
              <w:t>Leanne Hanson</w:t>
            </w:r>
          </w:p>
          <w:p w14:paraId="362D8710" w14:textId="77777777" w:rsidR="008C0410" w:rsidRDefault="008C0410" w:rsidP="007A7F18">
            <w:pPr>
              <w:pStyle w:val="Default"/>
              <w:rPr>
                <w:color w:val="000000" w:themeColor="text1"/>
                <w:sz w:val="22"/>
                <w:szCs w:val="22"/>
              </w:rPr>
            </w:pPr>
          </w:p>
          <w:p w14:paraId="6EFF5EDD" w14:textId="7EFBAE50" w:rsidR="008C0410" w:rsidRPr="00D05F06" w:rsidRDefault="008C0410" w:rsidP="007A7F18">
            <w:pPr>
              <w:pStyle w:val="Default"/>
              <w:rPr>
                <w:color w:val="000000" w:themeColor="text1"/>
                <w:sz w:val="22"/>
                <w:szCs w:val="22"/>
              </w:rPr>
            </w:pPr>
            <w:r>
              <w:rPr>
                <w:color w:val="000000" w:themeColor="text1"/>
                <w:sz w:val="22"/>
                <w:szCs w:val="22"/>
              </w:rPr>
              <w:t>25</w:t>
            </w:r>
            <w:r w:rsidRPr="008C0410">
              <w:rPr>
                <w:color w:val="000000" w:themeColor="text1"/>
                <w:sz w:val="22"/>
                <w:szCs w:val="22"/>
                <w:vertAlign w:val="superscript"/>
              </w:rPr>
              <w:t>th</w:t>
            </w:r>
            <w:r>
              <w:rPr>
                <w:color w:val="000000" w:themeColor="text1"/>
                <w:sz w:val="22"/>
                <w:szCs w:val="22"/>
              </w:rPr>
              <w:t xml:space="preserve"> </w:t>
            </w:r>
            <w:r w:rsidR="00735455">
              <w:rPr>
                <w:color w:val="000000" w:themeColor="text1"/>
                <w:sz w:val="22"/>
                <w:szCs w:val="22"/>
              </w:rPr>
              <w:t>July</w:t>
            </w:r>
            <w:r>
              <w:rPr>
                <w:color w:val="000000" w:themeColor="text1"/>
                <w:sz w:val="22"/>
                <w:szCs w:val="22"/>
              </w:rPr>
              <w:t xml:space="preserve"> 2025</w:t>
            </w:r>
          </w:p>
        </w:tc>
        <w:tc>
          <w:tcPr>
            <w:tcW w:w="850" w:type="dxa"/>
            <w:shd w:val="clear" w:color="auto" w:fill="FFFF00"/>
          </w:tcPr>
          <w:p w14:paraId="55E73281" w14:textId="77777777" w:rsidR="00EA229C" w:rsidRPr="005F5142" w:rsidRDefault="00EA229C" w:rsidP="007A7F18">
            <w:pPr>
              <w:spacing w:line="276" w:lineRule="auto"/>
              <w:rPr>
                <w:rFonts w:asciiTheme="minorHAnsi" w:hAnsiTheme="minorHAnsi" w:cstheme="minorHAnsi"/>
                <w:b/>
                <w:color w:val="FF0000"/>
              </w:rPr>
            </w:pPr>
          </w:p>
        </w:tc>
      </w:tr>
    </w:tbl>
    <w:p w14:paraId="66FB568A" w14:textId="77777777" w:rsidR="00EA229C" w:rsidRDefault="00EA229C" w:rsidP="00FB30A6">
      <w:pPr>
        <w:spacing w:after="200" w:line="276" w:lineRule="auto"/>
        <w:rPr>
          <w:rFonts w:cstheme="minorHAnsi"/>
          <w:b/>
          <w:bCs/>
          <w:color w:val="000000"/>
        </w:rPr>
      </w:pPr>
    </w:p>
    <w:p w14:paraId="52806EF2" w14:textId="5067CFF3" w:rsidR="008C4817" w:rsidRDefault="008C4817" w:rsidP="008C4817">
      <w:pPr>
        <w:spacing w:after="200" w:line="276" w:lineRule="auto"/>
        <w:rPr>
          <w:rFonts w:cstheme="minorHAnsi"/>
          <w:b/>
          <w:bCs/>
          <w:color w:val="000000"/>
        </w:rPr>
      </w:pPr>
      <w:bookmarkStart w:id="12" w:name="_Hlk184730009"/>
      <w:r>
        <w:rPr>
          <w:rFonts w:cstheme="minorHAnsi"/>
          <w:b/>
          <w:bCs/>
          <w:color w:val="000000"/>
        </w:rPr>
        <w:t>Core Financials (Joint) – November 2024</w:t>
      </w:r>
    </w:p>
    <w:tbl>
      <w:tblPr>
        <w:tblStyle w:val="TableGrid1"/>
        <w:tblW w:w="15309" w:type="dxa"/>
        <w:tblInd w:w="-572" w:type="dxa"/>
        <w:tblLook w:val="04A0" w:firstRow="1" w:lastRow="0" w:firstColumn="1" w:lastColumn="0" w:noHBand="0" w:noVBand="1"/>
      </w:tblPr>
      <w:tblGrid>
        <w:gridCol w:w="397"/>
        <w:gridCol w:w="5699"/>
        <w:gridCol w:w="2693"/>
        <w:gridCol w:w="992"/>
        <w:gridCol w:w="3119"/>
        <w:gridCol w:w="1559"/>
        <w:gridCol w:w="850"/>
      </w:tblGrid>
      <w:tr w:rsidR="008C4817" w:rsidRPr="00291B4B" w14:paraId="4B7E9F64" w14:textId="77777777" w:rsidTr="00085B08">
        <w:tc>
          <w:tcPr>
            <w:tcW w:w="397" w:type="dxa"/>
            <w:shd w:val="clear" w:color="auto" w:fill="632E9E"/>
          </w:tcPr>
          <w:bookmarkEnd w:id="12"/>
          <w:p w14:paraId="4C19F62E"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 xml:space="preserve">   </w:t>
            </w:r>
          </w:p>
        </w:tc>
        <w:tc>
          <w:tcPr>
            <w:tcW w:w="5699" w:type="dxa"/>
            <w:shd w:val="clear" w:color="auto" w:fill="632E9E"/>
          </w:tcPr>
          <w:p w14:paraId="1B061B47"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54514118"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4C3B0870"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Priority</w:t>
            </w:r>
          </w:p>
        </w:tc>
        <w:tc>
          <w:tcPr>
            <w:tcW w:w="3119" w:type="dxa"/>
            <w:shd w:val="clear" w:color="auto" w:fill="632E9E"/>
          </w:tcPr>
          <w:p w14:paraId="0FBF9EE9"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5400B8A"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45077E21"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Status</w:t>
            </w:r>
          </w:p>
        </w:tc>
      </w:tr>
      <w:tr w:rsidR="008C4817" w:rsidRPr="005F5142" w14:paraId="21860FF0" w14:textId="77777777" w:rsidTr="00BF43D4">
        <w:trPr>
          <w:trHeight w:val="844"/>
        </w:trPr>
        <w:tc>
          <w:tcPr>
            <w:tcW w:w="397" w:type="dxa"/>
            <w:tcMar>
              <w:left w:w="57" w:type="dxa"/>
              <w:right w:w="57" w:type="dxa"/>
            </w:tcMar>
          </w:tcPr>
          <w:p w14:paraId="53B58C47" w14:textId="7797ACEF" w:rsidR="008C4817" w:rsidRPr="005F5142" w:rsidRDefault="00262C79" w:rsidP="008D55FE">
            <w:pPr>
              <w:rPr>
                <w:rFonts w:asciiTheme="minorHAnsi" w:hAnsiTheme="minorHAnsi" w:cstheme="minorHAnsi"/>
                <w:b/>
              </w:rPr>
            </w:pPr>
            <w:r>
              <w:rPr>
                <w:rFonts w:asciiTheme="minorHAnsi" w:hAnsiTheme="minorHAnsi" w:cstheme="minorHAnsi"/>
                <w:b/>
              </w:rPr>
              <w:t>1</w:t>
            </w:r>
          </w:p>
        </w:tc>
        <w:tc>
          <w:tcPr>
            <w:tcW w:w="5699" w:type="dxa"/>
          </w:tcPr>
          <w:p w14:paraId="7609CD77" w14:textId="77777777" w:rsidR="00A0527C" w:rsidRPr="00A0527C" w:rsidRDefault="00A0527C" w:rsidP="00262C79">
            <w:pPr>
              <w:pStyle w:val="Default"/>
              <w:rPr>
                <w:b/>
                <w:sz w:val="22"/>
                <w:szCs w:val="22"/>
              </w:rPr>
            </w:pPr>
            <w:r w:rsidRPr="00A0527C">
              <w:rPr>
                <w:b/>
                <w:sz w:val="22"/>
                <w:szCs w:val="22"/>
              </w:rPr>
              <w:t xml:space="preserve">Debtor invoices </w:t>
            </w:r>
          </w:p>
          <w:p w14:paraId="5272B6FF" w14:textId="4E678FF0" w:rsidR="00262C79" w:rsidRPr="00262C79" w:rsidRDefault="00262C79" w:rsidP="00262C79">
            <w:pPr>
              <w:pStyle w:val="Default"/>
              <w:rPr>
                <w:sz w:val="22"/>
                <w:szCs w:val="22"/>
              </w:rPr>
            </w:pPr>
            <w:r w:rsidRPr="00262C79">
              <w:rPr>
                <w:sz w:val="22"/>
                <w:szCs w:val="22"/>
              </w:rPr>
              <w:t>After the provision of goods or services to a customer or</w:t>
            </w:r>
            <w:r>
              <w:rPr>
                <w:sz w:val="22"/>
                <w:szCs w:val="22"/>
              </w:rPr>
              <w:t xml:space="preserve"> raising charges for services a </w:t>
            </w:r>
            <w:r w:rsidRPr="00262C79">
              <w:rPr>
                <w:sz w:val="22"/>
                <w:szCs w:val="22"/>
              </w:rPr>
              <w:t>request to raise an invoice should be sent to Financ</w:t>
            </w:r>
            <w:r w:rsidR="006C0960">
              <w:rPr>
                <w:sz w:val="22"/>
                <w:szCs w:val="22"/>
              </w:rPr>
              <w:t xml:space="preserve">e Operations, who then complete </w:t>
            </w:r>
            <w:r w:rsidRPr="00262C79">
              <w:rPr>
                <w:sz w:val="22"/>
                <w:szCs w:val="22"/>
              </w:rPr>
              <w:t>an invoice template in order to automatically generate a</w:t>
            </w:r>
            <w:r>
              <w:rPr>
                <w:sz w:val="22"/>
                <w:szCs w:val="22"/>
              </w:rPr>
              <w:t xml:space="preserve">n invoice which is then sent to </w:t>
            </w:r>
            <w:r w:rsidRPr="00262C79">
              <w:rPr>
                <w:sz w:val="22"/>
                <w:szCs w:val="22"/>
              </w:rPr>
              <w:t>the customer by Finance Operations in order for the Force to receive payment.</w:t>
            </w:r>
          </w:p>
          <w:p w14:paraId="15E34149" w14:textId="0C4943CA" w:rsidR="00262C79" w:rsidRPr="00262C79" w:rsidRDefault="00262C79" w:rsidP="00262C79">
            <w:pPr>
              <w:pStyle w:val="Default"/>
              <w:rPr>
                <w:sz w:val="22"/>
                <w:szCs w:val="22"/>
              </w:rPr>
            </w:pPr>
            <w:r w:rsidRPr="00262C79">
              <w:rPr>
                <w:sz w:val="22"/>
                <w:szCs w:val="22"/>
              </w:rPr>
              <w:t>We reviewed a sample of ten Force</w:t>
            </w:r>
            <w:r w:rsidR="00085B08">
              <w:rPr>
                <w:sz w:val="22"/>
                <w:szCs w:val="22"/>
              </w:rPr>
              <w:t xml:space="preserve"> debtor invoices &amp; </w:t>
            </w:r>
            <w:r w:rsidRPr="00262C79">
              <w:rPr>
                <w:sz w:val="22"/>
                <w:szCs w:val="22"/>
              </w:rPr>
              <w:t>found:</w:t>
            </w:r>
          </w:p>
          <w:p w14:paraId="6C93EF38" w14:textId="3CD4BFB6" w:rsidR="00262C79" w:rsidRPr="00262C79" w:rsidRDefault="00262C79" w:rsidP="00262C79">
            <w:pPr>
              <w:pStyle w:val="Default"/>
              <w:numPr>
                <w:ilvl w:val="0"/>
                <w:numId w:val="30"/>
              </w:numPr>
              <w:ind w:left="360"/>
              <w:rPr>
                <w:sz w:val="22"/>
                <w:szCs w:val="22"/>
              </w:rPr>
            </w:pPr>
            <w:r w:rsidRPr="00262C79">
              <w:rPr>
                <w:sz w:val="22"/>
                <w:szCs w:val="22"/>
              </w:rPr>
              <w:t>Two instances where no request to raise the invoice could be evidenced. The</w:t>
            </w:r>
            <w:r>
              <w:rPr>
                <w:sz w:val="22"/>
                <w:szCs w:val="22"/>
              </w:rPr>
              <w:t xml:space="preserve"> </w:t>
            </w:r>
            <w:r w:rsidRPr="00262C79">
              <w:rPr>
                <w:sz w:val="22"/>
                <w:szCs w:val="22"/>
              </w:rPr>
              <w:t>invoices had been paid at the time of the audit.</w:t>
            </w:r>
          </w:p>
          <w:p w14:paraId="6582C7F1" w14:textId="77777777" w:rsidR="006C0960" w:rsidRDefault="00262C79" w:rsidP="00262C79">
            <w:pPr>
              <w:pStyle w:val="Default"/>
              <w:numPr>
                <w:ilvl w:val="0"/>
                <w:numId w:val="30"/>
              </w:numPr>
              <w:ind w:left="360"/>
              <w:rPr>
                <w:sz w:val="22"/>
                <w:szCs w:val="22"/>
              </w:rPr>
            </w:pPr>
            <w:r w:rsidRPr="00262C79">
              <w:rPr>
                <w:sz w:val="22"/>
                <w:szCs w:val="22"/>
              </w:rPr>
              <w:t>One instance where the invoice had not been raised in a timely manner (29</w:t>
            </w:r>
            <w:r>
              <w:rPr>
                <w:sz w:val="22"/>
                <w:szCs w:val="22"/>
              </w:rPr>
              <w:t xml:space="preserve"> days). </w:t>
            </w:r>
          </w:p>
          <w:p w14:paraId="04020D58" w14:textId="1666426C" w:rsidR="00262C79" w:rsidRPr="00262C79" w:rsidRDefault="00262C79" w:rsidP="006C0960">
            <w:pPr>
              <w:pStyle w:val="Default"/>
              <w:rPr>
                <w:sz w:val="22"/>
                <w:szCs w:val="22"/>
              </w:rPr>
            </w:pPr>
            <w:r w:rsidRPr="00262C79">
              <w:rPr>
                <w:sz w:val="22"/>
                <w:szCs w:val="22"/>
              </w:rPr>
              <w:t>We reviewed a sample o</w:t>
            </w:r>
            <w:r w:rsidR="00085B08">
              <w:rPr>
                <w:sz w:val="22"/>
                <w:szCs w:val="22"/>
              </w:rPr>
              <w:t xml:space="preserve">f ten NCFRA debtor invoices &amp; </w:t>
            </w:r>
            <w:r w:rsidRPr="00262C79">
              <w:rPr>
                <w:sz w:val="22"/>
                <w:szCs w:val="22"/>
              </w:rPr>
              <w:t>found:</w:t>
            </w:r>
          </w:p>
          <w:p w14:paraId="2707F79D" w14:textId="558BE07B" w:rsidR="00262C79" w:rsidRPr="00262C79" w:rsidRDefault="00262C79" w:rsidP="00262C79">
            <w:pPr>
              <w:pStyle w:val="Default"/>
              <w:numPr>
                <w:ilvl w:val="0"/>
                <w:numId w:val="30"/>
              </w:numPr>
              <w:ind w:left="360"/>
              <w:rPr>
                <w:sz w:val="22"/>
                <w:szCs w:val="22"/>
              </w:rPr>
            </w:pPr>
            <w:r w:rsidRPr="00262C79">
              <w:rPr>
                <w:sz w:val="22"/>
                <w:szCs w:val="22"/>
              </w:rPr>
              <w:t>Four instances where the invoice had not been raised in a timely manner</w:t>
            </w:r>
            <w:r>
              <w:rPr>
                <w:sz w:val="22"/>
                <w:szCs w:val="22"/>
              </w:rPr>
              <w:t xml:space="preserve"> </w:t>
            </w:r>
            <w:r w:rsidRPr="00262C79">
              <w:rPr>
                <w:sz w:val="22"/>
                <w:szCs w:val="22"/>
              </w:rPr>
              <w:t>(range of nine – 51 days and average of 36 days).</w:t>
            </w:r>
          </w:p>
          <w:p w14:paraId="28E2A2E3" w14:textId="4A242D57" w:rsidR="00262C79" w:rsidRDefault="00262C79" w:rsidP="00262C79">
            <w:pPr>
              <w:pStyle w:val="Default"/>
              <w:rPr>
                <w:sz w:val="22"/>
                <w:szCs w:val="22"/>
              </w:rPr>
            </w:pPr>
            <w:r w:rsidRPr="00262C79">
              <w:rPr>
                <w:sz w:val="22"/>
                <w:szCs w:val="22"/>
              </w:rPr>
              <w:t xml:space="preserve">We were advised by management that there remains </w:t>
            </w:r>
            <w:r>
              <w:rPr>
                <w:sz w:val="22"/>
                <w:szCs w:val="22"/>
              </w:rPr>
              <w:t xml:space="preserve">no formal timeline in place for </w:t>
            </w:r>
            <w:r w:rsidRPr="00262C79">
              <w:rPr>
                <w:sz w:val="22"/>
                <w:szCs w:val="22"/>
              </w:rPr>
              <w:t>raising of an invoice following a request.</w:t>
            </w:r>
          </w:p>
          <w:p w14:paraId="5708D435" w14:textId="711E22C2" w:rsidR="00262C79" w:rsidRPr="008C0410" w:rsidRDefault="00262C79" w:rsidP="00262C79">
            <w:pPr>
              <w:pStyle w:val="Default"/>
              <w:rPr>
                <w:sz w:val="22"/>
                <w:szCs w:val="22"/>
              </w:rPr>
            </w:pPr>
            <w:r w:rsidRPr="00262C79">
              <w:rPr>
                <w:b/>
                <w:sz w:val="22"/>
                <w:szCs w:val="22"/>
              </w:rPr>
              <w:t>Risk and Impact</w:t>
            </w:r>
            <w:r w:rsidRPr="00262C79">
              <w:rPr>
                <w:sz w:val="22"/>
                <w:szCs w:val="22"/>
              </w:rPr>
              <w:t>: Invoices are raised inaccurately or</w:t>
            </w:r>
            <w:r>
              <w:rPr>
                <w:sz w:val="22"/>
                <w:szCs w:val="22"/>
              </w:rPr>
              <w:t xml:space="preserve"> inappropriately leading to the </w:t>
            </w:r>
            <w:r w:rsidRPr="00262C79">
              <w:rPr>
                <w:sz w:val="22"/>
                <w:szCs w:val="22"/>
              </w:rPr>
              <w:t>Force not receiving income in a timely manner.</w:t>
            </w:r>
          </w:p>
        </w:tc>
        <w:tc>
          <w:tcPr>
            <w:tcW w:w="2693" w:type="dxa"/>
          </w:tcPr>
          <w:p w14:paraId="76C8F3D4" w14:textId="6B13F47F" w:rsidR="00262C79" w:rsidRPr="00262C79" w:rsidRDefault="00262C79" w:rsidP="00262C79">
            <w:pPr>
              <w:pStyle w:val="ListParagraph"/>
              <w:numPr>
                <w:ilvl w:val="0"/>
                <w:numId w:val="32"/>
              </w:numPr>
              <w:ind w:left="0"/>
              <w:rPr>
                <w:rFonts w:asciiTheme="minorHAnsi" w:hAnsiTheme="minorHAnsi" w:cstheme="minorHAnsi"/>
                <w:color w:val="FF0000"/>
              </w:rPr>
            </w:pPr>
            <w:r w:rsidRPr="00262C79">
              <w:rPr>
                <w:rFonts w:asciiTheme="minorHAnsi" w:hAnsiTheme="minorHAnsi" w:cstheme="minorHAnsi"/>
                <w:color w:val="FF0000"/>
              </w:rPr>
              <w:t>1. The Force should ensure that invoice request forms or similar are completed and provided to Finance Operations prior to the raising of an invoice and that this can be</w:t>
            </w:r>
            <w:r>
              <w:rPr>
                <w:rFonts w:asciiTheme="minorHAnsi" w:hAnsiTheme="minorHAnsi" w:cstheme="minorHAnsi"/>
                <w:color w:val="FF0000"/>
              </w:rPr>
              <w:t xml:space="preserve"> </w:t>
            </w:r>
            <w:r w:rsidRPr="00262C79">
              <w:rPr>
                <w:rFonts w:asciiTheme="minorHAnsi" w:hAnsiTheme="minorHAnsi" w:cstheme="minorHAnsi"/>
                <w:color w:val="FF0000"/>
              </w:rPr>
              <w:t>evidenced when required. Finance Operations should not raise an invoice until a valid request is received</w:t>
            </w:r>
            <w:r w:rsidRPr="00262C79">
              <w:rPr>
                <w:rFonts w:asciiTheme="minorHAnsi" w:hAnsiTheme="minorHAnsi" w:cstheme="minorHAnsi"/>
              </w:rPr>
              <w:t>.</w:t>
            </w:r>
          </w:p>
          <w:p w14:paraId="163F0597" w14:textId="77777777" w:rsidR="00262C79" w:rsidRPr="00262C79" w:rsidRDefault="00262C79" w:rsidP="00262C79">
            <w:pPr>
              <w:pStyle w:val="ListParagraph"/>
              <w:ind w:left="0"/>
              <w:rPr>
                <w:rFonts w:asciiTheme="minorHAnsi" w:hAnsiTheme="minorHAnsi" w:cstheme="minorHAnsi"/>
                <w:color w:val="7030A0"/>
              </w:rPr>
            </w:pPr>
            <w:r w:rsidRPr="00262C79">
              <w:rPr>
                <w:rFonts w:asciiTheme="minorHAnsi" w:hAnsiTheme="minorHAnsi" w:cstheme="minorHAnsi"/>
                <w:color w:val="7030A0"/>
              </w:rPr>
              <w:t>2. The Force and NCFRA should implement a clearly</w:t>
            </w:r>
          </w:p>
          <w:p w14:paraId="0DB42316" w14:textId="5E6875C9" w:rsidR="008C4817" w:rsidRPr="008C0410" w:rsidRDefault="00262C79" w:rsidP="00262C79">
            <w:pPr>
              <w:pStyle w:val="ListParagraph"/>
              <w:ind w:left="0"/>
              <w:rPr>
                <w:rFonts w:asciiTheme="minorHAnsi" w:hAnsiTheme="minorHAnsi" w:cstheme="minorHAnsi"/>
              </w:rPr>
            </w:pPr>
            <w:r w:rsidRPr="00262C79">
              <w:rPr>
                <w:rFonts w:asciiTheme="minorHAnsi" w:hAnsiTheme="minorHAnsi" w:cstheme="minorHAnsi"/>
                <w:color w:val="7030A0"/>
              </w:rPr>
              <w:t>defined timeline for the raising of invoices following a request being received to ensure invoices are raised in a timely manner.</w:t>
            </w:r>
          </w:p>
        </w:tc>
        <w:tc>
          <w:tcPr>
            <w:tcW w:w="992" w:type="dxa"/>
            <w:shd w:val="clear" w:color="auto" w:fill="FFC000"/>
          </w:tcPr>
          <w:p w14:paraId="52B2AB87" w14:textId="29E1D8BB" w:rsidR="008C4817" w:rsidRPr="008C0410" w:rsidRDefault="006C0960" w:rsidP="008D55FE">
            <w:pPr>
              <w:jc w:val="center"/>
              <w:rPr>
                <w:rFonts w:ascii="Calibri" w:hAnsi="Calibri" w:cs="Calibri"/>
                <w:b/>
              </w:rPr>
            </w:pPr>
            <w:r>
              <w:rPr>
                <w:rFonts w:ascii="Calibri" w:hAnsi="Calibri" w:cs="Calibri"/>
                <w:b/>
              </w:rPr>
              <w:t>Medium</w:t>
            </w:r>
          </w:p>
        </w:tc>
        <w:tc>
          <w:tcPr>
            <w:tcW w:w="3119" w:type="dxa"/>
          </w:tcPr>
          <w:p w14:paraId="56BC72FA" w14:textId="3AA60C97" w:rsidR="00DE44A6" w:rsidRPr="00DE44A6" w:rsidRDefault="00DE44A6" w:rsidP="00DE44A6">
            <w:pPr>
              <w:pStyle w:val="Default"/>
              <w:rPr>
                <w:bCs/>
                <w:sz w:val="22"/>
                <w:szCs w:val="22"/>
              </w:rPr>
            </w:pPr>
            <w:r w:rsidRPr="00DE44A6">
              <w:rPr>
                <w:bCs/>
                <w:sz w:val="22"/>
                <w:szCs w:val="22"/>
              </w:rPr>
              <w:t>Sales invoices will be centralised within the finance operations team. All requests will be raised via a service request an</w:t>
            </w:r>
            <w:r>
              <w:rPr>
                <w:bCs/>
                <w:sz w:val="22"/>
                <w:szCs w:val="22"/>
              </w:rPr>
              <w:t xml:space="preserve">d actioned. The turnaround time </w:t>
            </w:r>
            <w:r w:rsidRPr="00DE44A6">
              <w:rPr>
                <w:bCs/>
                <w:sz w:val="22"/>
                <w:szCs w:val="22"/>
              </w:rPr>
              <w:t>will be set at 3 working days, and the requestor will be automatically notified once the invoice has been raised. The go live for this will be 1st December</w:t>
            </w:r>
          </w:p>
          <w:p w14:paraId="0790B3A2" w14:textId="77777777" w:rsidR="008C4817" w:rsidRDefault="00DE44A6" w:rsidP="00DE44A6">
            <w:pPr>
              <w:pStyle w:val="Default"/>
              <w:rPr>
                <w:bCs/>
                <w:sz w:val="22"/>
                <w:szCs w:val="22"/>
              </w:rPr>
            </w:pPr>
            <w:r w:rsidRPr="00DE44A6">
              <w:rPr>
                <w:bCs/>
                <w:sz w:val="22"/>
                <w:szCs w:val="22"/>
              </w:rPr>
              <w:t>2024, with all parties in the organisation being made aware of the change, and how to raise sales invoices going forward.</w:t>
            </w:r>
          </w:p>
          <w:p w14:paraId="0AAECCE6" w14:textId="77777777" w:rsidR="00BF43D4" w:rsidRDefault="00BF43D4" w:rsidP="00DE44A6">
            <w:pPr>
              <w:pStyle w:val="Default"/>
              <w:rPr>
                <w:bCs/>
                <w:sz w:val="22"/>
                <w:szCs w:val="22"/>
              </w:rPr>
            </w:pPr>
            <w:r>
              <w:rPr>
                <w:bCs/>
                <w:sz w:val="22"/>
                <w:szCs w:val="22"/>
              </w:rPr>
              <w:t>19.1.24 NF update (Via RB)</w:t>
            </w:r>
          </w:p>
          <w:p w14:paraId="0EEABACC" w14:textId="5B932DCD" w:rsidR="00BF43D4" w:rsidRPr="008C0410" w:rsidRDefault="00BF43D4" w:rsidP="00DE44A6">
            <w:pPr>
              <w:pStyle w:val="Default"/>
              <w:rPr>
                <w:bCs/>
                <w:sz w:val="22"/>
                <w:szCs w:val="22"/>
              </w:rPr>
            </w:pPr>
            <w:r>
              <w:rPr>
                <w:bCs/>
                <w:sz w:val="22"/>
                <w:szCs w:val="22"/>
              </w:rPr>
              <w:t>Action completed</w:t>
            </w:r>
          </w:p>
        </w:tc>
        <w:tc>
          <w:tcPr>
            <w:tcW w:w="1559" w:type="dxa"/>
          </w:tcPr>
          <w:p w14:paraId="3C89966D" w14:textId="3F5CC672" w:rsidR="008C4817" w:rsidRDefault="00A47CE6" w:rsidP="008D55FE">
            <w:pPr>
              <w:pStyle w:val="Default"/>
              <w:rPr>
                <w:color w:val="000000" w:themeColor="text1"/>
                <w:sz w:val="22"/>
                <w:szCs w:val="22"/>
              </w:rPr>
            </w:pPr>
            <w:r>
              <w:rPr>
                <w:color w:val="000000" w:themeColor="text1"/>
                <w:sz w:val="22"/>
                <w:szCs w:val="22"/>
              </w:rPr>
              <w:t xml:space="preserve">Annie Blake Finance operations team leader </w:t>
            </w:r>
          </w:p>
          <w:p w14:paraId="51875B90" w14:textId="77777777" w:rsidR="00A47CE6" w:rsidRDefault="00A47CE6" w:rsidP="008D55FE">
            <w:pPr>
              <w:pStyle w:val="Default"/>
              <w:rPr>
                <w:color w:val="000000" w:themeColor="text1"/>
                <w:sz w:val="22"/>
                <w:szCs w:val="22"/>
              </w:rPr>
            </w:pPr>
          </w:p>
          <w:p w14:paraId="6AA5C418" w14:textId="77777777" w:rsidR="00A47CE6" w:rsidRDefault="00A47CE6" w:rsidP="008D55FE">
            <w:pPr>
              <w:pStyle w:val="Default"/>
              <w:rPr>
                <w:color w:val="000000" w:themeColor="text1"/>
                <w:sz w:val="22"/>
                <w:szCs w:val="22"/>
              </w:rPr>
            </w:pPr>
          </w:p>
          <w:p w14:paraId="4CA723EB" w14:textId="77777777" w:rsidR="00A47CE6" w:rsidRDefault="00A47CE6" w:rsidP="008D55FE">
            <w:pPr>
              <w:pStyle w:val="Default"/>
              <w:rPr>
                <w:color w:val="000000" w:themeColor="text1"/>
                <w:sz w:val="22"/>
                <w:szCs w:val="22"/>
              </w:rPr>
            </w:pPr>
            <w:r>
              <w:rPr>
                <w:color w:val="000000" w:themeColor="text1"/>
                <w:sz w:val="22"/>
                <w:szCs w:val="22"/>
              </w:rPr>
              <w:t>1</w:t>
            </w:r>
            <w:r w:rsidRPr="00A47CE6">
              <w:rPr>
                <w:color w:val="000000" w:themeColor="text1"/>
                <w:sz w:val="22"/>
                <w:szCs w:val="22"/>
                <w:vertAlign w:val="superscript"/>
              </w:rPr>
              <w:t>st</w:t>
            </w:r>
            <w:r>
              <w:rPr>
                <w:color w:val="000000" w:themeColor="text1"/>
                <w:sz w:val="22"/>
                <w:szCs w:val="22"/>
              </w:rPr>
              <w:t xml:space="preserve"> Dec 2024</w:t>
            </w:r>
          </w:p>
          <w:p w14:paraId="5144B8B7" w14:textId="77777777" w:rsidR="00BF43D4" w:rsidRDefault="00BF43D4" w:rsidP="008D55FE">
            <w:pPr>
              <w:pStyle w:val="Default"/>
              <w:rPr>
                <w:color w:val="000000" w:themeColor="text1"/>
                <w:sz w:val="22"/>
                <w:szCs w:val="22"/>
              </w:rPr>
            </w:pPr>
          </w:p>
          <w:p w14:paraId="6DF78E79" w14:textId="70BA0A5A" w:rsidR="00BF43D4" w:rsidRPr="00D05F06" w:rsidRDefault="00BF43D4" w:rsidP="008D55FE">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4D21B769" w14:textId="77777777" w:rsidR="008C4817" w:rsidRPr="005F5142" w:rsidRDefault="008C4817" w:rsidP="008D55FE">
            <w:pPr>
              <w:spacing w:line="276" w:lineRule="auto"/>
              <w:rPr>
                <w:rFonts w:asciiTheme="minorHAnsi" w:hAnsiTheme="minorHAnsi" w:cstheme="minorHAnsi"/>
                <w:b/>
                <w:color w:val="FF0000"/>
              </w:rPr>
            </w:pPr>
          </w:p>
        </w:tc>
      </w:tr>
    </w:tbl>
    <w:p w14:paraId="2532C098" w14:textId="77777777" w:rsidR="00A0527C" w:rsidRDefault="00A0527C" w:rsidP="00FB30A6">
      <w:pPr>
        <w:spacing w:after="200" w:line="276" w:lineRule="auto"/>
        <w:rPr>
          <w:rFonts w:cstheme="minorHAnsi"/>
          <w:b/>
          <w:bCs/>
          <w:color w:val="000000"/>
        </w:rPr>
      </w:pPr>
    </w:p>
    <w:p w14:paraId="1C9FB16A" w14:textId="77777777" w:rsidR="009355D3" w:rsidRDefault="009355D3" w:rsidP="00FB30A6">
      <w:pPr>
        <w:spacing w:after="200" w:line="276" w:lineRule="auto"/>
        <w:rPr>
          <w:rFonts w:cstheme="minorHAnsi"/>
          <w:b/>
          <w:bCs/>
          <w:color w:val="000000"/>
        </w:rPr>
      </w:pPr>
    </w:p>
    <w:p w14:paraId="243FA700" w14:textId="77777777" w:rsidR="009355D3" w:rsidRDefault="009355D3" w:rsidP="00FB30A6">
      <w:pPr>
        <w:spacing w:after="200" w:line="276" w:lineRule="auto"/>
        <w:rPr>
          <w:rFonts w:cstheme="minorHAnsi"/>
          <w:b/>
          <w:bCs/>
          <w:color w:val="000000"/>
        </w:rPr>
      </w:pPr>
    </w:p>
    <w:p w14:paraId="0369665F" w14:textId="77777777" w:rsidR="008C4817" w:rsidRDefault="008C4817" w:rsidP="008C4817">
      <w:pPr>
        <w:spacing w:after="200" w:line="276" w:lineRule="auto"/>
        <w:rPr>
          <w:rFonts w:cstheme="minorHAnsi"/>
          <w:b/>
          <w:bCs/>
          <w:color w:val="000000"/>
        </w:rPr>
      </w:pPr>
      <w:r>
        <w:rPr>
          <w:rFonts w:cstheme="minorHAnsi"/>
          <w:b/>
          <w:bCs/>
          <w:color w:val="000000"/>
        </w:rPr>
        <w:lastRenderedPageBreak/>
        <w:t>Core Financials (Joint) – November 2024</w:t>
      </w:r>
    </w:p>
    <w:tbl>
      <w:tblPr>
        <w:tblStyle w:val="TableGrid1"/>
        <w:tblW w:w="15309" w:type="dxa"/>
        <w:tblInd w:w="-572" w:type="dxa"/>
        <w:tblLook w:val="04A0" w:firstRow="1" w:lastRow="0" w:firstColumn="1" w:lastColumn="0" w:noHBand="0" w:noVBand="1"/>
      </w:tblPr>
      <w:tblGrid>
        <w:gridCol w:w="399"/>
        <w:gridCol w:w="5697"/>
        <w:gridCol w:w="2693"/>
        <w:gridCol w:w="992"/>
        <w:gridCol w:w="3119"/>
        <w:gridCol w:w="1559"/>
        <w:gridCol w:w="850"/>
      </w:tblGrid>
      <w:tr w:rsidR="008C4817" w:rsidRPr="00291B4B" w14:paraId="2858D1CA" w14:textId="77777777" w:rsidTr="00E77476">
        <w:tc>
          <w:tcPr>
            <w:tcW w:w="399" w:type="dxa"/>
            <w:shd w:val="clear" w:color="auto" w:fill="632E9E"/>
          </w:tcPr>
          <w:p w14:paraId="6463D119"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 xml:space="preserve">   </w:t>
            </w:r>
          </w:p>
        </w:tc>
        <w:tc>
          <w:tcPr>
            <w:tcW w:w="5697" w:type="dxa"/>
            <w:shd w:val="clear" w:color="auto" w:fill="632E9E"/>
          </w:tcPr>
          <w:p w14:paraId="64599069"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Observation/Risk</w:t>
            </w:r>
          </w:p>
        </w:tc>
        <w:tc>
          <w:tcPr>
            <w:tcW w:w="2693" w:type="dxa"/>
            <w:shd w:val="clear" w:color="auto" w:fill="632E9E"/>
          </w:tcPr>
          <w:p w14:paraId="5B05EE4D"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0D93D7DE"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Priority</w:t>
            </w:r>
          </w:p>
        </w:tc>
        <w:tc>
          <w:tcPr>
            <w:tcW w:w="3119" w:type="dxa"/>
            <w:shd w:val="clear" w:color="auto" w:fill="632E9E"/>
          </w:tcPr>
          <w:p w14:paraId="7BCD1598"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05C26008"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0CEAD778"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Status</w:t>
            </w:r>
          </w:p>
        </w:tc>
      </w:tr>
      <w:tr w:rsidR="008C4817" w:rsidRPr="005F5142" w14:paraId="624CC8AE" w14:textId="77777777" w:rsidTr="006B150C">
        <w:trPr>
          <w:trHeight w:val="844"/>
        </w:trPr>
        <w:tc>
          <w:tcPr>
            <w:tcW w:w="399" w:type="dxa"/>
            <w:tcMar>
              <w:left w:w="57" w:type="dxa"/>
              <w:right w:w="57" w:type="dxa"/>
            </w:tcMar>
          </w:tcPr>
          <w:p w14:paraId="7274F8E3" w14:textId="2073CE5E" w:rsidR="008C4817" w:rsidRPr="005F5142" w:rsidRDefault="00085B08" w:rsidP="008D55FE">
            <w:pPr>
              <w:rPr>
                <w:rFonts w:asciiTheme="minorHAnsi" w:hAnsiTheme="minorHAnsi" w:cstheme="minorHAnsi"/>
                <w:b/>
              </w:rPr>
            </w:pPr>
            <w:r>
              <w:rPr>
                <w:rFonts w:asciiTheme="minorHAnsi" w:hAnsiTheme="minorHAnsi" w:cstheme="minorHAnsi"/>
                <w:b/>
              </w:rPr>
              <w:t>2</w:t>
            </w:r>
          </w:p>
        </w:tc>
        <w:tc>
          <w:tcPr>
            <w:tcW w:w="5697" w:type="dxa"/>
          </w:tcPr>
          <w:p w14:paraId="30B089A0" w14:textId="77777777" w:rsidR="00A0527C" w:rsidRPr="00A0527C" w:rsidRDefault="00A0527C" w:rsidP="00C601D2">
            <w:pPr>
              <w:pStyle w:val="Default"/>
              <w:rPr>
                <w:b/>
                <w:sz w:val="22"/>
                <w:szCs w:val="22"/>
              </w:rPr>
            </w:pPr>
            <w:r w:rsidRPr="00A0527C">
              <w:rPr>
                <w:b/>
                <w:sz w:val="22"/>
                <w:szCs w:val="22"/>
              </w:rPr>
              <w:t>Debt Recovery</w:t>
            </w:r>
          </w:p>
          <w:p w14:paraId="54E2EA54" w14:textId="298D66E1" w:rsidR="00C601D2" w:rsidRPr="00C601D2" w:rsidRDefault="00C601D2" w:rsidP="00C601D2">
            <w:pPr>
              <w:pStyle w:val="Default"/>
              <w:rPr>
                <w:sz w:val="22"/>
                <w:szCs w:val="22"/>
              </w:rPr>
            </w:pPr>
            <w:r w:rsidRPr="00C601D2">
              <w:rPr>
                <w:sz w:val="22"/>
                <w:szCs w:val="22"/>
              </w:rPr>
              <w:t>The Force and NCFRA have an Aged Debt Process document in place last reviewed</w:t>
            </w:r>
            <w:r>
              <w:rPr>
                <w:sz w:val="22"/>
                <w:szCs w:val="22"/>
              </w:rPr>
              <w:t xml:space="preserve"> </w:t>
            </w:r>
            <w:r w:rsidRPr="00C601D2">
              <w:rPr>
                <w:sz w:val="22"/>
                <w:szCs w:val="22"/>
              </w:rPr>
              <w:t>May 2023 which sets out the processes to be followed by Finance Operations for the</w:t>
            </w:r>
          </w:p>
          <w:p w14:paraId="20447880" w14:textId="77777777" w:rsidR="00C601D2" w:rsidRPr="00C601D2" w:rsidRDefault="00C601D2" w:rsidP="00C601D2">
            <w:pPr>
              <w:pStyle w:val="Default"/>
              <w:rPr>
                <w:sz w:val="22"/>
                <w:szCs w:val="22"/>
              </w:rPr>
            </w:pPr>
            <w:r w:rsidRPr="00C601D2">
              <w:rPr>
                <w:sz w:val="22"/>
                <w:szCs w:val="22"/>
              </w:rPr>
              <w:t>collection and recovery of overdue income:</w:t>
            </w:r>
          </w:p>
          <w:p w14:paraId="1F72705C" w14:textId="4BFC4176" w:rsidR="00C601D2" w:rsidRPr="00C601D2" w:rsidRDefault="00C601D2" w:rsidP="00C601D2">
            <w:pPr>
              <w:pStyle w:val="Default"/>
              <w:rPr>
                <w:sz w:val="22"/>
                <w:szCs w:val="22"/>
              </w:rPr>
            </w:pPr>
            <w:r w:rsidRPr="00C601D2">
              <w:rPr>
                <w:sz w:val="22"/>
                <w:szCs w:val="22"/>
              </w:rPr>
              <w:t>Day 1 – A copy of the invoice is emailed o</w:t>
            </w:r>
            <w:r>
              <w:rPr>
                <w:sz w:val="22"/>
                <w:szCs w:val="22"/>
              </w:rPr>
              <w:t xml:space="preserve">ut to the customer requesting a </w:t>
            </w:r>
            <w:r w:rsidRPr="00C601D2">
              <w:rPr>
                <w:sz w:val="22"/>
                <w:szCs w:val="22"/>
              </w:rPr>
              <w:t>payment date.</w:t>
            </w:r>
          </w:p>
          <w:p w14:paraId="044D4015" w14:textId="671641FD" w:rsidR="00C601D2" w:rsidRPr="00C601D2" w:rsidRDefault="00C601D2" w:rsidP="00C601D2">
            <w:pPr>
              <w:pStyle w:val="Default"/>
              <w:rPr>
                <w:sz w:val="22"/>
                <w:szCs w:val="22"/>
              </w:rPr>
            </w:pPr>
            <w:r w:rsidRPr="00C601D2">
              <w:rPr>
                <w:sz w:val="22"/>
                <w:szCs w:val="22"/>
              </w:rPr>
              <w:t>Day 7 – Follow up by emailing a statement to the customer.</w:t>
            </w:r>
          </w:p>
          <w:p w14:paraId="22A0241F" w14:textId="040E8396" w:rsidR="00C601D2" w:rsidRPr="00C601D2" w:rsidRDefault="00C601D2" w:rsidP="00C601D2">
            <w:pPr>
              <w:pStyle w:val="Default"/>
              <w:rPr>
                <w:sz w:val="22"/>
                <w:szCs w:val="22"/>
              </w:rPr>
            </w:pPr>
            <w:r w:rsidRPr="00C601D2">
              <w:rPr>
                <w:sz w:val="22"/>
                <w:szCs w:val="22"/>
              </w:rPr>
              <w:t>Day 10 – Contact the customer by phone to request a payment date.</w:t>
            </w:r>
          </w:p>
          <w:p w14:paraId="6FDEB13F" w14:textId="33725A66" w:rsidR="00C601D2" w:rsidRPr="00C601D2" w:rsidRDefault="00C601D2" w:rsidP="00C601D2">
            <w:pPr>
              <w:pStyle w:val="Default"/>
              <w:rPr>
                <w:sz w:val="22"/>
                <w:szCs w:val="22"/>
              </w:rPr>
            </w:pPr>
            <w:r w:rsidRPr="00C601D2">
              <w:rPr>
                <w:sz w:val="22"/>
                <w:szCs w:val="22"/>
              </w:rPr>
              <w:t xml:space="preserve">Customers are expected to be continued to be contacted </w:t>
            </w:r>
            <w:r>
              <w:rPr>
                <w:sz w:val="22"/>
                <w:szCs w:val="22"/>
              </w:rPr>
              <w:t xml:space="preserve">at this point if no replies are received. </w:t>
            </w:r>
            <w:r w:rsidRPr="00C601D2">
              <w:rPr>
                <w:sz w:val="22"/>
                <w:szCs w:val="22"/>
              </w:rPr>
              <w:t xml:space="preserve">Additionally, a customer aged debt report is run on </w:t>
            </w:r>
            <w:r>
              <w:rPr>
                <w:sz w:val="22"/>
                <w:szCs w:val="22"/>
              </w:rPr>
              <w:t xml:space="preserve">a monthly basis and reviewed by </w:t>
            </w:r>
            <w:r w:rsidRPr="00C601D2">
              <w:rPr>
                <w:sz w:val="22"/>
                <w:szCs w:val="22"/>
              </w:rPr>
              <w:t>the Finance Operations Team Leader to determin</w:t>
            </w:r>
            <w:r>
              <w:rPr>
                <w:sz w:val="22"/>
                <w:szCs w:val="22"/>
              </w:rPr>
              <w:t xml:space="preserve">e actions to take in respect of </w:t>
            </w:r>
            <w:r w:rsidRPr="00C601D2">
              <w:rPr>
                <w:sz w:val="22"/>
                <w:szCs w:val="22"/>
              </w:rPr>
              <w:t xml:space="preserve">chasing or if debt should be forwarded to Legal </w:t>
            </w:r>
            <w:r>
              <w:rPr>
                <w:sz w:val="22"/>
                <w:szCs w:val="22"/>
              </w:rPr>
              <w:t xml:space="preserve">or requested to be written off. </w:t>
            </w:r>
            <w:r w:rsidRPr="00C601D2">
              <w:rPr>
                <w:sz w:val="22"/>
                <w:szCs w:val="22"/>
              </w:rPr>
              <w:t>Our review of the Aged Debt Process document did fin</w:t>
            </w:r>
            <w:r>
              <w:rPr>
                <w:sz w:val="22"/>
                <w:szCs w:val="22"/>
              </w:rPr>
              <w:t xml:space="preserve">d that it was due for review in </w:t>
            </w:r>
            <w:r w:rsidRPr="00C601D2">
              <w:rPr>
                <w:sz w:val="22"/>
                <w:szCs w:val="22"/>
              </w:rPr>
              <w:t>August 2024, but this had not been completed at the time of the audit.</w:t>
            </w:r>
          </w:p>
          <w:p w14:paraId="11A08B6B" w14:textId="0FE64938" w:rsidR="00C601D2" w:rsidRPr="00C601D2" w:rsidRDefault="00C601D2" w:rsidP="00C601D2">
            <w:pPr>
              <w:pStyle w:val="Default"/>
              <w:rPr>
                <w:sz w:val="22"/>
                <w:szCs w:val="22"/>
              </w:rPr>
            </w:pPr>
            <w:r w:rsidRPr="00C601D2">
              <w:rPr>
                <w:sz w:val="22"/>
                <w:szCs w:val="22"/>
              </w:rPr>
              <w:t>Also, we reviewed a sample of 10 debtor invoices at the</w:t>
            </w:r>
            <w:r>
              <w:rPr>
                <w:sz w:val="22"/>
                <w:szCs w:val="22"/>
              </w:rPr>
              <w:t xml:space="preserve"> Force and seven at NCFRA </w:t>
            </w:r>
            <w:r w:rsidRPr="00C601D2">
              <w:rPr>
                <w:sz w:val="22"/>
                <w:szCs w:val="22"/>
              </w:rPr>
              <w:t>to confirm that aged debt processes had been followed in accordance with the</w:t>
            </w:r>
          </w:p>
          <w:p w14:paraId="571139C6" w14:textId="08A684F7" w:rsidR="00C601D2" w:rsidRPr="00C601D2" w:rsidRDefault="00C601D2" w:rsidP="00C601D2">
            <w:pPr>
              <w:pStyle w:val="Default"/>
              <w:rPr>
                <w:sz w:val="22"/>
                <w:szCs w:val="22"/>
              </w:rPr>
            </w:pPr>
            <w:r w:rsidRPr="00C601D2">
              <w:rPr>
                <w:sz w:val="22"/>
                <w:szCs w:val="22"/>
              </w:rPr>
              <w:t>Procedural document. We found:</w:t>
            </w:r>
          </w:p>
          <w:p w14:paraId="08B4E69D" w14:textId="2BC2BFFC" w:rsidR="00C601D2" w:rsidRPr="00C601D2" w:rsidRDefault="00C601D2" w:rsidP="00C601D2">
            <w:pPr>
              <w:pStyle w:val="Default"/>
              <w:rPr>
                <w:sz w:val="22"/>
                <w:szCs w:val="22"/>
              </w:rPr>
            </w:pPr>
            <w:r w:rsidRPr="00E77476">
              <w:rPr>
                <w:b/>
                <w:color w:val="002060"/>
                <w:sz w:val="22"/>
                <w:szCs w:val="22"/>
              </w:rPr>
              <w:t>Force</w:t>
            </w:r>
            <w:r w:rsidRPr="00C601D2">
              <w:rPr>
                <w:sz w:val="22"/>
                <w:szCs w:val="22"/>
              </w:rPr>
              <w:t xml:space="preserve"> – Four instances where debt proc</w:t>
            </w:r>
            <w:r>
              <w:rPr>
                <w:sz w:val="22"/>
                <w:szCs w:val="22"/>
              </w:rPr>
              <w:t xml:space="preserve">edures had not been followed in </w:t>
            </w:r>
            <w:r w:rsidRPr="00C601D2">
              <w:rPr>
                <w:sz w:val="22"/>
                <w:szCs w:val="22"/>
              </w:rPr>
              <w:t>accordance with the Process document. This include</w:t>
            </w:r>
            <w:r>
              <w:rPr>
                <w:sz w:val="22"/>
                <w:szCs w:val="22"/>
              </w:rPr>
              <w:t xml:space="preserve">d one salary </w:t>
            </w:r>
            <w:r w:rsidRPr="00C601D2">
              <w:rPr>
                <w:sz w:val="22"/>
                <w:szCs w:val="22"/>
              </w:rPr>
              <w:t>overpayment (£2,400) and three other d</w:t>
            </w:r>
            <w:r>
              <w:rPr>
                <w:sz w:val="22"/>
                <w:szCs w:val="22"/>
              </w:rPr>
              <w:t xml:space="preserve">ebtors (£104,419.78, £7,000 and </w:t>
            </w:r>
            <w:r w:rsidRPr="00C601D2">
              <w:rPr>
                <w:sz w:val="22"/>
                <w:szCs w:val="22"/>
              </w:rPr>
              <w:t>£2828.57) where required contact at day seven, day ten and subsequent</w:t>
            </w:r>
          </w:p>
          <w:p w14:paraId="554360B1" w14:textId="52307FA0" w:rsidR="00C601D2" w:rsidRPr="00C601D2" w:rsidRDefault="00C601D2" w:rsidP="00C601D2">
            <w:pPr>
              <w:pStyle w:val="Default"/>
              <w:rPr>
                <w:sz w:val="22"/>
                <w:szCs w:val="22"/>
              </w:rPr>
            </w:pPr>
            <w:r w:rsidRPr="00C601D2">
              <w:rPr>
                <w:sz w:val="22"/>
                <w:szCs w:val="22"/>
              </w:rPr>
              <w:t>reminders had either not occurred or d</w:t>
            </w:r>
            <w:r>
              <w:rPr>
                <w:sz w:val="22"/>
                <w:szCs w:val="22"/>
              </w:rPr>
              <w:t xml:space="preserve">ocumented evidence could not be </w:t>
            </w:r>
            <w:r w:rsidRPr="00C601D2">
              <w:rPr>
                <w:sz w:val="22"/>
                <w:szCs w:val="22"/>
              </w:rPr>
              <w:t>provided. (Range of 43 – 340 days overdue and average of 155 days).</w:t>
            </w:r>
          </w:p>
          <w:p w14:paraId="4EE3E420" w14:textId="77777777" w:rsidR="008C4817" w:rsidRDefault="00C601D2" w:rsidP="00C601D2">
            <w:pPr>
              <w:pStyle w:val="Default"/>
              <w:rPr>
                <w:sz w:val="22"/>
                <w:szCs w:val="22"/>
              </w:rPr>
            </w:pPr>
            <w:r w:rsidRPr="00E77476">
              <w:rPr>
                <w:color w:val="FF0000"/>
                <w:sz w:val="22"/>
                <w:szCs w:val="22"/>
              </w:rPr>
              <w:lastRenderedPageBreak/>
              <w:t>NCFRA</w:t>
            </w:r>
            <w:r w:rsidRPr="00E77476">
              <w:rPr>
                <w:b/>
                <w:color w:val="FF0000"/>
                <w:sz w:val="22"/>
                <w:szCs w:val="22"/>
              </w:rPr>
              <w:t xml:space="preserve"> </w:t>
            </w:r>
            <w:r w:rsidRPr="00C601D2">
              <w:rPr>
                <w:sz w:val="22"/>
                <w:szCs w:val="22"/>
              </w:rPr>
              <w:t>– Three instances where debt h</w:t>
            </w:r>
            <w:r>
              <w:rPr>
                <w:sz w:val="22"/>
                <w:szCs w:val="22"/>
              </w:rPr>
              <w:t xml:space="preserve">ad now been paid, although they </w:t>
            </w:r>
            <w:r w:rsidRPr="00C601D2">
              <w:rPr>
                <w:sz w:val="22"/>
                <w:szCs w:val="22"/>
              </w:rPr>
              <w:t>were late by 122 days, 111 days and 46 d</w:t>
            </w:r>
            <w:r>
              <w:rPr>
                <w:sz w:val="22"/>
                <w:szCs w:val="22"/>
              </w:rPr>
              <w:t xml:space="preserve">ays from the payment date. This </w:t>
            </w:r>
            <w:r w:rsidRPr="00C601D2">
              <w:rPr>
                <w:sz w:val="22"/>
                <w:szCs w:val="22"/>
              </w:rPr>
              <w:t xml:space="preserve">was due to no Purchase Order being included </w:t>
            </w:r>
            <w:r>
              <w:rPr>
                <w:sz w:val="22"/>
                <w:szCs w:val="22"/>
              </w:rPr>
              <w:t xml:space="preserve">on the sales invoice and a lack </w:t>
            </w:r>
            <w:r w:rsidRPr="00C601D2">
              <w:rPr>
                <w:sz w:val="22"/>
                <w:szCs w:val="22"/>
              </w:rPr>
              <w:t>of aged debt processes being followed.</w:t>
            </w:r>
          </w:p>
          <w:p w14:paraId="788F95AC" w14:textId="296E2B00" w:rsidR="00E77476" w:rsidRPr="00E77476" w:rsidRDefault="00E77476" w:rsidP="00E77476">
            <w:pPr>
              <w:pStyle w:val="Default"/>
              <w:rPr>
                <w:sz w:val="22"/>
                <w:szCs w:val="22"/>
              </w:rPr>
            </w:pPr>
            <w:r w:rsidRPr="00E77476">
              <w:rPr>
                <w:color w:val="FF0000"/>
                <w:sz w:val="22"/>
                <w:szCs w:val="22"/>
              </w:rPr>
              <w:t>NCFRA</w:t>
            </w:r>
            <w:r w:rsidRPr="00E77476">
              <w:rPr>
                <w:sz w:val="22"/>
                <w:szCs w:val="22"/>
              </w:rPr>
              <w:t xml:space="preserve"> – Four instances where debt remained overdue and the required debt</w:t>
            </w:r>
            <w:r>
              <w:rPr>
                <w:sz w:val="22"/>
                <w:szCs w:val="22"/>
              </w:rPr>
              <w:t xml:space="preserve"> </w:t>
            </w:r>
            <w:r w:rsidRPr="00E77476">
              <w:rPr>
                <w:sz w:val="22"/>
                <w:szCs w:val="22"/>
              </w:rPr>
              <w:t>management processes had not been followed or documented evidence</w:t>
            </w:r>
            <w:r>
              <w:rPr>
                <w:sz w:val="22"/>
                <w:szCs w:val="22"/>
              </w:rPr>
              <w:t xml:space="preserve"> </w:t>
            </w:r>
            <w:r w:rsidRPr="00E77476">
              <w:rPr>
                <w:sz w:val="22"/>
                <w:szCs w:val="22"/>
              </w:rPr>
              <w:t>could not be provided per the Process document. In addition, two of these</w:t>
            </w:r>
          </w:p>
          <w:p w14:paraId="266818B7" w14:textId="77777777" w:rsidR="00E77476" w:rsidRDefault="00E77476" w:rsidP="00E77476">
            <w:pPr>
              <w:pStyle w:val="Default"/>
            </w:pPr>
            <w:r w:rsidRPr="00E77476">
              <w:rPr>
                <w:sz w:val="22"/>
                <w:szCs w:val="22"/>
              </w:rPr>
              <w:t>instances have been further delayed due t</w:t>
            </w:r>
            <w:r>
              <w:rPr>
                <w:sz w:val="22"/>
                <w:szCs w:val="22"/>
              </w:rPr>
              <w:t xml:space="preserve">o invoices being as there is no </w:t>
            </w:r>
            <w:r w:rsidRPr="00E77476">
              <w:rPr>
                <w:sz w:val="22"/>
                <w:szCs w:val="22"/>
              </w:rPr>
              <w:t>Purchase Order.</w:t>
            </w:r>
            <w:r>
              <w:t xml:space="preserve"> </w:t>
            </w:r>
          </w:p>
          <w:p w14:paraId="0C7D19C0" w14:textId="65991F82" w:rsidR="00E77476" w:rsidRPr="008C0410" w:rsidRDefault="00E77476" w:rsidP="00E77476">
            <w:pPr>
              <w:pStyle w:val="Default"/>
              <w:rPr>
                <w:sz w:val="22"/>
                <w:szCs w:val="22"/>
              </w:rPr>
            </w:pPr>
            <w:r w:rsidRPr="00E77476">
              <w:rPr>
                <w:b/>
                <w:sz w:val="22"/>
                <w:szCs w:val="22"/>
              </w:rPr>
              <w:t>Risk and Impact:</w:t>
            </w:r>
            <w:r w:rsidRPr="00E77476">
              <w:rPr>
                <w:sz w:val="22"/>
                <w:szCs w:val="22"/>
              </w:rPr>
              <w:t xml:space="preserve"> Aged debt processes are not fo</w:t>
            </w:r>
            <w:r>
              <w:rPr>
                <w:sz w:val="22"/>
                <w:szCs w:val="22"/>
              </w:rPr>
              <w:t xml:space="preserve">llowed or performed in a timely </w:t>
            </w:r>
            <w:r w:rsidRPr="00E77476">
              <w:rPr>
                <w:sz w:val="22"/>
                <w:szCs w:val="22"/>
              </w:rPr>
              <w:t xml:space="preserve">manner leading to loss of money </w:t>
            </w:r>
            <w:r>
              <w:rPr>
                <w:sz w:val="22"/>
                <w:szCs w:val="22"/>
              </w:rPr>
              <w:t xml:space="preserve">owed to the OPFCC. </w:t>
            </w:r>
            <w:r w:rsidRPr="00E77476">
              <w:rPr>
                <w:sz w:val="22"/>
                <w:szCs w:val="22"/>
              </w:rPr>
              <w:t>Purchase orders are not included on Sales Invoices whe</w:t>
            </w:r>
            <w:r>
              <w:rPr>
                <w:sz w:val="22"/>
                <w:szCs w:val="22"/>
              </w:rPr>
              <w:t xml:space="preserve">n required resulting in a build </w:t>
            </w:r>
            <w:r w:rsidRPr="00E77476">
              <w:rPr>
                <w:sz w:val="22"/>
                <w:szCs w:val="22"/>
              </w:rPr>
              <w:t>of overdue income and delayed payments to the OPFCC.</w:t>
            </w:r>
          </w:p>
        </w:tc>
        <w:tc>
          <w:tcPr>
            <w:tcW w:w="2693" w:type="dxa"/>
          </w:tcPr>
          <w:p w14:paraId="764BDD27" w14:textId="38C36DEF" w:rsidR="001570C9" w:rsidRPr="001570C9" w:rsidRDefault="001570C9" w:rsidP="001570C9">
            <w:pPr>
              <w:pStyle w:val="ListParagraph"/>
              <w:ind w:left="0"/>
              <w:rPr>
                <w:rFonts w:asciiTheme="minorHAnsi" w:hAnsiTheme="minorHAnsi" w:cstheme="minorHAnsi"/>
              </w:rPr>
            </w:pPr>
            <w:r w:rsidRPr="001570C9">
              <w:rPr>
                <w:rFonts w:asciiTheme="minorHAnsi" w:hAnsiTheme="minorHAnsi" w:cstheme="minorHAnsi"/>
              </w:rPr>
              <w:lastRenderedPageBreak/>
              <w:t xml:space="preserve">The </w:t>
            </w:r>
            <w:r w:rsidRPr="001570C9">
              <w:rPr>
                <w:rFonts w:asciiTheme="minorHAnsi" w:hAnsiTheme="minorHAnsi" w:cstheme="minorHAnsi"/>
                <w:color w:val="0070C0"/>
              </w:rPr>
              <w:t>Force</w:t>
            </w:r>
            <w:r w:rsidRPr="001570C9">
              <w:rPr>
                <w:rFonts w:asciiTheme="minorHAnsi" w:hAnsiTheme="minorHAnsi" w:cstheme="minorHAnsi"/>
              </w:rPr>
              <w:t xml:space="preserve"> and </w:t>
            </w:r>
            <w:r w:rsidRPr="001570C9">
              <w:rPr>
                <w:rFonts w:asciiTheme="minorHAnsi" w:hAnsiTheme="minorHAnsi" w:cstheme="minorHAnsi"/>
                <w:color w:val="FF0000"/>
              </w:rPr>
              <w:t xml:space="preserve">NCFRA </w:t>
            </w:r>
            <w:r w:rsidRPr="001570C9">
              <w:rPr>
                <w:rFonts w:asciiTheme="minorHAnsi" w:hAnsiTheme="minorHAnsi" w:cstheme="minorHAnsi"/>
              </w:rPr>
              <w:t>should review the Aged Debt</w:t>
            </w:r>
            <w:r>
              <w:rPr>
                <w:rFonts w:asciiTheme="minorHAnsi" w:hAnsiTheme="minorHAnsi" w:cstheme="minorHAnsi"/>
              </w:rPr>
              <w:t xml:space="preserve"> </w:t>
            </w:r>
            <w:r w:rsidRPr="001570C9">
              <w:rPr>
                <w:rFonts w:asciiTheme="minorHAnsi" w:hAnsiTheme="minorHAnsi" w:cstheme="minorHAnsi"/>
              </w:rPr>
              <w:t>Process document in line with its review cycle.</w:t>
            </w:r>
          </w:p>
          <w:p w14:paraId="04808278" w14:textId="54A20ED7" w:rsidR="001570C9" w:rsidRPr="001570C9" w:rsidRDefault="001570C9" w:rsidP="001570C9">
            <w:pPr>
              <w:pStyle w:val="ListParagraph"/>
              <w:ind w:left="0"/>
              <w:rPr>
                <w:rFonts w:asciiTheme="minorHAnsi" w:hAnsiTheme="minorHAnsi" w:cstheme="minorHAnsi"/>
              </w:rPr>
            </w:pPr>
            <w:r w:rsidRPr="001570C9">
              <w:rPr>
                <w:rFonts w:asciiTheme="minorHAnsi" w:hAnsiTheme="minorHAnsi" w:cstheme="minorHAnsi"/>
              </w:rPr>
              <w:t xml:space="preserve">2. The </w:t>
            </w:r>
            <w:r w:rsidRPr="001570C9">
              <w:rPr>
                <w:rFonts w:asciiTheme="minorHAnsi" w:hAnsiTheme="minorHAnsi" w:cstheme="minorHAnsi"/>
                <w:color w:val="0070C0"/>
              </w:rPr>
              <w:t>Force</w:t>
            </w:r>
            <w:r w:rsidRPr="001570C9">
              <w:rPr>
                <w:rFonts w:asciiTheme="minorHAnsi" w:hAnsiTheme="minorHAnsi" w:cstheme="minorHAnsi"/>
              </w:rPr>
              <w:t xml:space="preserve"> and </w:t>
            </w:r>
            <w:r w:rsidRPr="001570C9">
              <w:rPr>
                <w:rFonts w:asciiTheme="minorHAnsi" w:hAnsiTheme="minorHAnsi" w:cstheme="minorHAnsi"/>
                <w:color w:val="FF0000"/>
              </w:rPr>
              <w:t xml:space="preserve">NCFRA </w:t>
            </w:r>
            <w:r w:rsidRPr="001570C9">
              <w:rPr>
                <w:rFonts w:asciiTheme="minorHAnsi" w:hAnsiTheme="minorHAnsi" w:cstheme="minorHAnsi"/>
              </w:rPr>
              <w:t>s</w:t>
            </w:r>
            <w:r>
              <w:rPr>
                <w:rFonts w:asciiTheme="minorHAnsi" w:hAnsiTheme="minorHAnsi" w:cstheme="minorHAnsi"/>
              </w:rPr>
              <w:t xml:space="preserve">hould ensure that the Aged Debt </w:t>
            </w:r>
            <w:r w:rsidRPr="001570C9">
              <w:rPr>
                <w:rFonts w:asciiTheme="minorHAnsi" w:hAnsiTheme="minorHAnsi" w:cstheme="minorHAnsi"/>
              </w:rPr>
              <w:t>Process is followed in a timely manner for overdue</w:t>
            </w:r>
          </w:p>
          <w:p w14:paraId="29B24B8D" w14:textId="49641C82" w:rsidR="001570C9" w:rsidRPr="001570C9" w:rsidRDefault="001570C9" w:rsidP="001570C9">
            <w:pPr>
              <w:pStyle w:val="ListParagraph"/>
              <w:ind w:left="0"/>
              <w:rPr>
                <w:rFonts w:asciiTheme="minorHAnsi" w:hAnsiTheme="minorHAnsi" w:cstheme="minorHAnsi"/>
              </w:rPr>
            </w:pPr>
            <w:r w:rsidRPr="001570C9">
              <w:rPr>
                <w:rFonts w:asciiTheme="minorHAnsi" w:hAnsiTheme="minorHAnsi" w:cstheme="minorHAnsi"/>
              </w:rPr>
              <w:t>income and documented e</w:t>
            </w:r>
            <w:r>
              <w:rPr>
                <w:rFonts w:asciiTheme="minorHAnsi" w:hAnsiTheme="minorHAnsi" w:cstheme="minorHAnsi"/>
              </w:rPr>
              <w:t xml:space="preserve">vidence is retained. To do this </w:t>
            </w:r>
            <w:r w:rsidRPr="001570C9">
              <w:rPr>
                <w:rFonts w:asciiTheme="minorHAnsi" w:hAnsiTheme="minorHAnsi" w:cstheme="minorHAnsi"/>
              </w:rPr>
              <w:t>there should be sufficie</w:t>
            </w:r>
            <w:r>
              <w:rPr>
                <w:rFonts w:asciiTheme="minorHAnsi" w:hAnsiTheme="minorHAnsi" w:cstheme="minorHAnsi"/>
              </w:rPr>
              <w:t xml:space="preserve">nt oversight within the Finance </w:t>
            </w:r>
            <w:r w:rsidRPr="001570C9">
              <w:rPr>
                <w:rFonts w:asciiTheme="minorHAnsi" w:hAnsiTheme="minorHAnsi" w:cstheme="minorHAnsi"/>
              </w:rPr>
              <w:t>Team of overdue income and clear escalation procedures</w:t>
            </w:r>
          </w:p>
          <w:p w14:paraId="5527C7EE" w14:textId="299E451F" w:rsidR="001570C9" w:rsidRPr="001570C9" w:rsidRDefault="001570C9" w:rsidP="001570C9">
            <w:pPr>
              <w:pStyle w:val="ListParagraph"/>
              <w:ind w:left="0"/>
              <w:rPr>
                <w:rFonts w:asciiTheme="minorHAnsi" w:hAnsiTheme="minorHAnsi" w:cstheme="minorHAnsi"/>
              </w:rPr>
            </w:pPr>
            <w:r w:rsidRPr="001570C9">
              <w:rPr>
                <w:rFonts w:asciiTheme="minorHAnsi" w:hAnsiTheme="minorHAnsi" w:cstheme="minorHAnsi"/>
              </w:rPr>
              <w:t>in place to ensure debt</w:t>
            </w:r>
            <w:r>
              <w:rPr>
                <w:rFonts w:asciiTheme="minorHAnsi" w:hAnsiTheme="minorHAnsi" w:cstheme="minorHAnsi"/>
              </w:rPr>
              <w:t xml:space="preserve">s are chased in accordance with </w:t>
            </w:r>
            <w:r w:rsidRPr="001570C9">
              <w:rPr>
                <w:rFonts w:asciiTheme="minorHAnsi" w:hAnsiTheme="minorHAnsi" w:cstheme="minorHAnsi"/>
              </w:rPr>
              <w:t>timelines in the Aged Debt Process.</w:t>
            </w:r>
          </w:p>
          <w:p w14:paraId="365182D6" w14:textId="3F2CEAC8" w:rsidR="008C4817" w:rsidRPr="008C0410" w:rsidRDefault="001570C9" w:rsidP="001570C9">
            <w:pPr>
              <w:pStyle w:val="ListParagraph"/>
              <w:ind w:left="0"/>
              <w:rPr>
                <w:rFonts w:asciiTheme="minorHAnsi" w:hAnsiTheme="minorHAnsi" w:cstheme="minorHAnsi"/>
              </w:rPr>
            </w:pPr>
            <w:r w:rsidRPr="001570C9">
              <w:rPr>
                <w:rFonts w:asciiTheme="minorHAnsi" w:hAnsiTheme="minorHAnsi" w:cstheme="minorHAnsi"/>
              </w:rPr>
              <w:t xml:space="preserve">3. </w:t>
            </w:r>
            <w:r w:rsidRPr="001570C9">
              <w:rPr>
                <w:rFonts w:asciiTheme="minorHAnsi" w:hAnsiTheme="minorHAnsi" w:cstheme="minorHAnsi"/>
                <w:color w:val="FF0000"/>
              </w:rPr>
              <w:t>NCFRA</w:t>
            </w:r>
            <w:r w:rsidRPr="001570C9">
              <w:rPr>
                <w:rFonts w:asciiTheme="minorHAnsi" w:hAnsiTheme="minorHAnsi" w:cstheme="minorHAnsi"/>
              </w:rPr>
              <w:t xml:space="preserve"> should ensure th</w:t>
            </w:r>
            <w:r>
              <w:rPr>
                <w:rFonts w:asciiTheme="minorHAnsi" w:hAnsiTheme="minorHAnsi" w:cstheme="minorHAnsi"/>
              </w:rPr>
              <w:t xml:space="preserve">at Purchase Orders are included </w:t>
            </w:r>
            <w:r w:rsidRPr="001570C9">
              <w:rPr>
                <w:rFonts w:asciiTheme="minorHAnsi" w:hAnsiTheme="minorHAnsi" w:cstheme="minorHAnsi"/>
              </w:rPr>
              <w:t xml:space="preserve">on Sales Invoices when </w:t>
            </w:r>
            <w:r>
              <w:rPr>
                <w:rFonts w:asciiTheme="minorHAnsi" w:hAnsiTheme="minorHAnsi" w:cstheme="minorHAnsi"/>
              </w:rPr>
              <w:t xml:space="preserve">required, identifying customers </w:t>
            </w:r>
            <w:r w:rsidRPr="001570C9">
              <w:rPr>
                <w:rFonts w:asciiTheme="minorHAnsi" w:hAnsiTheme="minorHAnsi" w:cstheme="minorHAnsi"/>
              </w:rPr>
              <w:t>that require this and communicating thi</w:t>
            </w:r>
            <w:r>
              <w:rPr>
                <w:rFonts w:asciiTheme="minorHAnsi" w:hAnsiTheme="minorHAnsi" w:cstheme="minorHAnsi"/>
              </w:rPr>
              <w:t xml:space="preserve">s to the relevant </w:t>
            </w:r>
            <w:r w:rsidRPr="001570C9">
              <w:rPr>
                <w:rFonts w:asciiTheme="minorHAnsi" w:hAnsiTheme="minorHAnsi" w:cstheme="minorHAnsi"/>
              </w:rPr>
              <w:t>staff to avoid payment delays</w:t>
            </w:r>
          </w:p>
        </w:tc>
        <w:tc>
          <w:tcPr>
            <w:tcW w:w="992" w:type="dxa"/>
            <w:shd w:val="clear" w:color="auto" w:fill="FFC000"/>
          </w:tcPr>
          <w:p w14:paraId="70152C66" w14:textId="5F2777A7" w:rsidR="008C4817" w:rsidRPr="008C0410" w:rsidRDefault="001570C9" w:rsidP="008D55FE">
            <w:pPr>
              <w:jc w:val="center"/>
              <w:rPr>
                <w:rFonts w:ascii="Calibri" w:hAnsi="Calibri" w:cs="Calibri"/>
                <w:b/>
              </w:rPr>
            </w:pPr>
            <w:r>
              <w:rPr>
                <w:rFonts w:ascii="Calibri" w:hAnsi="Calibri" w:cs="Calibri"/>
                <w:b/>
              </w:rPr>
              <w:t>Medium</w:t>
            </w:r>
          </w:p>
        </w:tc>
        <w:tc>
          <w:tcPr>
            <w:tcW w:w="3119" w:type="dxa"/>
          </w:tcPr>
          <w:p w14:paraId="012B30C0" w14:textId="2F055002" w:rsidR="001570C9" w:rsidRPr="001570C9" w:rsidRDefault="001570C9" w:rsidP="001570C9">
            <w:pPr>
              <w:pStyle w:val="Default"/>
              <w:rPr>
                <w:bCs/>
                <w:sz w:val="22"/>
                <w:szCs w:val="22"/>
              </w:rPr>
            </w:pPr>
            <w:r w:rsidRPr="001570C9">
              <w:rPr>
                <w:bCs/>
                <w:sz w:val="22"/>
                <w:szCs w:val="22"/>
              </w:rPr>
              <w:t>With the centralisation of raising of sales invoices, the team will have the ability to influence and control the process from st</w:t>
            </w:r>
            <w:r>
              <w:rPr>
                <w:bCs/>
                <w:sz w:val="22"/>
                <w:szCs w:val="22"/>
              </w:rPr>
              <w:t xml:space="preserve">art to finish. This will ensure </w:t>
            </w:r>
            <w:r w:rsidRPr="001570C9">
              <w:rPr>
                <w:bCs/>
                <w:sz w:val="22"/>
                <w:szCs w:val="22"/>
              </w:rPr>
              <w:t>completeness of data before the debt is due for chasing removing delays in payment.</w:t>
            </w:r>
          </w:p>
          <w:p w14:paraId="3CB4BBEB" w14:textId="3235236E" w:rsidR="001570C9" w:rsidRPr="001570C9" w:rsidRDefault="001570C9" w:rsidP="001570C9">
            <w:pPr>
              <w:pStyle w:val="Default"/>
              <w:rPr>
                <w:bCs/>
                <w:sz w:val="22"/>
                <w:szCs w:val="22"/>
              </w:rPr>
            </w:pPr>
            <w:r w:rsidRPr="001570C9">
              <w:rPr>
                <w:bCs/>
                <w:sz w:val="22"/>
                <w:szCs w:val="22"/>
              </w:rPr>
              <w:t>As part of the centralisation process, it will also ensure consistency of process so that people are not new to processe</w:t>
            </w:r>
            <w:r>
              <w:rPr>
                <w:bCs/>
                <w:sz w:val="22"/>
                <w:szCs w:val="22"/>
              </w:rPr>
              <w:t xml:space="preserve">s and do not miss or overlooked </w:t>
            </w:r>
            <w:r w:rsidRPr="001570C9">
              <w:rPr>
                <w:bCs/>
                <w:sz w:val="22"/>
                <w:szCs w:val="22"/>
              </w:rPr>
              <w:t>aspects such as contact information</w:t>
            </w:r>
            <w:r>
              <w:rPr>
                <w:bCs/>
                <w:sz w:val="22"/>
                <w:szCs w:val="22"/>
              </w:rPr>
              <w:t xml:space="preserve"> and then consistent chasing &amp; </w:t>
            </w:r>
            <w:r w:rsidRPr="001570C9">
              <w:rPr>
                <w:bCs/>
                <w:sz w:val="22"/>
                <w:szCs w:val="22"/>
              </w:rPr>
              <w:t>management is continued.</w:t>
            </w:r>
          </w:p>
          <w:p w14:paraId="7C9A0201" w14:textId="77777777" w:rsidR="001570C9" w:rsidRPr="001570C9" w:rsidRDefault="001570C9" w:rsidP="001570C9">
            <w:pPr>
              <w:pStyle w:val="Default"/>
              <w:rPr>
                <w:bCs/>
                <w:sz w:val="22"/>
                <w:szCs w:val="22"/>
              </w:rPr>
            </w:pPr>
            <w:r w:rsidRPr="001570C9">
              <w:rPr>
                <w:bCs/>
                <w:sz w:val="22"/>
                <w:szCs w:val="22"/>
              </w:rPr>
              <w:t>The aged debt process has been reviewed, and alerts set up that the policy is due a further review at its appropriate date. Cross training has been carried</w:t>
            </w:r>
          </w:p>
          <w:p w14:paraId="2746DF71" w14:textId="77777777" w:rsidR="008C4817" w:rsidRDefault="001570C9" w:rsidP="001570C9">
            <w:pPr>
              <w:pStyle w:val="Default"/>
              <w:rPr>
                <w:bCs/>
                <w:sz w:val="22"/>
                <w:szCs w:val="22"/>
              </w:rPr>
            </w:pPr>
            <w:r w:rsidRPr="001570C9">
              <w:rPr>
                <w:bCs/>
                <w:sz w:val="22"/>
                <w:szCs w:val="22"/>
              </w:rPr>
              <w:t>out on the aged debt process over the whole department offering resilience and awareness.</w:t>
            </w:r>
          </w:p>
          <w:p w14:paraId="64F6BA34" w14:textId="77777777" w:rsidR="006B150C" w:rsidRDefault="006B150C" w:rsidP="006B150C">
            <w:pPr>
              <w:pStyle w:val="Default"/>
              <w:rPr>
                <w:bCs/>
                <w:sz w:val="22"/>
                <w:szCs w:val="22"/>
              </w:rPr>
            </w:pPr>
            <w:r>
              <w:rPr>
                <w:bCs/>
                <w:sz w:val="22"/>
                <w:szCs w:val="22"/>
              </w:rPr>
              <w:t>19.1.24 NF update (Via RB)</w:t>
            </w:r>
          </w:p>
          <w:p w14:paraId="77552B07" w14:textId="68525A05" w:rsidR="006B150C" w:rsidRPr="008C0410" w:rsidRDefault="006B150C" w:rsidP="006B150C">
            <w:pPr>
              <w:pStyle w:val="Default"/>
              <w:rPr>
                <w:bCs/>
                <w:sz w:val="22"/>
                <w:szCs w:val="22"/>
              </w:rPr>
            </w:pPr>
            <w:r>
              <w:rPr>
                <w:bCs/>
                <w:sz w:val="22"/>
                <w:szCs w:val="22"/>
              </w:rPr>
              <w:t>Action completed</w:t>
            </w:r>
          </w:p>
        </w:tc>
        <w:tc>
          <w:tcPr>
            <w:tcW w:w="1559" w:type="dxa"/>
          </w:tcPr>
          <w:p w14:paraId="3AEF8300" w14:textId="77777777" w:rsidR="001570C9" w:rsidRPr="001570C9" w:rsidRDefault="001570C9" w:rsidP="001570C9">
            <w:pPr>
              <w:pStyle w:val="Default"/>
              <w:rPr>
                <w:color w:val="000000" w:themeColor="text1"/>
                <w:sz w:val="22"/>
                <w:szCs w:val="22"/>
              </w:rPr>
            </w:pPr>
            <w:r w:rsidRPr="001570C9">
              <w:rPr>
                <w:color w:val="000000" w:themeColor="text1"/>
                <w:sz w:val="22"/>
                <w:szCs w:val="22"/>
              </w:rPr>
              <w:t>Annie Blake – Finance Operations Team</w:t>
            </w:r>
          </w:p>
          <w:p w14:paraId="66827B6B" w14:textId="08261F1B" w:rsidR="008C4817" w:rsidRDefault="001570C9" w:rsidP="001570C9">
            <w:pPr>
              <w:pStyle w:val="Default"/>
              <w:rPr>
                <w:color w:val="000000" w:themeColor="text1"/>
                <w:sz w:val="22"/>
                <w:szCs w:val="22"/>
              </w:rPr>
            </w:pPr>
            <w:r w:rsidRPr="001570C9">
              <w:rPr>
                <w:color w:val="000000" w:themeColor="text1"/>
                <w:sz w:val="22"/>
                <w:szCs w:val="22"/>
              </w:rPr>
              <w:t>Leader, Nat Freeman – Head of Finance</w:t>
            </w:r>
          </w:p>
          <w:p w14:paraId="398415B1" w14:textId="1B40FAB3" w:rsidR="001570C9" w:rsidRDefault="001570C9" w:rsidP="001570C9">
            <w:pPr>
              <w:pStyle w:val="Default"/>
              <w:rPr>
                <w:color w:val="000000" w:themeColor="text1"/>
                <w:sz w:val="22"/>
                <w:szCs w:val="22"/>
              </w:rPr>
            </w:pPr>
          </w:p>
          <w:p w14:paraId="26DE5EE0" w14:textId="48187B58" w:rsidR="001570C9" w:rsidRDefault="001570C9" w:rsidP="001570C9">
            <w:pPr>
              <w:pStyle w:val="Default"/>
              <w:rPr>
                <w:color w:val="000000" w:themeColor="text1"/>
                <w:sz w:val="22"/>
                <w:szCs w:val="22"/>
              </w:rPr>
            </w:pPr>
            <w:r>
              <w:rPr>
                <w:color w:val="000000" w:themeColor="text1"/>
                <w:sz w:val="22"/>
                <w:szCs w:val="22"/>
              </w:rPr>
              <w:t>1</w:t>
            </w:r>
            <w:r w:rsidRPr="001570C9">
              <w:rPr>
                <w:color w:val="000000" w:themeColor="text1"/>
                <w:sz w:val="22"/>
                <w:szCs w:val="22"/>
                <w:vertAlign w:val="superscript"/>
              </w:rPr>
              <w:t>st</w:t>
            </w:r>
            <w:r>
              <w:rPr>
                <w:color w:val="000000" w:themeColor="text1"/>
                <w:sz w:val="22"/>
                <w:szCs w:val="22"/>
              </w:rPr>
              <w:t xml:space="preserve"> Jan 2025</w:t>
            </w:r>
          </w:p>
          <w:p w14:paraId="663CE9D3" w14:textId="77777777" w:rsidR="006B150C" w:rsidRDefault="006B150C" w:rsidP="001570C9">
            <w:pPr>
              <w:pStyle w:val="Default"/>
              <w:rPr>
                <w:color w:val="000000" w:themeColor="text1"/>
                <w:sz w:val="22"/>
                <w:szCs w:val="22"/>
              </w:rPr>
            </w:pPr>
          </w:p>
          <w:p w14:paraId="2B817ED5" w14:textId="6B8FE7EB" w:rsidR="006B150C" w:rsidRDefault="006B150C" w:rsidP="001570C9">
            <w:pPr>
              <w:pStyle w:val="Default"/>
              <w:rPr>
                <w:color w:val="000000" w:themeColor="text1"/>
                <w:sz w:val="22"/>
                <w:szCs w:val="22"/>
              </w:rPr>
            </w:pPr>
            <w:r>
              <w:rPr>
                <w:color w:val="000000" w:themeColor="text1"/>
                <w:sz w:val="22"/>
                <w:szCs w:val="22"/>
              </w:rPr>
              <w:t>Completed</w:t>
            </w:r>
          </w:p>
          <w:p w14:paraId="587E963B" w14:textId="77777777" w:rsidR="001570C9" w:rsidRDefault="001570C9" w:rsidP="001570C9">
            <w:pPr>
              <w:pStyle w:val="Default"/>
              <w:rPr>
                <w:color w:val="000000" w:themeColor="text1"/>
                <w:sz w:val="22"/>
                <w:szCs w:val="22"/>
              </w:rPr>
            </w:pPr>
          </w:p>
          <w:p w14:paraId="1960B3FD" w14:textId="36C5ACAF" w:rsidR="001570C9" w:rsidRPr="00D05F06" w:rsidRDefault="001570C9" w:rsidP="001570C9">
            <w:pPr>
              <w:pStyle w:val="Default"/>
              <w:rPr>
                <w:color w:val="000000" w:themeColor="text1"/>
                <w:sz w:val="22"/>
                <w:szCs w:val="22"/>
              </w:rPr>
            </w:pPr>
          </w:p>
        </w:tc>
        <w:tc>
          <w:tcPr>
            <w:tcW w:w="850" w:type="dxa"/>
            <w:shd w:val="clear" w:color="auto" w:fill="00B050"/>
          </w:tcPr>
          <w:p w14:paraId="2DE5C1E9" w14:textId="77777777" w:rsidR="008C4817" w:rsidRPr="005F5142" w:rsidRDefault="008C4817" w:rsidP="008D55FE">
            <w:pPr>
              <w:spacing w:line="276" w:lineRule="auto"/>
              <w:rPr>
                <w:rFonts w:asciiTheme="minorHAnsi" w:hAnsiTheme="minorHAnsi" w:cstheme="minorHAnsi"/>
                <w:b/>
                <w:color w:val="FF0000"/>
              </w:rPr>
            </w:pPr>
          </w:p>
        </w:tc>
      </w:tr>
    </w:tbl>
    <w:p w14:paraId="2E7BF49C" w14:textId="127EDB25" w:rsidR="008C4817" w:rsidRDefault="008C4817" w:rsidP="00FB30A6">
      <w:pPr>
        <w:spacing w:after="200" w:line="276" w:lineRule="auto"/>
        <w:rPr>
          <w:rFonts w:cstheme="minorHAnsi"/>
          <w:b/>
          <w:bCs/>
          <w:color w:val="000000"/>
        </w:rPr>
      </w:pPr>
    </w:p>
    <w:p w14:paraId="27A9CB39" w14:textId="37E606B3" w:rsidR="00AA7CE5" w:rsidRDefault="00AA7CE5" w:rsidP="00FB30A6">
      <w:pPr>
        <w:spacing w:after="200" w:line="276" w:lineRule="auto"/>
        <w:rPr>
          <w:rFonts w:cstheme="minorHAnsi"/>
          <w:b/>
          <w:bCs/>
          <w:color w:val="000000"/>
        </w:rPr>
      </w:pPr>
    </w:p>
    <w:p w14:paraId="0E9BD553" w14:textId="0B5391E5" w:rsidR="00AA7CE5" w:rsidRDefault="00AA7CE5" w:rsidP="00FB30A6">
      <w:pPr>
        <w:spacing w:after="200" w:line="276" w:lineRule="auto"/>
        <w:rPr>
          <w:rFonts w:cstheme="minorHAnsi"/>
          <w:b/>
          <w:bCs/>
          <w:color w:val="000000"/>
        </w:rPr>
      </w:pPr>
    </w:p>
    <w:p w14:paraId="61E8F995" w14:textId="77777777" w:rsidR="009355D3" w:rsidRDefault="009355D3" w:rsidP="00FB30A6">
      <w:pPr>
        <w:spacing w:after="200" w:line="276" w:lineRule="auto"/>
        <w:rPr>
          <w:rFonts w:cstheme="minorHAnsi"/>
          <w:b/>
          <w:bCs/>
          <w:color w:val="000000"/>
        </w:rPr>
      </w:pPr>
    </w:p>
    <w:p w14:paraId="56E37034" w14:textId="77777777" w:rsidR="009355D3" w:rsidRDefault="009355D3" w:rsidP="00FB30A6">
      <w:pPr>
        <w:spacing w:after="200" w:line="276" w:lineRule="auto"/>
        <w:rPr>
          <w:rFonts w:cstheme="minorHAnsi"/>
          <w:b/>
          <w:bCs/>
          <w:color w:val="000000"/>
        </w:rPr>
      </w:pPr>
    </w:p>
    <w:p w14:paraId="3662A32A" w14:textId="77777777" w:rsidR="009355D3" w:rsidRDefault="009355D3" w:rsidP="00FB30A6">
      <w:pPr>
        <w:spacing w:after="200" w:line="276" w:lineRule="auto"/>
        <w:rPr>
          <w:rFonts w:cstheme="minorHAnsi"/>
          <w:b/>
          <w:bCs/>
          <w:color w:val="000000"/>
        </w:rPr>
      </w:pPr>
    </w:p>
    <w:p w14:paraId="69801172" w14:textId="77777777" w:rsidR="009355D3" w:rsidRDefault="009355D3" w:rsidP="00FB30A6">
      <w:pPr>
        <w:spacing w:after="200" w:line="276" w:lineRule="auto"/>
        <w:rPr>
          <w:rFonts w:cstheme="minorHAnsi"/>
          <w:b/>
          <w:bCs/>
          <w:color w:val="000000"/>
        </w:rPr>
      </w:pPr>
    </w:p>
    <w:p w14:paraId="788D7B1B" w14:textId="77777777" w:rsidR="009355D3" w:rsidRDefault="009355D3" w:rsidP="00FB30A6">
      <w:pPr>
        <w:spacing w:after="200" w:line="276" w:lineRule="auto"/>
        <w:rPr>
          <w:rFonts w:cstheme="minorHAnsi"/>
          <w:b/>
          <w:bCs/>
          <w:color w:val="000000"/>
        </w:rPr>
      </w:pPr>
    </w:p>
    <w:p w14:paraId="5891EC56" w14:textId="77777777" w:rsidR="009355D3" w:rsidRDefault="009355D3" w:rsidP="00FB30A6">
      <w:pPr>
        <w:spacing w:after="200" w:line="276" w:lineRule="auto"/>
        <w:rPr>
          <w:rFonts w:cstheme="minorHAnsi"/>
          <w:b/>
          <w:bCs/>
          <w:color w:val="000000"/>
        </w:rPr>
      </w:pPr>
    </w:p>
    <w:p w14:paraId="2010AF46" w14:textId="77777777" w:rsidR="00AA7CE5" w:rsidRDefault="00AA7CE5" w:rsidP="00FB30A6">
      <w:pPr>
        <w:spacing w:after="200" w:line="276" w:lineRule="auto"/>
        <w:rPr>
          <w:rFonts w:cstheme="minorHAnsi"/>
          <w:b/>
          <w:bCs/>
          <w:color w:val="000000"/>
        </w:rPr>
      </w:pPr>
    </w:p>
    <w:p w14:paraId="7D88F4FE" w14:textId="77777777" w:rsidR="008C4817" w:rsidRDefault="008C4817" w:rsidP="008C4817">
      <w:pPr>
        <w:spacing w:after="200" w:line="276" w:lineRule="auto"/>
        <w:rPr>
          <w:rFonts w:cstheme="minorHAnsi"/>
          <w:b/>
          <w:bCs/>
          <w:color w:val="000000"/>
        </w:rPr>
      </w:pPr>
      <w:r>
        <w:rPr>
          <w:rFonts w:cstheme="minorHAnsi"/>
          <w:b/>
          <w:bCs/>
          <w:color w:val="000000"/>
        </w:rPr>
        <w:lastRenderedPageBreak/>
        <w:t>Core Financials (Joint) – November 2024</w:t>
      </w:r>
    </w:p>
    <w:tbl>
      <w:tblPr>
        <w:tblStyle w:val="TableGrid1"/>
        <w:tblW w:w="15309" w:type="dxa"/>
        <w:tblInd w:w="-572" w:type="dxa"/>
        <w:tblLook w:val="04A0" w:firstRow="1" w:lastRow="0" w:firstColumn="1" w:lastColumn="0" w:noHBand="0" w:noVBand="1"/>
      </w:tblPr>
      <w:tblGrid>
        <w:gridCol w:w="399"/>
        <w:gridCol w:w="5555"/>
        <w:gridCol w:w="2410"/>
        <w:gridCol w:w="992"/>
        <w:gridCol w:w="3544"/>
        <w:gridCol w:w="1559"/>
        <w:gridCol w:w="850"/>
      </w:tblGrid>
      <w:tr w:rsidR="008C4817" w:rsidRPr="00291B4B" w14:paraId="53720AEA" w14:textId="77777777" w:rsidTr="00EF7723">
        <w:tc>
          <w:tcPr>
            <w:tcW w:w="399" w:type="dxa"/>
            <w:shd w:val="clear" w:color="auto" w:fill="632E9E"/>
          </w:tcPr>
          <w:p w14:paraId="762F42C4"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 xml:space="preserve">   </w:t>
            </w:r>
          </w:p>
        </w:tc>
        <w:tc>
          <w:tcPr>
            <w:tcW w:w="5555" w:type="dxa"/>
            <w:shd w:val="clear" w:color="auto" w:fill="632E9E"/>
          </w:tcPr>
          <w:p w14:paraId="0E215A3C"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Observation/Risk</w:t>
            </w:r>
          </w:p>
        </w:tc>
        <w:tc>
          <w:tcPr>
            <w:tcW w:w="2410" w:type="dxa"/>
            <w:shd w:val="clear" w:color="auto" w:fill="632E9E"/>
          </w:tcPr>
          <w:p w14:paraId="308F5B2E"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Recommendation</w:t>
            </w:r>
          </w:p>
        </w:tc>
        <w:tc>
          <w:tcPr>
            <w:tcW w:w="992" w:type="dxa"/>
            <w:shd w:val="clear" w:color="auto" w:fill="632E9E"/>
          </w:tcPr>
          <w:p w14:paraId="06A9D413"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3C3980A5"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05090613"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463AA8FF"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Status</w:t>
            </w:r>
          </w:p>
        </w:tc>
      </w:tr>
      <w:tr w:rsidR="008C4817" w:rsidRPr="005F5142" w14:paraId="3C2E9FD2" w14:textId="77777777" w:rsidTr="00C52516">
        <w:trPr>
          <w:trHeight w:val="844"/>
        </w:trPr>
        <w:tc>
          <w:tcPr>
            <w:tcW w:w="399" w:type="dxa"/>
            <w:tcMar>
              <w:left w:w="57" w:type="dxa"/>
              <w:right w:w="57" w:type="dxa"/>
            </w:tcMar>
          </w:tcPr>
          <w:p w14:paraId="59198966" w14:textId="6CD5D803" w:rsidR="008C4817" w:rsidRPr="005F5142" w:rsidRDefault="001E4FFD" w:rsidP="008D55FE">
            <w:pPr>
              <w:rPr>
                <w:rFonts w:asciiTheme="minorHAnsi" w:hAnsiTheme="minorHAnsi" w:cstheme="minorHAnsi"/>
                <w:b/>
              </w:rPr>
            </w:pPr>
            <w:r>
              <w:rPr>
                <w:rFonts w:asciiTheme="minorHAnsi" w:hAnsiTheme="minorHAnsi" w:cstheme="minorHAnsi"/>
                <w:b/>
              </w:rPr>
              <w:t>3</w:t>
            </w:r>
          </w:p>
        </w:tc>
        <w:tc>
          <w:tcPr>
            <w:tcW w:w="5555" w:type="dxa"/>
          </w:tcPr>
          <w:p w14:paraId="67199FD8" w14:textId="77777777" w:rsidR="008C4817" w:rsidRDefault="00EF7723" w:rsidP="008D55FE">
            <w:pPr>
              <w:pStyle w:val="Default"/>
              <w:rPr>
                <w:b/>
                <w:sz w:val="22"/>
                <w:szCs w:val="22"/>
              </w:rPr>
            </w:pPr>
            <w:r w:rsidRPr="00EF7723">
              <w:rPr>
                <w:b/>
                <w:sz w:val="22"/>
                <w:szCs w:val="22"/>
              </w:rPr>
              <w:t>New debtor set-ups</w:t>
            </w:r>
          </w:p>
          <w:p w14:paraId="32F290BD" w14:textId="53ED5503" w:rsidR="00EF7723" w:rsidRPr="00EF7723" w:rsidRDefault="00EF7723" w:rsidP="00EF7723">
            <w:pPr>
              <w:pStyle w:val="Default"/>
              <w:rPr>
                <w:sz w:val="22"/>
                <w:szCs w:val="22"/>
              </w:rPr>
            </w:pPr>
            <w:r w:rsidRPr="00EF7723">
              <w:rPr>
                <w:sz w:val="22"/>
                <w:szCs w:val="22"/>
              </w:rPr>
              <w:t>In order for a new debtor to set up on Unit4 the debto</w:t>
            </w:r>
            <w:r>
              <w:rPr>
                <w:sz w:val="22"/>
                <w:szCs w:val="22"/>
              </w:rPr>
              <w:t xml:space="preserve">r is to complete a new customer </w:t>
            </w:r>
            <w:r w:rsidRPr="00EF7723">
              <w:rPr>
                <w:sz w:val="22"/>
                <w:szCs w:val="22"/>
              </w:rPr>
              <w:t>form and send it to the Finance Advice Bureau (FA</w:t>
            </w:r>
            <w:r>
              <w:rPr>
                <w:sz w:val="22"/>
                <w:szCs w:val="22"/>
              </w:rPr>
              <w:t xml:space="preserve">B) Team at Northamptonshire who </w:t>
            </w:r>
            <w:r w:rsidRPr="00EF7723">
              <w:rPr>
                <w:sz w:val="22"/>
                <w:szCs w:val="22"/>
              </w:rPr>
              <w:t>will then check the details and input them into the syste</w:t>
            </w:r>
            <w:r>
              <w:rPr>
                <w:sz w:val="22"/>
                <w:szCs w:val="22"/>
              </w:rPr>
              <w:t xml:space="preserve">m. Once inputted it is expected </w:t>
            </w:r>
            <w:r w:rsidRPr="00EF7723">
              <w:rPr>
                <w:sz w:val="22"/>
                <w:szCs w:val="22"/>
              </w:rPr>
              <w:t>that a different member of the FAB Team will approve</w:t>
            </w:r>
            <w:r>
              <w:rPr>
                <w:sz w:val="22"/>
                <w:szCs w:val="22"/>
              </w:rPr>
              <w:t xml:space="preserve"> the new debtor within Unit4 in </w:t>
            </w:r>
            <w:r w:rsidRPr="00EF7723">
              <w:rPr>
                <w:sz w:val="22"/>
                <w:szCs w:val="22"/>
              </w:rPr>
              <w:t>order for the customer to become live and accessible.</w:t>
            </w:r>
          </w:p>
          <w:p w14:paraId="18DEDD81" w14:textId="56B9C974" w:rsidR="00EF7723" w:rsidRPr="00EF7723" w:rsidRDefault="00EF7723" w:rsidP="00EF7723">
            <w:pPr>
              <w:pStyle w:val="Default"/>
              <w:rPr>
                <w:sz w:val="22"/>
                <w:szCs w:val="22"/>
              </w:rPr>
            </w:pPr>
            <w:r w:rsidRPr="00EF7723">
              <w:rPr>
                <w:sz w:val="22"/>
                <w:szCs w:val="22"/>
              </w:rPr>
              <w:t>We reviewed a sample of ten new debtors to the</w:t>
            </w:r>
            <w:r>
              <w:rPr>
                <w:sz w:val="22"/>
                <w:szCs w:val="22"/>
              </w:rPr>
              <w:t xml:space="preserve"> Force and NCFRA and, whilst we </w:t>
            </w:r>
            <w:r w:rsidRPr="00EF7723">
              <w:rPr>
                <w:sz w:val="22"/>
                <w:szCs w:val="22"/>
              </w:rPr>
              <w:t>noted no issues with the Force samples, we did note one instance at NCFRA where</w:t>
            </w:r>
          </w:p>
          <w:p w14:paraId="00F99C0D" w14:textId="66CE946D" w:rsidR="00EF7723" w:rsidRPr="00EF7723" w:rsidRDefault="00EF7723" w:rsidP="00EF7723">
            <w:pPr>
              <w:pStyle w:val="Default"/>
              <w:rPr>
                <w:sz w:val="22"/>
                <w:szCs w:val="22"/>
              </w:rPr>
            </w:pPr>
            <w:r w:rsidRPr="00EF7723">
              <w:rPr>
                <w:sz w:val="22"/>
                <w:szCs w:val="22"/>
              </w:rPr>
              <w:t>the same person had inputted and approved the same new debtor.</w:t>
            </w:r>
            <w:r>
              <w:rPr>
                <w:sz w:val="22"/>
                <w:szCs w:val="22"/>
              </w:rPr>
              <w:t xml:space="preserve"> </w:t>
            </w:r>
            <w:r w:rsidRPr="00EF7723">
              <w:rPr>
                <w:sz w:val="22"/>
                <w:szCs w:val="22"/>
              </w:rPr>
              <w:t>We were advised by management that this error occurred</w:t>
            </w:r>
            <w:r>
              <w:rPr>
                <w:sz w:val="22"/>
                <w:szCs w:val="22"/>
              </w:rPr>
              <w:t xml:space="preserve"> due to a lack of training of a </w:t>
            </w:r>
            <w:r w:rsidRPr="00EF7723">
              <w:rPr>
                <w:sz w:val="22"/>
                <w:szCs w:val="22"/>
              </w:rPr>
              <w:t>new member of the FAB Team and that there are no sy</w:t>
            </w:r>
            <w:r>
              <w:rPr>
                <w:sz w:val="22"/>
                <w:szCs w:val="22"/>
              </w:rPr>
              <w:t xml:space="preserve">stemic controls in place within </w:t>
            </w:r>
            <w:r w:rsidRPr="00EF7723">
              <w:rPr>
                <w:sz w:val="22"/>
                <w:szCs w:val="22"/>
              </w:rPr>
              <w:t xml:space="preserve">Unit4 that prevent a FAB Team member from approving a new debtor that they </w:t>
            </w:r>
            <w:r>
              <w:rPr>
                <w:sz w:val="22"/>
                <w:szCs w:val="22"/>
              </w:rPr>
              <w:t xml:space="preserve">had </w:t>
            </w:r>
            <w:r w:rsidRPr="00EF7723">
              <w:rPr>
                <w:sz w:val="22"/>
                <w:szCs w:val="22"/>
              </w:rPr>
              <w:t>originally inputted into Unit4.</w:t>
            </w:r>
          </w:p>
          <w:p w14:paraId="43B8F874" w14:textId="5244540C" w:rsidR="00EF7723" w:rsidRPr="00EF7723" w:rsidRDefault="00EF7723" w:rsidP="00EF7723">
            <w:pPr>
              <w:pStyle w:val="Default"/>
              <w:rPr>
                <w:sz w:val="22"/>
                <w:szCs w:val="22"/>
              </w:rPr>
            </w:pPr>
            <w:r w:rsidRPr="00EF7723">
              <w:rPr>
                <w:b/>
                <w:sz w:val="22"/>
                <w:szCs w:val="22"/>
              </w:rPr>
              <w:t>Risk and Impact</w:t>
            </w:r>
            <w:r w:rsidRPr="00EF7723">
              <w:rPr>
                <w:sz w:val="22"/>
                <w:szCs w:val="22"/>
              </w:rPr>
              <w:t>: There is a lack of systemic segregati</w:t>
            </w:r>
            <w:r>
              <w:rPr>
                <w:sz w:val="22"/>
                <w:szCs w:val="22"/>
              </w:rPr>
              <w:t xml:space="preserve">on of duty within Unit4 leading </w:t>
            </w:r>
            <w:r w:rsidRPr="00EF7723">
              <w:rPr>
                <w:sz w:val="22"/>
                <w:szCs w:val="22"/>
              </w:rPr>
              <w:t>to new debtors being set up inappropriately.</w:t>
            </w:r>
          </w:p>
        </w:tc>
        <w:tc>
          <w:tcPr>
            <w:tcW w:w="2410" w:type="dxa"/>
          </w:tcPr>
          <w:p w14:paraId="4C59F002" w14:textId="6B39455A" w:rsidR="00C352A8" w:rsidRPr="00C352A8" w:rsidRDefault="00C352A8" w:rsidP="00C352A8">
            <w:pPr>
              <w:pStyle w:val="ListParagraph"/>
              <w:ind w:left="0"/>
              <w:rPr>
                <w:rFonts w:asciiTheme="minorHAnsi" w:hAnsiTheme="minorHAnsi" w:cstheme="minorHAnsi"/>
              </w:rPr>
            </w:pPr>
            <w:r w:rsidRPr="00C352A8">
              <w:rPr>
                <w:rFonts w:asciiTheme="minorHAnsi" w:hAnsiTheme="minorHAnsi" w:cstheme="minorHAnsi"/>
              </w:rPr>
              <w:t>NCFRA should ensure new members of staff are trained</w:t>
            </w:r>
            <w:r>
              <w:rPr>
                <w:rFonts w:asciiTheme="minorHAnsi" w:hAnsiTheme="minorHAnsi" w:cstheme="minorHAnsi"/>
              </w:rPr>
              <w:t xml:space="preserve"> </w:t>
            </w:r>
            <w:r w:rsidRPr="00C352A8">
              <w:rPr>
                <w:rFonts w:asciiTheme="minorHAnsi" w:hAnsiTheme="minorHAnsi" w:cstheme="minorHAnsi"/>
              </w:rPr>
              <w:t>and fully aware of the segregation of duty requirements</w:t>
            </w:r>
          </w:p>
          <w:p w14:paraId="4CB3BAD4" w14:textId="2C1BE71F" w:rsidR="00C352A8" w:rsidRPr="00C352A8" w:rsidRDefault="00C352A8" w:rsidP="00C352A8">
            <w:pPr>
              <w:pStyle w:val="ListParagraph"/>
              <w:ind w:left="0"/>
              <w:rPr>
                <w:rFonts w:asciiTheme="minorHAnsi" w:hAnsiTheme="minorHAnsi" w:cstheme="minorHAnsi"/>
              </w:rPr>
            </w:pPr>
            <w:r w:rsidRPr="00C352A8">
              <w:rPr>
                <w:rFonts w:asciiTheme="minorHAnsi" w:hAnsiTheme="minorHAnsi" w:cstheme="minorHAnsi"/>
              </w:rPr>
              <w:t>between inputting and</w:t>
            </w:r>
            <w:r>
              <w:rPr>
                <w:rFonts w:asciiTheme="minorHAnsi" w:hAnsiTheme="minorHAnsi" w:cstheme="minorHAnsi"/>
              </w:rPr>
              <w:t xml:space="preserve"> approving new debtors prior to </w:t>
            </w:r>
            <w:r w:rsidRPr="00C352A8">
              <w:rPr>
                <w:rFonts w:asciiTheme="minorHAnsi" w:hAnsiTheme="minorHAnsi" w:cstheme="minorHAnsi"/>
              </w:rPr>
              <w:t>gaining live system access.</w:t>
            </w:r>
          </w:p>
          <w:p w14:paraId="2A205149" w14:textId="6D1A0E32" w:rsidR="008C4817" w:rsidRPr="008C0410" w:rsidRDefault="00C352A8" w:rsidP="00C352A8">
            <w:pPr>
              <w:pStyle w:val="ListParagraph"/>
              <w:ind w:left="0"/>
              <w:rPr>
                <w:rFonts w:asciiTheme="minorHAnsi" w:hAnsiTheme="minorHAnsi" w:cstheme="minorHAnsi"/>
              </w:rPr>
            </w:pPr>
            <w:r w:rsidRPr="00C352A8">
              <w:rPr>
                <w:rFonts w:asciiTheme="minorHAnsi" w:hAnsiTheme="minorHAnsi" w:cstheme="minorHAnsi"/>
              </w:rPr>
              <w:t xml:space="preserve">2. The Force and </w:t>
            </w:r>
            <w:r>
              <w:rPr>
                <w:rFonts w:asciiTheme="minorHAnsi" w:hAnsiTheme="minorHAnsi" w:cstheme="minorHAnsi"/>
              </w:rPr>
              <w:t xml:space="preserve">NCFRA should work with Unit4 to </w:t>
            </w:r>
            <w:r w:rsidRPr="00C352A8">
              <w:rPr>
                <w:rFonts w:asciiTheme="minorHAnsi" w:hAnsiTheme="minorHAnsi" w:cstheme="minorHAnsi"/>
              </w:rPr>
              <w:t>implement systemic con</w:t>
            </w:r>
            <w:r>
              <w:rPr>
                <w:rFonts w:asciiTheme="minorHAnsi" w:hAnsiTheme="minorHAnsi" w:cstheme="minorHAnsi"/>
              </w:rPr>
              <w:t xml:space="preserve">trols that prevent the workflow </w:t>
            </w:r>
            <w:r w:rsidRPr="00C352A8">
              <w:rPr>
                <w:rFonts w:asciiTheme="minorHAnsi" w:hAnsiTheme="minorHAnsi" w:cstheme="minorHAnsi"/>
              </w:rPr>
              <w:t>from allowing the input</w:t>
            </w:r>
            <w:r>
              <w:rPr>
                <w:rFonts w:asciiTheme="minorHAnsi" w:hAnsiTheme="minorHAnsi" w:cstheme="minorHAnsi"/>
              </w:rPr>
              <w:t xml:space="preserve">ter and approver to be the same </w:t>
            </w:r>
            <w:r w:rsidRPr="00C352A8">
              <w:rPr>
                <w:rFonts w:asciiTheme="minorHAnsi" w:hAnsiTheme="minorHAnsi" w:cstheme="minorHAnsi"/>
              </w:rPr>
              <w:t>person for new debtors.</w:t>
            </w:r>
          </w:p>
        </w:tc>
        <w:tc>
          <w:tcPr>
            <w:tcW w:w="992" w:type="dxa"/>
            <w:shd w:val="clear" w:color="auto" w:fill="92D050"/>
          </w:tcPr>
          <w:p w14:paraId="34DB1A83" w14:textId="4B4AB9BB" w:rsidR="008C4817" w:rsidRPr="008C0410" w:rsidRDefault="00EF7723" w:rsidP="008D55FE">
            <w:pPr>
              <w:jc w:val="center"/>
              <w:rPr>
                <w:rFonts w:ascii="Calibri" w:hAnsi="Calibri" w:cs="Calibri"/>
                <w:b/>
              </w:rPr>
            </w:pPr>
            <w:r>
              <w:rPr>
                <w:rFonts w:ascii="Calibri" w:hAnsi="Calibri" w:cs="Calibri"/>
                <w:b/>
              </w:rPr>
              <w:t>Low</w:t>
            </w:r>
          </w:p>
        </w:tc>
        <w:tc>
          <w:tcPr>
            <w:tcW w:w="3544" w:type="dxa"/>
          </w:tcPr>
          <w:p w14:paraId="086F0761" w14:textId="77777777" w:rsidR="00C352A8" w:rsidRPr="00C352A8" w:rsidRDefault="00C352A8" w:rsidP="00C352A8">
            <w:pPr>
              <w:pStyle w:val="Default"/>
              <w:rPr>
                <w:bCs/>
                <w:sz w:val="22"/>
                <w:szCs w:val="22"/>
              </w:rPr>
            </w:pPr>
            <w:r w:rsidRPr="00C352A8">
              <w:rPr>
                <w:bCs/>
                <w:sz w:val="22"/>
                <w:szCs w:val="22"/>
              </w:rPr>
              <w:t>A new debtor set up will now be actioned within the finance operations team.</w:t>
            </w:r>
          </w:p>
          <w:p w14:paraId="5182CFAD" w14:textId="13C4B9FF" w:rsidR="00C352A8" w:rsidRPr="00C352A8" w:rsidRDefault="00C352A8" w:rsidP="00C352A8">
            <w:pPr>
              <w:pStyle w:val="Default"/>
              <w:rPr>
                <w:bCs/>
                <w:sz w:val="22"/>
                <w:szCs w:val="22"/>
              </w:rPr>
            </w:pPr>
            <w:r w:rsidRPr="00C352A8">
              <w:rPr>
                <w:bCs/>
                <w:sz w:val="22"/>
                <w:szCs w:val="22"/>
              </w:rPr>
              <w:t>A new customer request form will be sent into finance operations. This will be checked to ensure that they do not al</w:t>
            </w:r>
            <w:r>
              <w:rPr>
                <w:bCs/>
                <w:sz w:val="22"/>
                <w:szCs w:val="22"/>
              </w:rPr>
              <w:t xml:space="preserve">ready exist, and then set up as </w:t>
            </w:r>
            <w:r w:rsidRPr="00C352A8">
              <w:rPr>
                <w:bCs/>
                <w:sz w:val="22"/>
                <w:szCs w:val="22"/>
              </w:rPr>
              <w:t>appropriate. Cross training has been carried out to ensure segregation of duties between the inputter and the approver.</w:t>
            </w:r>
          </w:p>
          <w:p w14:paraId="5EE7EC8D" w14:textId="77777777" w:rsidR="008C4817" w:rsidRDefault="00C352A8" w:rsidP="00C352A8">
            <w:pPr>
              <w:pStyle w:val="Default"/>
              <w:rPr>
                <w:bCs/>
                <w:sz w:val="22"/>
                <w:szCs w:val="22"/>
              </w:rPr>
            </w:pPr>
            <w:r w:rsidRPr="00C352A8">
              <w:rPr>
                <w:bCs/>
                <w:sz w:val="22"/>
                <w:szCs w:val="22"/>
              </w:rPr>
              <w:t>This will also ensure that all information is requested and maintained from the outset to ensure debts are collectable.</w:t>
            </w:r>
          </w:p>
          <w:p w14:paraId="026AC800" w14:textId="77777777" w:rsidR="00C52516" w:rsidRDefault="00C52516" w:rsidP="00C52516">
            <w:pPr>
              <w:pStyle w:val="Default"/>
              <w:rPr>
                <w:bCs/>
                <w:sz w:val="22"/>
                <w:szCs w:val="22"/>
              </w:rPr>
            </w:pPr>
            <w:r>
              <w:rPr>
                <w:bCs/>
                <w:sz w:val="22"/>
                <w:szCs w:val="22"/>
              </w:rPr>
              <w:t>19.1.24 NF update (Via RB)</w:t>
            </w:r>
          </w:p>
          <w:p w14:paraId="5494E7E2" w14:textId="55875541" w:rsidR="00C52516" w:rsidRPr="008C0410" w:rsidRDefault="00C52516" w:rsidP="00C52516">
            <w:pPr>
              <w:pStyle w:val="Default"/>
              <w:rPr>
                <w:bCs/>
                <w:sz w:val="22"/>
                <w:szCs w:val="22"/>
              </w:rPr>
            </w:pPr>
            <w:r>
              <w:rPr>
                <w:bCs/>
                <w:sz w:val="22"/>
                <w:szCs w:val="22"/>
              </w:rPr>
              <w:t>Action completed</w:t>
            </w:r>
          </w:p>
        </w:tc>
        <w:tc>
          <w:tcPr>
            <w:tcW w:w="1559" w:type="dxa"/>
          </w:tcPr>
          <w:p w14:paraId="484432B5" w14:textId="77777777" w:rsidR="008C4817" w:rsidRDefault="00C352A8" w:rsidP="008D55FE">
            <w:pPr>
              <w:pStyle w:val="Default"/>
              <w:rPr>
                <w:color w:val="000000" w:themeColor="text1"/>
                <w:sz w:val="22"/>
                <w:szCs w:val="22"/>
              </w:rPr>
            </w:pPr>
            <w:r>
              <w:rPr>
                <w:color w:val="000000" w:themeColor="text1"/>
                <w:sz w:val="22"/>
                <w:szCs w:val="22"/>
              </w:rPr>
              <w:t xml:space="preserve">Annie Blake – Finance Operations team leader </w:t>
            </w:r>
          </w:p>
          <w:p w14:paraId="4C5C2CA8" w14:textId="77777777" w:rsidR="00C352A8" w:rsidRDefault="00C352A8" w:rsidP="008D55FE">
            <w:pPr>
              <w:pStyle w:val="Default"/>
              <w:rPr>
                <w:color w:val="000000" w:themeColor="text1"/>
                <w:sz w:val="22"/>
                <w:szCs w:val="22"/>
              </w:rPr>
            </w:pPr>
          </w:p>
          <w:p w14:paraId="4CD633BE" w14:textId="77777777" w:rsidR="00C352A8" w:rsidRDefault="00C352A8" w:rsidP="008D55FE">
            <w:pPr>
              <w:pStyle w:val="Default"/>
              <w:rPr>
                <w:color w:val="000000" w:themeColor="text1"/>
                <w:sz w:val="22"/>
                <w:szCs w:val="22"/>
              </w:rPr>
            </w:pPr>
            <w:r>
              <w:rPr>
                <w:color w:val="000000" w:themeColor="text1"/>
                <w:sz w:val="22"/>
                <w:szCs w:val="22"/>
              </w:rPr>
              <w:t>1</w:t>
            </w:r>
            <w:r w:rsidRPr="00C352A8">
              <w:rPr>
                <w:color w:val="000000" w:themeColor="text1"/>
                <w:sz w:val="22"/>
                <w:szCs w:val="22"/>
                <w:vertAlign w:val="superscript"/>
              </w:rPr>
              <w:t>st</w:t>
            </w:r>
            <w:r>
              <w:rPr>
                <w:color w:val="000000" w:themeColor="text1"/>
                <w:sz w:val="22"/>
                <w:szCs w:val="22"/>
              </w:rPr>
              <w:t xml:space="preserve"> Dec 2024</w:t>
            </w:r>
          </w:p>
          <w:p w14:paraId="1E2F3C1C" w14:textId="77777777" w:rsidR="00C52516" w:rsidRDefault="00C52516" w:rsidP="008D55FE">
            <w:pPr>
              <w:pStyle w:val="Default"/>
              <w:rPr>
                <w:color w:val="000000" w:themeColor="text1"/>
                <w:sz w:val="22"/>
                <w:szCs w:val="22"/>
              </w:rPr>
            </w:pPr>
          </w:p>
          <w:p w14:paraId="6F90B033" w14:textId="131D3163" w:rsidR="00C52516" w:rsidRPr="00D05F06" w:rsidRDefault="00C52516" w:rsidP="008D55FE">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1CC49256" w14:textId="77777777" w:rsidR="008C4817" w:rsidRPr="005F5142" w:rsidRDefault="008C4817" w:rsidP="008D55FE">
            <w:pPr>
              <w:spacing w:line="276" w:lineRule="auto"/>
              <w:rPr>
                <w:rFonts w:asciiTheme="minorHAnsi" w:hAnsiTheme="minorHAnsi" w:cstheme="minorHAnsi"/>
                <w:b/>
                <w:color w:val="FF0000"/>
              </w:rPr>
            </w:pPr>
          </w:p>
        </w:tc>
      </w:tr>
    </w:tbl>
    <w:p w14:paraId="4B5AD1CB" w14:textId="77777777" w:rsidR="008C4817" w:rsidRDefault="008C4817" w:rsidP="00FB30A6">
      <w:pPr>
        <w:spacing w:after="200" w:line="276" w:lineRule="auto"/>
        <w:rPr>
          <w:rFonts w:cstheme="minorHAnsi"/>
          <w:b/>
          <w:bCs/>
          <w:color w:val="000000"/>
        </w:rPr>
      </w:pPr>
    </w:p>
    <w:p w14:paraId="1EECD050" w14:textId="77777777" w:rsidR="009355D3" w:rsidRDefault="009355D3" w:rsidP="00FB30A6">
      <w:pPr>
        <w:spacing w:after="200" w:line="276" w:lineRule="auto"/>
        <w:rPr>
          <w:rFonts w:cstheme="minorHAnsi"/>
          <w:b/>
          <w:bCs/>
          <w:color w:val="000000"/>
        </w:rPr>
      </w:pPr>
    </w:p>
    <w:p w14:paraId="6C902A98" w14:textId="77777777" w:rsidR="009355D3" w:rsidRDefault="009355D3" w:rsidP="00FB30A6">
      <w:pPr>
        <w:spacing w:after="200" w:line="276" w:lineRule="auto"/>
        <w:rPr>
          <w:rFonts w:cstheme="minorHAnsi"/>
          <w:b/>
          <w:bCs/>
          <w:color w:val="000000"/>
        </w:rPr>
      </w:pPr>
    </w:p>
    <w:p w14:paraId="45416F5E" w14:textId="77777777" w:rsidR="009355D3" w:rsidRDefault="009355D3" w:rsidP="00FB30A6">
      <w:pPr>
        <w:spacing w:after="200" w:line="276" w:lineRule="auto"/>
        <w:rPr>
          <w:rFonts w:cstheme="minorHAnsi"/>
          <w:b/>
          <w:bCs/>
          <w:color w:val="000000"/>
        </w:rPr>
      </w:pPr>
    </w:p>
    <w:p w14:paraId="712DD395" w14:textId="77777777" w:rsidR="009355D3" w:rsidRDefault="009355D3" w:rsidP="00FB30A6">
      <w:pPr>
        <w:spacing w:after="200" w:line="276" w:lineRule="auto"/>
        <w:rPr>
          <w:rFonts w:cstheme="minorHAnsi"/>
          <w:b/>
          <w:bCs/>
          <w:color w:val="000000"/>
        </w:rPr>
      </w:pPr>
    </w:p>
    <w:p w14:paraId="741BB59B" w14:textId="77777777" w:rsidR="008C4817" w:rsidRDefault="008C4817" w:rsidP="008C4817">
      <w:pPr>
        <w:spacing w:after="200" w:line="276" w:lineRule="auto"/>
        <w:rPr>
          <w:rFonts w:cstheme="minorHAnsi"/>
          <w:b/>
          <w:bCs/>
          <w:color w:val="000000"/>
        </w:rPr>
      </w:pPr>
      <w:r>
        <w:rPr>
          <w:rFonts w:cstheme="minorHAnsi"/>
          <w:b/>
          <w:bCs/>
          <w:color w:val="000000"/>
        </w:rPr>
        <w:lastRenderedPageBreak/>
        <w:t>Core Financials (Joint) – November 2024</w:t>
      </w:r>
    </w:p>
    <w:tbl>
      <w:tblPr>
        <w:tblStyle w:val="TableGrid1"/>
        <w:tblW w:w="15309" w:type="dxa"/>
        <w:tblInd w:w="-572" w:type="dxa"/>
        <w:tblLook w:val="04A0" w:firstRow="1" w:lastRow="0" w:firstColumn="1" w:lastColumn="0" w:noHBand="0" w:noVBand="1"/>
      </w:tblPr>
      <w:tblGrid>
        <w:gridCol w:w="397"/>
        <w:gridCol w:w="5535"/>
        <w:gridCol w:w="2547"/>
        <w:gridCol w:w="889"/>
        <w:gridCol w:w="2965"/>
        <w:gridCol w:w="2126"/>
        <w:gridCol w:w="850"/>
      </w:tblGrid>
      <w:tr w:rsidR="008C4817" w:rsidRPr="00291B4B" w14:paraId="7B583B5D" w14:textId="77777777" w:rsidTr="009A56D3">
        <w:tc>
          <w:tcPr>
            <w:tcW w:w="397" w:type="dxa"/>
            <w:shd w:val="clear" w:color="auto" w:fill="632E9E"/>
          </w:tcPr>
          <w:p w14:paraId="62D2BC78"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 xml:space="preserve">   </w:t>
            </w:r>
          </w:p>
        </w:tc>
        <w:tc>
          <w:tcPr>
            <w:tcW w:w="5535" w:type="dxa"/>
            <w:shd w:val="clear" w:color="auto" w:fill="632E9E"/>
          </w:tcPr>
          <w:p w14:paraId="4995385C"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Observation/Risk</w:t>
            </w:r>
          </w:p>
        </w:tc>
        <w:tc>
          <w:tcPr>
            <w:tcW w:w="2547" w:type="dxa"/>
            <w:shd w:val="clear" w:color="auto" w:fill="632E9E"/>
          </w:tcPr>
          <w:p w14:paraId="7CA0096B"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Recommendation</w:t>
            </w:r>
          </w:p>
        </w:tc>
        <w:tc>
          <w:tcPr>
            <w:tcW w:w="889" w:type="dxa"/>
            <w:shd w:val="clear" w:color="auto" w:fill="632E9E"/>
          </w:tcPr>
          <w:p w14:paraId="22965292"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Priority</w:t>
            </w:r>
          </w:p>
        </w:tc>
        <w:tc>
          <w:tcPr>
            <w:tcW w:w="2965" w:type="dxa"/>
            <w:shd w:val="clear" w:color="auto" w:fill="632E9E"/>
          </w:tcPr>
          <w:p w14:paraId="7BEA78E3"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Agreed Actions</w:t>
            </w:r>
          </w:p>
        </w:tc>
        <w:tc>
          <w:tcPr>
            <w:tcW w:w="2126" w:type="dxa"/>
            <w:shd w:val="clear" w:color="auto" w:fill="632E9E"/>
          </w:tcPr>
          <w:p w14:paraId="6D2C921A"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61EDD02D"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Status</w:t>
            </w:r>
          </w:p>
        </w:tc>
      </w:tr>
      <w:tr w:rsidR="008C4817" w:rsidRPr="005F5142" w14:paraId="77A6F4D0" w14:textId="77777777" w:rsidTr="00C52516">
        <w:trPr>
          <w:trHeight w:val="844"/>
        </w:trPr>
        <w:tc>
          <w:tcPr>
            <w:tcW w:w="397" w:type="dxa"/>
            <w:tcMar>
              <w:left w:w="57" w:type="dxa"/>
              <w:right w:w="57" w:type="dxa"/>
            </w:tcMar>
          </w:tcPr>
          <w:p w14:paraId="02EA6A02" w14:textId="2A48FDC4" w:rsidR="008C4817" w:rsidRPr="005F5142" w:rsidRDefault="009A56D3" w:rsidP="008D55FE">
            <w:pPr>
              <w:rPr>
                <w:rFonts w:asciiTheme="minorHAnsi" w:hAnsiTheme="minorHAnsi" w:cstheme="minorHAnsi"/>
                <w:b/>
              </w:rPr>
            </w:pPr>
            <w:r>
              <w:rPr>
                <w:rFonts w:asciiTheme="minorHAnsi" w:hAnsiTheme="minorHAnsi" w:cstheme="minorHAnsi"/>
                <w:b/>
              </w:rPr>
              <w:t>4</w:t>
            </w:r>
          </w:p>
        </w:tc>
        <w:tc>
          <w:tcPr>
            <w:tcW w:w="5535" w:type="dxa"/>
          </w:tcPr>
          <w:p w14:paraId="36F4A637" w14:textId="77777777" w:rsidR="008C4817" w:rsidRDefault="009A56D3" w:rsidP="008D55FE">
            <w:pPr>
              <w:pStyle w:val="Default"/>
              <w:rPr>
                <w:b/>
                <w:sz w:val="22"/>
                <w:szCs w:val="22"/>
              </w:rPr>
            </w:pPr>
            <w:r w:rsidRPr="009A56D3">
              <w:rPr>
                <w:b/>
                <w:sz w:val="22"/>
                <w:szCs w:val="22"/>
              </w:rPr>
              <w:t>Approval Limits of Write Offs in Aged Debt Process Document</w:t>
            </w:r>
          </w:p>
          <w:p w14:paraId="3A23BCCE" w14:textId="7FA92A7C" w:rsidR="009A56D3" w:rsidRPr="009A56D3" w:rsidRDefault="009A56D3" w:rsidP="009A56D3">
            <w:pPr>
              <w:pStyle w:val="Default"/>
              <w:rPr>
                <w:sz w:val="22"/>
                <w:szCs w:val="22"/>
              </w:rPr>
            </w:pPr>
            <w:r w:rsidRPr="009A56D3">
              <w:rPr>
                <w:sz w:val="22"/>
                <w:szCs w:val="22"/>
              </w:rPr>
              <w:t>Included within the Force and NCFRA Aged Debt Pr</w:t>
            </w:r>
            <w:r>
              <w:rPr>
                <w:sz w:val="22"/>
                <w:szCs w:val="22"/>
              </w:rPr>
              <w:t xml:space="preserve">ocess document is the steps and </w:t>
            </w:r>
            <w:r w:rsidRPr="009A56D3">
              <w:rPr>
                <w:sz w:val="22"/>
                <w:szCs w:val="22"/>
              </w:rPr>
              <w:t>actions required before a write off can be approved and actioned and the delegated</w:t>
            </w:r>
          </w:p>
          <w:p w14:paraId="4258BC59" w14:textId="1BD961F3" w:rsidR="009A56D3" w:rsidRPr="009A56D3" w:rsidRDefault="009A56D3" w:rsidP="009A56D3">
            <w:pPr>
              <w:pStyle w:val="Default"/>
              <w:rPr>
                <w:sz w:val="22"/>
                <w:szCs w:val="22"/>
              </w:rPr>
            </w:pPr>
            <w:r w:rsidRPr="009A56D3">
              <w:rPr>
                <w:sz w:val="22"/>
                <w:szCs w:val="22"/>
              </w:rPr>
              <w:t>limits for approvals. This includes write offs for</w:t>
            </w:r>
            <w:r>
              <w:rPr>
                <w:sz w:val="22"/>
                <w:szCs w:val="22"/>
              </w:rPr>
              <w:t xml:space="preserve"> salary overpayments above £500 </w:t>
            </w:r>
            <w:r w:rsidRPr="009A56D3">
              <w:rPr>
                <w:sz w:val="22"/>
                <w:szCs w:val="22"/>
              </w:rPr>
              <w:t>which are to be sent to the OPFCC CFO for final approval of debt write off.</w:t>
            </w:r>
          </w:p>
          <w:p w14:paraId="76EC7846" w14:textId="02AA6A07" w:rsidR="009A56D3" w:rsidRPr="009A56D3" w:rsidRDefault="009A56D3" w:rsidP="009A56D3">
            <w:pPr>
              <w:pStyle w:val="Default"/>
              <w:rPr>
                <w:sz w:val="22"/>
                <w:szCs w:val="22"/>
              </w:rPr>
            </w:pPr>
            <w:r w:rsidRPr="009A56D3">
              <w:rPr>
                <w:sz w:val="22"/>
                <w:szCs w:val="22"/>
              </w:rPr>
              <w:t>We reviewed a sample of ten write offs at the Force a</w:t>
            </w:r>
            <w:r>
              <w:rPr>
                <w:sz w:val="22"/>
                <w:szCs w:val="22"/>
              </w:rPr>
              <w:t xml:space="preserve">nd noted two instances, both of </w:t>
            </w:r>
            <w:r w:rsidRPr="009A56D3">
              <w:rPr>
                <w:sz w:val="22"/>
                <w:szCs w:val="22"/>
              </w:rPr>
              <w:t>which were salary overpayments valued at £122</w:t>
            </w:r>
            <w:r>
              <w:rPr>
                <w:sz w:val="22"/>
                <w:szCs w:val="22"/>
              </w:rPr>
              <w:t xml:space="preserve">8.25 and £3275.81 respectively, </w:t>
            </w:r>
            <w:r w:rsidRPr="009A56D3">
              <w:rPr>
                <w:sz w:val="22"/>
                <w:szCs w:val="22"/>
              </w:rPr>
              <w:t>where no documented evidence of OPFCC CFO app</w:t>
            </w:r>
            <w:r>
              <w:rPr>
                <w:sz w:val="22"/>
                <w:szCs w:val="22"/>
              </w:rPr>
              <w:t xml:space="preserve">roval could be provided for the </w:t>
            </w:r>
            <w:r w:rsidRPr="009A56D3">
              <w:rPr>
                <w:sz w:val="22"/>
                <w:szCs w:val="22"/>
              </w:rPr>
              <w:t>write offs.</w:t>
            </w:r>
          </w:p>
          <w:p w14:paraId="1207AB51" w14:textId="4CEC0BF0" w:rsidR="009A56D3" w:rsidRPr="009A56D3" w:rsidRDefault="009A56D3" w:rsidP="009A56D3">
            <w:pPr>
              <w:pStyle w:val="Default"/>
              <w:rPr>
                <w:sz w:val="22"/>
                <w:szCs w:val="22"/>
              </w:rPr>
            </w:pPr>
            <w:r w:rsidRPr="009A56D3">
              <w:rPr>
                <w:sz w:val="22"/>
                <w:szCs w:val="22"/>
              </w:rPr>
              <w:t>Management advised that the Force CFO is ab</w:t>
            </w:r>
            <w:r>
              <w:rPr>
                <w:sz w:val="22"/>
                <w:szCs w:val="22"/>
              </w:rPr>
              <w:t xml:space="preserve">le to approve individual salary </w:t>
            </w:r>
            <w:r w:rsidRPr="009A56D3">
              <w:rPr>
                <w:sz w:val="22"/>
                <w:szCs w:val="22"/>
              </w:rPr>
              <w:t>overpayment write offs up to £10,000 and whilst w</w:t>
            </w:r>
            <w:r>
              <w:rPr>
                <w:sz w:val="22"/>
                <w:szCs w:val="22"/>
              </w:rPr>
              <w:t xml:space="preserve">e confirmed, by review of email </w:t>
            </w:r>
            <w:r w:rsidRPr="009A56D3">
              <w:rPr>
                <w:sz w:val="22"/>
                <w:szCs w:val="22"/>
              </w:rPr>
              <w:t>approvals, that the Force CFO had approved the w</w:t>
            </w:r>
            <w:r>
              <w:rPr>
                <w:sz w:val="22"/>
                <w:szCs w:val="22"/>
              </w:rPr>
              <w:t xml:space="preserve">rite offs the Aged Debt Process </w:t>
            </w:r>
            <w:r w:rsidRPr="009A56D3">
              <w:rPr>
                <w:sz w:val="22"/>
                <w:szCs w:val="22"/>
              </w:rPr>
              <w:t>document remains inconsistent with operational practices at the Force.</w:t>
            </w:r>
          </w:p>
          <w:p w14:paraId="75F16EB8" w14:textId="095B114C" w:rsidR="009A56D3" w:rsidRPr="009A56D3" w:rsidRDefault="009A56D3" w:rsidP="009A56D3">
            <w:pPr>
              <w:pStyle w:val="Default"/>
              <w:rPr>
                <w:sz w:val="22"/>
                <w:szCs w:val="22"/>
              </w:rPr>
            </w:pPr>
            <w:r w:rsidRPr="009A56D3">
              <w:rPr>
                <w:b/>
                <w:sz w:val="22"/>
                <w:szCs w:val="22"/>
              </w:rPr>
              <w:t>Risk and Impact</w:t>
            </w:r>
            <w:r w:rsidRPr="009A56D3">
              <w:rPr>
                <w:sz w:val="22"/>
                <w:szCs w:val="22"/>
              </w:rPr>
              <w:t>: Inconsistent approaches taken to approval of salary overpayment</w:t>
            </w:r>
            <w:r>
              <w:rPr>
                <w:sz w:val="22"/>
                <w:szCs w:val="22"/>
              </w:rPr>
              <w:t xml:space="preserve"> </w:t>
            </w:r>
            <w:r w:rsidRPr="009A56D3">
              <w:rPr>
                <w:sz w:val="22"/>
                <w:szCs w:val="22"/>
              </w:rPr>
              <w:t>write offs leading to recoverable debt being written off inappropriately.</w:t>
            </w:r>
          </w:p>
        </w:tc>
        <w:tc>
          <w:tcPr>
            <w:tcW w:w="2547" w:type="dxa"/>
          </w:tcPr>
          <w:p w14:paraId="16010100" w14:textId="5999BB60" w:rsidR="009A56D3" w:rsidRPr="009A56D3" w:rsidRDefault="009A56D3" w:rsidP="009A56D3">
            <w:pPr>
              <w:pStyle w:val="ListParagraph"/>
              <w:ind w:left="0"/>
              <w:rPr>
                <w:rFonts w:asciiTheme="minorHAnsi" w:hAnsiTheme="minorHAnsi" w:cstheme="minorHAnsi"/>
              </w:rPr>
            </w:pPr>
            <w:r w:rsidRPr="009A56D3">
              <w:rPr>
                <w:rFonts w:asciiTheme="minorHAnsi" w:hAnsiTheme="minorHAnsi" w:cstheme="minorHAnsi"/>
              </w:rPr>
              <w:t>The Force and NCFRA should update the Aged Debt</w:t>
            </w:r>
            <w:r>
              <w:rPr>
                <w:rFonts w:asciiTheme="minorHAnsi" w:hAnsiTheme="minorHAnsi" w:cstheme="minorHAnsi"/>
              </w:rPr>
              <w:t xml:space="preserve"> </w:t>
            </w:r>
            <w:r w:rsidRPr="009A56D3">
              <w:rPr>
                <w:rFonts w:asciiTheme="minorHAnsi" w:hAnsiTheme="minorHAnsi" w:cstheme="minorHAnsi"/>
              </w:rPr>
              <w:t xml:space="preserve">Process document and </w:t>
            </w:r>
            <w:r>
              <w:rPr>
                <w:rFonts w:asciiTheme="minorHAnsi" w:hAnsiTheme="minorHAnsi" w:cstheme="minorHAnsi"/>
              </w:rPr>
              <w:t xml:space="preserve">ensure the delegated limits for </w:t>
            </w:r>
            <w:r w:rsidRPr="009A56D3">
              <w:rPr>
                <w:rFonts w:asciiTheme="minorHAnsi" w:hAnsiTheme="minorHAnsi" w:cstheme="minorHAnsi"/>
              </w:rPr>
              <w:t>writing off salary overpayments is aligned to operational</w:t>
            </w:r>
          </w:p>
          <w:p w14:paraId="4A317830" w14:textId="3F902B3A" w:rsidR="008C4817" w:rsidRPr="008C0410" w:rsidRDefault="009A56D3" w:rsidP="009A56D3">
            <w:pPr>
              <w:pStyle w:val="ListParagraph"/>
              <w:ind w:left="0"/>
              <w:rPr>
                <w:rFonts w:asciiTheme="minorHAnsi" w:hAnsiTheme="minorHAnsi" w:cstheme="minorHAnsi"/>
              </w:rPr>
            </w:pPr>
            <w:r w:rsidRPr="009A56D3">
              <w:rPr>
                <w:rFonts w:asciiTheme="minorHAnsi" w:hAnsiTheme="minorHAnsi" w:cstheme="minorHAnsi"/>
              </w:rPr>
              <w:t>practices.</w:t>
            </w:r>
          </w:p>
        </w:tc>
        <w:tc>
          <w:tcPr>
            <w:tcW w:w="889" w:type="dxa"/>
            <w:shd w:val="clear" w:color="auto" w:fill="92D050"/>
          </w:tcPr>
          <w:p w14:paraId="66DCB735" w14:textId="5E0CB14E" w:rsidR="008C4817" w:rsidRPr="008C0410" w:rsidRDefault="009A56D3" w:rsidP="008D55FE">
            <w:pPr>
              <w:jc w:val="center"/>
              <w:rPr>
                <w:rFonts w:ascii="Calibri" w:hAnsi="Calibri" w:cs="Calibri"/>
                <w:b/>
              </w:rPr>
            </w:pPr>
            <w:r>
              <w:rPr>
                <w:rFonts w:ascii="Calibri" w:hAnsi="Calibri" w:cs="Calibri"/>
                <w:b/>
              </w:rPr>
              <w:t>Low</w:t>
            </w:r>
          </w:p>
        </w:tc>
        <w:tc>
          <w:tcPr>
            <w:tcW w:w="2965" w:type="dxa"/>
          </w:tcPr>
          <w:p w14:paraId="26EF1159" w14:textId="77777777" w:rsidR="008C4817" w:rsidRDefault="009A56D3" w:rsidP="009A56D3">
            <w:pPr>
              <w:pStyle w:val="Default"/>
              <w:rPr>
                <w:bCs/>
                <w:sz w:val="22"/>
                <w:szCs w:val="22"/>
              </w:rPr>
            </w:pPr>
            <w:r w:rsidRPr="009A56D3">
              <w:rPr>
                <w:bCs/>
                <w:sz w:val="22"/>
                <w:szCs w:val="22"/>
              </w:rPr>
              <w:t xml:space="preserve">Aged debt process has been updated to reflect the policies in place. The aged debt policy has an alert to ensure that it is </w:t>
            </w:r>
            <w:r>
              <w:rPr>
                <w:bCs/>
                <w:sz w:val="22"/>
                <w:szCs w:val="22"/>
              </w:rPr>
              <w:t xml:space="preserve">not outdated. Regular write off </w:t>
            </w:r>
            <w:r w:rsidRPr="009A56D3">
              <w:rPr>
                <w:bCs/>
                <w:sz w:val="22"/>
                <w:szCs w:val="22"/>
              </w:rPr>
              <w:t>meetings are held and documented.</w:t>
            </w:r>
          </w:p>
          <w:p w14:paraId="3C794857" w14:textId="77777777" w:rsidR="00C52516" w:rsidRDefault="00C52516" w:rsidP="00C52516">
            <w:pPr>
              <w:pStyle w:val="Default"/>
              <w:rPr>
                <w:bCs/>
                <w:sz w:val="22"/>
                <w:szCs w:val="22"/>
              </w:rPr>
            </w:pPr>
            <w:r>
              <w:rPr>
                <w:bCs/>
                <w:sz w:val="22"/>
                <w:szCs w:val="22"/>
              </w:rPr>
              <w:t>19.1.24 NF update (Via RB)</w:t>
            </w:r>
          </w:p>
          <w:p w14:paraId="3C6D4A11" w14:textId="13D9169D" w:rsidR="00C52516" w:rsidRPr="008C0410" w:rsidRDefault="00C52516" w:rsidP="00C52516">
            <w:pPr>
              <w:pStyle w:val="Default"/>
              <w:rPr>
                <w:bCs/>
                <w:sz w:val="22"/>
                <w:szCs w:val="22"/>
              </w:rPr>
            </w:pPr>
            <w:r>
              <w:rPr>
                <w:bCs/>
                <w:sz w:val="22"/>
                <w:szCs w:val="22"/>
              </w:rPr>
              <w:t>Action completed</w:t>
            </w:r>
          </w:p>
        </w:tc>
        <w:tc>
          <w:tcPr>
            <w:tcW w:w="2126" w:type="dxa"/>
          </w:tcPr>
          <w:p w14:paraId="175837E2" w14:textId="01198D31" w:rsidR="008C4817" w:rsidRDefault="009A56D3" w:rsidP="009A56D3">
            <w:pPr>
              <w:pStyle w:val="Default"/>
              <w:rPr>
                <w:color w:val="000000" w:themeColor="text1"/>
                <w:sz w:val="22"/>
                <w:szCs w:val="22"/>
              </w:rPr>
            </w:pPr>
            <w:r w:rsidRPr="009A56D3">
              <w:rPr>
                <w:color w:val="000000" w:themeColor="text1"/>
                <w:sz w:val="22"/>
                <w:szCs w:val="22"/>
              </w:rPr>
              <w:t xml:space="preserve">Annie </w:t>
            </w:r>
            <w:r>
              <w:rPr>
                <w:color w:val="000000" w:themeColor="text1"/>
                <w:sz w:val="22"/>
                <w:szCs w:val="22"/>
              </w:rPr>
              <w:t xml:space="preserve">Blake – Finance Operations Team </w:t>
            </w:r>
            <w:r w:rsidRPr="009A56D3">
              <w:rPr>
                <w:color w:val="000000" w:themeColor="text1"/>
                <w:sz w:val="22"/>
                <w:szCs w:val="22"/>
              </w:rPr>
              <w:t>Leader, Nat Freema</w:t>
            </w:r>
            <w:r>
              <w:rPr>
                <w:color w:val="000000" w:themeColor="text1"/>
                <w:sz w:val="22"/>
                <w:szCs w:val="22"/>
              </w:rPr>
              <w:t xml:space="preserve">n – Head of Finance &amp; </w:t>
            </w:r>
            <w:r w:rsidRPr="009A56D3">
              <w:rPr>
                <w:color w:val="000000" w:themeColor="text1"/>
                <w:sz w:val="22"/>
                <w:szCs w:val="22"/>
              </w:rPr>
              <w:t>Nick Alexander – Chief Finance Officer</w:t>
            </w:r>
          </w:p>
          <w:p w14:paraId="62803ACA" w14:textId="77777777" w:rsidR="009A56D3" w:rsidRDefault="009A56D3" w:rsidP="009A56D3">
            <w:pPr>
              <w:pStyle w:val="Default"/>
              <w:rPr>
                <w:color w:val="000000" w:themeColor="text1"/>
                <w:sz w:val="22"/>
                <w:szCs w:val="22"/>
              </w:rPr>
            </w:pPr>
          </w:p>
          <w:p w14:paraId="1BBB5518" w14:textId="77777777" w:rsidR="009A56D3" w:rsidRDefault="009A56D3" w:rsidP="009A56D3">
            <w:pPr>
              <w:pStyle w:val="Default"/>
              <w:rPr>
                <w:color w:val="000000" w:themeColor="text1"/>
                <w:sz w:val="22"/>
                <w:szCs w:val="22"/>
              </w:rPr>
            </w:pPr>
            <w:r>
              <w:rPr>
                <w:color w:val="000000" w:themeColor="text1"/>
                <w:sz w:val="22"/>
                <w:szCs w:val="22"/>
              </w:rPr>
              <w:t>1</w:t>
            </w:r>
            <w:r w:rsidRPr="009A56D3">
              <w:rPr>
                <w:color w:val="000000" w:themeColor="text1"/>
                <w:sz w:val="22"/>
                <w:szCs w:val="22"/>
                <w:vertAlign w:val="superscript"/>
              </w:rPr>
              <w:t>st</w:t>
            </w:r>
            <w:r>
              <w:rPr>
                <w:color w:val="000000" w:themeColor="text1"/>
                <w:sz w:val="22"/>
                <w:szCs w:val="22"/>
              </w:rPr>
              <w:t xml:space="preserve"> Dec 2024</w:t>
            </w:r>
          </w:p>
          <w:p w14:paraId="5AFEDEBF" w14:textId="77777777" w:rsidR="00C52516" w:rsidRDefault="00C52516" w:rsidP="009A56D3">
            <w:pPr>
              <w:pStyle w:val="Default"/>
              <w:rPr>
                <w:color w:val="000000" w:themeColor="text1"/>
                <w:sz w:val="22"/>
                <w:szCs w:val="22"/>
              </w:rPr>
            </w:pPr>
          </w:p>
          <w:p w14:paraId="47BF3189" w14:textId="4CEE4F75" w:rsidR="00C52516" w:rsidRPr="00D05F06" w:rsidRDefault="00C52516" w:rsidP="009A56D3">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0CDC39ED" w14:textId="77777777" w:rsidR="008C4817" w:rsidRPr="005F5142" w:rsidRDefault="008C4817" w:rsidP="008D55FE">
            <w:pPr>
              <w:spacing w:line="276" w:lineRule="auto"/>
              <w:rPr>
                <w:rFonts w:asciiTheme="minorHAnsi" w:hAnsiTheme="minorHAnsi" w:cstheme="minorHAnsi"/>
                <w:b/>
                <w:color w:val="FF0000"/>
              </w:rPr>
            </w:pPr>
          </w:p>
        </w:tc>
      </w:tr>
    </w:tbl>
    <w:p w14:paraId="72E30EA2" w14:textId="77777777" w:rsidR="00AA7CE5" w:rsidRDefault="00AA7CE5" w:rsidP="008C4817">
      <w:pPr>
        <w:spacing w:after="200" w:line="276" w:lineRule="auto"/>
        <w:rPr>
          <w:rFonts w:cstheme="minorHAnsi"/>
          <w:b/>
          <w:bCs/>
          <w:color w:val="000000"/>
        </w:rPr>
      </w:pPr>
    </w:p>
    <w:p w14:paraId="53AA4351" w14:textId="77777777" w:rsidR="009355D3" w:rsidRDefault="009355D3" w:rsidP="008C4817">
      <w:pPr>
        <w:spacing w:after="200" w:line="276" w:lineRule="auto"/>
        <w:rPr>
          <w:rFonts w:cstheme="minorHAnsi"/>
          <w:b/>
          <w:bCs/>
          <w:color w:val="000000"/>
        </w:rPr>
      </w:pPr>
    </w:p>
    <w:p w14:paraId="09462D3C" w14:textId="77777777" w:rsidR="009355D3" w:rsidRDefault="009355D3" w:rsidP="008C4817">
      <w:pPr>
        <w:spacing w:after="200" w:line="276" w:lineRule="auto"/>
        <w:rPr>
          <w:rFonts w:cstheme="minorHAnsi"/>
          <w:b/>
          <w:bCs/>
          <w:color w:val="000000"/>
        </w:rPr>
      </w:pPr>
    </w:p>
    <w:p w14:paraId="52BC662E" w14:textId="77777777" w:rsidR="009355D3" w:rsidRDefault="009355D3" w:rsidP="008C4817">
      <w:pPr>
        <w:spacing w:after="200" w:line="276" w:lineRule="auto"/>
        <w:rPr>
          <w:rFonts w:cstheme="minorHAnsi"/>
          <w:b/>
          <w:bCs/>
          <w:color w:val="000000"/>
        </w:rPr>
      </w:pPr>
    </w:p>
    <w:p w14:paraId="09990DEC" w14:textId="77777777" w:rsidR="009355D3" w:rsidRDefault="009355D3" w:rsidP="008C4817">
      <w:pPr>
        <w:spacing w:after="200" w:line="276" w:lineRule="auto"/>
        <w:rPr>
          <w:rFonts w:cstheme="minorHAnsi"/>
          <w:b/>
          <w:bCs/>
          <w:color w:val="000000"/>
        </w:rPr>
      </w:pPr>
    </w:p>
    <w:p w14:paraId="1ED22EF6" w14:textId="3B20C2EF" w:rsidR="008C4817" w:rsidRDefault="008C4817" w:rsidP="008C4817">
      <w:pPr>
        <w:spacing w:after="200" w:line="276" w:lineRule="auto"/>
        <w:rPr>
          <w:rFonts w:cstheme="minorHAnsi"/>
          <w:b/>
          <w:bCs/>
          <w:color w:val="000000"/>
        </w:rPr>
      </w:pPr>
      <w:r>
        <w:rPr>
          <w:rFonts w:cstheme="minorHAnsi"/>
          <w:b/>
          <w:bCs/>
          <w:color w:val="000000"/>
        </w:rPr>
        <w:lastRenderedPageBreak/>
        <w:t>Core Financials (Joint) – November 2024</w:t>
      </w:r>
    </w:p>
    <w:tbl>
      <w:tblPr>
        <w:tblStyle w:val="TableGrid1"/>
        <w:tblW w:w="15309" w:type="dxa"/>
        <w:tblInd w:w="-572" w:type="dxa"/>
        <w:tblLook w:val="04A0" w:firstRow="1" w:lastRow="0" w:firstColumn="1" w:lastColumn="0" w:noHBand="0" w:noVBand="1"/>
      </w:tblPr>
      <w:tblGrid>
        <w:gridCol w:w="397"/>
        <w:gridCol w:w="5534"/>
        <w:gridCol w:w="2547"/>
        <w:gridCol w:w="889"/>
        <w:gridCol w:w="3533"/>
        <w:gridCol w:w="1559"/>
        <w:gridCol w:w="850"/>
      </w:tblGrid>
      <w:tr w:rsidR="008C4817" w:rsidRPr="00291B4B" w14:paraId="7429DCD4" w14:textId="77777777" w:rsidTr="007C37F4">
        <w:tc>
          <w:tcPr>
            <w:tcW w:w="399" w:type="dxa"/>
            <w:shd w:val="clear" w:color="auto" w:fill="632E9E"/>
          </w:tcPr>
          <w:p w14:paraId="737BACCD"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 xml:space="preserve">   </w:t>
            </w:r>
          </w:p>
        </w:tc>
        <w:tc>
          <w:tcPr>
            <w:tcW w:w="5555" w:type="dxa"/>
            <w:shd w:val="clear" w:color="auto" w:fill="632E9E"/>
          </w:tcPr>
          <w:p w14:paraId="6AA12397"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Observation/Risk</w:t>
            </w:r>
          </w:p>
        </w:tc>
        <w:tc>
          <w:tcPr>
            <w:tcW w:w="2551" w:type="dxa"/>
            <w:shd w:val="clear" w:color="auto" w:fill="632E9E"/>
          </w:tcPr>
          <w:p w14:paraId="42DF4015"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Recommendation</w:t>
            </w:r>
          </w:p>
        </w:tc>
        <w:tc>
          <w:tcPr>
            <w:tcW w:w="851" w:type="dxa"/>
            <w:shd w:val="clear" w:color="auto" w:fill="632E9E"/>
          </w:tcPr>
          <w:p w14:paraId="09AA3282"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Priority</w:t>
            </w:r>
          </w:p>
        </w:tc>
        <w:tc>
          <w:tcPr>
            <w:tcW w:w="3544" w:type="dxa"/>
            <w:shd w:val="clear" w:color="auto" w:fill="632E9E"/>
          </w:tcPr>
          <w:p w14:paraId="616066A3"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Agreed Actions</w:t>
            </w:r>
          </w:p>
        </w:tc>
        <w:tc>
          <w:tcPr>
            <w:tcW w:w="1559" w:type="dxa"/>
            <w:shd w:val="clear" w:color="auto" w:fill="632E9E"/>
          </w:tcPr>
          <w:p w14:paraId="4A4E6B02" w14:textId="77777777" w:rsidR="008C4817" w:rsidRPr="00291B4B" w:rsidRDefault="008C4817" w:rsidP="008D55FE">
            <w:pPr>
              <w:spacing w:line="276" w:lineRule="auto"/>
              <w:rPr>
                <w:b/>
                <w:color w:val="FFFFFF" w:themeColor="background1"/>
                <w:sz w:val="16"/>
                <w:szCs w:val="16"/>
              </w:rPr>
            </w:pPr>
            <w:r>
              <w:rPr>
                <w:b/>
                <w:color w:val="FFFFFF" w:themeColor="background1"/>
                <w:sz w:val="16"/>
                <w:szCs w:val="16"/>
              </w:rPr>
              <w:t>Timescale/ Responsibility</w:t>
            </w:r>
          </w:p>
        </w:tc>
        <w:tc>
          <w:tcPr>
            <w:tcW w:w="850" w:type="dxa"/>
            <w:shd w:val="clear" w:color="auto" w:fill="632E9E"/>
          </w:tcPr>
          <w:p w14:paraId="3D6C05DE" w14:textId="77777777" w:rsidR="008C4817" w:rsidRPr="00291B4B" w:rsidRDefault="008C4817" w:rsidP="008D55FE">
            <w:pPr>
              <w:spacing w:line="276" w:lineRule="auto"/>
              <w:rPr>
                <w:b/>
                <w:color w:val="FFFFFF" w:themeColor="background1"/>
                <w:sz w:val="16"/>
                <w:szCs w:val="16"/>
              </w:rPr>
            </w:pPr>
            <w:r w:rsidRPr="00291B4B">
              <w:rPr>
                <w:b/>
                <w:color w:val="FFFFFF" w:themeColor="background1"/>
                <w:sz w:val="16"/>
                <w:szCs w:val="16"/>
              </w:rPr>
              <w:t>Status</w:t>
            </w:r>
          </w:p>
        </w:tc>
      </w:tr>
      <w:tr w:rsidR="008C4817" w:rsidRPr="005F5142" w14:paraId="0CAA1689" w14:textId="77777777" w:rsidTr="00C52516">
        <w:trPr>
          <w:trHeight w:val="844"/>
        </w:trPr>
        <w:tc>
          <w:tcPr>
            <w:tcW w:w="399" w:type="dxa"/>
            <w:tcMar>
              <w:left w:w="57" w:type="dxa"/>
              <w:right w:w="57" w:type="dxa"/>
            </w:tcMar>
          </w:tcPr>
          <w:p w14:paraId="0509A04A" w14:textId="60713CEC" w:rsidR="008C4817" w:rsidRPr="005F5142" w:rsidRDefault="00BA1F49" w:rsidP="008D55FE">
            <w:pPr>
              <w:rPr>
                <w:rFonts w:asciiTheme="minorHAnsi" w:hAnsiTheme="minorHAnsi" w:cstheme="minorHAnsi"/>
                <w:b/>
              </w:rPr>
            </w:pPr>
            <w:r>
              <w:rPr>
                <w:rFonts w:asciiTheme="minorHAnsi" w:hAnsiTheme="minorHAnsi" w:cstheme="minorHAnsi"/>
                <w:b/>
              </w:rPr>
              <w:t>5</w:t>
            </w:r>
          </w:p>
        </w:tc>
        <w:tc>
          <w:tcPr>
            <w:tcW w:w="5555" w:type="dxa"/>
          </w:tcPr>
          <w:p w14:paraId="4BD4B234" w14:textId="77777777" w:rsidR="008C4817" w:rsidRDefault="00BA1F49" w:rsidP="008D55FE">
            <w:pPr>
              <w:pStyle w:val="Default"/>
              <w:rPr>
                <w:b/>
                <w:sz w:val="22"/>
                <w:szCs w:val="22"/>
              </w:rPr>
            </w:pPr>
            <w:r w:rsidRPr="00BA1F49">
              <w:rPr>
                <w:b/>
                <w:sz w:val="22"/>
                <w:szCs w:val="22"/>
              </w:rPr>
              <w:t>Credit Notes</w:t>
            </w:r>
          </w:p>
          <w:p w14:paraId="4AF76F67" w14:textId="1C8D847D" w:rsidR="00BA1F49" w:rsidRPr="00BA1F49" w:rsidRDefault="00BA1F49" w:rsidP="00BA1F49">
            <w:pPr>
              <w:pStyle w:val="Default"/>
              <w:rPr>
                <w:sz w:val="22"/>
                <w:szCs w:val="22"/>
              </w:rPr>
            </w:pPr>
            <w:r w:rsidRPr="00BA1F49">
              <w:rPr>
                <w:sz w:val="22"/>
                <w:szCs w:val="22"/>
              </w:rPr>
              <w:t>A credit note is usually raised by a service request o</w:t>
            </w:r>
            <w:r>
              <w:rPr>
                <w:sz w:val="22"/>
                <w:szCs w:val="22"/>
              </w:rPr>
              <w:t xml:space="preserve">r email request and approved by </w:t>
            </w:r>
            <w:r w:rsidRPr="00BA1F49">
              <w:rPr>
                <w:sz w:val="22"/>
                <w:szCs w:val="22"/>
              </w:rPr>
              <w:t>a different member of the Finance Operations Team. After approval and once an</w:t>
            </w:r>
          </w:p>
          <w:p w14:paraId="7F2A9BA4" w14:textId="043428C3" w:rsidR="00BA1F49" w:rsidRPr="00BA1F49" w:rsidRDefault="00BA1F49" w:rsidP="00BA1F49">
            <w:pPr>
              <w:pStyle w:val="Default"/>
              <w:rPr>
                <w:sz w:val="22"/>
                <w:szCs w:val="22"/>
              </w:rPr>
            </w:pPr>
            <w:r w:rsidRPr="00BA1F49">
              <w:rPr>
                <w:sz w:val="22"/>
                <w:szCs w:val="22"/>
              </w:rPr>
              <w:t>invoice reference has been entered, the credit note sh</w:t>
            </w:r>
            <w:r>
              <w:rPr>
                <w:sz w:val="22"/>
                <w:szCs w:val="22"/>
              </w:rPr>
              <w:t xml:space="preserve">ould automatically match to the </w:t>
            </w:r>
            <w:r w:rsidRPr="00BA1F49">
              <w:rPr>
                <w:sz w:val="22"/>
                <w:szCs w:val="22"/>
              </w:rPr>
              <w:t>paid invoice on the system to complete a timely payment.</w:t>
            </w:r>
          </w:p>
          <w:p w14:paraId="7B1BE021" w14:textId="1B76F953" w:rsidR="00BA1F49" w:rsidRPr="00BA1F49" w:rsidRDefault="00BA1F49" w:rsidP="00BA1F49">
            <w:pPr>
              <w:pStyle w:val="Default"/>
              <w:rPr>
                <w:sz w:val="22"/>
                <w:szCs w:val="22"/>
              </w:rPr>
            </w:pPr>
            <w:r w:rsidRPr="00BA1F49">
              <w:rPr>
                <w:sz w:val="22"/>
                <w:szCs w:val="22"/>
              </w:rPr>
              <w:t>We reviewed a sample of ten credit notes at th</w:t>
            </w:r>
            <w:r>
              <w:rPr>
                <w:sz w:val="22"/>
                <w:szCs w:val="22"/>
              </w:rPr>
              <w:t xml:space="preserve">e Force and NCFRA and noted one </w:t>
            </w:r>
            <w:r w:rsidRPr="00BA1F49">
              <w:rPr>
                <w:sz w:val="22"/>
                <w:szCs w:val="22"/>
              </w:rPr>
              <w:t>instance at the Force where the credit note had failed the automatic matching</w:t>
            </w:r>
          </w:p>
          <w:p w14:paraId="52ADCB76" w14:textId="2BEFA5B3" w:rsidR="00BA1F49" w:rsidRPr="00BA1F49" w:rsidRDefault="00BA1F49" w:rsidP="00BA1F49">
            <w:pPr>
              <w:pStyle w:val="Default"/>
              <w:rPr>
                <w:sz w:val="22"/>
                <w:szCs w:val="22"/>
              </w:rPr>
            </w:pPr>
            <w:r w:rsidRPr="00BA1F49">
              <w:rPr>
                <w:sz w:val="22"/>
                <w:szCs w:val="22"/>
              </w:rPr>
              <w:t>process, and the credit remain un</w:t>
            </w:r>
            <w:r>
              <w:rPr>
                <w:sz w:val="22"/>
                <w:szCs w:val="22"/>
              </w:rPr>
              <w:t xml:space="preserve">paid (£54.79) since April 2024. </w:t>
            </w:r>
            <w:r w:rsidRPr="00BA1F49">
              <w:rPr>
                <w:sz w:val="22"/>
                <w:szCs w:val="22"/>
              </w:rPr>
              <w:t xml:space="preserve">We were advised by management that this has been </w:t>
            </w:r>
            <w:r>
              <w:rPr>
                <w:sz w:val="22"/>
                <w:szCs w:val="22"/>
              </w:rPr>
              <w:t xml:space="preserve">raised with the Support Team to </w:t>
            </w:r>
            <w:r w:rsidRPr="00BA1F49">
              <w:rPr>
                <w:sz w:val="22"/>
                <w:szCs w:val="22"/>
              </w:rPr>
              <w:t>who are still investigating the issue.</w:t>
            </w:r>
          </w:p>
          <w:p w14:paraId="5D56E051" w14:textId="159AA2CA" w:rsidR="00BA1F49" w:rsidRPr="00BA1F49" w:rsidRDefault="00BA1F49" w:rsidP="00BA1F49">
            <w:pPr>
              <w:pStyle w:val="Default"/>
              <w:rPr>
                <w:sz w:val="22"/>
                <w:szCs w:val="22"/>
              </w:rPr>
            </w:pPr>
            <w:r w:rsidRPr="00BA1F49">
              <w:rPr>
                <w:b/>
                <w:sz w:val="22"/>
                <w:szCs w:val="22"/>
              </w:rPr>
              <w:t>Risk and Impact</w:t>
            </w:r>
            <w:r w:rsidRPr="00BA1F49">
              <w:rPr>
                <w:sz w:val="22"/>
                <w:szCs w:val="22"/>
              </w:rPr>
              <w:t>: The Force are unaware of system is</w:t>
            </w:r>
            <w:r>
              <w:rPr>
                <w:sz w:val="22"/>
                <w:szCs w:val="22"/>
              </w:rPr>
              <w:t xml:space="preserve">sues that could lead to further </w:t>
            </w:r>
            <w:r w:rsidRPr="00BA1F49">
              <w:rPr>
                <w:sz w:val="22"/>
                <w:szCs w:val="22"/>
              </w:rPr>
              <w:t>credit note matching issues and delays in payments to customers.</w:t>
            </w:r>
          </w:p>
        </w:tc>
        <w:tc>
          <w:tcPr>
            <w:tcW w:w="2551" w:type="dxa"/>
          </w:tcPr>
          <w:p w14:paraId="788D6B7F" w14:textId="05757543" w:rsidR="007C37F4" w:rsidRPr="007C37F4" w:rsidRDefault="007C37F4" w:rsidP="007C37F4">
            <w:pPr>
              <w:pStyle w:val="ListParagraph"/>
              <w:ind w:left="0"/>
              <w:rPr>
                <w:rFonts w:asciiTheme="minorHAnsi" w:hAnsiTheme="minorHAnsi" w:cstheme="minorHAnsi"/>
              </w:rPr>
            </w:pPr>
            <w:r>
              <w:rPr>
                <w:rFonts w:asciiTheme="minorHAnsi" w:hAnsiTheme="minorHAnsi" w:cstheme="minorHAnsi"/>
              </w:rPr>
              <w:t xml:space="preserve">The Force should continue to </w:t>
            </w:r>
            <w:r w:rsidRPr="007C37F4">
              <w:rPr>
                <w:rFonts w:asciiTheme="minorHAnsi" w:hAnsiTheme="minorHAnsi" w:cstheme="minorHAnsi"/>
              </w:rPr>
              <w:t>investigate the issue and seek a</w:t>
            </w:r>
            <w:r>
              <w:rPr>
                <w:rFonts w:asciiTheme="minorHAnsi" w:hAnsiTheme="minorHAnsi" w:cstheme="minorHAnsi"/>
              </w:rPr>
              <w:t xml:space="preserve"> </w:t>
            </w:r>
            <w:r w:rsidRPr="007C37F4">
              <w:rPr>
                <w:rFonts w:asciiTheme="minorHAnsi" w:hAnsiTheme="minorHAnsi" w:cstheme="minorHAnsi"/>
              </w:rPr>
              <w:t>timely resolution. Once the issue</w:t>
            </w:r>
            <w:r>
              <w:rPr>
                <w:rFonts w:asciiTheme="minorHAnsi" w:hAnsiTheme="minorHAnsi" w:cstheme="minorHAnsi"/>
              </w:rPr>
              <w:t xml:space="preserve"> is identified the Force should </w:t>
            </w:r>
            <w:r w:rsidRPr="007C37F4">
              <w:rPr>
                <w:rFonts w:asciiTheme="minorHAnsi" w:hAnsiTheme="minorHAnsi" w:cstheme="minorHAnsi"/>
              </w:rPr>
              <w:t>consider a</w:t>
            </w:r>
            <w:r>
              <w:rPr>
                <w:rFonts w:asciiTheme="minorHAnsi" w:hAnsiTheme="minorHAnsi" w:cstheme="minorHAnsi"/>
              </w:rPr>
              <w:t xml:space="preserve">dditional </w:t>
            </w:r>
            <w:r w:rsidRPr="007C37F4">
              <w:rPr>
                <w:rFonts w:asciiTheme="minorHAnsi" w:hAnsiTheme="minorHAnsi" w:cstheme="minorHAnsi"/>
              </w:rPr>
              <w:t>preventative controls, such as systemic</w:t>
            </w:r>
          </w:p>
          <w:p w14:paraId="68E86E6C" w14:textId="7441DCD8" w:rsidR="008C4817" w:rsidRPr="008C0410" w:rsidRDefault="007C37F4" w:rsidP="007C37F4">
            <w:pPr>
              <w:pStyle w:val="ListParagraph"/>
              <w:ind w:left="0"/>
              <w:rPr>
                <w:rFonts w:asciiTheme="minorHAnsi" w:hAnsiTheme="minorHAnsi" w:cstheme="minorHAnsi"/>
              </w:rPr>
            </w:pPr>
            <w:r w:rsidRPr="007C37F4">
              <w:rPr>
                <w:rFonts w:asciiTheme="minorHAnsi" w:hAnsiTheme="minorHAnsi" w:cstheme="minorHAnsi"/>
              </w:rPr>
              <w:t>controls, that avoid th</w:t>
            </w:r>
            <w:r>
              <w:rPr>
                <w:rFonts w:asciiTheme="minorHAnsi" w:hAnsiTheme="minorHAnsi" w:cstheme="minorHAnsi"/>
              </w:rPr>
              <w:t xml:space="preserve">e matching process failure from </w:t>
            </w:r>
            <w:r w:rsidRPr="007C37F4">
              <w:rPr>
                <w:rFonts w:asciiTheme="minorHAnsi" w:hAnsiTheme="minorHAnsi" w:cstheme="minorHAnsi"/>
              </w:rPr>
              <w:t>occurring again.</w:t>
            </w:r>
          </w:p>
        </w:tc>
        <w:tc>
          <w:tcPr>
            <w:tcW w:w="851" w:type="dxa"/>
            <w:shd w:val="clear" w:color="auto" w:fill="92D050"/>
          </w:tcPr>
          <w:p w14:paraId="37E10DC3" w14:textId="4F45D005" w:rsidR="008C4817" w:rsidRPr="008C0410" w:rsidRDefault="007C37F4" w:rsidP="008D55FE">
            <w:pPr>
              <w:jc w:val="center"/>
              <w:rPr>
                <w:rFonts w:ascii="Calibri" w:hAnsi="Calibri" w:cs="Calibri"/>
                <w:b/>
              </w:rPr>
            </w:pPr>
            <w:r>
              <w:rPr>
                <w:rFonts w:ascii="Calibri" w:hAnsi="Calibri" w:cs="Calibri"/>
                <w:b/>
              </w:rPr>
              <w:t>Low</w:t>
            </w:r>
          </w:p>
        </w:tc>
        <w:tc>
          <w:tcPr>
            <w:tcW w:w="3544" w:type="dxa"/>
          </w:tcPr>
          <w:p w14:paraId="0DA71A8E" w14:textId="19F3629C" w:rsidR="00247265" w:rsidRPr="00247265" w:rsidRDefault="00247265" w:rsidP="00247265">
            <w:pPr>
              <w:pStyle w:val="Default"/>
              <w:rPr>
                <w:bCs/>
                <w:sz w:val="22"/>
                <w:szCs w:val="22"/>
              </w:rPr>
            </w:pPr>
            <w:r w:rsidRPr="00247265">
              <w:rPr>
                <w:bCs/>
                <w:sz w:val="22"/>
                <w:szCs w:val="22"/>
              </w:rPr>
              <w:t>Credit notes will be completed within the finance operations team. A request will be made via a service request and then ente</w:t>
            </w:r>
            <w:r>
              <w:rPr>
                <w:bCs/>
                <w:sz w:val="22"/>
                <w:szCs w:val="22"/>
              </w:rPr>
              <w:t xml:space="preserve">red into Unit 4. Investigations </w:t>
            </w:r>
            <w:r w:rsidRPr="00247265">
              <w:rPr>
                <w:bCs/>
                <w:sz w:val="22"/>
                <w:szCs w:val="22"/>
              </w:rPr>
              <w:t>into Unit 4 and automatic matching will continue.</w:t>
            </w:r>
          </w:p>
          <w:p w14:paraId="3F698ACA" w14:textId="77777777" w:rsidR="008C4817" w:rsidRDefault="00247265" w:rsidP="00247265">
            <w:pPr>
              <w:pStyle w:val="Default"/>
              <w:rPr>
                <w:bCs/>
                <w:sz w:val="22"/>
                <w:szCs w:val="22"/>
              </w:rPr>
            </w:pPr>
            <w:r w:rsidRPr="00247265">
              <w:rPr>
                <w:bCs/>
                <w:sz w:val="22"/>
                <w:szCs w:val="22"/>
              </w:rPr>
              <w:t>Training has been carried out across the team for awareness.</w:t>
            </w:r>
          </w:p>
          <w:p w14:paraId="4EFE37EE" w14:textId="77777777" w:rsidR="00C52516" w:rsidRDefault="00C52516" w:rsidP="00C52516">
            <w:pPr>
              <w:pStyle w:val="Default"/>
              <w:rPr>
                <w:bCs/>
                <w:sz w:val="22"/>
                <w:szCs w:val="22"/>
              </w:rPr>
            </w:pPr>
            <w:r>
              <w:rPr>
                <w:bCs/>
                <w:sz w:val="22"/>
                <w:szCs w:val="22"/>
              </w:rPr>
              <w:t>19.1.24 NF update (Via RB)</w:t>
            </w:r>
          </w:p>
          <w:p w14:paraId="4FD9B43A" w14:textId="09B4896B" w:rsidR="00C52516" w:rsidRPr="008C0410" w:rsidRDefault="00C52516" w:rsidP="00C52516">
            <w:pPr>
              <w:pStyle w:val="Default"/>
              <w:rPr>
                <w:bCs/>
                <w:sz w:val="22"/>
                <w:szCs w:val="22"/>
              </w:rPr>
            </w:pPr>
            <w:r>
              <w:rPr>
                <w:bCs/>
                <w:sz w:val="22"/>
                <w:szCs w:val="22"/>
              </w:rPr>
              <w:t>Action completed</w:t>
            </w:r>
          </w:p>
        </w:tc>
        <w:tc>
          <w:tcPr>
            <w:tcW w:w="1559" w:type="dxa"/>
          </w:tcPr>
          <w:p w14:paraId="6C38632F" w14:textId="07DE506A" w:rsidR="008C4817" w:rsidRDefault="00247265" w:rsidP="008D55FE">
            <w:pPr>
              <w:pStyle w:val="Default"/>
              <w:rPr>
                <w:color w:val="000000" w:themeColor="text1"/>
                <w:sz w:val="22"/>
                <w:szCs w:val="22"/>
              </w:rPr>
            </w:pPr>
            <w:r>
              <w:rPr>
                <w:color w:val="000000" w:themeColor="text1"/>
                <w:sz w:val="22"/>
                <w:szCs w:val="22"/>
              </w:rPr>
              <w:t xml:space="preserve">Annie Blake - </w:t>
            </w:r>
          </w:p>
          <w:p w14:paraId="5ED48CC4" w14:textId="4C47839C" w:rsidR="007C37F4" w:rsidRDefault="00247265" w:rsidP="008D55FE">
            <w:pPr>
              <w:pStyle w:val="Default"/>
              <w:rPr>
                <w:color w:val="000000" w:themeColor="text1"/>
                <w:sz w:val="22"/>
                <w:szCs w:val="22"/>
              </w:rPr>
            </w:pPr>
            <w:r w:rsidRPr="00247265">
              <w:rPr>
                <w:color w:val="000000" w:themeColor="text1"/>
                <w:sz w:val="22"/>
                <w:szCs w:val="22"/>
              </w:rPr>
              <w:t>Finance Operations Team</w:t>
            </w:r>
          </w:p>
          <w:p w14:paraId="14AB5B0E" w14:textId="77777777" w:rsidR="007C37F4" w:rsidRDefault="007C37F4" w:rsidP="008D55FE">
            <w:pPr>
              <w:pStyle w:val="Default"/>
              <w:rPr>
                <w:color w:val="000000" w:themeColor="text1"/>
                <w:sz w:val="22"/>
                <w:szCs w:val="22"/>
              </w:rPr>
            </w:pPr>
          </w:p>
          <w:p w14:paraId="45BFFB40" w14:textId="77777777" w:rsidR="007C37F4" w:rsidRDefault="007C37F4" w:rsidP="008D55FE">
            <w:pPr>
              <w:pStyle w:val="Default"/>
              <w:rPr>
                <w:color w:val="000000" w:themeColor="text1"/>
                <w:sz w:val="22"/>
                <w:szCs w:val="22"/>
              </w:rPr>
            </w:pPr>
          </w:p>
          <w:p w14:paraId="591D3092" w14:textId="77777777" w:rsidR="007C37F4" w:rsidRDefault="007C37F4" w:rsidP="008D55FE">
            <w:pPr>
              <w:pStyle w:val="Default"/>
              <w:rPr>
                <w:color w:val="000000" w:themeColor="text1"/>
                <w:sz w:val="22"/>
                <w:szCs w:val="22"/>
              </w:rPr>
            </w:pPr>
            <w:r>
              <w:rPr>
                <w:color w:val="000000" w:themeColor="text1"/>
                <w:sz w:val="22"/>
                <w:szCs w:val="22"/>
              </w:rPr>
              <w:t>1</w:t>
            </w:r>
            <w:r w:rsidRPr="007C37F4">
              <w:rPr>
                <w:color w:val="000000" w:themeColor="text1"/>
                <w:sz w:val="22"/>
                <w:szCs w:val="22"/>
                <w:vertAlign w:val="superscript"/>
              </w:rPr>
              <w:t>st</w:t>
            </w:r>
            <w:r>
              <w:rPr>
                <w:color w:val="000000" w:themeColor="text1"/>
                <w:sz w:val="22"/>
                <w:szCs w:val="22"/>
              </w:rPr>
              <w:t xml:space="preserve"> Mar 2025</w:t>
            </w:r>
          </w:p>
          <w:p w14:paraId="72D9CA5F" w14:textId="77777777" w:rsidR="00C52516" w:rsidRDefault="00C52516" w:rsidP="008D55FE">
            <w:pPr>
              <w:pStyle w:val="Default"/>
              <w:rPr>
                <w:color w:val="000000" w:themeColor="text1"/>
                <w:sz w:val="22"/>
                <w:szCs w:val="22"/>
              </w:rPr>
            </w:pPr>
          </w:p>
          <w:p w14:paraId="6DE3EC5C" w14:textId="5F4FE92B" w:rsidR="00C52516" w:rsidRPr="00D05F06" w:rsidRDefault="00C52516" w:rsidP="008D55FE">
            <w:pPr>
              <w:pStyle w:val="Default"/>
              <w:rPr>
                <w:color w:val="000000" w:themeColor="text1"/>
                <w:sz w:val="22"/>
                <w:szCs w:val="22"/>
              </w:rPr>
            </w:pPr>
            <w:r>
              <w:rPr>
                <w:color w:val="000000" w:themeColor="text1"/>
                <w:sz w:val="22"/>
                <w:szCs w:val="22"/>
              </w:rPr>
              <w:t>Completed</w:t>
            </w:r>
          </w:p>
        </w:tc>
        <w:tc>
          <w:tcPr>
            <w:tcW w:w="850" w:type="dxa"/>
            <w:shd w:val="clear" w:color="auto" w:fill="00B050"/>
          </w:tcPr>
          <w:p w14:paraId="5BEF76B6" w14:textId="77777777" w:rsidR="008C4817" w:rsidRPr="005F5142" w:rsidRDefault="008C4817" w:rsidP="008D55FE">
            <w:pPr>
              <w:spacing w:line="276" w:lineRule="auto"/>
              <w:rPr>
                <w:rFonts w:asciiTheme="minorHAnsi" w:hAnsiTheme="minorHAnsi" w:cstheme="minorHAnsi"/>
                <w:b/>
                <w:color w:val="FF0000"/>
              </w:rPr>
            </w:pPr>
          </w:p>
        </w:tc>
      </w:tr>
    </w:tbl>
    <w:p w14:paraId="75C7224C" w14:textId="77777777" w:rsidR="008C4817" w:rsidRDefault="008C4817" w:rsidP="00FB30A6">
      <w:pPr>
        <w:spacing w:after="200" w:line="276" w:lineRule="auto"/>
        <w:rPr>
          <w:rFonts w:cstheme="minorHAnsi"/>
          <w:b/>
          <w:bCs/>
          <w:color w:val="000000"/>
        </w:rPr>
      </w:pPr>
    </w:p>
    <w:p w14:paraId="7B8A67A5" w14:textId="77777777" w:rsidR="00C04419" w:rsidRDefault="00C04419" w:rsidP="00C04419">
      <w:pPr>
        <w:spacing w:after="200" w:line="276" w:lineRule="auto"/>
        <w:rPr>
          <w:rFonts w:cstheme="minorHAnsi"/>
          <w:b/>
          <w:bCs/>
          <w:color w:val="000000"/>
        </w:rPr>
      </w:pPr>
    </w:p>
    <w:p w14:paraId="509BD04A" w14:textId="77777777" w:rsidR="00C04419" w:rsidRDefault="00C04419" w:rsidP="00C04419">
      <w:pPr>
        <w:spacing w:after="200" w:line="276" w:lineRule="auto"/>
        <w:rPr>
          <w:rFonts w:cstheme="minorHAnsi"/>
          <w:b/>
          <w:bCs/>
          <w:color w:val="000000"/>
        </w:rPr>
      </w:pPr>
    </w:p>
    <w:p w14:paraId="05AE505F" w14:textId="77777777" w:rsidR="00C04419" w:rsidRDefault="00C04419" w:rsidP="00C04419">
      <w:pPr>
        <w:spacing w:after="200" w:line="276" w:lineRule="auto"/>
        <w:rPr>
          <w:rFonts w:cstheme="minorHAnsi"/>
          <w:b/>
          <w:bCs/>
          <w:color w:val="000000"/>
        </w:rPr>
      </w:pPr>
    </w:p>
    <w:p w14:paraId="4A3180C8" w14:textId="77777777" w:rsidR="00C04419" w:rsidRDefault="00C04419" w:rsidP="00C04419">
      <w:pPr>
        <w:spacing w:after="200" w:line="276" w:lineRule="auto"/>
        <w:rPr>
          <w:rFonts w:cstheme="minorHAnsi"/>
          <w:b/>
          <w:bCs/>
          <w:color w:val="000000"/>
        </w:rPr>
      </w:pPr>
    </w:p>
    <w:p w14:paraId="20269019" w14:textId="77777777" w:rsidR="00C04419" w:rsidRDefault="00C04419" w:rsidP="00C04419">
      <w:pPr>
        <w:spacing w:after="200" w:line="276" w:lineRule="auto"/>
        <w:rPr>
          <w:rFonts w:cstheme="minorHAnsi"/>
          <w:b/>
          <w:bCs/>
          <w:color w:val="000000"/>
        </w:rPr>
      </w:pPr>
    </w:p>
    <w:p w14:paraId="08BB4CD2" w14:textId="77777777" w:rsidR="00C04419" w:rsidRDefault="00C04419" w:rsidP="00C04419">
      <w:pPr>
        <w:spacing w:after="200" w:line="276" w:lineRule="auto"/>
        <w:rPr>
          <w:rFonts w:cstheme="minorHAnsi"/>
          <w:b/>
          <w:bCs/>
          <w:color w:val="000000"/>
        </w:rPr>
      </w:pPr>
    </w:p>
    <w:p w14:paraId="60CADB75" w14:textId="77777777" w:rsidR="00C04419" w:rsidRPr="00C04419" w:rsidRDefault="00C04419" w:rsidP="00C04419">
      <w:pPr>
        <w:spacing w:after="200" w:line="276" w:lineRule="auto"/>
        <w:rPr>
          <w:rFonts w:cstheme="minorHAnsi"/>
          <w:b/>
          <w:bCs/>
          <w:color w:val="000000"/>
        </w:rPr>
      </w:pPr>
    </w:p>
    <w:p w14:paraId="07B716E9" w14:textId="77777777" w:rsidR="00C04419" w:rsidRPr="00C04419" w:rsidRDefault="00C04419" w:rsidP="00C04419">
      <w:pPr>
        <w:spacing w:after="200" w:line="276" w:lineRule="auto"/>
        <w:rPr>
          <w:rFonts w:cstheme="minorHAnsi"/>
          <w:b/>
          <w:bCs/>
          <w:color w:val="000000"/>
        </w:rPr>
      </w:pPr>
      <w:r w:rsidRPr="00C04419">
        <w:rPr>
          <w:rFonts w:cstheme="minorHAnsi"/>
          <w:b/>
          <w:bCs/>
          <w:color w:val="000000"/>
        </w:rPr>
        <w:lastRenderedPageBreak/>
        <w:t>Payroll – February 2025</w:t>
      </w:r>
    </w:p>
    <w:tbl>
      <w:tblPr>
        <w:tblW w:w="15309" w:type="dxa"/>
        <w:tblInd w:w="-572" w:type="dxa"/>
        <w:tblLook w:val="04A0" w:firstRow="1" w:lastRow="0" w:firstColumn="1" w:lastColumn="0" w:noHBand="0" w:noVBand="1"/>
      </w:tblPr>
      <w:tblGrid>
        <w:gridCol w:w="394"/>
        <w:gridCol w:w="6694"/>
        <w:gridCol w:w="1843"/>
        <w:gridCol w:w="1134"/>
        <w:gridCol w:w="2837"/>
        <w:gridCol w:w="1558"/>
        <w:gridCol w:w="849"/>
      </w:tblGrid>
      <w:tr w:rsidR="00A87A2C" w:rsidRPr="00C04419" w14:paraId="6A8A781A" w14:textId="77777777" w:rsidTr="00A87A2C">
        <w:trPr>
          <w:trHeight w:val="619"/>
        </w:trPr>
        <w:tc>
          <w:tcPr>
            <w:tcW w:w="394" w:type="dxa"/>
            <w:tcBorders>
              <w:top w:val="single" w:sz="4" w:space="0" w:color="auto"/>
              <w:left w:val="single" w:sz="4" w:space="0" w:color="auto"/>
              <w:bottom w:val="single" w:sz="4" w:space="0" w:color="auto"/>
              <w:right w:val="single" w:sz="4" w:space="0" w:color="auto"/>
            </w:tcBorders>
            <w:shd w:val="clear" w:color="auto" w:fill="7030A0"/>
            <w:hideMark/>
          </w:tcPr>
          <w:p w14:paraId="15F6A6C3" w14:textId="77777777" w:rsidR="00C04419" w:rsidRPr="00C04419" w:rsidRDefault="00C04419" w:rsidP="00C04419">
            <w:pPr>
              <w:spacing w:after="200" w:line="276" w:lineRule="auto"/>
              <w:rPr>
                <w:rFonts w:cstheme="minorHAnsi"/>
                <w:b/>
                <w:color w:val="FFFFFF" w:themeColor="background1"/>
              </w:rPr>
            </w:pPr>
            <w:r w:rsidRPr="00C04419">
              <w:rPr>
                <w:rFonts w:cstheme="minorHAnsi"/>
                <w:b/>
                <w:color w:val="FFFFFF" w:themeColor="background1"/>
              </w:rPr>
              <w:t xml:space="preserve">   </w:t>
            </w:r>
          </w:p>
        </w:tc>
        <w:tc>
          <w:tcPr>
            <w:tcW w:w="6694" w:type="dxa"/>
            <w:tcBorders>
              <w:top w:val="single" w:sz="4" w:space="0" w:color="auto"/>
              <w:left w:val="single" w:sz="4" w:space="0" w:color="auto"/>
              <w:bottom w:val="single" w:sz="4" w:space="0" w:color="auto"/>
              <w:right w:val="single" w:sz="4" w:space="0" w:color="auto"/>
            </w:tcBorders>
            <w:shd w:val="clear" w:color="auto" w:fill="7030A0"/>
            <w:hideMark/>
          </w:tcPr>
          <w:p w14:paraId="32685092"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Observation/Risk</w:t>
            </w:r>
          </w:p>
        </w:tc>
        <w:tc>
          <w:tcPr>
            <w:tcW w:w="1843" w:type="dxa"/>
            <w:tcBorders>
              <w:top w:val="single" w:sz="4" w:space="0" w:color="auto"/>
              <w:left w:val="single" w:sz="4" w:space="0" w:color="auto"/>
              <w:bottom w:val="single" w:sz="4" w:space="0" w:color="auto"/>
              <w:right w:val="single" w:sz="4" w:space="0" w:color="auto"/>
            </w:tcBorders>
            <w:shd w:val="clear" w:color="auto" w:fill="7030A0"/>
            <w:hideMark/>
          </w:tcPr>
          <w:p w14:paraId="66E7C0B0"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7030A0"/>
            <w:hideMark/>
          </w:tcPr>
          <w:p w14:paraId="63D7FCFF"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Priority</w:t>
            </w:r>
          </w:p>
        </w:tc>
        <w:tc>
          <w:tcPr>
            <w:tcW w:w="2837" w:type="dxa"/>
            <w:tcBorders>
              <w:top w:val="single" w:sz="4" w:space="0" w:color="auto"/>
              <w:left w:val="single" w:sz="4" w:space="0" w:color="auto"/>
              <w:bottom w:val="single" w:sz="4" w:space="0" w:color="auto"/>
              <w:right w:val="single" w:sz="4" w:space="0" w:color="auto"/>
            </w:tcBorders>
            <w:shd w:val="clear" w:color="auto" w:fill="7030A0"/>
            <w:hideMark/>
          </w:tcPr>
          <w:p w14:paraId="7011B367"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Agreed Actions</w:t>
            </w:r>
          </w:p>
        </w:tc>
        <w:tc>
          <w:tcPr>
            <w:tcW w:w="1558" w:type="dxa"/>
            <w:tcBorders>
              <w:top w:val="single" w:sz="4" w:space="0" w:color="auto"/>
              <w:left w:val="single" w:sz="4" w:space="0" w:color="auto"/>
              <w:bottom w:val="single" w:sz="4" w:space="0" w:color="auto"/>
              <w:right w:val="single" w:sz="4" w:space="0" w:color="auto"/>
            </w:tcBorders>
            <w:shd w:val="clear" w:color="auto" w:fill="7030A0"/>
            <w:hideMark/>
          </w:tcPr>
          <w:p w14:paraId="721C5E6A"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Timescale/ Responsibility</w:t>
            </w:r>
          </w:p>
        </w:tc>
        <w:tc>
          <w:tcPr>
            <w:tcW w:w="849" w:type="dxa"/>
            <w:tcBorders>
              <w:top w:val="single" w:sz="4" w:space="0" w:color="auto"/>
              <w:left w:val="single" w:sz="4" w:space="0" w:color="auto"/>
              <w:bottom w:val="single" w:sz="4" w:space="0" w:color="auto"/>
              <w:right w:val="single" w:sz="4" w:space="0" w:color="auto"/>
            </w:tcBorders>
            <w:shd w:val="clear" w:color="auto" w:fill="7030A0"/>
            <w:hideMark/>
          </w:tcPr>
          <w:p w14:paraId="455F0D35"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Status</w:t>
            </w:r>
          </w:p>
        </w:tc>
      </w:tr>
      <w:tr w:rsidR="00FA20BB" w:rsidRPr="00FA20BB" w14:paraId="335B06E8" w14:textId="77777777" w:rsidTr="00FA20BB">
        <w:trPr>
          <w:trHeight w:val="844"/>
        </w:trPr>
        <w:tc>
          <w:tcPr>
            <w:tcW w:w="3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2E7315" w14:textId="77777777" w:rsidR="00C04419" w:rsidRPr="00C04419" w:rsidRDefault="00C04419" w:rsidP="00C04419">
            <w:pPr>
              <w:spacing w:after="200" w:line="276" w:lineRule="auto"/>
              <w:rPr>
                <w:rFonts w:asciiTheme="minorHAnsi" w:hAnsiTheme="minorHAnsi" w:cstheme="minorHAnsi"/>
                <w:b/>
                <w:color w:val="000000"/>
              </w:rPr>
            </w:pPr>
            <w:r w:rsidRPr="00C04419">
              <w:rPr>
                <w:rFonts w:asciiTheme="minorHAnsi" w:hAnsiTheme="minorHAnsi" w:cstheme="minorHAnsi"/>
                <w:b/>
                <w:color w:val="000000"/>
              </w:rPr>
              <w:t>1</w:t>
            </w:r>
          </w:p>
        </w:tc>
        <w:tc>
          <w:tcPr>
            <w:tcW w:w="6694" w:type="dxa"/>
            <w:tcBorders>
              <w:top w:val="single" w:sz="4" w:space="0" w:color="auto"/>
              <w:left w:val="single" w:sz="4" w:space="0" w:color="auto"/>
              <w:bottom w:val="single" w:sz="4" w:space="0" w:color="auto"/>
              <w:right w:val="single" w:sz="4" w:space="0" w:color="auto"/>
            </w:tcBorders>
            <w:hideMark/>
          </w:tcPr>
          <w:p w14:paraId="5A01CD36" w14:textId="77777777" w:rsidR="00C04419" w:rsidRPr="00C04419" w:rsidRDefault="00C04419" w:rsidP="00E818E1">
            <w:pPr>
              <w:spacing w:line="276" w:lineRule="auto"/>
              <w:rPr>
                <w:rFonts w:asciiTheme="minorHAnsi" w:hAnsiTheme="minorHAnsi" w:cstheme="minorHAnsi"/>
                <w:color w:val="000000"/>
                <w:sz w:val="20"/>
                <w:szCs w:val="20"/>
              </w:rPr>
            </w:pPr>
            <w:r w:rsidRPr="00C04419">
              <w:rPr>
                <w:rFonts w:asciiTheme="minorHAnsi" w:hAnsiTheme="minorHAnsi" w:cstheme="minorHAnsi"/>
                <w:color w:val="000000"/>
                <w:sz w:val="20"/>
                <w:szCs w:val="20"/>
              </w:rPr>
              <w:t>Expenses are submitted by members of staff within the Employee claim system.</w:t>
            </w:r>
          </w:p>
          <w:p w14:paraId="59000E31" w14:textId="403F1CA3" w:rsidR="00C04419" w:rsidRPr="00C04419" w:rsidRDefault="00C04419" w:rsidP="00E818E1">
            <w:pPr>
              <w:spacing w:line="276" w:lineRule="auto"/>
              <w:rPr>
                <w:rFonts w:asciiTheme="minorHAnsi" w:hAnsiTheme="minorHAnsi" w:cstheme="minorHAnsi"/>
                <w:color w:val="000000"/>
                <w:sz w:val="20"/>
                <w:szCs w:val="20"/>
              </w:rPr>
            </w:pPr>
            <w:r w:rsidRPr="00C04419">
              <w:rPr>
                <w:rFonts w:asciiTheme="minorHAnsi" w:hAnsiTheme="minorHAnsi" w:cstheme="minorHAnsi"/>
                <w:color w:val="000000"/>
                <w:sz w:val="20"/>
                <w:szCs w:val="20"/>
              </w:rPr>
              <w:t>Claims are self-authorised and there is no prior approval obtained when submitting a</w:t>
            </w:r>
            <w:r w:rsidR="00E818E1" w:rsidRPr="00FA20BB">
              <w:rPr>
                <w:rFonts w:asciiTheme="minorHAnsi" w:hAnsiTheme="minorHAnsi" w:cstheme="minorHAnsi"/>
                <w:color w:val="000000"/>
                <w:sz w:val="20"/>
                <w:szCs w:val="20"/>
              </w:rPr>
              <w:t xml:space="preserve"> </w:t>
            </w:r>
            <w:r w:rsidRPr="00C04419">
              <w:rPr>
                <w:rFonts w:asciiTheme="minorHAnsi" w:hAnsiTheme="minorHAnsi" w:cstheme="minorHAnsi"/>
                <w:color w:val="000000"/>
                <w:sz w:val="20"/>
                <w:szCs w:val="20"/>
              </w:rPr>
              <w:t>claim. The policy asks staff to speak to their line manager before seeking</w:t>
            </w:r>
            <w:r w:rsidR="00E818E1" w:rsidRPr="00FA20BB">
              <w:rPr>
                <w:rFonts w:asciiTheme="minorHAnsi" w:hAnsiTheme="minorHAnsi" w:cstheme="minorHAnsi"/>
                <w:color w:val="000000"/>
                <w:sz w:val="20"/>
                <w:szCs w:val="20"/>
              </w:rPr>
              <w:t xml:space="preserve"> </w:t>
            </w:r>
            <w:r w:rsidRPr="00C04419">
              <w:rPr>
                <w:rFonts w:asciiTheme="minorHAnsi" w:hAnsiTheme="minorHAnsi" w:cstheme="minorHAnsi"/>
                <w:color w:val="000000"/>
                <w:sz w:val="20"/>
                <w:szCs w:val="20"/>
              </w:rPr>
              <w:t>reimbursement and receipts should be submitted to support claims.</w:t>
            </w:r>
          </w:p>
          <w:p w14:paraId="6A9C4427" w14:textId="5212184E" w:rsidR="00C04419" w:rsidRPr="00C04419" w:rsidRDefault="00C04419" w:rsidP="00E818E1">
            <w:pPr>
              <w:spacing w:line="276" w:lineRule="auto"/>
              <w:rPr>
                <w:rFonts w:asciiTheme="minorHAnsi" w:hAnsiTheme="minorHAnsi" w:cstheme="minorHAnsi"/>
                <w:color w:val="000000"/>
                <w:sz w:val="20"/>
                <w:szCs w:val="20"/>
              </w:rPr>
            </w:pPr>
            <w:r w:rsidRPr="00C04419">
              <w:rPr>
                <w:rFonts w:asciiTheme="minorHAnsi" w:hAnsiTheme="minorHAnsi" w:cstheme="minorHAnsi"/>
                <w:color w:val="000000"/>
                <w:sz w:val="20"/>
                <w:szCs w:val="20"/>
              </w:rPr>
              <w:t>We selected a sample of 21 claims submitted by fire staff between April 2024 to</w:t>
            </w:r>
            <w:r w:rsidR="00E818E1" w:rsidRPr="00FA20BB">
              <w:rPr>
                <w:rFonts w:asciiTheme="minorHAnsi" w:hAnsiTheme="minorHAnsi" w:cstheme="minorHAnsi"/>
                <w:color w:val="000000"/>
                <w:sz w:val="20"/>
                <w:szCs w:val="20"/>
              </w:rPr>
              <w:t xml:space="preserve"> </w:t>
            </w:r>
            <w:r w:rsidRPr="00C04419">
              <w:rPr>
                <w:rFonts w:asciiTheme="minorHAnsi" w:hAnsiTheme="minorHAnsi" w:cstheme="minorHAnsi"/>
                <w:color w:val="000000"/>
                <w:sz w:val="20"/>
                <w:szCs w:val="20"/>
              </w:rPr>
              <w:t>September 2024, to assess whether the expenses policy had been followed. We</w:t>
            </w:r>
            <w:r w:rsidR="00E818E1" w:rsidRPr="00FA20BB">
              <w:rPr>
                <w:rFonts w:asciiTheme="minorHAnsi" w:hAnsiTheme="minorHAnsi" w:cstheme="minorHAnsi"/>
                <w:color w:val="000000"/>
                <w:sz w:val="20"/>
                <w:szCs w:val="20"/>
              </w:rPr>
              <w:t xml:space="preserve"> </w:t>
            </w:r>
            <w:r w:rsidRPr="00C04419">
              <w:rPr>
                <w:rFonts w:asciiTheme="minorHAnsi" w:hAnsiTheme="minorHAnsi" w:cstheme="minorHAnsi"/>
                <w:color w:val="000000"/>
                <w:sz w:val="20"/>
                <w:szCs w:val="20"/>
              </w:rPr>
              <w:t>noted several issues:</w:t>
            </w:r>
          </w:p>
          <w:p w14:paraId="5CAE67B7" w14:textId="1C50E142" w:rsidR="00C04419" w:rsidRPr="00FA20BB" w:rsidRDefault="00C04419" w:rsidP="00E818E1">
            <w:pPr>
              <w:pStyle w:val="ListParagraph"/>
              <w:numPr>
                <w:ilvl w:val="0"/>
                <w:numId w:val="30"/>
              </w:numPr>
              <w:spacing w:line="276" w:lineRule="auto"/>
              <w:rPr>
                <w:rFonts w:asciiTheme="minorHAnsi" w:hAnsiTheme="minorHAnsi" w:cstheme="minorHAnsi"/>
                <w:color w:val="000000"/>
                <w:sz w:val="20"/>
                <w:szCs w:val="20"/>
              </w:rPr>
            </w:pPr>
            <w:r w:rsidRPr="00FA20BB">
              <w:rPr>
                <w:rFonts w:asciiTheme="minorHAnsi" w:hAnsiTheme="minorHAnsi" w:cstheme="minorHAnsi"/>
                <w:color w:val="000000"/>
                <w:sz w:val="20"/>
                <w:szCs w:val="20"/>
              </w:rPr>
              <w:t>Payroll Number 23-1800369: This individual had a claim paid of £112.25 in June</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2024. This included a toll fare of £108. However, there was no receipt to support</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this transaction.</w:t>
            </w:r>
          </w:p>
          <w:p w14:paraId="106C82CF" w14:textId="74C19631" w:rsidR="00C04419" w:rsidRPr="00FA20BB" w:rsidRDefault="00C04419" w:rsidP="00E818E1">
            <w:pPr>
              <w:pStyle w:val="ListParagraph"/>
              <w:numPr>
                <w:ilvl w:val="0"/>
                <w:numId w:val="30"/>
              </w:numPr>
              <w:spacing w:line="276" w:lineRule="auto"/>
              <w:rPr>
                <w:rFonts w:asciiTheme="minorHAnsi" w:hAnsiTheme="minorHAnsi" w:cstheme="minorHAnsi"/>
                <w:color w:val="000000"/>
                <w:sz w:val="20"/>
                <w:szCs w:val="20"/>
              </w:rPr>
            </w:pPr>
            <w:r w:rsidRPr="00FA20BB">
              <w:rPr>
                <w:rFonts w:asciiTheme="minorHAnsi" w:hAnsiTheme="minorHAnsi" w:cstheme="minorHAnsi"/>
                <w:color w:val="000000"/>
                <w:sz w:val="20"/>
                <w:szCs w:val="20"/>
              </w:rPr>
              <w:t>Payroll Number 23-1800125: This individual had a meal claim paid of £5.25 in July</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2024. This included a food meal purchase of £40 that was paid. We were advised</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by management that this could be a group purchase. However, information should</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be submitted within the claim reason box to give as much detail as possible, which</w:t>
            </w:r>
            <w:r w:rsidR="00E818E1"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was lacking.</w:t>
            </w:r>
          </w:p>
          <w:p w14:paraId="48883999" w14:textId="6A4E50BC" w:rsidR="00C04419" w:rsidRPr="00FA20BB" w:rsidRDefault="00C04419" w:rsidP="00E818E1">
            <w:pPr>
              <w:pStyle w:val="ListParagraph"/>
              <w:numPr>
                <w:ilvl w:val="0"/>
                <w:numId w:val="30"/>
              </w:numPr>
              <w:spacing w:line="276" w:lineRule="auto"/>
              <w:rPr>
                <w:rFonts w:asciiTheme="minorHAnsi" w:hAnsiTheme="minorHAnsi" w:cstheme="minorHAnsi"/>
                <w:color w:val="000000"/>
                <w:sz w:val="20"/>
                <w:szCs w:val="20"/>
              </w:rPr>
            </w:pPr>
            <w:r w:rsidRPr="00FA20BB">
              <w:rPr>
                <w:rFonts w:asciiTheme="minorHAnsi" w:hAnsiTheme="minorHAnsi" w:cstheme="minorHAnsi"/>
                <w:color w:val="000000"/>
                <w:sz w:val="20"/>
                <w:szCs w:val="20"/>
              </w:rPr>
              <w:t>Payroll Number 23-1801002: This individual had a meal claim paid of £133.87 in</w:t>
            </w:r>
            <w:r w:rsidR="00FA20BB" w:rsidRPr="00FA20BB">
              <w:rPr>
                <w:rFonts w:asciiTheme="minorHAnsi" w:hAnsiTheme="minorHAnsi" w:cstheme="minorHAnsi"/>
                <w:color w:val="000000"/>
                <w:sz w:val="20"/>
                <w:szCs w:val="20"/>
              </w:rPr>
              <w:t xml:space="preserve"> J</w:t>
            </w:r>
            <w:r w:rsidRPr="00FA20BB">
              <w:rPr>
                <w:rFonts w:asciiTheme="minorHAnsi" w:hAnsiTheme="minorHAnsi" w:cstheme="minorHAnsi"/>
                <w:color w:val="000000"/>
                <w:sz w:val="20"/>
                <w:szCs w:val="20"/>
              </w:rPr>
              <w:t>uly 2024. However, all the receipts provided were dated from March 2024.</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Therefore, this claim went back more than 3 months in contrast to the policy</w:t>
            </w:r>
          </w:p>
          <w:p w14:paraId="0636C1DB" w14:textId="621E7A7F" w:rsidR="00C04419" w:rsidRPr="00FA20BB" w:rsidRDefault="00C04419" w:rsidP="00E818E1">
            <w:pPr>
              <w:pStyle w:val="ListParagraph"/>
              <w:numPr>
                <w:ilvl w:val="0"/>
                <w:numId w:val="30"/>
              </w:numPr>
              <w:spacing w:line="276" w:lineRule="auto"/>
              <w:rPr>
                <w:rFonts w:asciiTheme="minorHAnsi" w:hAnsiTheme="minorHAnsi" w:cstheme="minorHAnsi"/>
                <w:color w:val="000000"/>
                <w:sz w:val="20"/>
                <w:szCs w:val="20"/>
              </w:rPr>
            </w:pPr>
            <w:r w:rsidRPr="00FA20BB">
              <w:rPr>
                <w:rFonts w:asciiTheme="minorHAnsi" w:hAnsiTheme="minorHAnsi" w:cstheme="minorHAnsi"/>
                <w:color w:val="000000"/>
                <w:sz w:val="20"/>
                <w:szCs w:val="20"/>
              </w:rPr>
              <w:t>Payroll Number 23-1800223: This individual had a meal claim paid of £58.05 in</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September 2024. The claim was in regard to four meals, but receipts of only three</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were provided.</w:t>
            </w:r>
          </w:p>
          <w:p w14:paraId="643CB7CD" w14:textId="4A22DFCE" w:rsidR="00C04419" w:rsidRPr="00FA20BB" w:rsidRDefault="00C04419" w:rsidP="00C04419">
            <w:pPr>
              <w:pStyle w:val="ListParagraph"/>
              <w:numPr>
                <w:ilvl w:val="0"/>
                <w:numId w:val="30"/>
              </w:numPr>
              <w:spacing w:after="200" w:line="276" w:lineRule="auto"/>
              <w:rPr>
                <w:rFonts w:asciiTheme="minorHAnsi" w:hAnsiTheme="minorHAnsi" w:cstheme="minorHAnsi"/>
                <w:color w:val="000000"/>
                <w:sz w:val="20"/>
                <w:szCs w:val="20"/>
              </w:rPr>
            </w:pPr>
            <w:r w:rsidRPr="00FA20BB">
              <w:rPr>
                <w:rFonts w:asciiTheme="minorHAnsi" w:hAnsiTheme="minorHAnsi" w:cstheme="minorHAnsi"/>
                <w:color w:val="000000"/>
                <w:sz w:val="20"/>
                <w:szCs w:val="20"/>
              </w:rPr>
              <w:t>Payroll Number 23-1800296: This individual had a meal claim paid of £118.24 in</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September 2024. However, it was difficult to reconcile the various receipts</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provided to the claim request. Management advised that with this individual it is</w:t>
            </w:r>
            <w:r w:rsidR="00FA20BB" w:rsidRPr="00FA20BB">
              <w:rPr>
                <w:rFonts w:asciiTheme="minorHAnsi" w:hAnsiTheme="minorHAnsi" w:cstheme="minorHAnsi"/>
                <w:color w:val="000000"/>
                <w:sz w:val="20"/>
                <w:szCs w:val="20"/>
              </w:rPr>
              <w:t xml:space="preserve"> </w:t>
            </w:r>
            <w:r w:rsidRPr="00FA20BB">
              <w:rPr>
                <w:rFonts w:asciiTheme="minorHAnsi" w:hAnsiTheme="minorHAnsi" w:cstheme="minorHAnsi"/>
                <w:color w:val="000000"/>
                <w:sz w:val="20"/>
                <w:szCs w:val="20"/>
              </w:rPr>
              <w:t>difficult to match without a complete explanation from the claimant.</w:t>
            </w:r>
          </w:p>
        </w:tc>
        <w:tc>
          <w:tcPr>
            <w:tcW w:w="1843" w:type="dxa"/>
            <w:tcBorders>
              <w:top w:val="single" w:sz="4" w:space="0" w:color="auto"/>
              <w:left w:val="single" w:sz="4" w:space="0" w:color="auto"/>
              <w:bottom w:val="single" w:sz="4" w:space="0" w:color="auto"/>
              <w:right w:val="single" w:sz="4" w:space="0" w:color="auto"/>
            </w:tcBorders>
            <w:hideMark/>
          </w:tcPr>
          <w:p w14:paraId="054D9A79" w14:textId="588E63BD"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The Service should clearly communicate</w:t>
            </w:r>
            <w:r w:rsidR="00FA20BB">
              <w:rPr>
                <w:rFonts w:asciiTheme="minorHAnsi" w:hAnsiTheme="minorHAnsi" w:cstheme="minorHAnsi"/>
                <w:color w:val="000000"/>
              </w:rPr>
              <w:t xml:space="preserve"> </w:t>
            </w:r>
            <w:r w:rsidRPr="00C04419">
              <w:rPr>
                <w:rFonts w:asciiTheme="minorHAnsi" w:hAnsiTheme="minorHAnsi" w:cstheme="minorHAnsi"/>
                <w:color w:val="000000"/>
              </w:rPr>
              <w:t>expectations regarding</w:t>
            </w:r>
            <w:r w:rsidR="00FA20BB">
              <w:rPr>
                <w:rFonts w:asciiTheme="minorHAnsi" w:hAnsiTheme="minorHAnsi" w:cstheme="minorHAnsi"/>
                <w:color w:val="000000"/>
              </w:rPr>
              <w:t xml:space="preserve"> </w:t>
            </w:r>
            <w:r w:rsidRPr="00C04419">
              <w:rPr>
                <w:rFonts w:asciiTheme="minorHAnsi" w:hAnsiTheme="minorHAnsi" w:cstheme="minorHAnsi"/>
                <w:color w:val="000000"/>
              </w:rPr>
              <w:t>expenses to members of staff.</w:t>
            </w:r>
          </w:p>
          <w:p w14:paraId="65CDA521" w14:textId="37784D86"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The Service should conduct regular spot checks of expense</w:t>
            </w:r>
            <w:r w:rsidR="00FA20BB">
              <w:rPr>
                <w:rFonts w:asciiTheme="minorHAnsi" w:hAnsiTheme="minorHAnsi" w:cstheme="minorHAnsi"/>
                <w:color w:val="000000"/>
              </w:rPr>
              <w:t xml:space="preserve"> </w:t>
            </w:r>
            <w:r w:rsidRPr="00C04419">
              <w:rPr>
                <w:rFonts w:asciiTheme="minorHAnsi" w:hAnsiTheme="minorHAnsi" w:cstheme="minorHAnsi"/>
                <w:color w:val="000000"/>
              </w:rPr>
              <w:t>claims, with reconciliations of receipts and claims.</w:t>
            </w:r>
          </w:p>
        </w:tc>
        <w:tc>
          <w:tcPr>
            <w:tcW w:w="1134" w:type="dxa"/>
            <w:tcBorders>
              <w:top w:val="single" w:sz="4" w:space="0" w:color="auto"/>
              <w:left w:val="single" w:sz="4" w:space="0" w:color="auto"/>
              <w:bottom w:val="single" w:sz="4" w:space="0" w:color="auto"/>
              <w:right w:val="single" w:sz="4" w:space="0" w:color="auto"/>
            </w:tcBorders>
            <w:shd w:val="clear" w:color="auto" w:fill="FFC000"/>
            <w:hideMark/>
          </w:tcPr>
          <w:p w14:paraId="73F28152" w14:textId="2BDC199C" w:rsidR="00C04419" w:rsidRPr="00C04419" w:rsidRDefault="00C04419" w:rsidP="00C04419">
            <w:pPr>
              <w:spacing w:after="200" w:line="276" w:lineRule="auto"/>
              <w:rPr>
                <w:rFonts w:asciiTheme="minorHAnsi" w:hAnsiTheme="minorHAnsi" w:cstheme="minorHAnsi"/>
                <w:b/>
                <w:color w:val="000000"/>
              </w:rPr>
            </w:pPr>
            <w:r w:rsidRPr="00C04419">
              <w:rPr>
                <w:rFonts w:asciiTheme="minorHAnsi" w:hAnsiTheme="minorHAnsi" w:cstheme="minorHAnsi"/>
                <w:b/>
                <w:color w:val="000000"/>
              </w:rPr>
              <w:t>Medium</w:t>
            </w:r>
          </w:p>
        </w:tc>
        <w:tc>
          <w:tcPr>
            <w:tcW w:w="2837" w:type="dxa"/>
            <w:tcBorders>
              <w:top w:val="single" w:sz="4" w:space="0" w:color="auto"/>
              <w:left w:val="single" w:sz="4" w:space="0" w:color="auto"/>
              <w:bottom w:val="single" w:sz="4" w:space="0" w:color="auto"/>
              <w:right w:val="single" w:sz="4" w:space="0" w:color="auto"/>
            </w:tcBorders>
            <w:hideMark/>
          </w:tcPr>
          <w:p w14:paraId="01AF6022" w14:textId="09164DAE"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Agreed, we have set up a process to audit and check a proportion of the submitted expense claims for both accuracy and compliance on a regular basis</w:t>
            </w:r>
            <w:r w:rsidR="00FA20BB">
              <w:rPr>
                <w:rFonts w:asciiTheme="minorHAnsi" w:hAnsiTheme="minorHAnsi" w:cstheme="minorHAnsi"/>
                <w:bCs/>
                <w:color w:val="000000"/>
              </w:rPr>
              <w:t xml:space="preserve"> </w:t>
            </w:r>
            <w:r w:rsidRPr="00C04419">
              <w:rPr>
                <w:rFonts w:asciiTheme="minorHAnsi" w:hAnsiTheme="minorHAnsi" w:cstheme="minorHAnsi"/>
                <w:bCs/>
                <w:color w:val="000000"/>
              </w:rPr>
              <w:t>throughout the year.</w:t>
            </w:r>
          </w:p>
          <w:p w14:paraId="4007B0D9"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We have reviewed the claims with a senior fire fighter, and we are content that those claims are appropriate.</w:t>
            </w:r>
          </w:p>
          <w:p w14:paraId="02184D07"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Michael Montgomery is issuing communications to make the expectations clear around evidence, accuracy and other compliance areas.</w:t>
            </w:r>
          </w:p>
        </w:tc>
        <w:tc>
          <w:tcPr>
            <w:tcW w:w="1558" w:type="dxa"/>
            <w:tcBorders>
              <w:top w:val="single" w:sz="4" w:space="0" w:color="auto"/>
              <w:left w:val="single" w:sz="4" w:space="0" w:color="auto"/>
              <w:bottom w:val="single" w:sz="4" w:space="0" w:color="auto"/>
              <w:right w:val="single" w:sz="4" w:space="0" w:color="auto"/>
            </w:tcBorders>
          </w:tcPr>
          <w:p w14:paraId="794FC800" w14:textId="77777777"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Nick Alexander Chief Finance Officer</w:t>
            </w:r>
          </w:p>
          <w:p w14:paraId="3BC35403" w14:textId="49AA55FF"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30 June 2025</w:t>
            </w:r>
          </w:p>
        </w:tc>
        <w:tc>
          <w:tcPr>
            <w:tcW w:w="849" w:type="dxa"/>
            <w:tcBorders>
              <w:top w:val="single" w:sz="4" w:space="0" w:color="auto"/>
              <w:left w:val="single" w:sz="4" w:space="0" w:color="auto"/>
              <w:bottom w:val="single" w:sz="4" w:space="0" w:color="auto"/>
              <w:right w:val="single" w:sz="4" w:space="0" w:color="auto"/>
            </w:tcBorders>
            <w:shd w:val="clear" w:color="auto" w:fill="FFFF00"/>
            <w:hideMark/>
          </w:tcPr>
          <w:p w14:paraId="4F7AC16B" w14:textId="36F78B27" w:rsidR="00C04419" w:rsidRPr="00C04419" w:rsidRDefault="00C04419" w:rsidP="00C04419">
            <w:pPr>
              <w:spacing w:after="200" w:line="276" w:lineRule="auto"/>
              <w:rPr>
                <w:rFonts w:asciiTheme="minorHAnsi" w:hAnsiTheme="minorHAnsi" w:cstheme="minorHAnsi"/>
                <w:b/>
                <w:color w:val="000000"/>
              </w:rPr>
            </w:pPr>
          </w:p>
        </w:tc>
      </w:tr>
    </w:tbl>
    <w:p w14:paraId="08426648" w14:textId="77777777" w:rsidR="00C04419" w:rsidRPr="00C04419" w:rsidRDefault="00C04419" w:rsidP="00C04419">
      <w:pPr>
        <w:spacing w:after="200" w:line="276" w:lineRule="auto"/>
        <w:rPr>
          <w:rFonts w:cstheme="minorHAnsi"/>
          <w:b/>
          <w:bCs/>
          <w:color w:val="000000"/>
        </w:rPr>
      </w:pPr>
      <w:r w:rsidRPr="00C04419">
        <w:rPr>
          <w:rFonts w:cstheme="minorHAnsi"/>
          <w:b/>
          <w:bCs/>
          <w:color w:val="000000"/>
        </w:rPr>
        <w:lastRenderedPageBreak/>
        <w:t>Succession Planning and Promotions – June 2025</w:t>
      </w:r>
    </w:p>
    <w:tbl>
      <w:tblPr>
        <w:tblW w:w="15309" w:type="dxa"/>
        <w:tblInd w:w="-572" w:type="dxa"/>
        <w:tblLook w:val="04A0" w:firstRow="1" w:lastRow="0" w:firstColumn="1" w:lastColumn="0" w:noHBand="0" w:noVBand="1"/>
      </w:tblPr>
      <w:tblGrid>
        <w:gridCol w:w="393"/>
        <w:gridCol w:w="4852"/>
        <w:gridCol w:w="2835"/>
        <w:gridCol w:w="992"/>
        <w:gridCol w:w="3827"/>
        <w:gridCol w:w="1563"/>
        <w:gridCol w:w="847"/>
      </w:tblGrid>
      <w:tr w:rsidR="00103FB4" w:rsidRPr="00C04419" w14:paraId="376791FB" w14:textId="77777777" w:rsidTr="00103FB4">
        <w:tc>
          <w:tcPr>
            <w:tcW w:w="393" w:type="dxa"/>
            <w:tcBorders>
              <w:top w:val="single" w:sz="4" w:space="0" w:color="auto"/>
              <w:left w:val="single" w:sz="4" w:space="0" w:color="auto"/>
              <w:bottom w:val="single" w:sz="4" w:space="0" w:color="auto"/>
              <w:right w:val="single" w:sz="4" w:space="0" w:color="auto"/>
            </w:tcBorders>
            <w:shd w:val="clear" w:color="auto" w:fill="7030A0"/>
            <w:hideMark/>
          </w:tcPr>
          <w:p w14:paraId="765A7D9E" w14:textId="77777777" w:rsidR="00C04419" w:rsidRPr="00C04419" w:rsidRDefault="00C04419" w:rsidP="00C04419">
            <w:pPr>
              <w:spacing w:after="200" w:line="276" w:lineRule="auto"/>
              <w:rPr>
                <w:rFonts w:asciiTheme="minorHAnsi" w:hAnsiTheme="minorHAnsi" w:cstheme="minorHAnsi"/>
                <w:b/>
                <w:color w:val="000000"/>
              </w:rPr>
            </w:pPr>
            <w:r w:rsidRPr="00C04419">
              <w:rPr>
                <w:rFonts w:asciiTheme="minorHAnsi" w:hAnsiTheme="minorHAnsi" w:cstheme="minorHAnsi"/>
                <w:b/>
                <w:color w:val="000000"/>
              </w:rPr>
              <w:t xml:space="preserve">   </w:t>
            </w:r>
          </w:p>
        </w:tc>
        <w:tc>
          <w:tcPr>
            <w:tcW w:w="4852" w:type="dxa"/>
            <w:tcBorders>
              <w:top w:val="single" w:sz="4" w:space="0" w:color="auto"/>
              <w:left w:val="single" w:sz="4" w:space="0" w:color="auto"/>
              <w:bottom w:val="single" w:sz="4" w:space="0" w:color="auto"/>
              <w:right w:val="single" w:sz="4" w:space="0" w:color="auto"/>
            </w:tcBorders>
            <w:shd w:val="clear" w:color="auto" w:fill="7030A0"/>
            <w:hideMark/>
          </w:tcPr>
          <w:p w14:paraId="08920FB6"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Observation/Risk</w:t>
            </w:r>
          </w:p>
        </w:tc>
        <w:tc>
          <w:tcPr>
            <w:tcW w:w="2835" w:type="dxa"/>
            <w:tcBorders>
              <w:top w:val="single" w:sz="4" w:space="0" w:color="auto"/>
              <w:left w:val="single" w:sz="4" w:space="0" w:color="auto"/>
              <w:bottom w:val="single" w:sz="4" w:space="0" w:color="auto"/>
              <w:right w:val="single" w:sz="4" w:space="0" w:color="auto"/>
            </w:tcBorders>
            <w:shd w:val="clear" w:color="auto" w:fill="7030A0"/>
            <w:hideMark/>
          </w:tcPr>
          <w:p w14:paraId="66716F97"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Recommendation</w:t>
            </w:r>
          </w:p>
        </w:tc>
        <w:tc>
          <w:tcPr>
            <w:tcW w:w="992" w:type="dxa"/>
            <w:tcBorders>
              <w:top w:val="single" w:sz="4" w:space="0" w:color="auto"/>
              <w:left w:val="single" w:sz="4" w:space="0" w:color="auto"/>
              <w:bottom w:val="single" w:sz="4" w:space="0" w:color="auto"/>
              <w:right w:val="single" w:sz="4" w:space="0" w:color="auto"/>
            </w:tcBorders>
            <w:shd w:val="clear" w:color="auto" w:fill="7030A0"/>
            <w:hideMark/>
          </w:tcPr>
          <w:p w14:paraId="28D2CFB8"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Priority</w:t>
            </w:r>
          </w:p>
        </w:tc>
        <w:tc>
          <w:tcPr>
            <w:tcW w:w="3827" w:type="dxa"/>
            <w:tcBorders>
              <w:top w:val="single" w:sz="4" w:space="0" w:color="auto"/>
              <w:left w:val="single" w:sz="4" w:space="0" w:color="auto"/>
              <w:bottom w:val="single" w:sz="4" w:space="0" w:color="auto"/>
              <w:right w:val="single" w:sz="4" w:space="0" w:color="auto"/>
            </w:tcBorders>
            <w:shd w:val="clear" w:color="auto" w:fill="7030A0"/>
            <w:hideMark/>
          </w:tcPr>
          <w:p w14:paraId="3A7793D8"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Agreed Actions</w:t>
            </w:r>
          </w:p>
        </w:tc>
        <w:tc>
          <w:tcPr>
            <w:tcW w:w="1563" w:type="dxa"/>
            <w:tcBorders>
              <w:top w:val="single" w:sz="4" w:space="0" w:color="auto"/>
              <w:left w:val="single" w:sz="4" w:space="0" w:color="auto"/>
              <w:bottom w:val="single" w:sz="4" w:space="0" w:color="auto"/>
              <w:right w:val="single" w:sz="4" w:space="0" w:color="auto"/>
            </w:tcBorders>
            <w:shd w:val="clear" w:color="auto" w:fill="7030A0"/>
            <w:hideMark/>
          </w:tcPr>
          <w:p w14:paraId="186FA2AF"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Timescale/ Responsibility</w:t>
            </w:r>
          </w:p>
        </w:tc>
        <w:tc>
          <w:tcPr>
            <w:tcW w:w="847" w:type="dxa"/>
            <w:tcBorders>
              <w:top w:val="single" w:sz="4" w:space="0" w:color="auto"/>
              <w:left w:val="single" w:sz="4" w:space="0" w:color="auto"/>
              <w:bottom w:val="single" w:sz="4" w:space="0" w:color="auto"/>
              <w:right w:val="single" w:sz="4" w:space="0" w:color="auto"/>
            </w:tcBorders>
            <w:shd w:val="clear" w:color="auto" w:fill="7030A0"/>
            <w:hideMark/>
          </w:tcPr>
          <w:p w14:paraId="0DC0C58E" w14:textId="77777777" w:rsidR="00C04419" w:rsidRPr="00C04419" w:rsidRDefault="00C04419" w:rsidP="00C04419">
            <w:pPr>
              <w:spacing w:after="200" w:line="276" w:lineRule="auto"/>
              <w:rPr>
                <w:rFonts w:asciiTheme="minorHAnsi" w:hAnsiTheme="minorHAnsi" w:cstheme="minorHAnsi"/>
                <w:b/>
                <w:color w:val="FFFFFF" w:themeColor="background1"/>
              </w:rPr>
            </w:pPr>
            <w:r w:rsidRPr="00C04419">
              <w:rPr>
                <w:rFonts w:asciiTheme="minorHAnsi" w:hAnsiTheme="minorHAnsi" w:cstheme="minorHAnsi"/>
                <w:b/>
                <w:color w:val="FFFFFF" w:themeColor="background1"/>
              </w:rPr>
              <w:t>Status</w:t>
            </w:r>
          </w:p>
        </w:tc>
      </w:tr>
      <w:tr w:rsidR="00640DE5" w:rsidRPr="00C04419" w14:paraId="619A19A6" w14:textId="77777777" w:rsidTr="00103FB4">
        <w:trPr>
          <w:trHeight w:val="844"/>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582945" w14:textId="77777777" w:rsidR="00C04419" w:rsidRPr="00C04419" w:rsidRDefault="00C04419" w:rsidP="00C04419">
            <w:pPr>
              <w:spacing w:after="200" w:line="276" w:lineRule="auto"/>
              <w:rPr>
                <w:rFonts w:asciiTheme="minorHAnsi" w:hAnsiTheme="minorHAnsi" w:cstheme="minorHAnsi"/>
                <w:b/>
                <w:color w:val="000000"/>
              </w:rPr>
            </w:pPr>
            <w:r w:rsidRPr="00C04419">
              <w:rPr>
                <w:rFonts w:asciiTheme="minorHAnsi" w:hAnsiTheme="minorHAnsi" w:cstheme="minorHAnsi"/>
                <w:b/>
                <w:color w:val="000000"/>
              </w:rPr>
              <w:t>1</w:t>
            </w:r>
          </w:p>
        </w:tc>
        <w:tc>
          <w:tcPr>
            <w:tcW w:w="4852" w:type="dxa"/>
            <w:tcBorders>
              <w:top w:val="single" w:sz="4" w:space="0" w:color="auto"/>
              <w:left w:val="single" w:sz="4" w:space="0" w:color="auto"/>
              <w:bottom w:val="single" w:sz="4" w:space="0" w:color="auto"/>
              <w:right w:val="single" w:sz="4" w:space="0" w:color="auto"/>
            </w:tcBorders>
            <w:hideMark/>
          </w:tcPr>
          <w:p w14:paraId="36740203" w14:textId="5B2FB7DB"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We confirmed a risk assessment exercise had been undertaken in September 2023 to</w:t>
            </w:r>
            <w:r w:rsidR="00640DE5">
              <w:rPr>
                <w:rFonts w:asciiTheme="minorHAnsi" w:hAnsiTheme="minorHAnsi" w:cstheme="minorHAnsi"/>
                <w:color w:val="000000"/>
              </w:rPr>
              <w:t xml:space="preserve"> </w:t>
            </w:r>
            <w:r w:rsidRPr="00C04419">
              <w:rPr>
                <w:rFonts w:asciiTheme="minorHAnsi" w:hAnsiTheme="minorHAnsi" w:cstheme="minorHAnsi"/>
                <w:color w:val="000000"/>
              </w:rPr>
              <w:t>identify critical roles across the Service, and the impact if they left the Service. The</w:t>
            </w:r>
            <w:r w:rsidR="00640DE5">
              <w:rPr>
                <w:rFonts w:asciiTheme="minorHAnsi" w:hAnsiTheme="minorHAnsi" w:cstheme="minorHAnsi"/>
                <w:color w:val="000000"/>
              </w:rPr>
              <w:t xml:space="preserve"> </w:t>
            </w:r>
            <w:r w:rsidRPr="00C04419">
              <w:rPr>
                <w:rFonts w:asciiTheme="minorHAnsi" w:hAnsiTheme="minorHAnsi" w:cstheme="minorHAnsi"/>
                <w:color w:val="000000"/>
              </w:rPr>
              <w:t>critical roles are monitored at bi-monthly Workforce Planning Group meetings,</w:t>
            </w:r>
            <w:r w:rsidR="00640DE5">
              <w:rPr>
                <w:rFonts w:asciiTheme="minorHAnsi" w:hAnsiTheme="minorHAnsi" w:cstheme="minorHAnsi"/>
                <w:color w:val="000000"/>
              </w:rPr>
              <w:t xml:space="preserve"> </w:t>
            </w:r>
            <w:r w:rsidRPr="00C04419">
              <w:rPr>
                <w:rFonts w:asciiTheme="minorHAnsi" w:hAnsiTheme="minorHAnsi" w:cstheme="minorHAnsi"/>
                <w:color w:val="000000"/>
              </w:rPr>
              <w:t>however no formal succession plans have been put into place for the core or critical</w:t>
            </w:r>
            <w:r w:rsidR="00640DE5">
              <w:rPr>
                <w:rFonts w:asciiTheme="minorHAnsi" w:hAnsiTheme="minorHAnsi" w:cstheme="minorHAnsi"/>
                <w:color w:val="000000"/>
              </w:rPr>
              <w:t xml:space="preserve"> </w:t>
            </w:r>
            <w:r w:rsidRPr="00C04419">
              <w:rPr>
                <w:rFonts w:asciiTheme="minorHAnsi" w:hAnsiTheme="minorHAnsi" w:cstheme="minorHAnsi"/>
                <w:color w:val="000000"/>
              </w:rPr>
              <w:t>roles identified.</w:t>
            </w:r>
          </w:p>
          <w:p w14:paraId="685B520B" w14:textId="138DC1F4"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We take the view documented succession plans should be in place to ensure</w:t>
            </w:r>
            <w:r w:rsidR="00640DE5">
              <w:rPr>
                <w:rFonts w:asciiTheme="minorHAnsi" w:hAnsiTheme="minorHAnsi" w:cstheme="minorHAnsi"/>
                <w:color w:val="000000"/>
              </w:rPr>
              <w:t xml:space="preserve"> </w:t>
            </w:r>
            <w:r w:rsidRPr="00C04419">
              <w:rPr>
                <w:rFonts w:asciiTheme="minorHAnsi" w:hAnsiTheme="minorHAnsi" w:cstheme="minorHAnsi"/>
                <w:color w:val="000000"/>
              </w:rPr>
              <w:t>establishment stability and continuity of service, manage career pathways, and</w:t>
            </w:r>
            <w:r w:rsidR="00640DE5">
              <w:rPr>
                <w:rFonts w:asciiTheme="minorHAnsi" w:hAnsiTheme="minorHAnsi" w:cstheme="minorHAnsi"/>
                <w:color w:val="000000"/>
              </w:rPr>
              <w:t xml:space="preserve"> </w:t>
            </w:r>
            <w:r w:rsidRPr="00C04419">
              <w:rPr>
                <w:rFonts w:asciiTheme="minorHAnsi" w:hAnsiTheme="minorHAnsi" w:cstheme="minorHAnsi"/>
                <w:color w:val="000000"/>
              </w:rPr>
              <w:t>identify and place high potential staff in leadership roles.</w:t>
            </w:r>
          </w:p>
          <w:p w14:paraId="5065D66D" w14:textId="3DD12121"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b/>
                <w:bCs/>
                <w:color w:val="000000"/>
              </w:rPr>
              <w:t xml:space="preserve">Risk and Impact: </w:t>
            </w:r>
            <w:r w:rsidRPr="00C04419">
              <w:rPr>
                <w:rFonts w:asciiTheme="minorHAnsi" w:hAnsiTheme="minorHAnsi" w:cstheme="minorHAnsi"/>
                <w:color w:val="000000"/>
              </w:rPr>
              <w:t>Key roles are not identified, and succession plans are not</w:t>
            </w:r>
            <w:r w:rsidR="00640DE5">
              <w:rPr>
                <w:rFonts w:asciiTheme="minorHAnsi" w:hAnsiTheme="minorHAnsi" w:cstheme="minorHAnsi"/>
                <w:color w:val="000000"/>
              </w:rPr>
              <w:t xml:space="preserve"> </w:t>
            </w:r>
            <w:r w:rsidRPr="00C04419">
              <w:rPr>
                <w:rFonts w:asciiTheme="minorHAnsi" w:hAnsiTheme="minorHAnsi" w:cstheme="minorHAnsi"/>
                <w:color w:val="000000"/>
              </w:rPr>
              <w:t>developed to ensure continuity of service. Therefore, the Service is unable to fill key</w:t>
            </w:r>
            <w:r w:rsidR="00640DE5">
              <w:rPr>
                <w:rFonts w:asciiTheme="minorHAnsi" w:hAnsiTheme="minorHAnsi" w:cstheme="minorHAnsi"/>
                <w:color w:val="000000"/>
              </w:rPr>
              <w:t xml:space="preserve"> </w:t>
            </w:r>
            <w:r w:rsidRPr="00C04419">
              <w:rPr>
                <w:rFonts w:asciiTheme="minorHAnsi" w:hAnsiTheme="minorHAnsi" w:cstheme="minorHAnsi"/>
                <w:color w:val="000000"/>
              </w:rPr>
              <w:t>roles sufficiently quickly, leading to operational deficiency.</w:t>
            </w:r>
          </w:p>
        </w:tc>
        <w:tc>
          <w:tcPr>
            <w:tcW w:w="2835" w:type="dxa"/>
            <w:tcBorders>
              <w:top w:val="single" w:sz="4" w:space="0" w:color="auto"/>
              <w:left w:val="single" w:sz="4" w:space="0" w:color="auto"/>
              <w:bottom w:val="single" w:sz="4" w:space="0" w:color="auto"/>
              <w:right w:val="single" w:sz="4" w:space="0" w:color="auto"/>
            </w:tcBorders>
            <w:hideMark/>
          </w:tcPr>
          <w:p w14:paraId="43EC649E" w14:textId="15D036D3"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The Service should develop formal succession plans for critical</w:t>
            </w:r>
            <w:r w:rsidR="005559BF">
              <w:rPr>
                <w:rFonts w:asciiTheme="minorHAnsi" w:hAnsiTheme="minorHAnsi" w:cstheme="minorHAnsi"/>
                <w:color w:val="000000"/>
              </w:rPr>
              <w:t xml:space="preserve"> </w:t>
            </w:r>
            <w:r w:rsidRPr="00C04419">
              <w:rPr>
                <w:rFonts w:asciiTheme="minorHAnsi" w:hAnsiTheme="minorHAnsi" w:cstheme="minorHAnsi"/>
                <w:color w:val="000000"/>
              </w:rPr>
              <w:t>roles to establish:</w:t>
            </w:r>
          </w:p>
          <w:p w14:paraId="585815E7" w14:textId="293FC60E"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sym w:font="Times New Roman" w:char="F0B7"/>
            </w:r>
            <w:r w:rsidRPr="00C04419">
              <w:rPr>
                <w:rFonts w:asciiTheme="minorHAnsi" w:hAnsiTheme="minorHAnsi" w:cstheme="minorHAnsi"/>
                <w:color w:val="000000"/>
              </w:rPr>
              <w:t xml:space="preserve"> Dependencies of each role such as key skills,</w:t>
            </w:r>
            <w:r w:rsidR="005559BF">
              <w:rPr>
                <w:rFonts w:asciiTheme="minorHAnsi" w:hAnsiTheme="minorHAnsi" w:cstheme="minorHAnsi"/>
                <w:color w:val="000000"/>
              </w:rPr>
              <w:t xml:space="preserve"> </w:t>
            </w:r>
            <w:r w:rsidRPr="00C04419">
              <w:rPr>
                <w:rFonts w:asciiTheme="minorHAnsi" w:hAnsiTheme="minorHAnsi" w:cstheme="minorHAnsi"/>
                <w:color w:val="000000"/>
              </w:rPr>
              <w:t>competencies and qualifications;</w:t>
            </w:r>
          </w:p>
          <w:p w14:paraId="464D1F33" w14:textId="77777777"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sym w:font="Times New Roman" w:char="F0B7"/>
            </w:r>
            <w:r w:rsidRPr="00C04419">
              <w:rPr>
                <w:rFonts w:asciiTheme="minorHAnsi" w:hAnsiTheme="minorHAnsi" w:cstheme="minorHAnsi"/>
                <w:color w:val="000000"/>
              </w:rPr>
              <w:t xml:space="preserve"> The role specification;</w:t>
            </w:r>
          </w:p>
          <w:p w14:paraId="0C8F38D5" w14:textId="5D492EE9"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sym w:font="Times New Roman" w:char="F0B7"/>
            </w:r>
            <w:r w:rsidRPr="00C04419">
              <w:rPr>
                <w:rFonts w:asciiTheme="minorHAnsi" w:hAnsiTheme="minorHAnsi" w:cstheme="minorHAnsi"/>
                <w:color w:val="000000"/>
              </w:rPr>
              <w:t xml:space="preserve"> Individuals with potential to assume critical roles in</w:t>
            </w:r>
            <w:r w:rsidR="005559BF">
              <w:rPr>
                <w:rFonts w:asciiTheme="minorHAnsi" w:hAnsiTheme="minorHAnsi" w:cstheme="minorHAnsi"/>
                <w:color w:val="000000"/>
              </w:rPr>
              <w:t xml:space="preserve"> </w:t>
            </w:r>
            <w:r w:rsidRPr="00C04419">
              <w:rPr>
                <w:rFonts w:asciiTheme="minorHAnsi" w:hAnsiTheme="minorHAnsi" w:cstheme="minorHAnsi"/>
                <w:color w:val="000000"/>
              </w:rPr>
              <w:t>emergency, short term, medium term or long term</w:t>
            </w:r>
            <w:r w:rsidR="005559BF">
              <w:rPr>
                <w:rFonts w:asciiTheme="minorHAnsi" w:hAnsiTheme="minorHAnsi" w:cstheme="minorHAnsi"/>
                <w:color w:val="000000"/>
              </w:rPr>
              <w:t xml:space="preserve"> </w:t>
            </w:r>
            <w:r w:rsidRPr="00C04419">
              <w:rPr>
                <w:rFonts w:asciiTheme="minorHAnsi" w:hAnsiTheme="minorHAnsi" w:cstheme="minorHAnsi"/>
                <w:color w:val="000000"/>
              </w:rPr>
              <w:t>capacity;</w:t>
            </w:r>
          </w:p>
          <w:p w14:paraId="132B2AC9" w14:textId="486C0297"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sym w:font="Times New Roman" w:char="F0B7"/>
            </w:r>
            <w:r w:rsidRPr="00C04419">
              <w:rPr>
                <w:rFonts w:asciiTheme="minorHAnsi" w:hAnsiTheme="minorHAnsi" w:cstheme="minorHAnsi"/>
                <w:color w:val="000000"/>
              </w:rPr>
              <w:t xml:space="preserve"> Handover processes should a key member of staff leave</w:t>
            </w:r>
            <w:r w:rsidR="005559BF">
              <w:rPr>
                <w:rFonts w:asciiTheme="minorHAnsi" w:hAnsiTheme="minorHAnsi" w:cstheme="minorHAnsi"/>
                <w:color w:val="000000"/>
              </w:rPr>
              <w:t xml:space="preserve"> </w:t>
            </w:r>
            <w:r w:rsidRPr="00C04419">
              <w:rPr>
                <w:rFonts w:asciiTheme="minorHAnsi" w:hAnsiTheme="minorHAnsi" w:cstheme="minorHAnsi"/>
                <w:color w:val="000000"/>
              </w:rPr>
              <w:t>at short notice.</w:t>
            </w:r>
            <w:r w:rsidR="005559BF">
              <w:rPr>
                <w:rFonts w:asciiTheme="minorHAnsi" w:hAnsiTheme="minorHAnsi" w:cstheme="minorHAnsi"/>
                <w:color w:val="000000"/>
              </w:rPr>
              <w:t xml:space="preserve"> </w:t>
            </w:r>
            <w:r w:rsidRPr="00C04419">
              <w:rPr>
                <w:rFonts w:asciiTheme="minorHAnsi" w:hAnsiTheme="minorHAnsi" w:cstheme="minorHAnsi"/>
                <w:color w:val="000000"/>
              </w:rPr>
              <w:t>Succession plans should be periodically reviewed to ensure they</w:t>
            </w:r>
            <w:r w:rsidR="003E1320">
              <w:rPr>
                <w:rFonts w:asciiTheme="minorHAnsi" w:hAnsiTheme="minorHAnsi" w:cstheme="minorHAnsi"/>
                <w:color w:val="000000"/>
              </w:rPr>
              <w:t xml:space="preserve"> </w:t>
            </w:r>
            <w:r w:rsidRPr="00C04419">
              <w:rPr>
                <w:rFonts w:asciiTheme="minorHAnsi" w:hAnsiTheme="minorHAnsi" w:cstheme="minorHAnsi"/>
                <w:color w:val="000000"/>
              </w:rPr>
              <w:t>are accurate and up to date.</w:t>
            </w:r>
          </w:p>
        </w:tc>
        <w:tc>
          <w:tcPr>
            <w:tcW w:w="992" w:type="dxa"/>
            <w:tcBorders>
              <w:top w:val="single" w:sz="4" w:space="0" w:color="auto"/>
              <w:left w:val="single" w:sz="4" w:space="0" w:color="auto"/>
              <w:bottom w:val="single" w:sz="4" w:space="0" w:color="auto"/>
              <w:right w:val="single" w:sz="4" w:space="0" w:color="auto"/>
            </w:tcBorders>
            <w:shd w:val="clear" w:color="auto" w:fill="FFC000"/>
            <w:hideMark/>
          </w:tcPr>
          <w:p w14:paraId="7A1518FD" w14:textId="77777777" w:rsidR="00C04419" w:rsidRPr="00C04419" w:rsidRDefault="00C04419" w:rsidP="00C04419">
            <w:pPr>
              <w:spacing w:after="200" w:line="276" w:lineRule="auto"/>
              <w:rPr>
                <w:rFonts w:asciiTheme="minorHAnsi" w:hAnsiTheme="minorHAnsi" w:cstheme="minorHAnsi"/>
                <w:b/>
                <w:color w:val="000000"/>
              </w:rPr>
            </w:pPr>
            <w:r w:rsidRPr="00C04419">
              <w:rPr>
                <w:rFonts w:asciiTheme="minorHAnsi" w:hAnsiTheme="minorHAnsi" w:cstheme="minorHAnsi"/>
                <w:b/>
                <w:color w:val="000000"/>
              </w:rPr>
              <w:t>Medium</w:t>
            </w:r>
          </w:p>
          <w:p w14:paraId="166C960D" w14:textId="3CB08377" w:rsidR="00C04419" w:rsidRPr="00C04419" w:rsidRDefault="00C04419" w:rsidP="00C04419">
            <w:pPr>
              <w:spacing w:after="200" w:line="276" w:lineRule="auto"/>
              <w:rPr>
                <w:rFonts w:asciiTheme="minorHAnsi" w:hAnsiTheme="minorHAnsi" w:cstheme="minorHAnsi"/>
                <w:b/>
                <w:color w:val="000000"/>
              </w:rPr>
            </w:pPr>
          </w:p>
        </w:tc>
        <w:tc>
          <w:tcPr>
            <w:tcW w:w="3827" w:type="dxa"/>
            <w:tcBorders>
              <w:top w:val="single" w:sz="4" w:space="0" w:color="auto"/>
              <w:left w:val="single" w:sz="4" w:space="0" w:color="auto"/>
              <w:bottom w:val="single" w:sz="4" w:space="0" w:color="auto"/>
              <w:right w:val="single" w:sz="4" w:space="0" w:color="auto"/>
            </w:tcBorders>
            <w:hideMark/>
          </w:tcPr>
          <w:p w14:paraId="5EC5392D"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We acknowledge the audit’s observation that while some succession practices exist, a more structured and strategic approach to critical roles is required.</w:t>
            </w:r>
          </w:p>
          <w:p w14:paraId="6868714D" w14:textId="1B56FD54"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Critical roles have been identified, more work is required to develop the process and ensure that all competencies and qualifications are captured; and, job</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descriptions and specifications are under review.</w:t>
            </w:r>
          </w:p>
          <w:p w14:paraId="2BAE2CA0" w14:textId="13E4B394"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The New PDR module (Talent Successor) has been implemented which provides the organizationally set development goals for those identified as part of</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a talent conversation to be cascaded and evidenced the system will hold details of staff that are identified within the talent progression pathways. The</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 xml:space="preserve">Platform also supports identification of staff and skill sets. All Talent pools are held on this platform enabling quick access to those who </w:t>
            </w:r>
            <w:r w:rsidRPr="00C04419">
              <w:rPr>
                <w:rFonts w:asciiTheme="minorHAnsi" w:hAnsiTheme="minorHAnsi" w:cstheme="minorHAnsi"/>
                <w:bCs/>
                <w:color w:val="000000"/>
              </w:rPr>
              <w:lastRenderedPageBreak/>
              <w:t>have been identified</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and their skill sets and/or aspirational skill sets.</w:t>
            </w:r>
          </w:p>
          <w:p w14:paraId="50508F19" w14:textId="3735BEF4"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Further work is required on this area, a workstream to review all the induction and handover processes will take place by the workforce development team.</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PDR &amp; Effective 121 (inclusive of the importance of handover) has recently been designed and due to be rolled out in Autumn 2025 and form a part of the</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induction process for new line managers.</w:t>
            </w:r>
          </w:p>
          <w:p w14:paraId="21FF1E5F" w14:textId="50CBF429"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We are committed to maintaining a fair and transparent promotions process aligned with national guidance and best practice. The audit identified areas</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where communication and consistency could be improved to ensure fair and transparent promotion processes, we will:</w:t>
            </w:r>
          </w:p>
          <w:p w14:paraId="533CEF9D"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lang w:val="en-US"/>
              </w:rPr>
              <w:sym w:font="Calibri" w:char="F0B7"/>
            </w:r>
            <w:r w:rsidRPr="00C04419">
              <w:rPr>
                <w:rFonts w:asciiTheme="minorHAnsi" w:hAnsiTheme="minorHAnsi" w:cstheme="minorHAnsi"/>
                <w:bCs/>
                <w:color w:val="000000"/>
              </w:rPr>
              <w:t xml:space="preserve"> Ensure that all promotion processes are underpinned by objective assessment methods and are clearly communicated to all staff.</w:t>
            </w:r>
          </w:p>
          <w:p w14:paraId="63C1305A"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lang w:val="en-US"/>
              </w:rPr>
              <w:sym w:font="Calibri" w:char="F0B7"/>
            </w:r>
            <w:r w:rsidRPr="00C04419">
              <w:rPr>
                <w:rFonts w:asciiTheme="minorHAnsi" w:hAnsiTheme="minorHAnsi" w:cstheme="minorHAnsi"/>
                <w:bCs/>
                <w:color w:val="000000"/>
              </w:rPr>
              <w:t xml:space="preserve"> Provide feedback to unsuccessful candidates to support their development.</w:t>
            </w:r>
          </w:p>
          <w:p w14:paraId="0568D021" w14:textId="77777777"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lang w:val="en-US"/>
              </w:rPr>
              <w:lastRenderedPageBreak/>
              <w:sym w:font="Calibri" w:char="F0B7"/>
            </w:r>
            <w:r w:rsidRPr="00C04419">
              <w:rPr>
                <w:rFonts w:asciiTheme="minorHAnsi" w:hAnsiTheme="minorHAnsi" w:cstheme="minorHAnsi"/>
                <w:bCs/>
                <w:color w:val="000000"/>
              </w:rPr>
              <w:t xml:space="preserve"> Continue to monitor promotion outcomes to ensure fairness, equality, and representation across all demographics.</w:t>
            </w:r>
          </w:p>
          <w:p w14:paraId="01673E3C" w14:textId="43D7FEE6"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Improvements in these areas will be led by our Workforce Development department.</w:t>
            </w:r>
          </w:p>
        </w:tc>
        <w:tc>
          <w:tcPr>
            <w:tcW w:w="1563" w:type="dxa"/>
            <w:tcBorders>
              <w:top w:val="single" w:sz="4" w:space="0" w:color="auto"/>
              <w:left w:val="single" w:sz="4" w:space="0" w:color="auto"/>
              <w:bottom w:val="single" w:sz="4" w:space="0" w:color="auto"/>
              <w:right w:val="single" w:sz="4" w:space="0" w:color="auto"/>
            </w:tcBorders>
            <w:hideMark/>
          </w:tcPr>
          <w:p w14:paraId="2FEADAEF" w14:textId="523DE762"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lastRenderedPageBreak/>
              <w:t>Mick Berry, Area</w:t>
            </w:r>
            <w:r w:rsidR="005559BF" w:rsidRPr="005559BF">
              <w:rPr>
                <w:rFonts w:asciiTheme="minorHAnsi" w:hAnsiTheme="minorHAnsi" w:cstheme="minorHAnsi"/>
                <w:color w:val="000000"/>
              </w:rPr>
              <w:t xml:space="preserve"> </w:t>
            </w:r>
            <w:r w:rsidRPr="00C04419">
              <w:rPr>
                <w:rFonts w:asciiTheme="minorHAnsi" w:hAnsiTheme="minorHAnsi" w:cstheme="minorHAnsi"/>
                <w:color w:val="000000"/>
              </w:rPr>
              <w:t>Commander – Head of</w:t>
            </w:r>
            <w:r w:rsidR="005559BF" w:rsidRPr="005559BF">
              <w:rPr>
                <w:rFonts w:asciiTheme="minorHAnsi" w:hAnsiTheme="minorHAnsi" w:cstheme="minorHAnsi"/>
                <w:color w:val="000000"/>
              </w:rPr>
              <w:t xml:space="preserve"> </w:t>
            </w:r>
            <w:r w:rsidRPr="00C04419">
              <w:rPr>
                <w:rFonts w:asciiTheme="minorHAnsi" w:hAnsiTheme="minorHAnsi" w:cstheme="minorHAnsi"/>
                <w:color w:val="000000"/>
              </w:rPr>
              <w:t>Response</w:t>
            </w:r>
          </w:p>
          <w:p w14:paraId="5FDDDFE2" w14:textId="77777777" w:rsidR="00C04419" w:rsidRPr="00C04419" w:rsidRDefault="00C04419" w:rsidP="00C04419">
            <w:pPr>
              <w:spacing w:after="200" w:line="276" w:lineRule="auto"/>
              <w:rPr>
                <w:rFonts w:cstheme="minorHAnsi"/>
                <w:color w:val="000000"/>
              </w:rPr>
            </w:pPr>
            <w:r w:rsidRPr="00C04419">
              <w:rPr>
                <w:rFonts w:asciiTheme="minorHAnsi" w:hAnsiTheme="minorHAnsi" w:cstheme="minorHAnsi"/>
                <w:color w:val="000000"/>
              </w:rPr>
              <w:t>01/10/2025</w:t>
            </w:r>
          </w:p>
        </w:tc>
        <w:tc>
          <w:tcPr>
            <w:tcW w:w="847" w:type="dxa"/>
            <w:tcBorders>
              <w:top w:val="single" w:sz="4" w:space="0" w:color="auto"/>
              <w:left w:val="single" w:sz="4" w:space="0" w:color="auto"/>
              <w:bottom w:val="single" w:sz="4" w:space="0" w:color="auto"/>
              <w:right w:val="single" w:sz="4" w:space="0" w:color="auto"/>
            </w:tcBorders>
            <w:shd w:val="clear" w:color="auto" w:fill="FFFF00"/>
            <w:hideMark/>
          </w:tcPr>
          <w:p w14:paraId="5DE2D1DE" w14:textId="74F76AE8" w:rsidR="00C04419" w:rsidRPr="00C04419" w:rsidRDefault="00C04419" w:rsidP="00C04419">
            <w:pPr>
              <w:spacing w:after="200" w:line="276" w:lineRule="auto"/>
              <w:rPr>
                <w:rFonts w:cstheme="minorHAnsi"/>
                <w:b/>
                <w:color w:val="000000"/>
              </w:rPr>
            </w:pPr>
          </w:p>
        </w:tc>
      </w:tr>
      <w:tr w:rsidR="005559BF" w:rsidRPr="00C04419" w14:paraId="00F353E4" w14:textId="77777777" w:rsidTr="00103FB4">
        <w:trPr>
          <w:trHeight w:val="844"/>
        </w:trPr>
        <w:tc>
          <w:tcPr>
            <w:tcW w:w="3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D6D3A3" w14:textId="77777777" w:rsidR="00C04419" w:rsidRPr="00C04419" w:rsidRDefault="00C04419" w:rsidP="00C04419">
            <w:pPr>
              <w:spacing w:after="200" w:line="276" w:lineRule="auto"/>
              <w:rPr>
                <w:rFonts w:cstheme="minorHAnsi"/>
                <w:b/>
                <w:color w:val="000000"/>
              </w:rPr>
            </w:pPr>
            <w:r w:rsidRPr="00C04419">
              <w:rPr>
                <w:rFonts w:cstheme="minorHAnsi"/>
                <w:b/>
                <w:color w:val="000000"/>
              </w:rPr>
              <w:lastRenderedPageBreak/>
              <w:t>2</w:t>
            </w:r>
          </w:p>
        </w:tc>
        <w:tc>
          <w:tcPr>
            <w:tcW w:w="4852" w:type="dxa"/>
            <w:tcBorders>
              <w:top w:val="single" w:sz="4" w:space="0" w:color="auto"/>
              <w:left w:val="single" w:sz="4" w:space="0" w:color="auto"/>
              <w:bottom w:val="single" w:sz="4" w:space="0" w:color="auto"/>
              <w:right w:val="single" w:sz="4" w:space="0" w:color="auto"/>
            </w:tcBorders>
            <w:hideMark/>
          </w:tcPr>
          <w:p w14:paraId="05ADDA0E" w14:textId="77777777" w:rsidR="008B6FFF"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We confirmed the Service has a clearly defined talent management process to</w:t>
            </w:r>
            <w:r w:rsidR="005559BF">
              <w:rPr>
                <w:rFonts w:asciiTheme="minorHAnsi" w:hAnsiTheme="minorHAnsi" w:cstheme="minorHAnsi"/>
                <w:color w:val="000000"/>
              </w:rPr>
              <w:t xml:space="preserve"> </w:t>
            </w:r>
            <w:r w:rsidRPr="00C04419">
              <w:rPr>
                <w:rFonts w:asciiTheme="minorHAnsi" w:hAnsiTheme="minorHAnsi" w:cstheme="minorHAnsi"/>
                <w:color w:val="000000"/>
              </w:rPr>
              <w:t>identify, develop and support staff. For example, the D14 Talent Management and</w:t>
            </w:r>
            <w:r w:rsidR="008B6FFF">
              <w:rPr>
                <w:rFonts w:asciiTheme="minorHAnsi" w:hAnsiTheme="minorHAnsi" w:cstheme="minorHAnsi"/>
                <w:color w:val="000000"/>
              </w:rPr>
              <w:t xml:space="preserve"> </w:t>
            </w:r>
            <w:r w:rsidRPr="00C04419">
              <w:rPr>
                <w:rFonts w:asciiTheme="minorHAnsi" w:hAnsiTheme="minorHAnsi" w:cstheme="minorHAnsi"/>
                <w:color w:val="000000"/>
              </w:rPr>
              <w:t>Progression Policy (May 2024) sets out the talent pool promotion process, as well as</w:t>
            </w:r>
            <w:r w:rsidR="005559BF">
              <w:rPr>
                <w:rFonts w:asciiTheme="minorHAnsi" w:hAnsiTheme="minorHAnsi" w:cstheme="minorHAnsi"/>
                <w:color w:val="000000"/>
              </w:rPr>
              <w:t xml:space="preserve"> </w:t>
            </w:r>
            <w:r w:rsidRPr="00C04419">
              <w:rPr>
                <w:rFonts w:asciiTheme="minorHAnsi" w:hAnsiTheme="minorHAnsi" w:cstheme="minorHAnsi"/>
                <w:color w:val="000000"/>
              </w:rPr>
              <w:t>the High Potential Development Programme for high-potential staff and aspiring</w:t>
            </w:r>
            <w:r w:rsidR="005559BF">
              <w:rPr>
                <w:rFonts w:asciiTheme="minorHAnsi" w:hAnsiTheme="minorHAnsi" w:cstheme="minorHAnsi"/>
                <w:color w:val="000000"/>
              </w:rPr>
              <w:t xml:space="preserve"> </w:t>
            </w:r>
            <w:r w:rsidRPr="00C04419">
              <w:rPr>
                <w:rFonts w:asciiTheme="minorHAnsi" w:hAnsiTheme="minorHAnsi" w:cstheme="minorHAnsi"/>
                <w:color w:val="000000"/>
              </w:rPr>
              <w:t xml:space="preserve">leaders. </w:t>
            </w:r>
          </w:p>
          <w:p w14:paraId="51F9B830" w14:textId="54B6D8F4"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Development objectives and talent conversations across the Service are</w:t>
            </w:r>
            <w:r w:rsidR="005559BF">
              <w:rPr>
                <w:rFonts w:asciiTheme="minorHAnsi" w:hAnsiTheme="minorHAnsi" w:cstheme="minorHAnsi"/>
                <w:color w:val="000000"/>
              </w:rPr>
              <w:t xml:space="preserve"> </w:t>
            </w:r>
            <w:r w:rsidRPr="00C04419">
              <w:rPr>
                <w:rFonts w:asciiTheme="minorHAnsi" w:hAnsiTheme="minorHAnsi" w:cstheme="minorHAnsi"/>
                <w:color w:val="000000"/>
              </w:rPr>
              <w:t>subject to annual quality assurance sampling by the Workforce Development Team to</w:t>
            </w:r>
            <w:r w:rsidR="005559BF">
              <w:rPr>
                <w:rFonts w:asciiTheme="minorHAnsi" w:hAnsiTheme="minorHAnsi" w:cstheme="minorHAnsi"/>
                <w:color w:val="000000"/>
              </w:rPr>
              <w:t xml:space="preserve"> </w:t>
            </w:r>
            <w:r w:rsidRPr="00C04419">
              <w:rPr>
                <w:rFonts w:asciiTheme="minorHAnsi" w:hAnsiTheme="minorHAnsi" w:cstheme="minorHAnsi"/>
                <w:color w:val="000000"/>
              </w:rPr>
              <w:t>ensure they are of adequate quality, depth and consistency. We also confirmed core</w:t>
            </w:r>
            <w:r w:rsidR="005559BF">
              <w:rPr>
                <w:rFonts w:asciiTheme="minorHAnsi" w:hAnsiTheme="minorHAnsi" w:cstheme="minorHAnsi"/>
                <w:color w:val="000000"/>
              </w:rPr>
              <w:t xml:space="preserve"> </w:t>
            </w:r>
            <w:r w:rsidRPr="00C04419">
              <w:rPr>
                <w:rFonts w:asciiTheme="minorHAnsi" w:hAnsiTheme="minorHAnsi" w:cstheme="minorHAnsi"/>
                <w:color w:val="000000"/>
              </w:rPr>
              <w:t>learning pathways, talent matrices, and development objectives are used to develop</w:t>
            </w:r>
            <w:r w:rsidR="005559BF">
              <w:rPr>
                <w:rFonts w:asciiTheme="minorHAnsi" w:hAnsiTheme="minorHAnsi" w:cstheme="minorHAnsi"/>
                <w:color w:val="000000"/>
              </w:rPr>
              <w:t xml:space="preserve"> </w:t>
            </w:r>
            <w:r w:rsidRPr="00C04419">
              <w:rPr>
                <w:rFonts w:asciiTheme="minorHAnsi" w:hAnsiTheme="minorHAnsi" w:cstheme="minorHAnsi"/>
                <w:color w:val="000000"/>
              </w:rPr>
              <w:t>staff.</w:t>
            </w:r>
          </w:p>
          <w:p w14:paraId="54FF204D" w14:textId="12958416"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t>We take the view that further action could be taken to communicate the measures in</w:t>
            </w:r>
            <w:r w:rsidR="005559BF">
              <w:rPr>
                <w:rFonts w:asciiTheme="minorHAnsi" w:hAnsiTheme="minorHAnsi" w:cstheme="minorHAnsi"/>
                <w:color w:val="000000"/>
              </w:rPr>
              <w:t xml:space="preserve"> </w:t>
            </w:r>
            <w:r w:rsidRPr="00C04419">
              <w:rPr>
                <w:rFonts w:asciiTheme="minorHAnsi" w:hAnsiTheme="minorHAnsi" w:cstheme="minorHAnsi"/>
                <w:color w:val="000000"/>
              </w:rPr>
              <w:t>place to develop leadership and high-potential staff to ensure the process is open and</w:t>
            </w:r>
            <w:r w:rsidR="005559BF">
              <w:rPr>
                <w:rFonts w:asciiTheme="minorHAnsi" w:hAnsiTheme="minorHAnsi" w:cstheme="minorHAnsi"/>
                <w:color w:val="000000"/>
              </w:rPr>
              <w:t xml:space="preserve"> </w:t>
            </w:r>
            <w:r w:rsidRPr="00C04419">
              <w:rPr>
                <w:rFonts w:asciiTheme="minorHAnsi" w:hAnsiTheme="minorHAnsi" w:cstheme="minorHAnsi"/>
                <w:color w:val="000000"/>
              </w:rPr>
              <w:t>transparent, in line with best practice across the sector. For example, the Service</w:t>
            </w:r>
            <w:r w:rsidR="005559BF">
              <w:rPr>
                <w:rFonts w:asciiTheme="minorHAnsi" w:hAnsiTheme="minorHAnsi" w:cstheme="minorHAnsi"/>
                <w:color w:val="000000"/>
              </w:rPr>
              <w:t xml:space="preserve"> </w:t>
            </w:r>
            <w:r w:rsidRPr="00C04419">
              <w:rPr>
                <w:rFonts w:asciiTheme="minorHAnsi" w:hAnsiTheme="minorHAnsi" w:cstheme="minorHAnsi"/>
                <w:color w:val="000000"/>
              </w:rPr>
              <w:t>could:</w:t>
            </w:r>
          </w:p>
          <w:p w14:paraId="30F7DB2D" w14:textId="7EE19F7B"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lastRenderedPageBreak/>
              <w:sym w:font="Calibri" w:char="F0B7"/>
            </w:r>
            <w:r w:rsidRPr="00C04419">
              <w:rPr>
                <w:rFonts w:asciiTheme="minorHAnsi" w:hAnsiTheme="minorHAnsi" w:cstheme="minorHAnsi"/>
                <w:color w:val="000000"/>
              </w:rPr>
              <w:t xml:space="preserve"> Produce an easy guide of the talent pool promotion process and talent matrix,</w:t>
            </w:r>
            <w:r w:rsidR="005559BF">
              <w:rPr>
                <w:rFonts w:asciiTheme="minorHAnsi" w:hAnsiTheme="minorHAnsi" w:cstheme="minorHAnsi"/>
                <w:color w:val="000000"/>
              </w:rPr>
              <w:t xml:space="preserve"> </w:t>
            </w:r>
            <w:r w:rsidRPr="00C04419">
              <w:rPr>
                <w:rFonts w:asciiTheme="minorHAnsi" w:hAnsiTheme="minorHAnsi" w:cstheme="minorHAnsi"/>
                <w:color w:val="000000"/>
              </w:rPr>
              <w:t>stored in an accessible location, so staff are sufficiently aware of the process</w:t>
            </w:r>
            <w:r w:rsidR="005559BF">
              <w:rPr>
                <w:rFonts w:asciiTheme="minorHAnsi" w:hAnsiTheme="minorHAnsi" w:cstheme="minorHAnsi"/>
                <w:color w:val="000000"/>
              </w:rPr>
              <w:t xml:space="preserve"> </w:t>
            </w:r>
            <w:r w:rsidRPr="00C04419">
              <w:rPr>
                <w:rFonts w:asciiTheme="minorHAnsi" w:hAnsiTheme="minorHAnsi" w:cstheme="minorHAnsi"/>
                <w:color w:val="000000"/>
              </w:rPr>
              <w:t>and requirements.</w:t>
            </w:r>
          </w:p>
          <w:p w14:paraId="29A560CF" w14:textId="3E30C9A8"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lang w:val="en-US"/>
              </w:rPr>
              <w:sym w:font="Calibri" w:char="F0B7"/>
            </w:r>
            <w:r w:rsidRPr="00C04419">
              <w:rPr>
                <w:rFonts w:asciiTheme="minorHAnsi" w:hAnsiTheme="minorHAnsi" w:cstheme="minorHAnsi"/>
                <w:color w:val="000000"/>
              </w:rPr>
              <w:t xml:space="preserve"> Communicate the High Potential Development Programme to all staff, in</w:t>
            </w:r>
            <w:r w:rsidR="005559BF">
              <w:rPr>
                <w:rFonts w:asciiTheme="minorHAnsi" w:hAnsiTheme="minorHAnsi" w:cstheme="minorHAnsi"/>
                <w:color w:val="000000"/>
              </w:rPr>
              <w:t xml:space="preserve"> </w:t>
            </w:r>
            <w:r w:rsidRPr="00C04419">
              <w:rPr>
                <w:rFonts w:asciiTheme="minorHAnsi" w:hAnsiTheme="minorHAnsi" w:cstheme="minorHAnsi"/>
                <w:color w:val="000000"/>
              </w:rPr>
              <w:t>particular staff with protected characteristics.</w:t>
            </w:r>
          </w:p>
          <w:p w14:paraId="498ED43D" w14:textId="01E73BE0"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b/>
                <w:bCs/>
                <w:color w:val="000000"/>
              </w:rPr>
              <w:t xml:space="preserve">Risk and Impact: </w:t>
            </w:r>
            <w:r w:rsidRPr="00C04419">
              <w:rPr>
                <w:rFonts w:asciiTheme="minorHAnsi" w:hAnsiTheme="minorHAnsi" w:cstheme="minorHAnsi"/>
                <w:color w:val="000000"/>
              </w:rPr>
              <w:t>Staff are unaware of the processes in place to identify and develop</w:t>
            </w:r>
            <w:r w:rsidR="005559BF">
              <w:rPr>
                <w:rFonts w:asciiTheme="minorHAnsi" w:hAnsiTheme="minorHAnsi" w:cstheme="minorHAnsi"/>
                <w:color w:val="000000"/>
              </w:rPr>
              <w:t xml:space="preserve"> </w:t>
            </w:r>
            <w:r w:rsidRPr="00C04419">
              <w:rPr>
                <w:rFonts w:asciiTheme="minorHAnsi" w:hAnsiTheme="minorHAnsi" w:cstheme="minorHAnsi"/>
                <w:color w:val="000000"/>
              </w:rPr>
              <w:t>high-potential staff and leaders, leading to missed opportunities to develop future</w:t>
            </w:r>
            <w:r w:rsidR="005559BF">
              <w:rPr>
                <w:rFonts w:asciiTheme="minorHAnsi" w:hAnsiTheme="minorHAnsi" w:cstheme="minorHAnsi"/>
                <w:color w:val="000000"/>
              </w:rPr>
              <w:t xml:space="preserve"> </w:t>
            </w:r>
            <w:r w:rsidRPr="00C04419">
              <w:rPr>
                <w:rFonts w:asciiTheme="minorHAnsi" w:hAnsiTheme="minorHAnsi" w:cstheme="minorHAnsi"/>
                <w:color w:val="000000"/>
              </w:rPr>
              <w:t>leaders.</w:t>
            </w:r>
          </w:p>
        </w:tc>
        <w:tc>
          <w:tcPr>
            <w:tcW w:w="2835" w:type="dxa"/>
            <w:tcBorders>
              <w:top w:val="single" w:sz="4" w:space="0" w:color="auto"/>
              <w:left w:val="single" w:sz="4" w:space="0" w:color="auto"/>
              <w:bottom w:val="single" w:sz="4" w:space="0" w:color="auto"/>
              <w:right w:val="single" w:sz="4" w:space="0" w:color="auto"/>
            </w:tcBorders>
            <w:hideMark/>
          </w:tcPr>
          <w:p w14:paraId="6114DCC0" w14:textId="0227219B"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lastRenderedPageBreak/>
              <w:t>The Service should consider implementing the suggested actions</w:t>
            </w:r>
            <w:r w:rsidR="005559BF">
              <w:rPr>
                <w:rFonts w:asciiTheme="minorHAnsi" w:hAnsiTheme="minorHAnsi" w:cstheme="minorHAnsi"/>
                <w:color w:val="000000"/>
              </w:rPr>
              <w:t xml:space="preserve"> </w:t>
            </w:r>
            <w:r w:rsidRPr="00C04419">
              <w:rPr>
                <w:rFonts w:asciiTheme="minorHAnsi" w:hAnsiTheme="minorHAnsi" w:cstheme="minorHAnsi"/>
                <w:color w:val="000000"/>
              </w:rPr>
              <w:t>to ensure the process for identifying and developing high-potential</w:t>
            </w:r>
            <w:r w:rsidR="005559BF">
              <w:rPr>
                <w:rFonts w:asciiTheme="minorHAnsi" w:hAnsiTheme="minorHAnsi" w:cstheme="minorHAnsi"/>
                <w:color w:val="000000"/>
              </w:rPr>
              <w:t xml:space="preserve"> </w:t>
            </w:r>
            <w:r w:rsidRPr="00C04419">
              <w:rPr>
                <w:rFonts w:asciiTheme="minorHAnsi" w:hAnsiTheme="minorHAnsi" w:cstheme="minorHAnsi"/>
                <w:color w:val="000000"/>
              </w:rPr>
              <w:t>staff and leaders is adequately communicated and understood by</w:t>
            </w:r>
            <w:r w:rsidR="005559BF">
              <w:rPr>
                <w:rFonts w:asciiTheme="minorHAnsi" w:hAnsiTheme="minorHAnsi" w:cstheme="minorHAnsi"/>
                <w:color w:val="000000"/>
              </w:rPr>
              <w:t xml:space="preserve"> </w:t>
            </w:r>
            <w:r w:rsidRPr="00C04419">
              <w:rPr>
                <w:rFonts w:asciiTheme="minorHAnsi" w:hAnsiTheme="minorHAnsi" w:cstheme="minorHAnsi"/>
                <w:color w:val="000000"/>
              </w:rPr>
              <w:t>staff across the Service. This will ensure the process is open and</w:t>
            </w:r>
            <w:r w:rsidR="005559BF">
              <w:rPr>
                <w:rFonts w:asciiTheme="minorHAnsi" w:hAnsiTheme="minorHAnsi" w:cstheme="minorHAnsi"/>
                <w:color w:val="000000"/>
              </w:rPr>
              <w:t xml:space="preserve"> </w:t>
            </w:r>
            <w:r w:rsidRPr="00C04419">
              <w:rPr>
                <w:rFonts w:asciiTheme="minorHAnsi" w:hAnsiTheme="minorHAnsi" w:cstheme="minorHAnsi"/>
                <w:color w:val="000000"/>
              </w:rPr>
              <w:t>transparent for all staff.</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865A31D" w14:textId="77777777" w:rsidR="00C04419" w:rsidRPr="00C04419" w:rsidRDefault="00C04419" w:rsidP="00C04419">
            <w:pPr>
              <w:spacing w:after="200" w:line="276" w:lineRule="auto"/>
              <w:rPr>
                <w:rFonts w:asciiTheme="minorHAnsi" w:hAnsiTheme="minorHAnsi" w:cstheme="minorHAnsi"/>
                <w:b/>
                <w:color w:val="000000"/>
              </w:rPr>
            </w:pPr>
          </w:p>
        </w:tc>
        <w:tc>
          <w:tcPr>
            <w:tcW w:w="3827" w:type="dxa"/>
            <w:tcBorders>
              <w:top w:val="single" w:sz="4" w:space="0" w:color="auto"/>
              <w:left w:val="single" w:sz="4" w:space="0" w:color="auto"/>
              <w:bottom w:val="single" w:sz="4" w:space="0" w:color="auto"/>
              <w:right w:val="single" w:sz="4" w:space="0" w:color="auto"/>
            </w:tcBorders>
            <w:hideMark/>
          </w:tcPr>
          <w:p w14:paraId="4435D847" w14:textId="79A69CAD" w:rsidR="007C6802" w:rsidRPr="007C6802" w:rsidRDefault="007C6802" w:rsidP="00C04419">
            <w:pPr>
              <w:spacing w:after="200" w:line="276" w:lineRule="auto"/>
              <w:rPr>
                <w:rFonts w:asciiTheme="minorHAnsi" w:hAnsiTheme="minorHAnsi" w:cstheme="minorHAnsi"/>
                <w:b/>
                <w:color w:val="000000"/>
              </w:rPr>
            </w:pPr>
            <w:r>
              <w:rPr>
                <w:rFonts w:asciiTheme="minorHAnsi" w:hAnsiTheme="minorHAnsi" w:cstheme="minorHAnsi"/>
                <w:b/>
                <w:color w:val="000000"/>
              </w:rPr>
              <w:t xml:space="preserve">Completed </w:t>
            </w:r>
            <w:r w:rsidR="00F41A47">
              <w:rPr>
                <w:rFonts w:asciiTheme="minorHAnsi" w:hAnsiTheme="minorHAnsi" w:cstheme="minorHAnsi"/>
                <w:b/>
                <w:color w:val="000000"/>
              </w:rPr>
              <w:t>30/06/2025</w:t>
            </w:r>
          </w:p>
          <w:p w14:paraId="30A4831A" w14:textId="0EBCBAB6" w:rsidR="00C04419" w:rsidRPr="00C04419" w:rsidRDefault="00CB7C78" w:rsidP="00C04419">
            <w:pPr>
              <w:spacing w:after="200" w:line="276" w:lineRule="auto"/>
              <w:rPr>
                <w:rFonts w:asciiTheme="minorHAnsi" w:hAnsiTheme="minorHAnsi" w:cstheme="minorHAnsi"/>
                <w:bCs/>
                <w:color w:val="000000"/>
              </w:rPr>
            </w:pPr>
            <w:r>
              <w:rPr>
                <w:rFonts w:asciiTheme="minorHAnsi" w:hAnsiTheme="minorHAnsi" w:cstheme="minorHAnsi"/>
                <w:bCs/>
                <w:color w:val="000000"/>
              </w:rPr>
              <w:t>3</w:t>
            </w:r>
            <w:r w:rsidR="00C04419" w:rsidRPr="00C04419">
              <w:rPr>
                <w:rFonts w:asciiTheme="minorHAnsi" w:hAnsiTheme="minorHAnsi" w:cstheme="minorHAnsi"/>
                <w:bCs/>
                <w:color w:val="000000"/>
              </w:rPr>
              <w:t>transparent</w:t>
            </w:r>
            <w:r w:rsidR="005559BF">
              <w:rPr>
                <w:rFonts w:asciiTheme="minorHAnsi" w:hAnsiTheme="minorHAnsi" w:cstheme="minorHAnsi"/>
                <w:bCs/>
                <w:color w:val="000000"/>
              </w:rPr>
              <w:t xml:space="preserve"> </w:t>
            </w:r>
            <w:r w:rsidR="00C04419" w:rsidRPr="00C04419">
              <w:rPr>
                <w:rFonts w:asciiTheme="minorHAnsi" w:hAnsiTheme="minorHAnsi" w:cstheme="minorHAnsi"/>
                <w:bCs/>
                <w:color w:val="000000"/>
              </w:rPr>
              <w:t>manner. In response to this, we have taken the following steps:</w:t>
            </w:r>
          </w:p>
          <w:p w14:paraId="59378E4F" w14:textId="68234B5D"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1. Leadership and Management Learning Platform: All staff now have full access to a comprehensive leadership and management learning platform</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hosted on Moodle. This platform provides a range of development resources and learning opportunities to support staff at all levels in building their leadership capabilities. All staff have access to a blended leadership programme at all levels inclusive of face-to-face learning, monthly learning</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 xml:space="preserve">resource mailout from WFD and access to the </w:t>
            </w:r>
            <w:r w:rsidR="00103FB4">
              <w:rPr>
                <w:rFonts w:asciiTheme="minorHAnsi" w:hAnsiTheme="minorHAnsi" w:cstheme="minorHAnsi"/>
                <w:bCs/>
                <w:color w:val="000000"/>
              </w:rPr>
              <w:t>M</w:t>
            </w:r>
            <w:r w:rsidRPr="00C04419">
              <w:rPr>
                <w:rFonts w:asciiTheme="minorHAnsi" w:hAnsiTheme="minorHAnsi" w:cstheme="minorHAnsi"/>
                <w:bCs/>
                <w:color w:val="000000"/>
              </w:rPr>
              <w:t>oodle</w:t>
            </w:r>
            <w:r w:rsidR="00103FB4">
              <w:rPr>
                <w:rFonts w:asciiTheme="minorHAnsi" w:hAnsiTheme="minorHAnsi" w:cstheme="minorHAnsi"/>
                <w:bCs/>
                <w:color w:val="000000"/>
              </w:rPr>
              <w:t xml:space="preserve"> </w:t>
            </w:r>
            <w:r w:rsidRPr="00C04419">
              <w:rPr>
                <w:rFonts w:asciiTheme="minorHAnsi" w:hAnsiTheme="minorHAnsi" w:cstheme="minorHAnsi"/>
                <w:bCs/>
                <w:color w:val="000000"/>
              </w:rPr>
              <w:t>platform.</w:t>
            </w:r>
          </w:p>
          <w:p w14:paraId="4E8615D0" w14:textId="0DCB14B0"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 xml:space="preserve">2. Updated Core Learning Pathways: Core learning pathways have been </w:t>
            </w:r>
            <w:r w:rsidRPr="00C04419">
              <w:rPr>
                <w:rFonts w:asciiTheme="minorHAnsi" w:hAnsiTheme="minorHAnsi" w:cstheme="minorHAnsi"/>
                <w:bCs/>
                <w:color w:val="000000"/>
              </w:rPr>
              <w:lastRenderedPageBreak/>
              <w:t>reviewed and updated to align with current organizational goals and</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leadership competency frameworks. These pathways are now published and easily accessible to all staff, ensuring transparency and consistency</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in development opportunities.</w:t>
            </w:r>
          </w:p>
          <w:p w14:paraId="547CB99F" w14:textId="2F9DA61D"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3. Policy Update: Policy D14, which governs leadership development, has been revised to reflect these enhancements and to further promote clarity</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and fairness in the identification and support of high-potential individuals.</w:t>
            </w:r>
          </w:p>
          <w:p w14:paraId="5B8CF545" w14:textId="2269AAC4" w:rsidR="00C04419" w:rsidRPr="00C04419" w:rsidRDefault="00C04419" w:rsidP="00C04419">
            <w:pPr>
              <w:spacing w:after="200" w:line="276" w:lineRule="auto"/>
              <w:rPr>
                <w:rFonts w:asciiTheme="minorHAnsi" w:hAnsiTheme="minorHAnsi" w:cstheme="minorHAnsi"/>
                <w:bCs/>
                <w:color w:val="000000"/>
              </w:rPr>
            </w:pPr>
            <w:r w:rsidRPr="00C04419">
              <w:rPr>
                <w:rFonts w:asciiTheme="minorHAnsi" w:hAnsiTheme="minorHAnsi" w:cstheme="minorHAnsi"/>
                <w:bCs/>
                <w:color w:val="000000"/>
              </w:rPr>
              <w:t>These initiatives collectively support a more structured, transparent, and inclusive approach to leadership development across the organization. We will</w:t>
            </w:r>
            <w:r w:rsidR="005559BF">
              <w:rPr>
                <w:rFonts w:asciiTheme="minorHAnsi" w:hAnsiTheme="minorHAnsi" w:cstheme="minorHAnsi"/>
                <w:bCs/>
                <w:color w:val="000000"/>
              </w:rPr>
              <w:t xml:space="preserve"> </w:t>
            </w:r>
            <w:r w:rsidRPr="00C04419">
              <w:rPr>
                <w:rFonts w:asciiTheme="minorHAnsi" w:hAnsiTheme="minorHAnsi" w:cstheme="minorHAnsi"/>
                <w:bCs/>
                <w:color w:val="000000"/>
              </w:rPr>
              <w:t>continue to monitor the effectiveness of these measures and seek feedback to ensure continuous improvement.</w:t>
            </w:r>
          </w:p>
        </w:tc>
        <w:tc>
          <w:tcPr>
            <w:tcW w:w="1563" w:type="dxa"/>
            <w:tcBorders>
              <w:top w:val="single" w:sz="4" w:space="0" w:color="auto"/>
              <w:left w:val="single" w:sz="4" w:space="0" w:color="auto"/>
              <w:bottom w:val="single" w:sz="4" w:space="0" w:color="auto"/>
              <w:right w:val="single" w:sz="4" w:space="0" w:color="auto"/>
            </w:tcBorders>
          </w:tcPr>
          <w:p w14:paraId="238E08D5" w14:textId="294169C9" w:rsidR="00C04419" w:rsidRPr="00C04419" w:rsidRDefault="00C04419" w:rsidP="00C04419">
            <w:pPr>
              <w:spacing w:after="200" w:line="276" w:lineRule="auto"/>
              <w:rPr>
                <w:rFonts w:asciiTheme="minorHAnsi" w:hAnsiTheme="minorHAnsi" w:cstheme="minorHAnsi"/>
                <w:color w:val="000000"/>
              </w:rPr>
            </w:pPr>
            <w:r w:rsidRPr="00C04419">
              <w:rPr>
                <w:rFonts w:asciiTheme="minorHAnsi" w:hAnsiTheme="minorHAnsi" w:cstheme="minorHAnsi"/>
                <w:color w:val="000000"/>
              </w:rPr>
              <w:lastRenderedPageBreak/>
              <w:t>Jim Dorrill, Group</w:t>
            </w:r>
            <w:r w:rsidR="005559BF" w:rsidRPr="005559BF">
              <w:rPr>
                <w:rFonts w:asciiTheme="minorHAnsi" w:hAnsiTheme="minorHAnsi" w:cstheme="minorHAnsi"/>
                <w:color w:val="000000"/>
              </w:rPr>
              <w:t xml:space="preserve"> </w:t>
            </w:r>
            <w:r w:rsidRPr="00C04419">
              <w:rPr>
                <w:rFonts w:asciiTheme="minorHAnsi" w:hAnsiTheme="minorHAnsi" w:cstheme="minorHAnsi"/>
                <w:color w:val="000000"/>
              </w:rPr>
              <w:t>Commander</w:t>
            </w:r>
          </w:p>
          <w:p w14:paraId="1AF591F2" w14:textId="77777777" w:rsidR="00C04419" w:rsidRPr="00C04419" w:rsidRDefault="00C04419" w:rsidP="00C04419">
            <w:pPr>
              <w:spacing w:after="200" w:line="276" w:lineRule="auto"/>
              <w:rPr>
                <w:rFonts w:asciiTheme="minorHAnsi" w:hAnsiTheme="minorHAnsi" w:cstheme="minorHAnsi"/>
                <w:color w:val="000000"/>
              </w:rPr>
            </w:pPr>
          </w:p>
          <w:p w14:paraId="59ECBE17" w14:textId="77777777" w:rsidR="00C04419" w:rsidRPr="00C04419" w:rsidRDefault="00C04419" w:rsidP="00C04419">
            <w:pPr>
              <w:spacing w:after="200" w:line="276" w:lineRule="auto"/>
              <w:rPr>
                <w:rFonts w:cstheme="minorHAnsi"/>
                <w:color w:val="000000"/>
              </w:rPr>
            </w:pPr>
            <w:r w:rsidRPr="00C04419">
              <w:rPr>
                <w:rFonts w:asciiTheme="minorHAnsi" w:hAnsiTheme="minorHAnsi" w:cstheme="minorHAnsi"/>
                <w:color w:val="000000"/>
              </w:rPr>
              <w:t>30/06/2025</w:t>
            </w:r>
          </w:p>
        </w:tc>
        <w:tc>
          <w:tcPr>
            <w:tcW w:w="847" w:type="dxa"/>
            <w:tcBorders>
              <w:top w:val="single" w:sz="4" w:space="0" w:color="auto"/>
              <w:left w:val="single" w:sz="4" w:space="0" w:color="auto"/>
              <w:bottom w:val="single" w:sz="4" w:space="0" w:color="auto"/>
              <w:right w:val="single" w:sz="4" w:space="0" w:color="auto"/>
            </w:tcBorders>
            <w:shd w:val="clear" w:color="auto" w:fill="00B050"/>
          </w:tcPr>
          <w:p w14:paraId="6A4555A4" w14:textId="77777777" w:rsidR="00C04419" w:rsidRPr="00C04419" w:rsidRDefault="00C04419" w:rsidP="00C04419">
            <w:pPr>
              <w:spacing w:after="200" w:line="276" w:lineRule="auto"/>
              <w:rPr>
                <w:rFonts w:cstheme="minorHAnsi"/>
                <w:b/>
                <w:color w:val="000000"/>
              </w:rPr>
            </w:pPr>
          </w:p>
        </w:tc>
      </w:tr>
    </w:tbl>
    <w:p w14:paraId="11E6071B" w14:textId="77777777" w:rsidR="00C04419" w:rsidRPr="00C04419" w:rsidRDefault="00C04419" w:rsidP="00C04419">
      <w:pPr>
        <w:spacing w:after="200" w:line="276" w:lineRule="auto"/>
        <w:rPr>
          <w:rFonts w:cstheme="minorHAnsi"/>
          <w:b/>
          <w:bCs/>
          <w:color w:val="000000"/>
        </w:rPr>
      </w:pPr>
    </w:p>
    <w:p w14:paraId="04D34527" w14:textId="77777777" w:rsidR="00C04419" w:rsidRDefault="00C04419" w:rsidP="00FB30A6">
      <w:pPr>
        <w:spacing w:after="200" w:line="276" w:lineRule="auto"/>
        <w:rPr>
          <w:rFonts w:cstheme="minorHAnsi"/>
          <w:b/>
          <w:bCs/>
          <w:color w:val="000000"/>
        </w:rPr>
      </w:pPr>
    </w:p>
    <w:sectPr w:rsidR="00C04419" w:rsidSect="005F7A06">
      <w:footerReference w:type="default" r:id="rId1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4081" w14:textId="77777777" w:rsidR="00853F99" w:rsidRDefault="00853F99" w:rsidP="00AB5689">
      <w:r>
        <w:separator/>
      </w:r>
    </w:p>
  </w:endnote>
  <w:endnote w:type="continuationSeparator" w:id="0">
    <w:p w14:paraId="5219AB91" w14:textId="77777777" w:rsidR="00853F99" w:rsidRDefault="00853F99" w:rsidP="00AB5689">
      <w:r>
        <w:continuationSeparator/>
      </w:r>
    </w:p>
  </w:endnote>
  <w:endnote w:type="continuationNotice" w:id="1">
    <w:p w14:paraId="1AC05614" w14:textId="77777777" w:rsidR="00853F99" w:rsidRDefault="00853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4085" w14:textId="575580C6" w:rsidR="008D55FE" w:rsidRDefault="008D55FE">
    <w:pPr>
      <w:pStyle w:val="Footer"/>
    </w:pPr>
    <w:r>
      <w:t>Internal Audit recommendations v</w:t>
    </w:r>
    <w:r w:rsidR="006812A1">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456" w14:textId="77777777" w:rsidR="00853F99" w:rsidRDefault="00853F99" w:rsidP="00AB5689">
      <w:r>
        <w:separator/>
      </w:r>
    </w:p>
  </w:footnote>
  <w:footnote w:type="continuationSeparator" w:id="0">
    <w:p w14:paraId="5044E062" w14:textId="77777777" w:rsidR="00853F99" w:rsidRDefault="00853F99" w:rsidP="00AB5689">
      <w:r>
        <w:continuationSeparator/>
      </w:r>
    </w:p>
  </w:footnote>
  <w:footnote w:type="continuationNotice" w:id="1">
    <w:p w14:paraId="08996FED" w14:textId="77777777" w:rsidR="00853F99" w:rsidRDefault="00853F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05"/>
    <w:multiLevelType w:val="hybridMultilevel"/>
    <w:tmpl w:val="A4A6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A73"/>
    <w:multiLevelType w:val="hybridMultilevel"/>
    <w:tmpl w:val="9A44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0E65"/>
    <w:multiLevelType w:val="hybridMultilevel"/>
    <w:tmpl w:val="7308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47972"/>
    <w:multiLevelType w:val="hybridMultilevel"/>
    <w:tmpl w:val="296A3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23222"/>
    <w:multiLevelType w:val="hybridMultilevel"/>
    <w:tmpl w:val="1304D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CA60FF"/>
    <w:multiLevelType w:val="hybridMultilevel"/>
    <w:tmpl w:val="A79C7E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17292E7D"/>
    <w:multiLevelType w:val="hybridMultilevel"/>
    <w:tmpl w:val="C55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C82"/>
    <w:multiLevelType w:val="hybridMultilevel"/>
    <w:tmpl w:val="FD3EC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325C5"/>
    <w:multiLevelType w:val="hybridMultilevel"/>
    <w:tmpl w:val="630C36EC"/>
    <w:lvl w:ilvl="0" w:tplc="5C105ED0">
      <w:start w:val="1"/>
      <w:numFmt w:val="bullet"/>
      <w:lvlText w:val="•"/>
      <w:lvlJc w:val="left"/>
      <w:pPr>
        <w:tabs>
          <w:tab w:val="num" w:pos="720"/>
        </w:tabs>
        <w:ind w:left="720" w:hanging="360"/>
      </w:pPr>
      <w:rPr>
        <w:rFonts w:ascii="Arial" w:hAnsi="Arial" w:hint="default"/>
      </w:rPr>
    </w:lvl>
    <w:lvl w:ilvl="1" w:tplc="B9C8A612" w:tentative="1">
      <w:start w:val="1"/>
      <w:numFmt w:val="bullet"/>
      <w:lvlText w:val="•"/>
      <w:lvlJc w:val="left"/>
      <w:pPr>
        <w:tabs>
          <w:tab w:val="num" w:pos="1440"/>
        </w:tabs>
        <w:ind w:left="1440" w:hanging="360"/>
      </w:pPr>
      <w:rPr>
        <w:rFonts w:ascii="Arial" w:hAnsi="Arial" w:hint="default"/>
      </w:rPr>
    </w:lvl>
    <w:lvl w:ilvl="2" w:tplc="B23C277E" w:tentative="1">
      <w:start w:val="1"/>
      <w:numFmt w:val="bullet"/>
      <w:lvlText w:val="•"/>
      <w:lvlJc w:val="left"/>
      <w:pPr>
        <w:tabs>
          <w:tab w:val="num" w:pos="2160"/>
        </w:tabs>
        <w:ind w:left="2160" w:hanging="360"/>
      </w:pPr>
      <w:rPr>
        <w:rFonts w:ascii="Arial" w:hAnsi="Arial" w:hint="default"/>
      </w:rPr>
    </w:lvl>
    <w:lvl w:ilvl="3" w:tplc="53181BF4" w:tentative="1">
      <w:start w:val="1"/>
      <w:numFmt w:val="bullet"/>
      <w:lvlText w:val="•"/>
      <w:lvlJc w:val="left"/>
      <w:pPr>
        <w:tabs>
          <w:tab w:val="num" w:pos="2880"/>
        </w:tabs>
        <w:ind w:left="2880" w:hanging="360"/>
      </w:pPr>
      <w:rPr>
        <w:rFonts w:ascii="Arial" w:hAnsi="Arial" w:hint="default"/>
      </w:rPr>
    </w:lvl>
    <w:lvl w:ilvl="4" w:tplc="D614632C" w:tentative="1">
      <w:start w:val="1"/>
      <w:numFmt w:val="bullet"/>
      <w:lvlText w:val="•"/>
      <w:lvlJc w:val="left"/>
      <w:pPr>
        <w:tabs>
          <w:tab w:val="num" w:pos="3600"/>
        </w:tabs>
        <w:ind w:left="3600" w:hanging="360"/>
      </w:pPr>
      <w:rPr>
        <w:rFonts w:ascii="Arial" w:hAnsi="Arial" w:hint="default"/>
      </w:rPr>
    </w:lvl>
    <w:lvl w:ilvl="5" w:tplc="ED742CDA" w:tentative="1">
      <w:start w:val="1"/>
      <w:numFmt w:val="bullet"/>
      <w:lvlText w:val="•"/>
      <w:lvlJc w:val="left"/>
      <w:pPr>
        <w:tabs>
          <w:tab w:val="num" w:pos="4320"/>
        </w:tabs>
        <w:ind w:left="4320" w:hanging="360"/>
      </w:pPr>
      <w:rPr>
        <w:rFonts w:ascii="Arial" w:hAnsi="Arial" w:hint="default"/>
      </w:rPr>
    </w:lvl>
    <w:lvl w:ilvl="6" w:tplc="32C8AE7C" w:tentative="1">
      <w:start w:val="1"/>
      <w:numFmt w:val="bullet"/>
      <w:lvlText w:val="•"/>
      <w:lvlJc w:val="left"/>
      <w:pPr>
        <w:tabs>
          <w:tab w:val="num" w:pos="5040"/>
        </w:tabs>
        <w:ind w:left="5040" w:hanging="360"/>
      </w:pPr>
      <w:rPr>
        <w:rFonts w:ascii="Arial" w:hAnsi="Arial" w:hint="default"/>
      </w:rPr>
    </w:lvl>
    <w:lvl w:ilvl="7" w:tplc="41DE3926" w:tentative="1">
      <w:start w:val="1"/>
      <w:numFmt w:val="bullet"/>
      <w:lvlText w:val="•"/>
      <w:lvlJc w:val="left"/>
      <w:pPr>
        <w:tabs>
          <w:tab w:val="num" w:pos="5760"/>
        </w:tabs>
        <w:ind w:left="5760" w:hanging="360"/>
      </w:pPr>
      <w:rPr>
        <w:rFonts w:ascii="Arial" w:hAnsi="Arial" w:hint="default"/>
      </w:rPr>
    </w:lvl>
    <w:lvl w:ilvl="8" w:tplc="C0AC33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B176F1"/>
    <w:multiLevelType w:val="hybridMultilevel"/>
    <w:tmpl w:val="EFF6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06392"/>
    <w:multiLevelType w:val="hybridMultilevel"/>
    <w:tmpl w:val="81EC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B54D9"/>
    <w:multiLevelType w:val="hybridMultilevel"/>
    <w:tmpl w:val="B1D0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5388D"/>
    <w:multiLevelType w:val="hybridMultilevel"/>
    <w:tmpl w:val="5526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B46D6"/>
    <w:multiLevelType w:val="hybridMultilevel"/>
    <w:tmpl w:val="683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763BA"/>
    <w:multiLevelType w:val="hybridMultilevel"/>
    <w:tmpl w:val="4CF83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E776F3"/>
    <w:multiLevelType w:val="hybridMultilevel"/>
    <w:tmpl w:val="9188B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A4EBA"/>
    <w:multiLevelType w:val="hybridMultilevel"/>
    <w:tmpl w:val="CB8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952E2"/>
    <w:multiLevelType w:val="hybridMultilevel"/>
    <w:tmpl w:val="C23A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92E16"/>
    <w:multiLevelType w:val="hybridMultilevel"/>
    <w:tmpl w:val="010EDA92"/>
    <w:lvl w:ilvl="0" w:tplc="D51AFC3A">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AE86692"/>
    <w:multiLevelType w:val="multilevel"/>
    <w:tmpl w:val="A0E86BD6"/>
    <w:lvl w:ilvl="0">
      <w:start w:val="1"/>
      <w:numFmt w:val="decimal"/>
      <w:lvlText w:val="%1."/>
      <w:lvlJc w:val="left"/>
      <w:pPr>
        <w:ind w:left="720" w:hanging="360"/>
      </w:pPr>
      <w:rPr>
        <w:rFonts w:hint="default"/>
      </w:rPr>
    </w:lvl>
    <w:lvl w:ilvl="1">
      <w:start w:val="6"/>
      <w:numFmt w:val="decimal"/>
      <w:isLgl/>
      <w:lvlText w:val="%1.%2"/>
      <w:lvlJc w:val="left"/>
      <w:pPr>
        <w:ind w:left="972" w:hanging="612"/>
      </w:pPr>
      <w:rPr>
        <w:rFonts w:hint="default"/>
        <w:b/>
      </w:rPr>
    </w:lvl>
    <w:lvl w:ilvl="2">
      <w:start w:val="24"/>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51AD23C4"/>
    <w:multiLevelType w:val="hybridMultilevel"/>
    <w:tmpl w:val="80C0BC5A"/>
    <w:lvl w:ilvl="0" w:tplc="D4AA22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E7DB7"/>
    <w:multiLevelType w:val="hybridMultilevel"/>
    <w:tmpl w:val="F5045010"/>
    <w:lvl w:ilvl="0" w:tplc="05D28BEA">
      <w:start w:val="21"/>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26472"/>
    <w:multiLevelType w:val="hybridMultilevel"/>
    <w:tmpl w:val="29E8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E4ACF"/>
    <w:multiLevelType w:val="hybridMultilevel"/>
    <w:tmpl w:val="AC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822A9"/>
    <w:multiLevelType w:val="hybridMultilevel"/>
    <w:tmpl w:val="D474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115D7"/>
    <w:multiLevelType w:val="hybridMultilevel"/>
    <w:tmpl w:val="4A5C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F3DAE"/>
    <w:multiLevelType w:val="hybridMultilevel"/>
    <w:tmpl w:val="C122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C1573"/>
    <w:multiLevelType w:val="hybridMultilevel"/>
    <w:tmpl w:val="2D3E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21CDE"/>
    <w:multiLevelType w:val="hybridMultilevel"/>
    <w:tmpl w:val="41D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55157"/>
    <w:multiLevelType w:val="hybridMultilevel"/>
    <w:tmpl w:val="D5E2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416411"/>
    <w:multiLevelType w:val="hybridMultilevel"/>
    <w:tmpl w:val="DA56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F7224"/>
    <w:multiLevelType w:val="hybridMultilevel"/>
    <w:tmpl w:val="CEE0D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DB6ACD"/>
    <w:multiLevelType w:val="hybridMultilevel"/>
    <w:tmpl w:val="020CF3D4"/>
    <w:lvl w:ilvl="0" w:tplc="AB28C1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75A65"/>
    <w:multiLevelType w:val="hybridMultilevel"/>
    <w:tmpl w:val="278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228304">
    <w:abstractNumId w:val="19"/>
  </w:num>
  <w:num w:numId="2" w16cid:durableId="2020958852">
    <w:abstractNumId w:val="13"/>
  </w:num>
  <w:num w:numId="3" w16cid:durableId="1520852073">
    <w:abstractNumId w:val="27"/>
  </w:num>
  <w:num w:numId="4" w16cid:durableId="1872721323">
    <w:abstractNumId w:val="24"/>
  </w:num>
  <w:num w:numId="5" w16cid:durableId="1219244273">
    <w:abstractNumId w:val="17"/>
  </w:num>
  <w:num w:numId="6" w16cid:durableId="115872301">
    <w:abstractNumId w:val="23"/>
  </w:num>
  <w:num w:numId="7" w16cid:durableId="519856894">
    <w:abstractNumId w:val="26"/>
  </w:num>
  <w:num w:numId="8" w16cid:durableId="1964539389">
    <w:abstractNumId w:val="33"/>
  </w:num>
  <w:num w:numId="9" w16cid:durableId="65493544">
    <w:abstractNumId w:val="5"/>
  </w:num>
  <w:num w:numId="10" w16cid:durableId="1176457982">
    <w:abstractNumId w:val="29"/>
  </w:num>
  <w:num w:numId="11" w16cid:durableId="412434424">
    <w:abstractNumId w:val="0"/>
  </w:num>
  <w:num w:numId="12" w16cid:durableId="1458642617">
    <w:abstractNumId w:val="22"/>
  </w:num>
  <w:num w:numId="13" w16cid:durableId="1747073205">
    <w:abstractNumId w:val="14"/>
  </w:num>
  <w:num w:numId="14" w16cid:durableId="1370646155">
    <w:abstractNumId w:val="25"/>
  </w:num>
  <w:num w:numId="15" w16cid:durableId="1213348016">
    <w:abstractNumId w:val="2"/>
  </w:num>
  <w:num w:numId="16" w16cid:durableId="1141269258">
    <w:abstractNumId w:val="6"/>
  </w:num>
  <w:num w:numId="17" w16cid:durableId="1116411017">
    <w:abstractNumId w:val="15"/>
  </w:num>
  <w:num w:numId="18" w16cid:durableId="1435709908">
    <w:abstractNumId w:val="7"/>
  </w:num>
  <w:num w:numId="19" w16cid:durableId="1389571352">
    <w:abstractNumId w:val="32"/>
  </w:num>
  <w:num w:numId="20" w16cid:durableId="2027291805">
    <w:abstractNumId w:val="12"/>
  </w:num>
  <w:num w:numId="21" w16cid:durableId="800850223">
    <w:abstractNumId w:val="21"/>
  </w:num>
  <w:num w:numId="22" w16cid:durableId="968629030">
    <w:abstractNumId w:val="16"/>
  </w:num>
  <w:num w:numId="23" w16cid:durableId="1214847851">
    <w:abstractNumId w:val="9"/>
  </w:num>
  <w:num w:numId="24" w16cid:durableId="1565946030">
    <w:abstractNumId w:val="30"/>
  </w:num>
  <w:num w:numId="25" w16cid:durableId="694188673">
    <w:abstractNumId w:val="10"/>
  </w:num>
  <w:num w:numId="26" w16cid:durableId="1108088023">
    <w:abstractNumId w:val="1"/>
  </w:num>
  <w:num w:numId="27" w16cid:durableId="152991264">
    <w:abstractNumId w:val="11"/>
  </w:num>
  <w:num w:numId="28" w16cid:durableId="2017924797">
    <w:abstractNumId w:val="8"/>
  </w:num>
  <w:num w:numId="29" w16cid:durableId="384108727">
    <w:abstractNumId w:val="18"/>
  </w:num>
  <w:num w:numId="30" w16cid:durableId="1235238062">
    <w:abstractNumId w:val="28"/>
  </w:num>
  <w:num w:numId="31" w16cid:durableId="315693978">
    <w:abstractNumId w:val="31"/>
  </w:num>
  <w:num w:numId="32" w16cid:durableId="864101742">
    <w:abstractNumId w:val="3"/>
  </w:num>
  <w:num w:numId="33" w16cid:durableId="1181775235">
    <w:abstractNumId w:val="20"/>
  </w:num>
  <w:num w:numId="34" w16cid:durableId="18756074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9D"/>
    <w:rsid w:val="00000C06"/>
    <w:rsid w:val="000012A3"/>
    <w:rsid w:val="00001448"/>
    <w:rsid w:val="000037B5"/>
    <w:rsid w:val="0000484B"/>
    <w:rsid w:val="00004ECF"/>
    <w:rsid w:val="00005657"/>
    <w:rsid w:val="0000689F"/>
    <w:rsid w:val="00006F82"/>
    <w:rsid w:val="00006FC1"/>
    <w:rsid w:val="000107AB"/>
    <w:rsid w:val="000113CB"/>
    <w:rsid w:val="000114A4"/>
    <w:rsid w:val="0001188D"/>
    <w:rsid w:val="00013380"/>
    <w:rsid w:val="00013821"/>
    <w:rsid w:val="00014303"/>
    <w:rsid w:val="00014520"/>
    <w:rsid w:val="00014C23"/>
    <w:rsid w:val="00015BC6"/>
    <w:rsid w:val="00017754"/>
    <w:rsid w:val="00017F04"/>
    <w:rsid w:val="000205F3"/>
    <w:rsid w:val="0002120A"/>
    <w:rsid w:val="00022AFC"/>
    <w:rsid w:val="0002311A"/>
    <w:rsid w:val="000243ED"/>
    <w:rsid w:val="0002537E"/>
    <w:rsid w:val="00026D0C"/>
    <w:rsid w:val="00027314"/>
    <w:rsid w:val="00027C05"/>
    <w:rsid w:val="00030875"/>
    <w:rsid w:val="00030B4D"/>
    <w:rsid w:val="00032103"/>
    <w:rsid w:val="000328B0"/>
    <w:rsid w:val="00033DD3"/>
    <w:rsid w:val="000342B4"/>
    <w:rsid w:val="000342E5"/>
    <w:rsid w:val="00034945"/>
    <w:rsid w:val="00035FE1"/>
    <w:rsid w:val="00036982"/>
    <w:rsid w:val="00037969"/>
    <w:rsid w:val="00037F01"/>
    <w:rsid w:val="00041946"/>
    <w:rsid w:val="00042598"/>
    <w:rsid w:val="0004424D"/>
    <w:rsid w:val="00046400"/>
    <w:rsid w:val="000468DB"/>
    <w:rsid w:val="00047FA6"/>
    <w:rsid w:val="00051339"/>
    <w:rsid w:val="00053574"/>
    <w:rsid w:val="000558EB"/>
    <w:rsid w:val="000564C9"/>
    <w:rsid w:val="00056CB2"/>
    <w:rsid w:val="0006277D"/>
    <w:rsid w:val="00062F89"/>
    <w:rsid w:val="00063030"/>
    <w:rsid w:val="0006440D"/>
    <w:rsid w:val="000649A2"/>
    <w:rsid w:val="00064F6B"/>
    <w:rsid w:val="00066714"/>
    <w:rsid w:val="00070A8B"/>
    <w:rsid w:val="00071DA6"/>
    <w:rsid w:val="000723E4"/>
    <w:rsid w:val="00075687"/>
    <w:rsid w:val="00077C87"/>
    <w:rsid w:val="000825E3"/>
    <w:rsid w:val="0008382D"/>
    <w:rsid w:val="00085B08"/>
    <w:rsid w:val="00086E8E"/>
    <w:rsid w:val="000873EF"/>
    <w:rsid w:val="00090E9F"/>
    <w:rsid w:val="00090EE7"/>
    <w:rsid w:val="0009117A"/>
    <w:rsid w:val="00091266"/>
    <w:rsid w:val="00092147"/>
    <w:rsid w:val="00094B53"/>
    <w:rsid w:val="00094B90"/>
    <w:rsid w:val="00095428"/>
    <w:rsid w:val="00095553"/>
    <w:rsid w:val="000956F3"/>
    <w:rsid w:val="00095814"/>
    <w:rsid w:val="00097E07"/>
    <w:rsid w:val="00097EA2"/>
    <w:rsid w:val="000A021A"/>
    <w:rsid w:val="000A03BA"/>
    <w:rsid w:val="000A0DF5"/>
    <w:rsid w:val="000A65C6"/>
    <w:rsid w:val="000A79F3"/>
    <w:rsid w:val="000B0B67"/>
    <w:rsid w:val="000B0C18"/>
    <w:rsid w:val="000B2607"/>
    <w:rsid w:val="000B3AAC"/>
    <w:rsid w:val="000B494A"/>
    <w:rsid w:val="000B4FED"/>
    <w:rsid w:val="000B64B7"/>
    <w:rsid w:val="000B707A"/>
    <w:rsid w:val="000B75A2"/>
    <w:rsid w:val="000C021F"/>
    <w:rsid w:val="000C08AC"/>
    <w:rsid w:val="000C18DC"/>
    <w:rsid w:val="000C2173"/>
    <w:rsid w:val="000C23DB"/>
    <w:rsid w:val="000C279A"/>
    <w:rsid w:val="000C323D"/>
    <w:rsid w:val="000C364A"/>
    <w:rsid w:val="000C3A71"/>
    <w:rsid w:val="000C4930"/>
    <w:rsid w:val="000C5168"/>
    <w:rsid w:val="000C6680"/>
    <w:rsid w:val="000C760C"/>
    <w:rsid w:val="000C7945"/>
    <w:rsid w:val="000D0DF3"/>
    <w:rsid w:val="000D1352"/>
    <w:rsid w:val="000D1475"/>
    <w:rsid w:val="000D1FB2"/>
    <w:rsid w:val="000D1FF6"/>
    <w:rsid w:val="000D21A4"/>
    <w:rsid w:val="000D3BD0"/>
    <w:rsid w:val="000D55ED"/>
    <w:rsid w:val="000D5EAD"/>
    <w:rsid w:val="000E0C84"/>
    <w:rsid w:val="000E0EFB"/>
    <w:rsid w:val="000E1070"/>
    <w:rsid w:val="000E1C4F"/>
    <w:rsid w:val="000E1CDD"/>
    <w:rsid w:val="000E212E"/>
    <w:rsid w:val="000E2966"/>
    <w:rsid w:val="000E30FC"/>
    <w:rsid w:val="000E6659"/>
    <w:rsid w:val="000E7E58"/>
    <w:rsid w:val="000F2672"/>
    <w:rsid w:val="000F4EE1"/>
    <w:rsid w:val="000F5972"/>
    <w:rsid w:val="00100F1D"/>
    <w:rsid w:val="001016D9"/>
    <w:rsid w:val="00101B75"/>
    <w:rsid w:val="00101CCC"/>
    <w:rsid w:val="00101DD6"/>
    <w:rsid w:val="00102210"/>
    <w:rsid w:val="00102727"/>
    <w:rsid w:val="00103F84"/>
    <w:rsid w:val="00103FB4"/>
    <w:rsid w:val="0010408D"/>
    <w:rsid w:val="001054BB"/>
    <w:rsid w:val="00105B89"/>
    <w:rsid w:val="00105FE2"/>
    <w:rsid w:val="00107669"/>
    <w:rsid w:val="00107846"/>
    <w:rsid w:val="00107E30"/>
    <w:rsid w:val="00110298"/>
    <w:rsid w:val="00110364"/>
    <w:rsid w:val="00110777"/>
    <w:rsid w:val="001109D5"/>
    <w:rsid w:val="00111665"/>
    <w:rsid w:val="001132E1"/>
    <w:rsid w:val="00115A1C"/>
    <w:rsid w:val="00116ECF"/>
    <w:rsid w:val="00117147"/>
    <w:rsid w:val="0011749D"/>
    <w:rsid w:val="001201AA"/>
    <w:rsid w:val="00120295"/>
    <w:rsid w:val="00122D58"/>
    <w:rsid w:val="001238E9"/>
    <w:rsid w:val="00125C7E"/>
    <w:rsid w:val="00126399"/>
    <w:rsid w:val="0013082F"/>
    <w:rsid w:val="001350E1"/>
    <w:rsid w:val="0013561E"/>
    <w:rsid w:val="0013687D"/>
    <w:rsid w:val="00137757"/>
    <w:rsid w:val="001401E1"/>
    <w:rsid w:val="001423D2"/>
    <w:rsid w:val="001438D0"/>
    <w:rsid w:val="001451F0"/>
    <w:rsid w:val="00145F72"/>
    <w:rsid w:val="00146D8F"/>
    <w:rsid w:val="001476DB"/>
    <w:rsid w:val="00147BEE"/>
    <w:rsid w:val="00150D16"/>
    <w:rsid w:val="0015168C"/>
    <w:rsid w:val="00152EB8"/>
    <w:rsid w:val="00154328"/>
    <w:rsid w:val="00155474"/>
    <w:rsid w:val="001560A0"/>
    <w:rsid w:val="001560B0"/>
    <w:rsid w:val="001570C9"/>
    <w:rsid w:val="00157623"/>
    <w:rsid w:val="0015766D"/>
    <w:rsid w:val="00160B90"/>
    <w:rsid w:val="00161D69"/>
    <w:rsid w:val="00162CFB"/>
    <w:rsid w:val="0016334B"/>
    <w:rsid w:val="001636E8"/>
    <w:rsid w:val="0016376A"/>
    <w:rsid w:val="0016462D"/>
    <w:rsid w:val="00165711"/>
    <w:rsid w:val="001661BE"/>
    <w:rsid w:val="001663E9"/>
    <w:rsid w:val="00166B49"/>
    <w:rsid w:val="00166BF4"/>
    <w:rsid w:val="00167E6D"/>
    <w:rsid w:val="00170D9D"/>
    <w:rsid w:val="0017192E"/>
    <w:rsid w:val="001745C7"/>
    <w:rsid w:val="001746A7"/>
    <w:rsid w:val="00174CAE"/>
    <w:rsid w:val="001761B8"/>
    <w:rsid w:val="001763B3"/>
    <w:rsid w:val="00180871"/>
    <w:rsid w:val="00180DF0"/>
    <w:rsid w:val="00181CE7"/>
    <w:rsid w:val="00182771"/>
    <w:rsid w:val="00182C41"/>
    <w:rsid w:val="00183149"/>
    <w:rsid w:val="0018489D"/>
    <w:rsid w:val="00184DE1"/>
    <w:rsid w:val="00185859"/>
    <w:rsid w:val="00186517"/>
    <w:rsid w:val="00192CCE"/>
    <w:rsid w:val="00193595"/>
    <w:rsid w:val="0019369C"/>
    <w:rsid w:val="001941A3"/>
    <w:rsid w:val="00194A4E"/>
    <w:rsid w:val="00194DE0"/>
    <w:rsid w:val="00194DE2"/>
    <w:rsid w:val="00196286"/>
    <w:rsid w:val="00196A6A"/>
    <w:rsid w:val="00196EC8"/>
    <w:rsid w:val="001978F3"/>
    <w:rsid w:val="001A0241"/>
    <w:rsid w:val="001A0D63"/>
    <w:rsid w:val="001A3B10"/>
    <w:rsid w:val="001A457A"/>
    <w:rsid w:val="001A6412"/>
    <w:rsid w:val="001A7D43"/>
    <w:rsid w:val="001B0A42"/>
    <w:rsid w:val="001B262A"/>
    <w:rsid w:val="001B277C"/>
    <w:rsid w:val="001B41CD"/>
    <w:rsid w:val="001B4B37"/>
    <w:rsid w:val="001B709D"/>
    <w:rsid w:val="001C1920"/>
    <w:rsid w:val="001C39A3"/>
    <w:rsid w:val="001C4D58"/>
    <w:rsid w:val="001C6145"/>
    <w:rsid w:val="001C61E5"/>
    <w:rsid w:val="001C7FB0"/>
    <w:rsid w:val="001D024F"/>
    <w:rsid w:val="001D28FE"/>
    <w:rsid w:val="001D348B"/>
    <w:rsid w:val="001D369F"/>
    <w:rsid w:val="001D40EB"/>
    <w:rsid w:val="001D4C75"/>
    <w:rsid w:val="001D4D73"/>
    <w:rsid w:val="001D530C"/>
    <w:rsid w:val="001D5776"/>
    <w:rsid w:val="001D6867"/>
    <w:rsid w:val="001E03CD"/>
    <w:rsid w:val="001E1C10"/>
    <w:rsid w:val="001E1F2C"/>
    <w:rsid w:val="001E2B44"/>
    <w:rsid w:val="001E30E2"/>
    <w:rsid w:val="001E3683"/>
    <w:rsid w:val="001E4954"/>
    <w:rsid w:val="001E4FFD"/>
    <w:rsid w:val="001F18ED"/>
    <w:rsid w:val="001F21CE"/>
    <w:rsid w:val="001F2DE8"/>
    <w:rsid w:val="001F3142"/>
    <w:rsid w:val="001F41E6"/>
    <w:rsid w:val="001F4ADC"/>
    <w:rsid w:val="001F4CC9"/>
    <w:rsid w:val="001F4E5C"/>
    <w:rsid w:val="001F4EAB"/>
    <w:rsid w:val="001F4F3F"/>
    <w:rsid w:val="001F5FFC"/>
    <w:rsid w:val="001F7791"/>
    <w:rsid w:val="00201815"/>
    <w:rsid w:val="0020243A"/>
    <w:rsid w:val="00203F08"/>
    <w:rsid w:val="00204600"/>
    <w:rsid w:val="0020475D"/>
    <w:rsid w:val="00205942"/>
    <w:rsid w:val="002060FA"/>
    <w:rsid w:val="002103B0"/>
    <w:rsid w:val="002109CA"/>
    <w:rsid w:val="00210E94"/>
    <w:rsid w:val="00212B06"/>
    <w:rsid w:val="00212B6F"/>
    <w:rsid w:val="00212C81"/>
    <w:rsid w:val="002133CE"/>
    <w:rsid w:val="00213667"/>
    <w:rsid w:val="002145ED"/>
    <w:rsid w:val="00215910"/>
    <w:rsid w:val="00217891"/>
    <w:rsid w:val="002202DB"/>
    <w:rsid w:val="00220829"/>
    <w:rsid w:val="00220B00"/>
    <w:rsid w:val="0022157E"/>
    <w:rsid w:val="002218C1"/>
    <w:rsid w:val="0022195C"/>
    <w:rsid w:val="00222783"/>
    <w:rsid w:val="00222C11"/>
    <w:rsid w:val="002230F1"/>
    <w:rsid w:val="00224659"/>
    <w:rsid w:val="002247BA"/>
    <w:rsid w:val="00224FE8"/>
    <w:rsid w:val="00226389"/>
    <w:rsid w:val="00227F2C"/>
    <w:rsid w:val="00232773"/>
    <w:rsid w:val="0023326D"/>
    <w:rsid w:val="00233D9B"/>
    <w:rsid w:val="00233E7B"/>
    <w:rsid w:val="00234841"/>
    <w:rsid w:val="00235C53"/>
    <w:rsid w:val="00236220"/>
    <w:rsid w:val="00236405"/>
    <w:rsid w:val="00236854"/>
    <w:rsid w:val="00236E85"/>
    <w:rsid w:val="00240668"/>
    <w:rsid w:val="0024104C"/>
    <w:rsid w:val="00241F4D"/>
    <w:rsid w:val="00243423"/>
    <w:rsid w:val="002445FB"/>
    <w:rsid w:val="00244618"/>
    <w:rsid w:val="00245B11"/>
    <w:rsid w:val="00246653"/>
    <w:rsid w:val="00247265"/>
    <w:rsid w:val="00247662"/>
    <w:rsid w:val="002507DB"/>
    <w:rsid w:val="002513B7"/>
    <w:rsid w:val="00251C8E"/>
    <w:rsid w:val="00251E21"/>
    <w:rsid w:val="00251FC3"/>
    <w:rsid w:val="00252028"/>
    <w:rsid w:val="00252B9D"/>
    <w:rsid w:val="00252DBE"/>
    <w:rsid w:val="002535A3"/>
    <w:rsid w:val="00256386"/>
    <w:rsid w:val="0025669C"/>
    <w:rsid w:val="00256986"/>
    <w:rsid w:val="00257E7E"/>
    <w:rsid w:val="0026111F"/>
    <w:rsid w:val="0026180F"/>
    <w:rsid w:val="00261C02"/>
    <w:rsid w:val="00262126"/>
    <w:rsid w:val="00262270"/>
    <w:rsid w:val="00262C79"/>
    <w:rsid w:val="002640CC"/>
    <w:rsid w:val="0026465E"/>
    <w:rsid w:val="00265A9A"/>
    <w:rsid w:val="00265B67"/>
    <w:rsid w:val="00266724"/>
    <w:rsid w:val="002667A4"/>
    <w:rsid w:val="002671C7"/>
    <w:rsid w:val="0026769F"/>
    <w:rsid w:val="0027043F"/>
    <w:rsid w:val="0027230B"/>
    <w:rsid w:val="00272FC3"/>
    <w:rsid w:val="002739E9"/>
    <w:rsid w:val="00274098"/>
    <w:rsid w:val="002746DE"/>
    <w:rsid w:val="00274A7F"/>
    <w:rsid w:val="0027550C"/>
    <w:rsid w:val="002766B4"/>
    <w:rsid w:val="00276AAB"/>
    <w:rsid w:val="00277774"/>
    <w:rsid w:val="00282867"/>
    <w:rsid w:val="00282996"/>
    <w:rsid w:val="00284815"/>
    <w:rsid w:val="00286E9C"/>
    <w:rsid w:val="00287668"/>
    <w:rsid w:val="0028776E"/>
    <w:rsid w:val="002901E7"/>
    <w:rsid w:val="002915E5"/>
    <w:rsid w:val="00291B4B"/>
    <w:rsid w:val="00292A48"/>
    <w:rsid w:val="002937CD"/>
    <w:rsid w:val="002940B3"/>
    <w:rsid w:val="00294182"/>
    <w:rsid w:val="002955A1"/>
    <w:rsid w:val="002957E3"/>
    <w:rsid w:val="002970C1"/>
    <w:rsid w:val="002A10C8"/>
    <w:rsid w:val="002A1561"/>
    <w:rsid w:val="002A26C3"/>
    <w:rsid w:val="002A2988"/>
    <w:rsid w:val="002A412C"/>
    <w:rsid w:val="002A42EF"/>
    <w:rsid w:val="002A4377"/>
    <w:rsid w:val="002A44C5"/>
    <w:rsid w:val="002A4791"/>
    <w:rsid w:val="002A489D"/>
    <w:rsid w:val="002A4E44"/>
    <w:rsid w:val="002B03CD"/>
    <w:rsid w:val="002B7AD2"/>
    <w:rsid w:val="002B7CF3"/>
    <w:rsid w:val="002C0483"/>
    <w:rsid w:val="002C232E"/>
    <w:rsid w:val="002C23C8"/>
    <w:rsid w:val="002C3BB9"/>
    <w:rsid w:val="002C49F0"/>
    <w:rsid w:val="002C4E0A"/>
    <w:rsid w:val="002C5807"/>
    <w:rsid w:val="002C5CB8"/>
    <w:rsid w:val="002C5E75"/>
    <w:rsid w:val="002C6C16"/>
    <w:rsid w:val="002C7DD1"/>
    <w:rsid w:val="002D0B07"/>
    <w:rsid w:val="002D1A9E"/>
    <w:rsid w:val="002D1B93"/>
    <w:rsid w:val="002D20A3"/>
    <w:rsid w:val="002D2C48"/>
    <w:rsid w:val="002D51DB"/>
    <w:rsid w:val="002D663C"/>
    <w:rsid w:val="002E1114"/>
    <w:rsid w:val="002E1692"/>
    <w:rsid w:val="002E1963"/>
    <w:rsid w:val="002E24C7"/>
    <w:rsid w:val="002E25F5"/>
    <w:rsid w:val="002E75FC"/>
    <w:rsid w:val="002F032B"/>
    <w:rsid w:val="002F15B9"/>
    <w:rsid w:val="002F2051"/>
    <w:rsid w:val="002F3547"/>
    <w:rsid w:val="002F3A0A"/>
    <w:rsid w:val="002F4B94"/>
    <w:rsid w:val="002F5412"/>
    <w:rsid w:val="002F7321"/>
    <w:rsid w:val="0030037B"/>
    <w:rsid w:val="00300662"/>
    <w:rsid w:val="00301530"/>
    <w:rsid w:val="00301707"/>
    <w:rsid w:val="00301AD9"/>
    <w:rsid w:val="00301C43"/>
    <w:rsid w:val="00302707"/>
    <w:rsid w:val="0030364B"/>
    <w:rsid w:val="003071B6"/>
    <w:rsid w:val="003072D3"/>
    <w:rsid w:val="00310328"/>
    <w:rsid w:val="00312D0E"/>
    <w:rsid w:val="0032018A"/>
    <w:rsid w:val="003222AF"/>
    <w:rsid w:val="003226A5"/>
    <w:rsid w:val="003229AE"/>
    <w:rsid w:val="0032302D"/>
    <w:rsid w:val="00323D0A"/>
    <w:rsid w:val="00324A27"/>
    <w:rsid w:val="00326E0E"/>
    <w:rsid w:val="00326F38"/>
    <w:rsid w:val="00326F7E"/>
    <w:rsid w:val="00327993"/>
    <w:rsid w:val="00327E66"/>
    <w:rsid w:val="00330EAA"/>
    <w:rsid w:val="00330F87"/>
    <w:rsid w:val="00331AA7"/>
    <w:rsid w:val="00332F7E"/>
    <w:rsid w:val="003337EF"/>
    <w:rsid w:val="00333DD4"/>
    <w:rsid w:val="0033431D"/>
    <w:rsid w:val="003346E3"/>
    <w:rsid w:val="00334741"/>
    <w:rsid w:val="00335E45"/>
    <w:rsid w:val="003361FC"/>
    <w:rsid w:val="0033639D"/>
    <w:rsid w:val="00337917"/>
    <w:rsid w:val="003401AD"/>
    <w:rsid w:val="00340284"/>
    <w:rsid w:val="00342B89"/>
    <w:rsid w:val="003436D7"/>
    <w:rsid w:val="003438A4"/>
    <w:rsid w:val="00344207"/>
    <w:rsid w:val="00344327"/>
    <w:rsid w:val="00344F20"/>
    <w:rsid w:val="003461ED"/>
    <w:rsid w:val="00346276"/>
    <w:rsid w:val="00346952"/>
    <w:rsid w:val="00350B4F"/>
    <w:rsid w:val="003518F1"/>
    <w:rsid w:val="00351A4E"/>
    <w:rsid w:val="00354F09"/>
    <w:rsid w:val="0035642E"/>
    <w:rsid w:val="0035690A"/>
    <w:rsid w:val="003574F7"/>
    <w:rsid w:val="00357D08"/>
    <w:rsid w:val="00360117"/>
    <w:rsid w:val="0036016D"/>
    <w:rsid w:val="00361D22"/>
    <w:rsid w:val="00361DDA"/>
    <w:rsid w:val="00365686"/>
    <w:rsid w:val="0036582B"/>
    <w:rsid w:val="00365A4D"/>
    <w:rsid w:val="003663B0"/>
    <w:rsid w:val="00370028"/>
    <w:rsid w:val="0037143C"/>
    <w:rsid w:val="00371AD2"/>
    <w:rsid w:val="00371BCF"/>
    <w:rsid w:val="00373187"/>
    <w:rsid w:val="00373350"/>
    <w:rsid w:val="00374A1E"/>
    <w:rsid w:val="00375255"/>
    <w:rsid w:val="00375AB6"/>
    <w:rsid w:val="00381321"/>
    <w:rsid w:val="00382B9F"/>
    <w:rsid w:val="00383738"/>
    <w:rsid w:val="0038553C"/>
    <w:rsid w:val="00385A35"/>
    <w:rsid w:val="00386D38"/>
    <w:rsid w:val="003879D3"/>
    <w:rsid w:val="00387B8E"/>
    <w:rsid w:val="00391DB5"/>
    <w:rsid w:val="00391EDF"/>
    <w:rsid w:val="00393D61"/>
    <w:rsid w:val="00394DCD"/>
    <w:rsid w:val="00395ABB"/>
    <w:rsid w:val="00396974"/>
    <w:rsid w:val="00396E64"/>
    <w:rsid w:val="00397A71"/>
    <w:rsid w:val="00397F47"/>
    <w:rsid w:val="00397F51"/>
    <w:rsid w:val="003A0D2C"/>
    <w:rsid w:val="003A1948"/>
    <w:rsid w:val="003A1C21"/>
    <w:rsid w:val="003A3357"/>
    <w:rsid w:val="003A49E1"/>
    <w:rsid w:val="003A5459"/>
    <w:rsid w:val="003A61D1"/>
    <w:rsid w:val="003A6AF2"/>
    <w:rsid w:val="003B0E00"/>
    <w:rsid w:val="003B0F95"/>
    <w:rsid w:val="003B220E"/>
    <w:rsid w:val="003B347C"/>
    <w:rsid w:val="003B3805"/>
    <w:rsid w:val="003B5242"/>
    <w:rsid w:val="003B5875"/>
    <w:rsid w:val="003B617C"/>
    <w:rsid w:val="003B71BA"/>
    <w:rsid w:val="003C23C7"/>
    <w:rsid w:val="003C3FA1"/>
    <w:rsid w:val="003C40E2"/>
    <w:rsid w:val="003C65DD"/>
    <w:rsid w:val="003C77CE"/>
    <w:rsid w:val="003C7968"/>
    <w:rsid w:val="003C79C2"/>
    <w:rsid w:val="003D0784"/>
    <w:rsid w:val="003D08FB"/>
    <w:rsid w:val="003D10F8"/>
    <w:rsid w:val="003D266A"/>
    <w:rsid w:val="003D2E42"/>
    <w:rsid w:val="003D4784"/>
    <w:rsid w:val="003D4935"/>
    <w:rsid w:val="003D507B"/>
    <w:rsid w:val="003D6934"/>
    <w:rsid w:val="003D781C"/>
    <w:rsid w:val="003E02F5"/>
    <w:rsid w:val="003E12D5"/>
    <w:rsid w:val="003E1320"/>
    <w:rsid w:val="003E18D7"/>
    <w:rsid w:val="003E1911"/>
    <w:rsid w:val="003E2283"/>
    <w:rsid w:val="003E33EC"/>
    <w:rsid w:val="003E377B"/>
    <w:rsid w:val="003E3CC2"/>
    <w:rsid w:val="003E46DA"/>
    <w:rsid w:val="003E4A69"/>
    <w:rsid w:val="003E4EDB"/>
    <w:rsid w:val="003E52DB"/>
    <w:rsid w:val="003E66DC"/>
    <w:rsid w:val="003E6EF4"/>
    <w:rsid w:val="003E7A5A"/>
    <w:rsid w:val="003E7BD4"/>
    <w:rsid w:val="003F13D9"/>
    <w:rsid w:val="003F1D95"/>
    <w:rsid w:val="003F245C"/>
    <w:rsid w:val="003F2FDB"/>
    <w:rsid w:val="003F4675"/>
    <w:rsid w:val="003F4FA5"/>
    <w:rsid w:val="003F6A24"/>
    <w:rsid w:val="003F7383"/>
    <w:rsid w:val="00400B38"/>
    <w:rsid w:val="0040261C"/>
    <w:rsid w:val="00402B27"/>
    <w:rsid w:val="00403002"/>
    <w:rsid w:val="00403328"/>
    <w:rsid w:val="004041FF"/>
    <w:rsid w:val="004052CA"/>
    <w:rsid w:val="004054AB"/>
    <w:rsid w:val="0040621B"/>
    <w:rsid w:val="0040623F"/>
    <w:rsid w:val="004063F2"/>
    <w:rsid w:val="00407129"/>
    <w:rsid w:val="0040795D"/>
    <w:rsid w:val="00410C49"/>
    <w:rsid w:val="004114EB"/>
    <w:rsid w:val="004115E6"/>
    <w:rsid w:val="0041163B"/>
    <w:rsid w:val="004128C5"/>
    <w:rsid w:val="00412B20"/>
    <w:rsid w:val="00412C35"/>
    <w:rsid w:val="00412CDF"/>
    <w:rsid w:val="004130E8"/>
    <w:rsid w:val="004131C9"/>
    <w:rsid w:val="004139CE"/>
    <w:rsid w:val="00417122"/>
    <w:rsid w:val="004205C3"/>
    <w:rsid w:val="004209A7"/>
    <w:rsid w:val="00420C96"/>
    <w:rsid w:val="00421455"/>
    <w:rsid w:val="0042151E"/>
    <w:rsid w:val="004215E9"/>
    <w:rsid w:val="00421740"/>
    <w:rsid w:val="004219DB"/>
    <w:rsid w:val="004234D3"/>
    <w:rsid w:val="0042500E"/>
    <w:rsid w:val="004256AA"/>
    <w:rsid w:val="00426023"/>
    <w:rsid w:val="0042652D"/>
    <w:rsid w:val="00426691"/>
    <w:rsid w:val="00427C5F"/>
    <w:rsid w:val="00430090"/>
    <w:rsid w:val="0043014B"/>
    <w:rsid w:val="00430278"/>
    <w:rsid w:val="0043073B"/>
    <w:rsid w:val="00430893"/>
    <w:rsid w:val="00431EBA"/>
    <w:rsid w:val="004321B0"/>
    <w:rsid w:val="004326A8"/>
    <w:rsid w:val="00432ED8"/>
    <w:rsid w:val="004335DA"/>
    <w:rsid w:val="00434534"/>
    <w:rsid w:val="00434927"/>
    <w:rsid w:val="00434CC0"/>
    <w:rsid w:val="0043577E"/>
    <w:rsid w:val="00435856"/>
    <w:rsid w:val="0043699B"/>
    <w:rsid w:val="004373BA"/>
    <w:rsid w:val="0044087F"/>
    <w:rsid w:val="00442723"/>
    <w:rsid w:val="0044325E"/>
    <w:rsid w:val="0044389D"/>
    <w:rsid w:val="00443CE7"/>
    <w:rsid w:val="00447844"/>
    <w:rsid w:val="00450021"/>
    <w:rsid w:val="00450832"/>
    <w:rsid w:val="00451674"/>
    <w:rsid w:val="00452EE1"/>
    <w:rsid w:val="004534CF"/>
    <w:rsid w:val="00453B0D"/>
    <w:rsid w:val="00453C8B"/>
    <w:rsid w:val="00455305"/>
    <w:rsid w:val="004605FD"/>
    <w:rsid w:val="00460B8A"/>
    <w:rsid w:val="00461154"/>
    <w:rsid w:val="00461309"/>
    <w:rsid w:val="00461DF9"/>
    <w:rsid w:val="004642BA"/>
    <w:rsid w:val="00466D9B"/>
    <w:rsid w:val="0047019B"/>
    <w:rsid w:val="004703C9"/>
    <w:rsid w:val="00471516"/>
    <w:rsid w:val="004717DA"/>
    <w:rsid w:val="00473253"/>
    <w:rsid w:val="0047524A"/>
    <w:rsid w:val="0047525D"/>
    <w:rsid w:val="004753C7"/>
    <w:rsid w:val="00475CC2"/>
    <w:rsid w:val="00480674"/>
    <w:rsid w:val="00481220"/>
    <w:rsid w:val="00482785"/>
    <w:rsid w:val="00482A86"/>
    <w:rsid w:val="00482BE8"/>
    <w:rsid w:val="00484267"/>
    <w:rsid w:val="004843A1"/>
    <w:rsid w:val="00485085"/>
    <w:rsid w:val="004872F5"/>
    <w:rsid w:val="00487A75"/>
    <w:rsid w:val="0049096D"/>
    <w:rsid w:val="00490B0E"/>
    <w:rsid w:val="00491DE3"/>
    <w:rsid w:val="00492304"/>
    <w:rsid w:val="004928D8"/>
    <w:rsid w:val="00492C47"/>
    <w:rsid w:val="00492D8F"/>
    <w:rsid w:val="00493CBA"/>
    <w:rsid w:val="00493E13"/>
    <w:rsid w:val="00495581"/>
    <w:rsid w:val="00495CD2"/>
    <w:rsid w:val="00496CEC"/>
    <w:rsid w:val="004A0CED"/>
    <w:rsid w:val="004A0DCB"/>
    <w:rsid w:val="004A1078"/>
    <w:rsid w:val="004A13EE"/>
    <w:rsid w:val="004A22CF"/>
    <w:rsid w:val="004A3A14"/>
    <w:rsid w:val="004A4AC4"/>
    <w:rsid w:val="004A4D36"/>
    <w:rsid w:val="004A53BA"/>
    <w:rsid w:val="004A5F4F"/>
    <w:rsid w:val="004A6ED4"/>
    <w:rsid w:val="004A7E7B"/>
    <w:rsid w:val="004B0039"/>
    <w:rsid w:val="004B1944"/>
    <w:rsid w:val="004B1D17"/>
    <w:rsid w:val="004B1E22"/>
    <w:rsid w:val="004B5791"/>
    <w:rsid w:val="004B58CC"/>
    <w:rsid w:val="004B5E7B"/>
    <w:rsid w:val="004B5F42"/>
    <w:rsid w:val="004B693E"/>
    <w:rsid w:val="004B767D"/>
    <w:rsid w:val="004C092F"/>
    <w:rsid w:val="004C15A3"/>
    <w:rsid w:val="004C2186"/>
    <w:rsid w:val="004C21F5"/>
    <w:rsid w:val="004C2973"/>
    <w:rsid w:val="004C31EC"/>
    <w:rsid w:val="004C519A"/>
    <w:rsid w:val="004C51B1"/>
    <w:rsid w:val="004D0CCF"/>
    <w:rsid w:val="004D2B3C"/>
    <w:rsid w:val="004D2B77"/>
    <w:rsid w:val="004D345B"/>
    <w:rsid w:val="004D44DB"/>
    <w:rsid w:val="004D4749"/>
    <w:rsid w:val="004D4FF7"/>
    <w:rsid w:val="004D50BC"/>
    <w:rsid w:val="004D5580"/>
    <w:rsid w:val="004D5773"/>
    <w:rsid w:val="004D5A8F"/>
    <w:rsid w:val="004D5B7E"/>
    <w:rsid w:val="004D6A6E"/>
    <w:rsid w:val="004D6E87"/>
    <w:rsid w:val="004D7091"/>
    <w:rsid w:val="004D7468"/>
    <w:rsid w:val="004D7792"/>
    <w:rsid w:val="004D7951"/>
    <w:rsid w:val="004D7A44"/>
    <w:rsid w:val="004D7CDC"/>
    <w:rsid w:val="004E0001"/>
    <w:rsid w:val="004E0067"/>
    <w:rsid w:val="004E0D71"/>
    <w:rsid w:val="004E1CE6"/>
    <w:rsid w:val="004E35B5"/>
    <w:rsid w:val="004E5021"/>
    <w:rsid w:val="004E53CA"/>
    <w:rsid w:val="004E6F63"/>
    <w:rsid w:val="004E7B67"/>
    <w:rsid w:val="004E7DFC"/>
    <w:rsid w:val="004F0095"/>
    <w:rsid w:val="004F072C"/>
    <w:rsid w:val="004F0A64"/>
    <w:rsid w:val="004F0AF6"/>
    <w:rsid w:val="004F0FC1"/>
    <w:rsid w:val="004F1B2B"/>
    <w:rsid w:val="004F27F3"/>
    <w:rsid w:val="004F314E"/>
    <w:rsid w:val="004F315F"/>
    <w:rsid w:val="004F347F"/>
    <w:rsid w:val="004F3F21"/>
    <w:rsid w:val="004F4021"/>
    <w:rsid w:val="004F450A"/>
    <w:rsid w:val="004F50D9"/>
    <w:rsid w:val="004F6B06"/>
    <w:rsid w:val="004F6B35"/>
    <w:rsid w:val="004F6F22"/>
    <w:rsid w:val="005006D1"/>
    <w:rsid w:val="00500863"/>
    <w:rsid w:val="005010CC"/>
    <w:rsid w:val="0050124F"/>
    <w:rsid w:val="005013E3"/>
    <w:rsid w:val="005020D7"/>
    <w:rsid w:val="00502291"/>
    <w:rsid w:val="00502C82"/>
    <w:rsid w:val="00503929"/>
    <w:rsid w:val="0050410B"/>
    <w:rsid w:val="00504A10"/>
    <w:rsid w:val="0051006E"/>
    <w:rsid w:val="005102B7"/>
    <w:rsid w:val="005110E1"/>
    <w:rsid w:val="00511635"/>
    <w:rsid w:val="00513B81"/>
    <w:rsid w:val="005141FB"/>
    <w:rsid w:val="00514535"/>
    <w:rsid w:val="00515315"/>
    <w:rsid w:val="00515680"/>
    <w:rsid w:val="005169E3"/>
    <w:rsid w:val="005172EA"/>
    <w:rsid w:val="0051778B"/>
    <w:rsid w:val="00520C5B"/>
    <w:rsid w:val="0052148B"/>
    <w:rsid w:val="00521B84"/>
    <w:rsid w:val="00521EE9"/>
    <w:rsid w:val="005228A2"/>
    <w:rsid w:val="00522F53"/>
    <w:rsid w:val="005253BD"/>
    <w:rsid w:val="005267B5"/>
    <w:rsid w:val="00527582"/>
    <w:rsid w:val="0052759D"/>
    <w:rsid w:val="00527B93"/>
    <w:rsid w:val="005302E9"/>
    <w:rsid w:val="00530D1C"/>
    <w:rsid w:val="00531A54"/>
    <w:rsid w:val="00532390"/>
    <w:rsid w:val="005377A8"/>
    <w:rsid w:val="00537F6D"/>
    <w:rsid w:val="005402B0"/>
    <w:rsid w:val="0054122C"/>
    <w:rsid w:val="00541B27"/>
    <w:rsid w:val="005425E4"/>
    <w:rsid w:val="0054266C"/>
    <w:rsid w:val="00543094"/>
    <w:rsid w:val="0054597E"/>
    <w:rsid w:val="00545BED"/>
    <w:rsid w:val="00546302"/>
    <w:rsid w:val="005469A2"/>
    <w:rsid w:val="00547075"/>
    <w:rsid w:val="00547282"/>
    <w:rsid w:val="00547B75"/>
    <w:rsid w:val="00547DAD"/>
    <w:rsid w:val="00550159"/>
    <w:rsid w:val="00550192"/>
    <w:rsid w:val="00550F87"/>
    <w:rsid w:val="00551A1C"/>
    <w:rsid w:val="0055312D"/>
    <w:rsid w:val="00554640"/>
    <w:rsid w:val="005559BF"/>
    <w:rsid w:val="00555E8D"/>
    <w:rsid w:val="00556241"/>
    <w:rsid w:val="005610B5"/>
    <w:rsid w:val="00561CBB"/>
    <w:rsid w:val="00562014"/>
    <w:rsid w:val="00562776"/>
    <w:rsid w:val="00562DB3"/>
    <w:rsid w:val="00565848"/>
    <w:rsid w:val="00566068"/>
    <w:rsid w:val="00566BD0"/>
    <w:rsid w:val="00567660"/>
    <w:rsid w:val="0056769E"/>
    <w:rsid w:val="00567FBD"/>
    <w:rsid w:val="005706B8"/>
    <w:rsid w:val="005739E9"/>
    <w:rsid w:val="0057497F"/>
    <w:rsid w:val="005757A0"/>
    <w:rsid w:val="0057602C"/>
    <w:rsid w:val="00580418"/>
    <w:rsid w:val="00580712"/>
    <w:rsid w:val="00580E09"/>
    <w:rsid w:val="00580FD9"/>
    <w:rsid w:val="005813AC"/>
    <w:rsid w:val="00581455"/>
    <w:rsid w:val="00581E34"/>
    <w:rsid w:val="00584020"/>
    <w:rsid w:val="005859C0"/>
    <w:rsid w:val="00585B5A"/>
    <w:rsid w:val="00586416"/>
    <w:rsid w:val="00587473"/>
    <w:rsid w:val="00590492"/>
    <w:rsid w:val="00591BAB"/>
    <w:rsid w:val="00591F09"/>
    <w:rsid w:val="00592C13"/>
    <w:rsid w:val="00593203"/>
    <w:rsid w:val="00593BB1"/>
    <w:rsid w:val="00595D68"/>
    <w:rsid w:val="0059636C"/>
    <w:rsid w:val="00596B12"/>
    <w:rsid w:val="005977B9"/>
    <w:rsid w:val="005A2468"/>
    <w:rsid w:val="005A25C7"/>
    <w:rsid w:val="005A293A"/>
    <w:rsid w:val="005A3409"/>
    <w:rsid w:val="005A38E2"/>
    <w:rsid w:val="005A41AF"/>
    <w:rsid w:val="005A4827"/>
    <w:rsid w:val="005A4A5F"/>
    <w:rsid w:val="005A5A53"/>
    <w:rsid w:val="005A740E"/>
    <w:rsid w:val="005A7AB6"/>
    <w:rsid w:val="005B04E9"/>
    <w:rsid w:val="005B111B"/>
    <w:rsid w:val="005B1553"/>
    <w:rsid w:val="005B3920"/>
    <w:rsid w:val="005B39AF"/>
    <w:rsid w:val="005B3D56"/>
    <w:rsid w:val="005B44C4"/>
    <w:rsid w:val="005B44C8"/>
    <w:rsid w:val="005B44E9"/>
    <w:rsid w:val="005B5CD8"/>
    <w:rsid w:val="005B6140"/>
    <w:rsid w:val="005C0BA5"/>
    <w:rsid w:val="005C1CDC"/>
    <w:rsid w:val="005C21B4"/>
    <w:rsid w:val="005C2415"/>
    <w:rsid w:val="005C327E"/>
    <w:rsid w:val="005C3714"/>
    <w:rsid w:val="005C3ED0"/>
    <w:rsid w:val="005C48CB"/>
    <w:rsid w:val="005C6856"/>
    <w:rsid w:val="005C6F62"/>
    <w:rsid w:val="005C7F5B"/>
    <w:rsid w:val="005D030A"/>
    <w:rsid w:val="005D032F"/>
    <w:rsid w:val="005D0C00"/>
    <w:rsid w:val="005D14F5"/>
    <w:rsid w:val="005D23D3"/>
    <w:rsid w:val="005D2BEC"/>
    <w:rsid w:val="005D481C"/>
    <w:rsid w:val="005D5566"/>
    <w:rsid w:val="005D5EB5"/>
    <w:rsid w:val="005D6C72"/>
    <w:rsid w:val="005E1A8A"/>
    <w:rsid w:val="005E1BD6"/>
    <w:rsid w:val="005E2175"/>
    <w:rsid w:val="005E3EA0"/>
    <w:rsid w:val="005E4581"/>
    <w:rsid w:val="005E4B4D"/>
    <w:rsid w:val="005E4F2F"/>
    <w:rsid w:val="005E555B"/>
    <w:rsid w:val="005E65F6"/>
    <w:rsid w:val="005E7708"/>
    <w:rsid w:val="005F0862"/>
    <w:rsid w:val="005F1675"/>
    <w:rsid w:val="005F255B"/>
    <w:rsid w:val="005F5142"/>
    <w:rsid w:val="005F5B0D"/>
    <w:rsid w:val="005F77EF"/>
    <w:rsid w:val="005F7A06"/>
    <w:rsid w:val="005F7AF4"/>
    <w:rsid w:val="00602EFB"/>
    <w:rsid w:val="006038FD"/>
    <w:rsid w:val="00604E7E"/>
    <w:rsid w:val="00605561"/>
    <w:rsid w:val="0060617B"/>
    <w:rsid w:val="00607617"/>
    <w:rsid w:val="006077C1"/>
    <w:rsid w:val="00607C02"/>
    <w:rsid w:val="00607D9F"/>
    <w:rsid w:val="00610ECA"/>
    <w:rsid w:val="00611775"/>
    <w:rsid w:val="00611EF8"/>
    <w:rsid w:val="00612CCD"/>
    <w:rsid w:val="006130DA"/>
    <w:rsid w:val="00613FAB"/>
    <w:rsid w:val="006145B7"/>
    <w:rsid w:val="00615652"/>
    <w:rsid w:val="00616AE1"/>
    <w:rsid w:val="006176A4"/>
    <w:rsid w:val="00617969"/>
    <w:rsid w:val="00617A3B"/>
    <w:rsid w:val="00617E5D"/>
    <w:rsid w:val="0062027B"/>
    <w:rsid w:val="0062142A"/>
    <w:rsid w:val="00621CC8"/>
    <w:rsid w:val="00624DDC"/>
    <w:rsid w:val="0062568D"/>
    <w:rsid w:val="006265C2"/>
    <w:rsid w:val="0062771B"/>
    <w:rsid w:val="00630B92"/>
    <w:rsid w:val="0063424E"/>
    <w:rsid w:val="0063451B"/>
    <w:rsid w:val="00634538"/>
    <w:rsid w:val="00634C08"/>
    <w:rsid w:val="00634CD6"/>
    <w:rsid w:val="00636276"/>
    <w:rsid w:val="00636B36"/>
    <w:rsid w:val="00637BDD"/>
    <w:rsid w:val="006403BF"/>
    <w:rsid w:val="00640A1A"/>
    <w:rsid w:val="00640DE5"/>
    <w:rsid w:val="006428DD"/>
    <w:rsid w:val="00642B96"/>
    <w:rsid w:val="00642D5F"/>
    <w:rsid w:val="006434AD"/>
    <w:rsid w:val="006434E8"/>
    <w:rsid w:val="00644CD6"/>
    <w:rsid w:val="0064725B"/>
    <w:rsid w:val="00651B0F"/>
    <w:rsid w:val="00651DD3"/>
    <w:rsid w:val="006520D7"/>
    <w:rsid w:val="00652710"/>
    <w:rsid w:val="00653A02"/>
    <w:rsid w:val="0065403E"/>
    <w:rsid w:val="00654464"/>
    <w:rsid w:val="00654A04"/>
    <w:rsid w:val="00655991"/>
    <w:rsid w:val="0065617D"/>
    <w:rsid w:val="00656223"/>
    <w:rsid w:val="00660549"/>
    <w:rsid w:val="00662031"/>
    <w:rsid w:val="006626DF"/>
    <w:rsid w:val="00663E4C"/>
    <w:rsid w:val="00664F75"/>
    <w:rsid w:val="0066658E"/>
    <w:rsid w:val="006679E7"/>
    <w:rsid w:val="00670AC6"/>
    <w:rsid w:val="00670EF9"/>
    <w:rsid w:val="00672688"/>
    <w:rsid w:val="00674B3C"/>
    <w:rsid w:val="0067686F"/>
    <w:rsid w:val="006773AC"/>
    <w:rsid w:val="0067748B"/>
    <w:rsid w:val="006775F9"/>
    <w:rsid w:val="00680649"/>
    <w:rsid w:val="00680734"/>
    <w:rsid w:val="00681096"/>
    <w:rsid w:val="006812A1"/>
    <w:rsid w:val="006816B0"/>
    <w:rsid w:val="00681D9D"/>
    <w:rsid w:val="00682154"/>
    <w:rsid w:val="00682325"/>
    <w:rsid w:val="006826B6"/>
    <w:rsid w:val="006828FE"/>
    <w:rsid w:val="00683C8A"/>
    <w:rsid w:val="006855B5"/>
    <w:rsid w:val="00686472"/>
    <w:rsid w:val="00690294"/>
    <w:rsid w:val="00690E8E"/>
    <w:rsid w:val="006922F5"/>
    <w:rsid w:val="00692BFE"/>
    <w:rsid w:val="00692C6E"/>
    <w:rsid w:val="00694A4B"/>
    <w:rsid w:val="00694AE9"/>
    <w:rsid w:val="00695A9E"/>
    <w:rsid w:val="00696898"/>
    <w:rsid w:val="0069735A"/>
    <w:rsid w:val="00697AC5"/>
    <w:rsid w:val="00697D6B"/>
    <w:rsid w:val="006A0359"/>
    <w:rsid w:val="006A3D96"/>
    <w:rsid w:val="006A5F62"/>
    <w:rsid w:val="006A64FB"/>
    <w:rsid w:val="006A6D2B"/>
    <w:rsid w:val="006A74FB"/>
    <w:rsid w:val="006A759F"/>
    <w:rsid w:val="006B0EDC"/>
    <w:rsid w:val="006B150C"/>
    <w:rsid w:val="006B1608"/>
    <w:rsid w:val="006B303B"/>
    <w:rsid w:val="006B36C2"/>
    <w:rsid w:val="006B41CB"/>
    <w:rsid w:val="006B49DA"/>
    <w:rsid w:val="006B618B"/>
    <w:rsid w:val="006B6F83"/>
    <w:rsid w:val="006B7199"/>
    <w:rsid w:val="006B7B97"/>
    <w:rsid w:val="006C034E"/>
    <w:rsid w:val="006C0960"/>
    <w:rsid w:val="006C0C1C"/>
    <w:rsid w:val="006C0CAC"/>
    <w:rsid w:val="006C0DCE"/>
    <w:rsid w:val="006C194E"/>
    <w:rsid w:val="006C2195"/>
    <w:rsid w:val="006C2944"/>
    <w:rsid w:val="006C2F0D"/>
    <w:rsid w:val="006C4932"/>
    <w:rsid w:val="006C4C1D"/>
    <w:rsid w:val="006C563C"/>
    <w:rsid w:val="006C6627"/>
    <w:rsid w:val="006C6C16"/>
    <w:rsid w:val="006C76CE"/>
    <w:rsid w:val="006C78D3"/>
    <w:rsid w:val="006C7D46"/>
    <w:rsid w:val="006C7D57"/>
    <w:rsid w:val="006D1577"/>
    <w:rsid w:val="006D1B3A"/>
    <w:rsid w:val="006D1C79"/>
    <w:rsid w:val="006D23C5"/>
    <w:rsid w:val="006D2AB9"/>
    <w:rsid w:val="006D31BA"/>
    <w:rsid w:val="006D397A"/>
    <w:rsid w:val="006D4857"/>
    <w:rsid w:val="006D4947"/>
    <w:rsid w:val="006D4BB1"/>
    <w:rsid w:val="006D4C42"/>
    <w:rsid w:val="006D4E68"/>
    <w:rsid w:val="006D54D8"/>
    <w:rsid w:val="006D5820"/>
    <w:rsid w:val="006D7AAC"/>
    <w:rsid w:val="006D7D3E"/>
    <w:rsid w:val="006E153A"/>
    <w:rsid w:val="006E1AAC"/>
    <w:rsid w:val="006E1E30"/>
    <w:rsid w:val="006E1F3D"/>
    <w:rsid w:val="006E2AE3"/>
    <w:rsid w:val="006E2E29"/>
    <w:rsid w:val="006E3805"/>
    <w:rsid w:val="006E5A3C"/>
    <w:rsid w:val="006E63F0"/>
    <w:rsid w:val="006E6E19"/>
    <w:rsid w:val="006F138F"/>
    <w:rsid w:val="006F191C"/>
    <w:rsid w:val="006F1A03"/>
    <w:rsid w:val="006F1D57"/>
    <w:rsid w:val="006F2BDD"/>
    <w:rsid w:val="006F3ECF"/>
    <w:rsid w:val="006F4587"/>
    <w:rsid w:val="006F5367"/>
    <w:rsid w:val="006F5704"/>
    <w:rsid w:val="006F62A9"/>
    <w:rsid w:val="006F675A"/>
    <w:rsid w:val="00700509"/>
    <w:rsid w:val="00700668"/>
    <w:rsid w:val="0070335D"/>
    <w:rsid w:val="00703A90"/>
    <w:rsid w:val="0070443D"/>
    <w:rsid w:val="0070629E"/>
    <w:rsid w:val="00706C92"/>
    <w:rsid w:val="00707963"/>
    <w:rsid w:val="00707B5C"/>
    <w:rsid w:val="00710609"/>
    <w:rsid w:val="00711DD1"/>
    <w:rsid w:val="0071201C"/>
    <w:rsid w:val="007131C6"/>
    <w:rsid w:val="00713CAF"/>
    <w:rsid w:val="00716332"/>
    <w:rsid w:val="007166B0"/>
    <w:rsid w:val="00716731"/>
    <w:rsid w:val="007167EF"/>
    <w:rsid w:val="0071740E"/>
    <w:rsid w:val="00717807"/>
    <w:rsid w:val="00720080"/>
    <w:rsid w:val="0072024C"/>
    <w:rsid w:val="00720CF9"/>
    <w:rsid w:val="007210F1"/>
    <w:rsid w:val="00723FFF"/>
    <w:rsid w:val="00726367"/>
    <w:rsid w:val="00726C5B"/>
    <w:rsid w:val="00727877"/>
    <w:rsid w:val="00727DB1"/>
    <w:rsid w:val="00730B0F"/>
    <w:rsid w:val="00730BEC"/>
    <w:rsid w:val="00730D7A"/>
    <w:rsid w:val="00731D14"/>
    <w:rsid w:val="00732119"/>
    <w:rsid w:val="007327AC"/>
    <w:rsid w:val="007336DE"/>
    <w:rsid w:val="00733F7B"/>
    <w:rsid w:val="00735455"/>
    <w:rsid w:val="0073567A"/>
    <w:rsid w:val="0073603E"/>
    <w:rsid w:val="00736BE3"/>
    <w:rsid w:val="00736C0E"/>
    <w:rsid w:val="00741601"/>
    <w:rsid w:val="00741E76"/>
    <w:rsid w:val="007435E4"/>
    <w:rsid w:val="00745289"/>
    <w:rsid w:val="00745870"/>
    <w:rsid w:val="007459F1"/>
    <w:rsid w:val="00745C82"/>
    <w:rsid w:val="00745E38"/>
    <w:rsid w:val="00745EB7"/>
    <w:rsid w:val="007479D0"/>
    <w:rsid w:val="00747DAC"/>
    <w:rsid w:val="00747ECD"/>
    <w:rsid w:val="00750710"/>
    <w:rsid w:val="00751547"/>
    <w:rsid w:val="00751D86"/>
    <w:rsid w:val="007527E7"/>
    <w:rsid w:val="00754045"/>
    <w:rsid w:val="00754174"/>
    <w:rsid w:val="00754A3C"/>
    <w:rsid w:val="00754CF5"/>
    <w:rsid w:val="00754E9B"/>
    <w:rsid w:val="00757053"/>
    <w:rsid w:val="00760015"/>
    <w:rsid w:val="007613EA"/>
    <w:rsid w:val="00761DF0"/>
    <w:rsid w:val="007620CC"/>
    <w:rsid w:val="00762E5E"/>
    <w:rsid w:val="00763290"/>
    <w:rsid w:val="0076381D"/>
    <w:rsid w:val="00764C90"/>
    <w:rsid w:val="0076728C"/>
    <w:rsid w:val="007743B6"/>
    <w:rsid w:val="007747BC"/>
    <w:rsid w:val="007749BD"/>
    <w:rsid w:val="00774B62"/>
    <w:rsid w:val="0077506E"/>
    <w:rsid w:val="00776CCF"/>
    <w:rsid w:val="00776DBE"/>
    <w:rsid w:val="0077730A"/>
    <w:rsid w:val="00777EDC"/>
    <w:rsid w:val="00782464"/>
    <w:rsid w:val="007832E4"/>
    <w:rsid w:val="00783E85"/>
    <w:rsid w:val="00784353"/>
    <w:rsid w:val="00785636"/>
    <w:rsid w:val="00785B68"/>
    <w:rsid w:val="00786625"/>
    <w:rsid w:val="00787316"/>
    <w:rsid w:val="00790F34"/>
    <w:rsid w:val="00791455"/>
    <w:rsid w:val="00793B36"/>
    <w:rsid w:val="00794E6F"/>
    <w:rsid w:val="007951E5"/>
    <w:rsid w:val="007969A4"/>
    <w:rsid w:val="00797758"/>
    <w:rsid w:val="007A1C1D"/>
    <w:rsid w:val="007A23F9"/>
    <w:rsid w:val="007A3392"/>
    <w:rsid w:val="007A4397"/>
    <w:rsid w:val="007A4FDE"/>
    <w:rsid w:val="007A6C7D"/>
    <w:rsid w:val="007A7136"/>
    <w:rsid w:val="007A7F18"/>
    <w:rsid w:val="007B2F7B"/>
    <w:rsid w:val="007B2F9D"/>
    <w:rsid w:val="007B4237"/>
    <w:rsid w:val="007B56F1"/>
    <w:rsid w:val="007B646F"/>
    <w:rsid w:val="007B6993"/>
    <w:rsid w:val="007C2C6B"/>
    <w:rsid w:val="007C37F4"/>
    <w:rsid w:val="007C47E4"/>
    <w:rsid w:val="007C4BC9"/>
    <w:rsid w:val="007C6802"/>
    <w:rsid w:val="007C7EF1"/>
    <w:rsid w:val="007D0117"/>
    <w:rsid w:val="007D0BAC"/>
    <w:rsid w:val="007D1A4B"/>
    <w:rsid w:val="007D2166"/>
    <w:rsid w:val="007D438C"/>
    <w:rsid w:val="007D4C65"/>
    <w:rsid w:val="007D5292"/>
    <w:rsid w:val="007E1951"/>
    <w:rsid w:val="007E3A0C"/>
    <w:rsid w:val="007E54CD"/>
    <w:rsid w:val="007E58EB"/>
    <w:rsid w:val="007E5FAC"/>
    <w:rsid w:val="007E64E1"/>
    <w:rsid w:val="007F023D"/>
    <w:rsid w:val="007F28A6"/>
    <w:rsid w:val="007F36AA"/>
    <w:rsid w:val="007F3A8B"/>
    <w:rsid w:val="007F4960"/>
    <w:rsid w:val="007F5C0F"/>
    <w:rsid w:val="007F62C1"/>
    <w:rsid w:val="007F7ACC"/>
    <w:rsid w:val="0080090C"/>
    <w:rsid w:val="00801B05"/>
    <w:rsid w:val="00802085"/>
    <w:rsid w:val="008029ED"/>
    <w:rsid w:val="00803EA0"/>
    <w:rsid w:val="00804B32"/>
    <w:rsid w:val="00804CA1"/>
    <w:rsid w:val="00805B05"/>
    <w:rsid w:val="008066BC"/>
    <w:rsid w:val="00806A57"/>
    <w:rsid w:val="008070FF"/>
    <w:rsid w:val="008076F6"/>
    <w:rsid w:val="008115F5"/>
    <w:rsid w:val="00813A7C"/>
    <w:rsid w:val="008142A5"/>
    <w:rsid w:val="008156FB"/>
    <w:rsid w:val="008157EE"/>
    <w:rsid w:val="008176D8"/>
    <w:rsid w:val="00817A70"/>
    <w:rsid w:val="0082222B"/>
    <w:rsid w:val="008230EB"/>
    <w:rsid w:val="008238A5"/>
    <w:rsid w:val="008247DA"/>
    <w:rsid w:val="00825312"/>
    <w:rsid w:val="008267DF"/>
    <w:rsid w:val="00826EF5"/>
    <w:rsid w:val="00826FC4"/>
    <w:rsid w:val="0082758B"/>
    <w:rsid w:val="00827C6D"/>
    <w:rsid w:val="00830BF8"/>
    <w:rsid w:val="00830FC3"/>
    <w:rsid w:val="008311DD"/>
    <w:rsid w:val="008315E5"/>
    <w:rsid w:val="0083288D"/>
    <w:rsid w:val="00835785"/>
    <w:rsid w:val="00836A76"/>
    <w:rsid w:val="008372C8"/>
    <w:rsid w:val="00837E35"/>
    <w:rsid w:val="00840DF2"/>
    <w:rsid w:val="008417FC"/>
    <w:rsid w:val="00842D81"/>
    <w:rsid w:val="008434BE"/>
    <w:rsid w:val="008437EA"/>
    <w:rsid w:val="00843B53"/>
    <w:rsid w:val="00846C4E"/>
    <w:rsid w:val="00847D06"/>
    <w:rsid w:val="00853F99"/>
    <w:rsid w:val="008543D4"/>
    <w:rsid w:val="008552B3"/>
    <w:rsid w:val="00855308"/>
    <w:rsid w:val="008567C6"/>
    <w:rsid w:val="00857643"/>
    <w:rsid w:val="0086195A"/>
    <w:rsid w:val="00861E4F"/>
    <w:rsid w:val="00861F65"/>
    <w:rsid w:val="008629B1"/>
    <w:rsid w:val="00862DBA"/>
    <w:rsid w:val="00864088"/>
    <w:rsid w:val="008655B2"/>
    <w:rsid w:val="00865617"/>
    <w:rsid w:val="0086685A"/>
    <w:rsid w:val="00867628"/>
    <w:rsid w:val="008709FC"/>
    <w:rsid w:val="008710FE"/>
    <w:rsid w:val="0087413F"/>
    <w:rsid w:val="008744EE"/>
    <w:rsid w:val="008749BF"/>
    <w:rsid w:val="0087597E"/>
    <w:rsid w:val="0087638C"/>
    <w:rsid w:val="0087657B"/>
    <w:rsid w:val="00876AF8"/>
    <w:rsid w:val="008773A7"/>
    <w:rsid w:val="008816FF"/>
    <w:rsid w:val="008822E2"/>
    <w:rsid w:val="00883A83"/>
    <w:rsid w:val="008846B5"/>
    <w:rsid w:val="0088606E"/>
    <w:rsid w:val="0088617D"/>
    <w:rsid w:val="00886ADB"/>
    <w:rsid w:val="008910B5"/>
    <w:rsid w:val="00892515"/>
    <w:rsid w:val="008927CB"/>
    <w:rsid w:val="00892CD5"/>
    <w:rsid w:val="008931CC"/>
    <w:rsid w:val="00896D18"/>
    <w:rsid w:val="00896D21"/>
    <w:rsid w:val="008979FD"/>
    <w:rsid w:val="00897B64"/>
    <w:rsid w:val="00897B75"/>
    <w:rsid w:val="008A0E6A"/>
    <w:rsid w:val="008A18B3"/>
    <w:rsid w:val="008A2A5B"/>
    <w:rsid w:val="008A3D4D"/>
    <w:rsid w:val="008A3EE2"/>
    <w:rsid w:val="008A69B1"/>
    <w:rsid w:val="008B001F"/>
    <w:rsid w:val="008B12EB"/>
    <w:rsid w:val="008B362C"/>
    <w:rsid w:val="008B4A5D"/>
    <w:rsid w:val="008B5EC0"/>
    <w:rsid w:val="008B682B"/>
    <w:rsid w:val="008B6BE2"/>
    <w:rsid w:val="008B6F99"/>
    <w:rsid w:val="008B6FFF"/>
    <w:rsid w:val="008C0410"/>
    <w:rsid w:val="008C05D4"/>
    <w:rsid w:val="008C09C5"/>
    <w:rsid w:val="008C0D99"/>
    <w:rsid w:val="008C128C"/>
    <w:rsid w:val="008C2564"/>
    <w:rsid w:val="008C3051"/>
    <w:rsid w:val="008C3DF8"/>
    <w:rsid w:val="008C43D4"/>
    <w:rsid w:val="008C4817"/>
    <w:rsid w:val="008C4947"/>
    <w:rsid w:val="008C50B8"/>
    <w:rsid w:val="008C5813"/>
    <w:rsid w:val="008C68A2"/>
    <w:rsid w:val="008C79A2"/>
    <w:rsid w:val="008D0B98"/>
    <w:rsid w:val="008D1CBC"/>
    <w:rsid w:val="008D3287"/>
    <w:rsid w:val="008D389D"/>
    <w:rsid w:val="008D4742"/>
    <w:rsid w:val="008D4CF0"/>
    <w:rsid w:val="008D55FE"/>
    <w:rsid w:val="008D5F94"/>
    <w:rsid w:val="008D6589"/>
    <w:rsid w:val="008D7AEE"/>
    <w:rsid w:val="008E1028"/>
    <w:rsid w:val="008E2569"/>
    <w:rsid w:val="008E3435"/>
    <w:rsid w:val="008E37B1"/>
    <w:rsid w:val="008E3ACF"/>
    <w:rsid w:val="008E4401"/>
    <w:rsid w:val="008E626D"/>
    <w:rsid w:val="008E67BE"/>
    <w:rsid w:val="008E6CE0"/>
    <w:rsid w:val="008E7B9A"/>
    <w:rsid w:val="008E7E2D"/>
    <w:rsid w:val="008F0070"/>
    <w:rsid w:val="008F1E69"/>
    <w:rsid w:val="008F2391"/>
    <w:rsid w:val="008F35A1"/>
    <w:rsid w:val="008F4039"/>
    <w:rsid w:val="008F6632"/>
    <w:rsid w:val="008F6A2D"/>
    <w:rsid w:val="008F6AFD"/>
    <w:rsid w:val="008F6F3F"/>
    <w:rsid w:val="008F72ED"/>
    <w:rsid w:val="009004EA"/>
    <w:rsid w:val="00901A7B"/>
    <w:rsid w:val="00901ECB"/>
    <w:rsid w:val="00902597"/>
    <w:rsid w:val="00903555"/>
    <w:rsid w:val="0090398A"/>
    <w:rsid w:val="00905E9A"/>
    <w:rsid w:val="00907244"/>
    <w:rsid w:val="00907988"/>
    <w:rsid w:val="00907C9C"/>
    <w:rsid w:val="00907CE7"/>
    <w:rsid w:val="00910EDC"/>
    <w:rsid w:val="0091161F"/>
    <w:rsid w:val="009118EE"/>
    <w:rsid w:val="00912159"/>
    <w:rsid w:val="0091504D"/>
    <w:rsid w:val="00916542"/>
    <w:rsid w:val="00920D30"/>
    <w:rsid w:val="00920E8D"/>
    <w:rsid w:val="00922466"/>
    <w:rsid w:val="00922ACB"/>
    <w:rsid w:val="00925D61"/>
    <w:rsid w:val="00926203"/>
    <w:rsid w:val="009265C8"/>
    <w:rsid w:val="00926E4A"/>
    <w:rsid w:val="00927105"/>
    <w:rsid w:val="00927489"/>
    <w:rsid w:val="0093001D"/>
    <w:rsid w:val="00930CF5"/>
    <w:rsid w:val="00930E9F"/>
    <w:rsid w:val="00931810"/>
    <w:rsid w:val="00932755"/>
    <w:rsid w:val="009346C3"/>
    <w:rsid w:val="009355D3"/>
    <w:rsid w:val="009365AD"/>
    <w:rsid w:val="009365DC"/>
    <w:rsid w:val="00937B9F"/>
    <w:rsid w:val="00941D1E"/>
    <w:rsid w:val="00942942"/>
    <w:rsid w:val="00942FDE"/>
    <w:rsid w:val="0094304F"/>
    <w:rsid w:val="009434BB"/>
    <w:rsid w:val="00944646"/>
    <w:rsid w:val="00946DF0"/>
    <w:rsid w:val="00946F7A"/>
    <w:rsid w:val="0094795E"/>
    <w:rsid w:val="009479C1"/>
    <w:rsid w:val="00950295"/>
    <w:rsid w:val="0095069A"/>
    <w:rsid w:val="009510E7"/>
    <w:rsid w:val="0095575F"/>
    <w:rsid w:val="00956E2B"/>
    <w:rsid w:val="0095748A"/>
    <w:rsid w:val="00961617"/>
    <w:rsid w:val="00963371"/>
    <w:rsid w:val="0096446D"/>
    <w:rsid w:val="00966545"/>
    <w:rsid w:val="0096768F"/>
    <w:rsid w:val="00971D67"/>
    <w:rsid w:val="00972E03"/>
    <w:rsid w:val="0097319C"/>
    <w:rsid w:val="0097350D"/>
    <w:rsid w:val="009737F2"/>
    <w:rsid w:val="009739C3"/>
    <w:rsid w:val="00975672"/>
    <w:rsid w:val="009756A8"/>
    <w:rsid w:val="00976D17"/>
    <w:rsid w:val="009800CE"/>
    <w:rsid w:val="00980A06"/>
    <w:rsid w:val="009829B6"/>
    <w:rsid w:val="00982C62"/>
    <w:rsid w:val="00983F9B"/>
    <w:rsid w:val="0098769B"/>
    <w:rsid w:val="009877EC"/>
    <w:rsid w:val="00987F95"/>
    <w:rsid w:val="00990AA5"/>
    <w:rsid w:val="009923A0"/>
    <w:rsid w:val="00993DBC"/>
    <w:rsid w:val="00995A94"/>
    <w:rsid w:val="00996087"/>
    <w:rsid w:val="00996374"/>
    <w:rsid w:val="00996BFA"/>
    <w:rsid w:val="00997F10"/>
    <w:rsid w:val="009A04BE"/>
    <w:rsid w:val="009A2038"/>
    <w:rsid w:val="009A2560"/>
    <w:rsid w:val="009A3D63"/>
    <w:rsid w:val="009A42BB"/>
    <w:rsid w:val="009A448A"/>
    <w:rsid w:val="009A56D3"/>
    <w:rsid w:val="009A6333"/>
    <w:rsid w:val="009A7CCB"/>
    <w:rsid w:val="009B0A9A"/>
    <w:rsid w:val="009B0E55"/>
    <w:rsid w:val="009B0E60"/>
    <w:rsid w:val="009B1EF4"/>
    <w:rsid w:val="009B2F49"/>
    <w:rsid w:val="009B4512"/>
    <w:rsid w:val="009B4A1A"/>
    <w:rsid w:val="009B6D6B"/>
    <w:rsid w:val="009B7085"/>
    <w:rsid w:val="009C02BF"/>
    <w:rsid w:val="009C1E56"/>
    <w:rsid w:val="009C224E"/>
    <w:rsid w:val="009C32E9"/>
    <w:rsid w:val="009C41AC"/>
    <w:rsid w:val="009C5182"/>
    <w:rsid w:val="009C5E40"/>
    <w:rsid w:val="009C66C4"/>
    <w:rsid w:val="009C7BB6"/>
    <w:rsid w:val="009D0107"/>
    <w:rsid w:val="009D1F79"/>
    <w:rsid w:val="009D28AA"/>
    <w:rsid w:val="009D3215"/>
    <w:rsid w:val="009D4ECF"/>
    <w:rsid w:val="009D4F28"/>
    <w:rsid w:val="009D541E"/>
    <w:rsid w:val="009D54DF"/>
    <w:rsid w:val="009D5688"/>
    <w:rsid w:val="009D58F7"/>
    <w:rsid w:val="009D5C8E"/>
    <w:rsid w:val="009D74C7"/>
    <w:rsid w:val="009E068D"/>
    <w:rsid w:val="009E09A3"/>
    <w:rsid w:val="009E0AD8"/>
    <w:rsid w:val="009E0F04"/>
    <w:rsid w:val="009E0F3F"/>
    <w:rsid w:val="009E111F"/>
    <w:rsid w:val="009E14B1"/>
    <w:rsid w:val="009E1AC2"/>
    <w:rsid w:val="009E1D4E"/>
    <w:rsid w:val="009E25F3"/>
    <w:rsid w:val="009E2B69"/>
    <w:rsid w:val="009E2F9B"/>
    <w:rsid w:val="009E3F25"/>
    <w:rsid w:val="009E3F70"/>
    <w:rsid w:val="009E495A"/>
    <w:rsid w:val="009E5244"/>
    <w:rsid w:val="009E52D3"/>
    <w:rsid w:val="009E678D"/>
    <w:rsid w:val="009F005B"/>
    <w:rsid w:val="009F008D"/>
    <w:rsid w:val="009F0253"/>
    <w:rsid w:val="009F0950"/>
    <w:rsid w:val="009F1021"/>
    <w:rsid w:val="009F144D"/>
    <w:rsid w:val="009F1890"/>
    <w:rsid w:val="009F2FC5"/>
    <w:rsid w:val="009F3D38"/>
    <w:rsid w:val="009F4E3F"/>
    <w:rsid w:val="009F561C"/>
    <w:rsid w:val="009F62EF"/>
    <w:rsid w:val="009F64C2"/>
    <w:rsid w:val="009F77BB"/>
    <w:rsid w:val="00A001B7"/>
    <w:rsid w:val="00A00A6C"/>
    <w:rsid w:val="00A0135C"/>
    <w:rsid w:val="00A03C03"/>
    <w:rsid w:val="00A04739"/>
    <w:rsid w:val="00A0527C"/>
    <w:rsid w:val="00A05A58"/>
    <w:rsid w:val="00A05A88"/>
    <w:rsid w:val="00A06412"/>
    <w:rsid w:val="00A07984"/>
    <w:rsid w:val="00A10208"/>
    <w:rsid w:val="00A119A1"/>
    <w:rsid w:val="00A11C66"/>
    <w:rsid w:val="00A122DF"/>
    <w:rsid w:val="00A12892"/>
    <w:rsid w:val="00A155B1"/>
    <w:rsid w:val="00A1562C"/>
    <w:rsid w:val="00A167DD"/>
    <w:rsid w:val="00A16F10"/>
    <w:rsid w:val="00A1777E"/>
    <w:rsid w:val="00A20EF0"/>
    <w:rsid w:val="00A22FE9"/>
    <w:rsid w:val="00A24214"/>
    <w:rsid w:val="00A24B04"/>
    <w:rsid w:val="00A26674"/>
    <w:rsid w:val="00A26990"/>
    <w:rsid w:val="00A2707A"/>
    <w:rsid w:val="00A30EE5"/>
    <w:rsid w:val="00A310A7"/>
    <w:rsid w:val="00A311F7"/>
    <w:rsid w:val="00A31E5D"/>
    <w:rsid w:val="00A3272A"/>
    <w:rsid w:val="00A34075"/>
    <w:rsid w:val="00A349B3"/>
    <w:rsid w:val="00A34DDE"/>
    <w:rsid w:val="00A37351"/>
    <w:rsid w:val="00A37789"/>
    <w:rsid w:val="00A4185C"/>
    <w:rsid w:val="00A41880"/>
    <w:rsid w:val="00A41932"/>
    <w:rsid w:val="00A432B7"/>
    <w:rsid w:val="00A45728"/>
    <w:rsid w:val="00A46E5B"/>
    <w:rsid w:val="00A4789D"/>
    <w:rsid w:val="00A47B0C"/>
    <w:rsid w:val="00A47CE6"/>
    <w:rsid w:val="00A52895"/>
    <w:rsid w:val="00A53D75"/>
    <w:rsid w:val="00A53F13"/>
    <w:rsid w:val="00A545BB"/>
    <w:rsid w:val="00A5642C"/>
    <w:rsid w:val="00A565A3"/>
    <w:rsid w:val="00A60600"/>
    <w:rsid w:val="00A61926"/>
    <w:rsid w:val="00A6240C"/>
    <w:rsid w:val="00A626D0"/>
    <w:rsid w:val="00A63F2B"/>
    <w:rsid w:val="00A6498A"/>
    <w:rsid w:val="00A651A2"/>
    <w:rsid w:val="00A666D4"/>
    <w:rsid w:val="00A670C8"/>
    <w:rsid w:val="00A6769D"/>
    <w:rsid w:val="00A704E0"/>
    <w:rsid w:val="00A709EB"/>
    <w:rsid w:val="00A70ECC"/>
    <w:rsid w:val="00A7116B"/>
    <w:rsid w:val="00A71DD7"/>
    <w:rsid w:val="00A7223A"/>
    <w:rsid w:val="00A72915"/>
    <w:rsid w:val="00A72AA5"/>
    <w:rsid w:val="00A7355C"/>
    <w:rsid w:val="00A73D87"/>
    <w:rsid w:val="00A73F7E"/>
    <w:rsid w:val="00A74AB6"/>
    <w:rsid w:val="00A75212"/>
    <w:rsid w:val="00A764BA"/>
    <w:rsid w:val="00A778F2"/>
    <w:rsid w:val="00A82769"/>
    <w:rsid w:val="00A83215"/>
    <w:rsid w:val="00A843E7"/>
    <w:rsid w:val="00A85D60"/>
    <w:rsid w:val="00A85E16"/>
    <w:rsid w:val="00A87249"/>
    <w:rsid w:val="00A87A2C"/>
    <w:rsid w:val="00A918FE"/>
    <w:rsid w:val="00A9215B"/>
    <w:rsid w:val="00A92400"/>
    <w:rsid w:val="00A925EF"/>
    <w:rsid w:val="00A92866"/>
    <w:rsid w:val="00A94905"/>
    <w:rsid w:val="00A977F0"/>
    <w:rsid w:val="00AA01B1"/>
    <w:rsid w:val="00AA0A43"/>
    <w:rsid w:val="00AA2199"/>
    <w:rsid w:val="00AA2480"/>
    <w:rsid w:val="00AA3720"/>
    <w:rsid w:val="00AA3863"/>
    <w:rsid w:val="00AA4001"/>
    <w:rsid w:val="00AA40FF"/>
    <w:rsid w:val="00AA530E"/>
    <w:rsid w:val="00AA73FC"/>
    <w:rsid w:val="00AA7BE9"/>
    <w:rsid w:val="00AA7CE5"/>
    <w:rsid w:val="00AB0524"/>
    <w:rsid w:val="00AB1F5F"/>
    <w:rsid w:val="00AB21F6"/>
    <w:rsid w:val="00AB283D"/>
    <w:rsid w:val="00AB42FC"/>
    <w:rsid w:val="00AB5689"/>
    <w:rsid w:val="00AB574F"/>
    <w:rsid w:val="00AB73DC"/>
    <w:rsid w:val="00AB7634"/>
    <w:rsid w:val="00AC3229"/>
    <w:rsid w:val="00AC493C"/>
    <w:rsid w:val="00AC53E3"/>
    <w:rsid w:val="00AC7669"/>
    <w:rsid w:val="00AD123F"/>
    <w:rsid w:val="00AD2B7A"/>
    <w:rsid w:val="00AD351C"/>
    <w:rsid w:val="00AD59D5"/>
    <w:rsid w:val="00AD6DE0"/>
    <w:rsid w:val="00AD7100"/>
    <w:rsid w:val="00AD7E11"/>
    <w:rsid w:val="00AD7EE3"/>
    <w:rsid w:val="00AE300A"/>
    <w:rsid w:val="00AE41CC"/>
    <w:rsid w:val="00AE4C6E"/>
    <w:rsid w:val="00AE4FE8"/>
    <w:rsid w:val="00AE75F6"/>
    <w:rsid w:val="00AE79AB"/>
    <w:rsid w:val="00AF0604"/>
    <w:rsid w:val="00AF06D2"/>
    <w:rsid w:val="00AF0DDE"/>
    <w:rsid w:val="00AF2115"/>
    <w:rsid w:val="00AF31D1"/>
    <w:rsid w:val="00AF6FB5"/>
    <w:rsid w:val="00AF7641"/>
    <w:rsid w:val="00B009FB"/>
    <w:rsid w:val="00B01998"/>
    <w:rsid w:val="00B023D7"/>
    <w:rsid w:val="00B03210"/>
    <w:rsid w:val="00B04C2D"/>
    <w:rsid w:val="00B056D4"/>
    <w:rsid w:val="00B05D1F"/>
    <w:rsid w:val="00B0704E"/>
    <w:rsid w:val="00B07C9B"/>
    <w:rsid w:val="00B10B81"/>
    <w:rsid w:val="00B11C5B"/>
    <w:rsid w:val="00B12A44"/>
    <w:rsid w:val="00B131D7"/>
    <w:rsid w:val="00B13EF5"/>
    <w:rsid w:val="00B14489"/>
    <w:rsid w:val="00B14888"/>
    <w:rsid w:val="00B14D9F"/>
    <w:rsid w:val="00B14EC2"/>
    <w:rsid w:val="00B15657"/>
    <w:rsid w:val="00B17E6B"/>
    <w:rsid w:val="00B21303"/>
    <w:rsid w:val="00B21444"/>
    <w:rsid w:val="00B21C02"/>
    <w:rsid w:val="00B22B0B"/>
    <w:rsid w:val="00B24783"/>
    <w:rsid w:val="00B25171"/>
    <w:rsid w:val="00B256F9"/>
    <w:rsid w:val="00B25C72"/>
    <w:rsid w:val="00B25D63"/>
    <w:rsid w:val="00B261DA"/>
    <w:rsid w:val="00B26E8C"/>
    <w:rsid w:val="00B27330"/>
    <w:rsid w:val="00B27ADB"/>
    <w:rsid w:val="00B300B0"/>
    <w:rsid w:val="00B3057E"/>
    <w:rsid w:val="00B30AA5"/>
    <w:rsid w:val="00B31A20"/>
    <w:rsid w:val="00B32530"/>
    <w:rsid w:val="00B32E4C"/>
    <w:rsid w:val="00B33038"/>
    <w:rsid w:val="00B33B48"/>
    <w:rsid w:val="00B35A65"/>
    <w:rsid w:val="00B35A6E"/>
    <w:rsid w:val="00B35F98"/>
    <w:rsid w:val="00B37D01"/>
    <w:rsid w:val="00B404EC"/>
    <w:rsid w:val="00B405E3"/>
    <w:rsid w:val="00B40DC7"/>
    <w:rsid w:val="00B42932"/>
    <w:rsid w:val="00B4295A"/>
    <w:rsid w:val="00B429B6"/>
    <w:rsid w:val="00B441B5"/>
    <w:rsid w:val="00B44A7E"/>
    <w:rsid w:val="00B45629"/>
    <w:rsid w:val="00B456C9"/>
    <w:rsid w:val="00B46338"/>
    <w:rsid w:val="00B542F8"/>
    <w:rsid w:val="00B55EDF"/>
    <w:rsid w:val="00B5606C"/>
    <w:rsid w:val="00B57477"/>
    <w:rsid w:val="00B61DB3"/>
    <w:rsid w:val="00B62F75"/>
    <w:rsid w:val="00B62FFB"/>
    <w:rsid w:val="00B633B0"/>
    <w:rsid w:val="00B63FDC"/>
    <w:rsid w:val="00B6429E"/>
    <w:rsid w:val="00B64499"/>
    <w:rsid w:val="00B6463F"/>
    <w:rsid w:val="00B652FF"/>
    <w:rsid w:val="00B66A24"/>
    <w:rsid w:val="00B673EF"/>
    <w:rsid w:val="00B70FC0"/>
    <w:rsid w:val="00B70FD0"/>
    <w:rsid w:val="00B731B4"/>
    <w:rsid w:val="00B732B3"/>
    <w:rsid w:val="00B74A67"/>
    <w:rsid w:val="00B75D8B"/>
    <w:rsid w:val="00B77050"/>
    <w:rsid w:val="00B77846"/>
    <w:rsid w:val="00B779F8"/>
    <w:rsid w:val="00B8108F"/>
    <w:rsid w:val="00B8142C"/>
    <w:rsid w:val="00B81B16"/>
    <w:rsid w:val="00B81CD8"/>
    <w:rsid w:val="00B82554"/>
    <w:rsid w:val="00B84D8F"/>
    <w:rsid w:val="00B84F69"/>
    <w:rsid w:val="00B85658"/>
    <w:rsid w:val="00B86D2C"/>
    <w:rsid w:val="00B90635"/>
    <w:rsid w:val="00B90C1B"/>
    <w:rsid w:val="00B919C5"/>
    <w:rsid w:val="00B91EDE"/>
    <w:rsid w:val="00B925E3"/>
    <w:rsid w:val="00B9376E"/>
    <w:rsid w:val="00B93A38"/>
    <w:rsid w:val="00B94969"/>
    <w:rsid w:val="00B95DED"/>
    <w:rsid w:val="00B972E5"/>
    <w:rsid w:val="00BA0BBC"/>
    <w:rsid w:val="00BA1F49"/>
    <w:rsid w:val="00BA2E6E"/>
    <w:rsid w:val="00BA3153"/>
    <w:rsid w:val="00BA58C2"/>
    <w:rsid w:val="00BA6683"/>
    <w:rsid w:val="00BA718C"/>
    <w:rsid w:val="00BA7A4A"/>
    <w:rsid w:val="00BA7E0E"/>
    <w:rsid w:val="00BB083C"/>
    <w:rsid w:val="00BB1844"/>
    <w:rsid w:val="00BB37C5"/>
    <w:rsid w:val="00BB3CB8"/>
    <w:rsid w:val="00BB3DFA"/>
    <w:rsid w:val="00BB5857"/>
    <w:rsid w:val="00BB6256"/>
    <w:rsid w:val="00BB64E6"/>
    <w:rsid w:val="00BB7EE7"/>
    <w:rsid w:val="00BC1463"/>
    <w:rsid w:val="00BC20A7"/>
    <w:rsid w:val="00BC237D"/>
    <w:rsid w:val="00BC24FE"/>
    <w:rsid w:val="00BC2A79"/>
    <w:rsid w:val="00BC3752"/>
    <w:rsid w:val="00BC7AA0"/>
    <w:rsid w:val="00BD004E"/>
    <w:rsid w:val="00BD0054"/>
    <w:rsid w:val="00BD12EA"/>
    <w:rsid w:val="00BD142A"/>
    <w:rsid w:val="00BD14B4"/>
    <w:rsid w:val="00BD19B1"/>
    <w:rsid w:val="00BD1D6C"/>
    <w:rsid w:val="00BD249B"/>
    <w:rsid w:val="00BD2527"/>
    <w:rsid w:val="00BD2B25"/>
    <w:rsid w:val="00BD3409"/>
    <w:rsid w:val="00BD57AD"/>
    <w:rsid w:val="00BD610A"/>
    <w:rsid w:val="00BD667E"/>
    <w:rsid w:val="00BD7B32"/>
    <w:rsid w:val="00BD7E59"/>
    <w:rsid w:val="00BE03F2"/>
    <w:rsid w:val="00BE0D7E"/>
    <w:rsid w:val="00BE1809"/>
    <w:rsid w:val="00BE465D"/>
    <w:rsid w:val="00BE4FAC"/>
    <w:rsid w:val="00BE65FD"/>
    <w:rsid w:val="00BF00DD"/>
    <w:rsid w:val="00BF0841"/>
    <w:rsid w:val="00BF1756"/>
    <w:rsid w:val="00BF3638"/>
    <w:rsid w:val="00BF43D4"/>
    <w:rsid w:val="00BF6F49"/>
    <w:rsid w:val="00C02109"/>
    <w:rsid w:val="00C03228"/>
    <w:rsid w:val="00C0342F"/>
    <w:rsid w:val="00C034B0"/>
    <w:rsid w:val="00C04419"/>
    <w:rsid w:val="00C05547"/>
    <w:rsid w:val="00C0593A"/>
    <w:rsid w:val="00C05955"/>
    <w:rsid w:val="00C071D9"/>
    <w:rsid w:val="00C07852"/>
    <w:rsid w:val="00C07DCC"/>
    <w:rsid w:val="00C07FBA"/>
    <w:rsid w:val="00C11253"/>
    <w:rsid w:val="00C11284"/>
    <w:rsid w:val="00C121D3"/>
    <w:rsid w:val="00C12EC4"/>
    <w:rsid w:val="00C15060"/>
    <w:rsid w:val="00C16C94"/>
    <w:rsid w:val="00C228BF"/>
    <w:rsid w:val="00C23B57"/>
    <w:rsid w:val="00C25E23"/>
    <w:rsid w:val="00C2763A"/>
    <w:rsid w:val="00C27E27"/>
    <w:rsid w:val="00C3206D"/>
    <w:rsid w:val="00C32217"/>
    <w:rsid w:val="00C32DAA"/>
    <w:rsid w:val="00C32F3B"/>
    <w:rsid w:val="00C34E3C"/>
    <w:rsid w:val="00C351EA"/>
    <w:rsid w:val="00C352A8"/>
    <w:rsid w:val="00C37D6E"/>
    <w:rsid w:val="00C37E97"/>
    <w:rsid w:val="00C40837"/>
    <w:rsid w:val="00C40C76"/>
    <w:rsid w:val="00C40FAA"/>
    <w:rsid w:val="00C421E2"/>
    <w:rsid w:val="00C43D70"/>
    <w:rsid w:val="00C446FB"/>
    <w:rsid w:val="00C44BE5"/>
    <w:rsid w:val="00C45DEB"/>
    <w:rsid w:val="00C45FA9"/>
    <w:rsid w:val="00C464DB"/>
    <w:rsid w:val="00C47C30"/>
    <w:rsid w:val="00C51B1D"/>
    <w:rsid w:val="00C52516"/>
    <w:rsid w:val="00C525CA"/>
    <w:rsid w:val="00C534CF"/>
    <w:rsid w:val="00C601D2"/>
    <w:rsid w:val="00C615C7"/>
    <w:rsid w:val="00C636FC"/>
    <w:rsid w:val="00C64865"/>
    <w:rsid w:val="00C6579E"/>
    <w:rsid w:val="00C66DD0"/>
    <w:rsid w:val="00C67ACA"/>
    <w:rsid w:val="00C67BC1"/>
    <w:rsid w:val="00C7010E"/>
    <w:rsid w:val="00C713DA"/>
    <w:rsid w:val="00C71C79"/>
    <w:rsid w:val="00C72C3D"/>
    <w:rsid w:val="00C72F91"/>
    <w:rsid w:val="00C73A39"/>
    <w:rsid w:val="00C74664"/>
    <w:rsid w:val="00C753DD"/>
    <w:rsid w:val="00C75D15"/>
    <w:rsid w:val="00C76739"/>
    <w:rsid w:val="00C80322"/>
    <w:rsid w:val="00C8058D"/>
    <w:rsid w:val="00C80A1E"/>
    <w:rsid w:val="00C8226B"/>
    <w:rsid w:val="00C829AC"/>
    <w:rsid w:val="00C83B53"/>
    <w:rsid w:val="00C859B4"/>
    <w:rsid w:val="00C87129"/>
    <w:rsid w:val="00C8759E"/>
    <w:rsid w:val="00C87B87"/>
    <w:rsid w:val="00C87D18"/>
    <w:rsid w:val="00C924B5"/>
    <w:rsid w:val="00C928E5"/>
    <w:rsid w:val="00C92DC4"/>
    <w:rsid w:val="00C95515"/>
    <w:rsid w:val="00C95A16"/>
    <w:rsid w:val="00C95FC2"/>
    <w:rsid w:val="00C96CB6"/>
    <w:rsid w:val="00CA1802"/>
    <w:rsid w:val="00CA36C5"/>
    <w:rsid w:val="00CA3A6C"/>
    <w:rsid w:val="00CA3C6A"/>
    <w:rsid w:val="00CA3DE9"/>
    <w:rsid w:val="00CA4851"/>
    <w:rsid w:val="00CA4ADF"/>
    <w:rsid w:val="00CA563A"/>
    <w:rsid w:val="00CA5C69"/>
    <w:rsid w:val="00CA5CB2"/>
    <w:rsid w:val="00CA6209"/>
    <w:rsid w:val="00CA6D29"/>
    <w:rsid w:val="00CB2920"/>
    <w:rsid w:val="00CB2A9A"/>
    <w:rsid w:val="00CB35D3"/>
    <w:rsid w:val="00CB4A8C"/>
    <w:rsid w:val="00CB626F"/>
    <w:rsid w:val="00CB6D44"/>
    <w:rsid w:val="00CB7C78"/>
    <w:rsid w:val="00CC2652"/>
    <w:rsid w:val="00CC2B37"/>
    <w:rsid w:val="00CC4354"/>
    <w:rsid w:val="00CC47B5"/>
    <w:rsid w:val="00CC6141"/>
    <w:rsid w:val="00CC72F0"/>
    <w:rsid w:val="00CD13AF"/>
    <w:rsid w:val="00CD1BC1"/>
    <w:rsid w:val="00CD1DA6"/>
    <w:rsid w:val="00CD2DCC"/>
    <w:rsid w:val="00CD33CE"/>
    <w:rsid w:val="00CD43F8"/>
    <w:rsid w:val="00CD4F4B"/>
    <w:rsid w:val="00CD62EC"/>
    <w:rsid w:val="00CD7722"/>
    <w:rsid w:val="00CE1C24"/>
    <w:rsid w:val="00CE3080"/>
    <w:rsid w:val="00CE5FC7"/>
    <w:rsid w:val="00CE63B1"/>
    <w:rsid w:val="00CE7FB9"/>
    <w:rsid w:val="00CF0B2D"/>
    <w:rsid w:val="00CF0CB4"/>
    <w:rsid w:val="00CF2B35"/>
    <w:rsid w:val="00CF5553"/>
    <w:rsid w:val="00CF5D2A"/>
    <w:rsid w:val="00CF5DAD"/>
    <w:rsid w:val="00CF66B3"/>
    <w:rsid w:val="00CF66BF"/>
    <w:rsid w:val="00CF6A6D"/>
    <w:rsid w:val="00D012F2"/>
    <w:rsid w:val="00D01F38"/>
    <w:rsid w:val="00D0286C"/>
    <w:rsid w:val="00D02EE8"/>
    <w:rsid w:val="00D03F42"/>
    <w:rsid w:val="00D04904"/>
    <w:rsid w:val="00D05877"/>
    <w:rsid w:val="00D05F06"/>
    <w:rsid w:val="00D06198"/>
    <w:rsid w:val="00D06443"/>
    <w:rsid w:val="00D06541"/>
    <w:rsid w:val="00D1077B"/>
    <w:rsid w:val="00D120C0"/>
    <w:rsid w:val="00D127C5"/>
    <w:rsid w:val="00D12909"/>
    <w:rsid w:val="00D13038"/>
    <w:rsid w:val="00D133C5"/>
    <w:rsid w:val="00D14D01"/>
    <w:rsid w:val="00D203F9"/>
    <w:rsid w:val="00D20642"/>
    <w:rsid w:val="00D20B0C"/>
    <w:rsid w:val="00D20E94"/>
    <w:rsid w:val="00D240BC"/>
    <w:rsid w:val="00D2516B"/>
    <w:rsid w:val="00D2638F"/>
    <w:rsid w:val="00D26431"/>
    <w:rsid w:val="00D27606"/>
    <w:rsid w:val="00D31024"/>
    <w:rsid w:val="00D316AA"/>
    <w:rsid w:val="00D321B2"/>
    <w:rsid w:val="00D3290A"/>
    <w:rsid w:val="00D3311F"/>
    <w:rsid w:val="00D33DA8"/>
    <w:rsid w:val="00D35A17"/>
    <w:rsid w:val="00D371DC"/>
    <w:rsid w:val="00D37D67"/>
    <w:rsid w:val="00D37F46"/>
    <w:rsid w:val="00D40A43"/>
    <w:rsid w:val="00D416ED"/>
    <w:rsid w:val="00D4236B"/>
    <w:rsid w:val="00D43194"/>
    <w:rsid w:val="00D435BC"/>
    <w:rsid w:val="00D4568B"/>
    <w:rsid w:val="00D47109"/>
    <w:rsid w:val="00D4769B"/>
    <w:rsid w:val="00D50AA3"/>
    <w:rsid w:val="00D50D69"/>
    <w:rsid w:val="00D5117B"/>
    <w:rsid w:val="00D51300"/>
    <w:rsid w:val="00D5366D"/>
    <w:rsid w:val="00D53C4F"/>
    <w:rsid w:val="00D54054"/>
    <w:rsid w:val="00D55446"/>
    <w:rsid w:val="00D559F9"/>
    <w:rsid w:val="00D561BF"/>
    <w:rsid w:val="00D56D57"/>
    <w:rsid w:val="00D570FF"/>
    <w:rsid w:val="00D57924"/>
    <w:rsid w:val="00D61F4D"/>
    <w:rsid w:val="00D62212"/>
    <w:rsid w:val="00D6235C"/>
    <w:rsid w:val="00D6258F"/>
    <w:rsid w:val="00D62DFE"/>
    <w:rsid w:val="00D6376F"/>
    <w:rsid w:val="00D637D2"/>
    <w:rsid w:val="00D63867"/>
    <w:rsid w:val="00D63D84"/>
    <w:rsid w:val="00D64551"/>
    <w:rsid w:val="00D645E3"/>
    <w:rsid w:val="00D64D16"/>
    <w:rsid w:val="00D65927"/>
    <w:rsid w:val="00D660E9"/>
    <w:rsid w:val="00D6620F"/>
    <w:rsid w:val="00D66680"/>
    <w:rsid w:val="00D671CB"/>
    <w:rsid w:val="00D67A14"/>
    <w:rsid w:val="00D714FF"/>
    <w:rsid w:val="00D733D8"/>
    <w:rsid w:val="00D75A53"/>
    <w:rsid w:val="00D75F8C"/>
    <w:rsid w:val="00D76031"/>
    <w:rsid w:val="00D76D63"/>
    <w:rsid w:val="00D76E73"/>
    <w:rsid w:val="00D7791D"/>
    <w:rsid w:val="00D7792E"/>
    <w:rsid w:val="00D77E27"/>
    <w:rsid w:val="00D80666"/>
    <w:rsid w:val="00D807B3"/>
    <w:rsid w:val="00D80C9E"/>
    <w:rsid w:val="00D81311"/>
    <w:rsid w:val="00D820EB"/>
    <w:rsid w:val="00D841BD"/>
    <w:rsid w:val="00D86395"/>
    <w:rsid w:val="00D87998"/>
    <w:rsid w:val="00D87A0F"/>
    <w:rsid w:val="00D87F78"/>
    <w:rsid w:val="00D9115A"/>
    <w:rsid w:val="00D919B9"/>
    <w:rsid w:val="00D91E88"/>
    <w:rsid w:val="00D91FAD"/>
    <w:rsid w:val="00D934F9"/>
    <w:rsid w:val="00D96CC1"/>
    <w:rsid w:val="00D96F16"/>
    <w:rsid w:val="00D96F62"/>
    <w:rsid w:val="00DA1EA5"/>
    <w:rsid w:val="00DA4C1B"/>
    <w:rsid w:val="00DA5A4B"/>
    <w:rsid w:val="00DA5A66"/>
    <w:rsid w:val="00DA5F2F"/>
    <w:rsid w:val="00DA64C7"/>
    <w:rsid w:val="00DA71B3"/>
    <w:rsid w:val="00DA732C"/>
    <w:rsid w:val="00DB124E"/>
    <w:rsid w:val="00DB316C"/>
    <w:rsid w:val="00DB4675"/>
    <w:rsid w:val="00DB564A"/>
    <w:rsid w:val="00DB576F"/>
    <w:rsid w:val="00DB598E"/>
    <w:rsid w:val="00DB79E8"/>
    <w:rsid w:val="00DC08FC"/>
    <w:rsid w:val="00DC1429"/>
    <w:rsid w:val="00DC1942"/>
    <w:rsid w:val="00DC1F32"/>
    <w:rsid w:val="00DC22E1"/>
    <w:rsid w:val="00DC28A5"/>
    <w:rsid w:val="00DC2A17"/>
    <w:rsid w:val="00DC307B"/>
    <w:rsid w:val="00DC37DD"/>
    <w:rsid w:val="00DC4258"/>
    <w:rsid w:val="00DC451D"/>
    <w:rsid w:val="00DC4C85"/>
    <w:rsid w:val="00DC4E99"/>
    <w:rsid w:val="00DC516A"/>
    <w:rsid w:val="00DC5750"/>
    <w:rsid w:val="00DC5A6C"/>
    <w:rsid w:val="00DC5B38"/>
    <w:rsid w:val="00DC6731"/>
    <w:rsid w:val="00DC6B0E"/>
    <w:rsid w:val="00DC793D"/>
    <w:rsid w:val="00DC7D46"/>
    <w:rsid w:val="00DD03D9"/>
    <w:rsid w:val="00DD095C"/>
    <w:rsid w:val="00DD2146"/>
    <w:rsid w:val="00DD2C41"/>
    <w:rsid w:val="00DD2D84"/>
    <w:rsid w:val="00DD3969"/>
    <w:rsid w:val="00DD4008"/>
    <w:rsid w:val="00DD42BC"/>
    <w:rsid w:val="00DD4CED"/>
    <w:rsid w:val="00DD4EF7"/>
    <w:rsid w:val="00DD67BF"/>
    <w:rsid w:val="00DD7CA3"/>
    <w:rsid w:val="00DE1503"/>
    <w:rsid w:val="00DE43B3"/>
    <w:rsid w:val="00DE44A6"/>
    <w:rsid w:val="00DE4921"/>
    <w:rsid w:val="00DE51CB"/>
    <w:rsid w:val="00DE5CF5"/>
    <w:rsid w:val="00DE6A76"/>
    <w:rsid w:val="00DE756C"/>
    <w:rsid w:val="00DE7625"/>
    <w:rsid w:val="00DF343C"/>
    <w:rsid w:val="00DF345C"/>
    <w:rsid w:val="00DF69C1"/>
    <w:rsid w:val="00DF74D9"/>
    <w:rsid w:val="00E007F8"/>
    <w:rsid w:val="00E01036"/>
    <w:rsid w:val="00E01C84"/>
    <w:rsid w:val="00E02AC7"/>
    <w:rsid w:val="00E02E80"/>
    <w:rsid w:val="00E04833"/>
    <w:rsid w:val="00E05736"/>
    <w:rsid w:val="00E06689"/>
    <w:rsid w:val="00E074F1"/>
    <w:rsid w:val="00E12B26"/>
    <w:rsid w:val="00E12E59"/>
    <w:rsid w:val="00E14BE9"/>
    <w:rsid w:val="00E15304"/>
    <w:rsid w:val="00E16F6D"/>
    <w:rsid w:val="00E214CF"/>
    <w:rsid w:val="00E222FA"/>
    <w:rsid w:val="00E22A74"/>
    <w:rsid w:val="00E23749"/>
    <w:rsid w:val="00E23FF7"/>
    <w:rsid w:val="00E255C8"/>
    <w:rsid w:val="00E27D10"/>
    <w:rsid w:val="00E32578"/>
    <w:rsid w:val="00E33123"/>
    <w:rsid w:val="00E33296"/>
    <w:rsid w:val="00E33D1C"/>
    <w:rsid w:val="00E341A8"/>
    <w:rsid w:val="00E35EFB"/>
    <w:rsid w:val="00E35F0A"/>
    <w:rsid w:val="00E36314"/>
    <w:rsid w:val="00E36A33"/>
    <w:rsid w:val="00E36E1F"/>
    <w:rsid w:val="00E3747D"/>
    <w:rsid w:val="00E37D24"/>
    <w:rsid w:val="00E430E7"/>
    <w:rsid w:val="00E4496C"/>
    <w:rsid w:val="00E467D3"/>
    <w:rsid w:val="00E47766"/>
    <w:rsid w:val="00E47991"/>
    <w:rsid w:val="00E503B7"/>
    <w:rsid w:val="00E51239"/>
    <w:rsid w:val="00E52C1E"/>
    <w:rsid w:val="00E5328E"/>
    <w:rsid w:val="00E54326"/>
    <w:rsid w:val="00E57C60"/>
    <w:rsid w:val="00E609C1"/>
    <w:rsid w:val="00E65B90"/>
    <w:rsid w:val="00E6612B"/>
    <w:rsid w:val="00E66FC4"/>
    <w:rsid w:val="00E67CD3"/>
    <w:rsid w:val="00E71EDB"/>
    <w:rsid w:val="00E725E5"/>
    <w:rsid w:val="00E7459B"/>
    <w:rsid w:val="00E74E8B"/>
    <w:rsid w:val="00E75559"/>
    <w:rsid w:val="00E75CA4"/>
    <w:rsid w:val="00E76B9D"/>
    <w:rsid w:val="00E77476"/>
    <w:rsid w:val="00E80C54"/>
    <w:rsid w:val="00E815C6"/>
    <w:rsid w:val="00E8176D"/>
    <w:rsid w:val="00E818E1"/>
    <w:rsid w:val="00E82A10"/>
    <w:rsid w:val="00E83EBF"/>
    <w:rsid w:val="00E83ECD"/>
    <w:rsid w:val="00E849E7"/>
    <w:rsid w:val="00E85779"/>
    <w:rsid w:val="00E905C6"/>
    <w:rsid w:val="00E91257"/>
    <w:rsid w:val="00E91C95"/>
    <w:rsid w:val="00E92B4A"/>
    <w:rsid w:val="00E93131"/>
    <w:rsid w:val="00E93519"/>
    <w:rsid w:val="00E94862"/>
    <w:rsid w:val="00E95DA0"/>
    <w:rsid w:val="00E96A29"/>
    <w:rsid w:val="00E976CE"/>
    <w:rsid w:val="00EA0D60"/>
    <w:rsid w:val="00EA1F50"/>
    <w:rsid w:val="00EA1F8C"/>
    <w:rsid w:val="00EA229C"/>
    <w:rsid w:val="00EA49A4"/>
    <w:rsid w:val="00EA6EF0"/>
    <w:rsid w:val="00EB071D"/>
    <w:rsid w:val="00EB0F5E"/>
    <w:rsid w:val="00EB1B87"/>
    <w:rsid w:val="00EB2134"/>
    <w:rsid w:val="00EB29ED"/>
    <w:rsid w:val="00EB338C"/>
    <w:rsid w:val="00EB3543"/>
    <w:rsid w:val="00EB40AB"/>
    <w:rsid w:val="00EB5A4E"/>
    <w:rsid w:val="00EB5B98"/>
    <w:rsid w:val="00EB61EF"/>
    <w:rsid w:val="00EB75DE"/>
    <w:rsid w:val="00EB7604"/>
    <w:rsid w:val="00EC005E"/>
    <w:rsid w:val="00EC19B9"/>
    <w:rsid w:val="00EC203D"/>
    <w:rsid w:val="00EC2087"/>
    <w:rsid w:val="00EC37C0"/>
    <w:rsid w:val="00EC3E45"/>
    <w:rsid w:val="00EC3F84"/>
    <w:rsid w:val="00EC4E99"/>
    <w:rsid w:val="00EC5004"/>
    <w:rsid w:val="00EC5A14"/>
    <w:rsid w:val="00EC5EB8"/>
    <w:rsid w:val="00EC7C9B"/>
    <w:rsid w:val="00ED0117"/>
    <w:rsid w:val="00ED01BB"/>
    <w:rsid w:val="00ED030E"/>
    <w:rsid w:val="00ED19B4"/>
    <w:rsid w:val="00ED1ED6"/>
    <w:rsid w:val="00ED2BA3"/>
    <w:rsid w:val="00ED2BE1"/>
    <w:rsid w:val="00ED3116"/>
    <w:rsid w:val="00ED37E4"/>
    <w:rsid w:val="00ED4C4D"/>
    <w:rsid w:val="00ED7877"/>
    <w:rsid w:val="00ED795C"/>
    <w:rsid w:val="00EE0F0D"/>
    <w:rsid w:val="00EE0F7D"/>
    <w:rsid w:val="00EE1045"/>
    <w:rsid w:val="00EE265B"/>
    <w:rsid w:val="00EE291C"/>
    <w:rsid w:val="00EE296A"/>
    <w:rsid w:val="00EE34DC"/>
    <w:rsid w:val="00EE3EE1"/>
    <w:rsid w:val="00EE4682"/>
    <w:rsid w:val="00EE4E83"/>
    <w:rsid w:val="00EE56FC"/>
    <w:rsid w:val="00EE60F0"/>
    <w:rsid w:val="00EF0043"/>
    <w:rsid w:val="00EF085B"/>
    <w:rsid w:val="00EF0F28"/>
    <w:rsid w:val="00EF288E"/>
    <w:rsid w:val="00EF3534"/>
    <w:rsid w:val="00EF5B24"/>
    <w:rsid w:val="00EF7201"/>
    <w:rsid w:val="00EF7723"/>
    <w:rsid w:val="00EF7DFB"/>
    <w:rsid w:val="00F00FF9"/>
    <w:rsid w:val="00F02E4B"/>
    <w:rsid w:val="00F045CE"/>
    <w:rsid w:val="00F05C57"/>
    <w:rsid w:val="00F06477"/>
    <w:rsid w:val="00F0687E"/>
    <w:rsid w:val="00F068A4"/>
    <w:rsid w:val="00F0798D"/>
    <w:rsid w:val="00F07B34"/>
    <w:rsid w:val="00F07FB9"/>
    <w:rsid w:val="00F11B3E"/>
    <w:rsid w:val="00F11E11"/>
    <w:rsid w:val="00F12211"/>
    <w:rsid w:val="00F12958"/>
    <w:rsid w:val="00F13311"/>
    <w:rsid w:val="00F13739"/>
    <w:rsid w:val="00F13AA8"/>
    <w:rsid w:val="00F13ACA"/>
    <w:rsid w:val="00F14364"/>
    <w:rsid w:val="00F148F7"/>
    <w:rsid w:val="00F14AAF"/>
    <w:rsid w:val="00F14EE6"/>
    <w:rsid w:val="00F15256"/>
    <w:rsid w:val="00F162FD"/>
    <w:rsid w:val="00F16476"/>
    <w:rsid w:val="00F167A0"/>
    <w:rsid w:val="00F17B5E"/>
    <w:rsid w:val="00F20584"/>
    <w:rsid w:val="00F208FE"/>
    <w:rsid w:val="00F218D3"/>
    <w:rsid w:val="00F222C7"/>
    <w:rsid w:val="00F227E3"/>
    <w:rsid w:val="00F23C6E"/>
    <w:rsid w:val="00F242C2"/>
    <w:rsid w:val="00F24AC8"/>
    <w:rsid w:val="00F24E72"/>
    <w:rsid w:val="00F25026"/>
    <w:rsid w:val="00F257A3"/>
    <w:rsid w:val="00F257A6"/>
    <w:rsid w:val="00F262CF"/>
    <w:rsid w:val="00F3038C"/>
    <w:rsid w:val="00F30C04"/>
    <w:rsid w:val="00F31B8D"/>
    <w:rsid w:val="00F31D11"/>
    <w:rsid w:val="00F31D5E"/>
    <w:rsid w:val="00F322BE"/>
    <w:rsid w:val="00F3280B"/>
    <w:rsid w:val="00F341DE"/>
    <w:rsid w:val="00F35D9E"/>
    <w:rsid w:val="00F36544"/>
    <w:rsid w:val="00F36A35"/>
    <w:rsid w:val="00F37704"/>
    <w:rsid w:val="00F37A9D"/>
    <w:rsid w:val="00F40EA5"/>
    <w:rsid w:val="00F40F46"/>
    <w:rsid w:val="00F40FEE"/>
    <w:rsid w:val="00F41221"/>
    <w:rsid w:val="00F41A47"/>
    <w:rsid w:val="00F41B50"/>
    <w:rsid w:val="00F44201"/>
    <w:rsid w:val="00F4602F"/>
    <w:rsid w:val="00F46B1F"/>
    <w:rsid w:val="00F46B6F"/>
    <w:rsid w:val="00F471D8"/>
    <w:rsid w:val="00F47840"/>
    <w:rsid w:val="00F479E2"/>
    <w:rsid w:val="00F5080C"/>
    <w:rsid w:val="00F52F2D"/>
    <w:rsid w:val="00F543C7"/>
    <w:rsid w:val="00F566C5"/>
    <w:rsid w:val="00F57403"/>
    <w:rsid w:val="00F60D44"/>
    <w:rsid w:val="00F6157E"/>
    <w:rsid w:val="00F61829"/>
    <w:rsid w:val="00F62B41"/>
    <w:rsid w:val="00F6351A"/>
    <w:rsid w:val="00F63F6C"/>
    <w:rsid w:val="00F6659C"/>
    <w:rsid w:val="00F7069A"/>
    <w:rsid w:val="00F716D2"/>
    <w:rsid w:val="00F71A1D"/>
    <w:rsid w:val="00F72D4A"/>
    <w:rsid w:val="00F75FE3"/>
    <w:rsid w:val="00F765C5"/>
    <w:rsid w:val="00F76673"/>
    <w:rsid w:val="00F76D09"/>
    <w:rsid w:val="00F76F9F"/>
    <w:rsid w:val="00F80EF4"/>
    <w:rsid w:val="00F8100D"/>
    <w:rsid w:val="00F825A1"/>
    <w:rsid w:val="00F82FFA"/>
    <w:rsid w:val="00F92B29"/>
    <w:rsid w:val="00F92D45"/>
    <w:rsid w:val="00F935E3"/>
    <w:rsid w:val="00F94317"/>
    <w:rsid w:val="00F94B37"/>
    <w:rsid w:val="00F94CD9"/>
    <w:rsid w:val="00F94DA5"/>
    <w:rsid w:val="00F956AF"/>
    <w:rsid w:val="00F95B5E"/>
    <w:rsid w:val="00FA20BB"/>
    <w:rsid w:val="00FA644A"/>
    <w:rsid w:val="00FA73BF"/>
    <w:rsid w:val="00FA7823"/>
    <w:rsid w:val="00FB0402"/>
    <w:rsid w:val="00FB04DC"/>
    <w:rsid w:val="00FB0585"/>
    <w:rsid w:val="00FB14AF"/>
    <w:rsid w:val="00FB185A"/>
    <w:rsid w:val="00FB2023"/>
    <w:rsid w:val="00FB2231"/>
    <w:rsid w:val="00FB30A6"/>
    <w:rsid w:val="00FB3E06"/>
    <w:rsid w:val="00FB4DAF"/>
    <w:rsid w:val="00FB6982"/>
    <w:rsid w:val="00FB76EF"/>
    <w:rsid w:val="00FB7997"/>
    <w:rsid w:val="00FC0793"/>
    <w:rsid w:val="00FC1876"/>
    <w:rsid w:val="00FC203D"/>
    <w:rsid w:val="00FC2F08"/>
    <w:rsid w:val="00FC3070"/>
    <w:rsid w:val="00FC3293"/>
    <w:rsid w:val="00FC385B"/>
    <w:rsid w:val="00FC3E8C"/>
    <w:rsid w:val="00FC44FC"/>
    <w:rsid w:val="00FC5D08"/>
    <w:rsid w:val="00FC6121"/>
    <w:rsid w:val="00FC637B"/>
    <w:rsid w:val="00FC66E7"/>
    <w:rsid w:val="00FD17BC"/>
    <w:rsid w:val="00FD1BC8"/>
    <w:rsid w:val="00FD1E71"/>
    <w:rsid w:val="00FD20D0"/>
    <w:rsid w:val="00FD2FC1"/>
    <w:rsid w:val="00FD3C5F"/>
    <w:rsid w:val="00FD5571"/>
    <w:rsid w:val="00FD5726"/>
    <w:rsid w:val="00FD62C1"/>
    <w:rsid w:val="00FD6891"/>
    <w:rsid w:val="00FD699B"/>
    <w:rsid w:val="00FD769B"/>
    <w:rsid w:val="00FD787F"/>
    <w:rsid w:val="00FD7CB6"/>
    <w:rsid w:val="00FE054F"/>
    <w:rsid w:val="00FE0832"/>
    <w:rsid w:val="00FE1972"/>
    <w:rsid w:val="00FE1B38"/>
    <w:rsid w:val="00FE1B40"/>
    <w:rsid w:val="00FE1CFE"/>
    <w:rsid w:val="00FE3184"/>
    <w:rsid w:val="00FE4354"/>
    <w:rsid w:val="00FE7083"/>
    <w:rsid w:val="00FE734F"/>
    <w:rsid w:val="00FE76CC"/>
    <w:rsid w:val="00FF0593"/>
    <w:rsid w:val="00FF2F2E"/>
    <w:rsid w:val="00FF31DB"/>
    <w:rsid w:val="00FF3D9D"/>
    <w:rsid w:val="00FF3E68"/>
    <w:rsid w:val="00FF3F42"/>
    <w:rsid w:val="00FF4391"/>
    <w:rsid w:val="00FF4CA6"/>
    <w:rsid w:val="00FF5066"/>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7F30"/>
  <w15:docId w15:val="{CAC73EBD-E7F1-4B86-B9ED-9B7BD886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9F"/>
    <w:pPr>
      <w:spacing w:after="0" w:line="240" w:lineRule="auto"/>
    </w:pPr>
    <w:rPr>
      <w:rFonts w:ascii="Verdana" w:hAnsi="Verdana"/>
    </w:rPr>
  </w:style>
  <w:style w:type="paragraph" w:styleId="Heading5">
    <w:name w:val="heading 5"/>
    <w:basedOn w:val="Normal"/>
    <w:next w:val="Normal"/>
    <w:link w:val="Heading5Char"/>
    <w:qFormat/>
    <w:rsid w:val="004B0039"/>
    <w:pPr>
      <w:keepNext/>
      <w:autoSpaceDE w:val="0"/>
      <w:autoSpaceDN w:val="0"/>
      <w:outlineLvl w:val="4"/>
    </w:pPr>
    <w:rPr>
      <w:rFonts w:eastAsia="Times New Roman" w:cs="Helvetica"/>
      <w:b/>
      <w:color w:val="3366FF"/>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9C"/>
    <w:pPr>
      <w:ind w:left="720"/>
      <w:contextualSpacing/>
    </w:pPr>
  </w:style>
  <w:style w:type="character" w:customStyle="1" w:styleId="Heading5Char">
    <w:name w:val="Heading 5 Char"/>
    <w:basedOn w:val="DefaultParagraphFont"/>
    <w:link w:val="Heading5"/>
    <w:rsid w:val="004B0039"/>
    <w:rPr>
      <w:rFonts w:ascii="Verdana" w:eastAsia="Times New Roman" w:hAnsi="Verdana" w:cs="Helvetica"/>
      <w:b/>
      <w:color w:val="3366FF"/>
      <w:spacing w:val="-2"/>
      <w:lang w:eastAsia="en-GB"/>
    </w:rPr>
  </w:style>
  <w:style w:type="paragraph" w:styleId="BodyText">
    <w:name w:val="Body Text"/>
    <w:basedOn w:val="Normal"/>
    <w:link w:val="BodyTextChar"/>
    <w:rsid w:val="004B0039"/>
    <w:pPr>
      <w:tabs>
        <w:tab w:val="left" w:pos="-720"/>
      </w:tabs>
      <w:suppressAutoHyphens/>
      <w:autoSpaceDE w:val="0"/>
      <w:autoSpaceDN w:val="0"/>
      <w:spacing w:before="40" w:after="40"/>
      <w:jc w:val="center"/>
      <w:outlineLvl w:val="0"/>
    </w:pPr>
    <w:rPr>
      <w:rFonts w:eastAsia="Times New Roman" w:cs="Arial"/>
      <w:b/>
      <w:bCs/>
      <w:smallCaps/>
      <w:color w:val="FFFFFF"/>
      <w:spacing w:val="-2"/>
      <w:sz w:val="14"/>
      <w:szCs w:val="14"/>
      <w:lang w:eastAsia="en-GB"/>
    </w:rPr>
  </w:style>
  <w:style w:type="character" w:customStyle="1" w:styleId="BodyTextChar">
    <w:name w:val="Body Text Char"/>
    <w:basedOn w:val="DefaultParagraphFont"/>
    <w:link w:val="BodyText"/>
    <w:rsid w:val="004B0039"/>
    <w:rPr>
      <w:rFonts w:ascii="Verdana" w:eastAsia="Times New Roman" w:hAnsi="Verdana" w:cs="Arial"/>
      <w:b/>
      <w:bCs/>
      <w:smallCaps/>
      <w:color w:val="FFFFFF"/>
      <w:spacing w:val="-2"/>
      <w:sz w:val="14"/>
      <w:szCs w:val="14"/>
      <w:lang w:eastAsia="en-GB"/>
    </w:rPr>
  </w:style>
  <w:style w:type="paragraph" w:customStyle="1" w:styleId="bodytexttableTENDER">
    <w:name w:val="body text table TENDER"/>
    <w:basedOn w:val="Normal"/>
    <w:rsid w:val="004B0039"/>
    <w:pPr>
      <w:autoSpaceDE w:val="0"/>
      <w:autoSpaceDN w:val="0"/>
      <w:spacing w:before="120" w:after="120"/>
      <w:ind w:left="113" w:right="113"/>
    </w:pPr>
    <w:rPr>
      <w:rFonts w:ascii="Times New Roman" w:eastAsia="Times New Roman" w:hAnsi="Times New Roman" w:cs="Times New Roman"/>
      <w:color w:val="000000"/>
      <w:spacing w:val="-2"/>
      <w:sz w:val="20"/>
      <w:szCs w:val="20"/>
      <w:lang w:eastAsia="en-GB"/>
    </w:rPr>
  </w:style>
  <w:style w:type="table" w:styleId="TableGrid">
    <w:name w:val="Table Grid"/>
    <w:basedOn w:val="TableNormal"/>
    <w:uiPriority w:val="39"/>
    <w:rsid w:val="00F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6D1"/>
    <w:rPr>
      <w:color w:val="0000FF" w:themeColor="hyperlink"/>
      <w:u w:val="single"/>
    </w:rPr>
  </w:style>
  <w:style w:type="character" w:styleId="CommentReference">
    <w:name w:val="annotation reference"/>
    <w:basedOn w:val="DefaultParagraphFont"/>
    <w:uiPriority w:val="99"/>
    <w:semiHidden/>
    <w:unhideWhenUsed/>
    <w:rsid w:val="00FE1972"/>
    <w:rPr>
      <w:sz w:val="16"/>
      <w:szCs w:val="16"/>
    </w:rPr>
  </w:style>
  <w:style w:type="paragraph" w:styleId="CommentText">
    <w:name w:val="annotation text"/>
    <w:basedOn w:val="Normal"/>
    <w:link w:val="CommentTextChar"/>
    <w:uiPriority w:val="99"/>
    <w:unhideWhenUsed/>
    <w:rsid w:val="00FE1972"/>
    <w:rPr>
      <w:sz w:val="20"/>
      <w:szCs w:val="20"/>
    </w:rPr>
  </w:style>
  <w:style w:type="character" w:customStyle="1" w:styleId="CommentTextChar">
    <w:name w:val="Comment Text Char"/>
    <w:basedOn w:val="DefaultParagraphFont"/>
    <w:link w:val="CommentText"/>
    <w:uiPriority w:val="99"/>
    <w:rsid w:val="00FE197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E1972"/>
    <w:rPr>
      <w:b/>
      <w:bCs/>
    </w:rPr>
  </w:style>
  <w:style w:type="character" w:customStyle="1" w:styleId="CommentSubjectChar">
    <w:name w:val="Comment Subject Char"/>
    <w:basedOn w:val="CommentTextChar"/>
    <w:link w:val="CommentSubject"/>
    <w:uiPriority w:val="99"/>
    <w:semiHidden/>
    <w:rsid w:val="00FE1972"/>
    <w:rPr>
      <w:rFonts w:ascii="Verdana" w:hAnsi="Verdana"/>
      <w:b/>
      <w:bCs/>
      <w:sz w:val="20"/>
      <w:szCs w:val="20"/>
    </w:rPr>
  </w:style>
  <w:style w:type="paragraph" w:styleId="BalloonText">
    <w:name w:val="Balloon Text"/>
    <w:basedOn w:val="Normal"/>
    <w:link w:val="BalloonTextChar"/>
    <w:uiPriority w:val="99"/>
    <w:semiHidden/>
    <w:unhideWhenUsed/>
    <w:rsid w:val="00FE1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72"/>
    <w:rPr>
      <w:rFonts w:ascii="Segoe UI" w:hAnsi="Segoe UI" w:cs="Segoe UI"/>
      <w:sz w:val="18"/>
      <w:szCs w:val="18"/>
    </w:rPr>
  </w:style>
  <w:style w:type="paragraph" w:customStyle="1" w:styleId="CoverTitle">
    <w:name w:val="Cover Title"/>
    <w:link w:val="CoverTitleChar"/>
    <w:rsid w:val="00FC6121"/>
    <w:pPr>
      <w:spacing w:after="0" w:line="240" w:lineRule="auto"/>
    </w:pPr>
    <w:rPr>
      <w:rFonts w:ascii="Arial" w:eastAsia="Times New Roman" w:hAnsi="Arial" w:cs="Arial"/>
      <w:noProof/>
      <w:color w:val="002776"/>
      <w:kern w:val="28"/>
      <w:sz w:val="70"/>
      <w:szCs w:val="70"/>
    </w:rPr>
  </w:style>
  <w:style w:type="character" w:customStyle="1" w:styleId="CoverTitleChar">
    <w:name w:val="Cover Title Char"/>
    <w:basedOn w:val="DefaultParagraphFont"/>
    <w:link w:val="CoverTitle"/>
    <w:locked/>
    <w:rsid w:val="00FC6121"/>
    <w:rPr>
      <w:rFonts w:ascii="Arial" w:eastAsia="Times New Roman" w:hAnsi="Arial" w:cs="Arial"/>
      <w:noProof/>
      <w:color w:val="002776"/>
      <w:kern w:val="28"/>
      <w:sz w:val="70"/>
      <w:szCs w:val="70"/>
    </w:rPr>
  </w:style>
  <w:style w:type="paragraph" w:styleId="Header">
    <w:name w:val="header"/>
    <w:basedOn w:val="Normal"/>
    <w:link w:val="HeaderChar"/>
    <w:uiPriority w:val="99"/>
    <w:unhideWhenUsed/>
    <w:rsid w:val="00AB5689"/>
    <w:pPr>
      <w:tabs>
        <w:tab w:val="center" w:pos="4513"/>
        <w:tab w:val="right" w:pos="9026"/>
      </w:tabs>
    </w:pPr>
  </w:style>
  <w:style w:type="character" w:customStyle="1" w:styleId="HeaderChar">
    <w:name w:val="Header Char"/>
    <w:basedOn w:val="DefaultParagraphFont"/>
    <w:link w:val="Header"/>
    <w:uiPriority w:val="99"/>
    <w:rsid w:val="00AB5689"/>
    <w:rPr>
      <w:rFonts w:ascii="Verdana" w:hAnsi="Verdana"/>
    </w:rPr>
  </w:style>
  <w:style w:type="paragraph" w:styleId="Footer">
    <w:name w:val="footer"/>
    <w:basedOn w:val="Normal"/>
    <w:link w:val="FooterChar"/>
    <w:uiPriority w:val="99"/>
    <w:unhideWhenUsed/>
    <w:rsid w:val="00AB5689"/>
    <w:pPr>
      <w:tabs>
        <w:tab w:val="center" w:pos="4513"/>
        <w:tab w:val="right" w:pos="9026"/>
      </w:tabs>
    </w:pPr>
  </w:style>
  <w:style w:type="character" w:customStyle="1" w:styleId="FooterChar">
    <w:name w:val="Footer Char"/>
    <w:basedOn w:val="DefaultParagraphFont"/>
    <w:link w:val="Footer"/>
    <w:uiPriority w:val="99"/>
    <w:rsid w:val="00AB5689"/>
    <w:rPr>
      <w:rFonts w:ascii="Verdana" w:hAnsi="Verdana"/>
    </w:rPr>
  </w:style>
  <w:style w:type="paragraph" w:customStyle="1" w:styleId="Default">
    <w:name w:val="Default"/>
    <w:rsid w:val="00F71A1D"/>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975672"/>
    <w:rPr>
      <w:rFonts w:ascii="Segoe UI" w:hAnsi="Segoe UI" w:cs="Segoe UI" w:hint="default"/>
      <w:sz w:val="18"/>
      <w:szCs w:val="18"/>
    </w:rPr>
  </w:style>
  <w:style w:type="paragraph" w:styleId="Revision">
    <w:name w:val="Revision"/>
    <w:hidden/>
    <w:uiPriority w:val="99"/>
    <w:semiHidden/>
    <w:rsid w:val="00B131D7"/>
    <w:pPr>
      <w:spacing w:after="0" w:line="240" w:lineRule="auto"/>
    </w:pPr>
    <w:rPr>
      <w:rFonts w:ascii="Verdana" w:hAnsi="Verdana"/>
    </w:rPr>
  </w:style>
  <w:style w:type="character" w:customStyle="1" w:styleId="cf11">
    <w:name w:val="cf11"/>
    <w:basedOn w:val="DefaultParagraphFont"/>
    <w:rsid w:val="00EB0F5E"/>
    <w:rPr>
      <w:rFonts w:ascii="Segoe UI" w:hAnsi="Segoe UI" w:cs="Segoe UI" w:hint="default"/>
      <w:b/>
      <w:bCs/>
      <w:sz w:val="18"/>
      <w:szCs w:val="18"/>
    </w:rPr>
  </w:style>
  <w:style w:type="paragraph" w:customStyle="1" w:styleId="pf0">
    <w:name w:val="pf0"/>
    <w:basedOn w:val="Normal"/>
    <w:rsid w:val="005B44C8"/>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A7AB6"/>
    <w:rPr>
      <w:rFonts w:ascii="Times New Roman" w:hAnsi="Times New Roman" w:cs="Times New Roman"/>
      <w:sz w:val="24"/>
      <w:szCs w:val="24"/>
    </w:rPr>
  </w:style>
  <w:style w:type="character" w:customStyle="1" w:styleId="ui-provider">
    <w:name w:val="ui-provider"/>
    <w:basedOn w:val="DefaultParagraphFont"/>
    <w:rsid w:val="0043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393">
      <w:bodyDiv w:val="1"/>
      <w:marLeft w:val="0"/>
      <w:marRight w:val="0"/>
      <w:marTop w:val="0"/>
      <w:marBottom w:val="0"/>
      <w:divBdr>
        <w:top w:val="none" w:sz="0" w:space="0" w:color="auto"/>
        <w:left w:val="none" w:sz="0" w:space="0" w:color="auto"/>
        <w:bottom w:val="none" w:sz="0" w:space="0" w:color="auto"/>
        <w:right w:val="none" w:sz="0" w:space="0" w:color="auto"/>
      </w:divBdr>
    </w:div>
    <w:div w:id="28183503">
      <w:bodyDiv w:val="1"/>
      <w:marLeft w:val="0"/>
      <w:marRight w:val="0"/>
      <w:marTop w:val="0"/>
      <w:marBottom w:val="0"/>
      <w:divBdr>
        <w:top w:val="none" w:sz="0" w:space="0" w:color="auto"/>
        <w:left w:val="none" w:sz="0" w:space="0" w:color="auto"/>
        <w:bottom w:val="none" w:sz="0" w:space="0" w:color="auto"/>
        <w:right w:val="none" w:sz="0" w:space="0" w:color="auto"/>
      </w:divBdr>
    </w:div>
    <w:div w:id="40134273">
      <w:bodyDiv w:val="1"/>
      <w:marLeft w:val="0"/>
      <w:marRight w:val="0"/>
      <w:marTop w:val="0"/>
      <w:marBottom w:val="0"/>
      <w:divBdr>
        <w:top w:val="none" w:sz="0" w:space="0" w:color="auto"/>
        <w:left w:val="none" w:sz="0" w:space="0" w:color="auto"/>
        <w:bottom w:val="none" w:sz="0" w:space="0" w:color="auto"/>
        <w:right w:val="none" w:sz="0" w:space="0" w:color="auto"/>
      </w:divBdr>
    </w:div>
    <w:div w:id="50467138">
      <w:bodyDiv w:val="1"/>
      <w:marLeft w:val="0"/>
      <w:marRight w:val="0"/>
      <w:marTop w:val="0"/>
      <w:marBottom w:val="0"/>
      <w:divBdr>
        <w:top w:val="none" w:sz="0" w:space="0" w:color="auto"/>
        <w:left w:val="none" w:sz="0" w:space="0" w:color="auto"/>
        <w:bottom w:val="none" w:sz="0" w:space="0" w:color="auto"/>
        <w:right w:val="none" w:sz="0" w:space="0" w:color="auto"/>
      </w:divBdr>
    </w:div>
    <w:div w:id="66000135">
      <w:bodyDiv w:val="1"/>
      <w:marLeft w:val="0"/>
      <w:marRight w:val="0"/>
      <w:marTop w:val="0"/>
      <w:marBottom w:val="0"/>
      <w:divBdr>
        <w:top w:val="none" w:sz="0" w:space="0" w:color="auto"/>
        <w:left w:val="none" w:sz="0" w:space="0" w:color="auto"/>
        <w:bottom w:val="none" w:sz="0" w:space="0" w:color="auto"/>
        <w:right w:val="none" w:sz="0" w:space="0" w:color="auto"/>
      </w:divBdr>
    </w:div>
    <w:div w:id="71123403">
      <w:bodyDiv w:val="1"/>
      <w:marLeft w:val="0"/>
      <w:marRight w:val="0"/>
      <w:marTop w:val="0"/>
      <w:marBottom w:val="0"/>
      <w:divBdr>
        <w:top w:val="none" w:sz="0" w:space="0" w:color="auto"/>
        <w:left w:val="none" w:sz="0" w:space="0" w:color="auto"/>
        <w:bottom w:val="none" w:sz="0" w:space="0" w:color="auto"/>
        <w:right w:val="none" w:sz="0" w:space="0" w:color="auto"/>
      </w:divBdr>
    </w:div>
    <w:div w:id="124741399">
      <w:bodyDiv w:val="1"/>
      <w:marLeft w:val="0"/>
      <w:marRight w:val="0"/>
      <w:marTop w:val="0"/>
      <w:marBottom w:val="0"/>
      <w:divBdr>
        <w:top w:val="none" w:sz="0" w:space="0" w:color="auto"/>
        <w:left w:val="none" w:sz="0" w:space="0" w:color="auto"/>
        <w:bottom w:val="none" w:sz="0" w:space="0" w:color="auto"/>
        <w:right w:val="none" w:sz="0" w:space="0" w:color="auto"/>
      </w:divBdr>
      <w:divsChild>
        <w:div w:id="877006689">
          <w:marLeft w:val="274"/>
          <w:marRight w:val="0"/>
          <w:marTop w:val="0"/>
          <w:marBottom w:val="0"/>
          <w:divBdr>
            <w:top w:val="none" w:sz="0" w:space="0" w:color="auto"/>
            <w:left w:val="none" w:sz="0" w:space="0" w:color="auto"/>
            <w:bottom w:val="none" w:sz="0" w:space="0" w:color="auto"/>
            <w:right w:val="none" w:sz="0" w:space="0" w:color="auto"/>
          </w:divBdr>
        </w:div>
      </w:divsChild>
    </w:div>
    <w:div w:id="143082001">
      <w:bodyDiv w:val="1"/>
      <w:marLeft w:val="0"/>
      <w:marRight w:val="0"/>
      <w:marTop w:val="0"/>
      <w:marBottom w:val="0"/>
      <w:divBdr>
        <w:top w:val="none" w:sz="0" w:space="0" w:color="auto"/>
        <w:left w:val="none" w:sz="0" w:space="0" w:color="auto"/>
        <w:bottom w:val="none" w:sz="0" w:space="0" w:color="auto"/>
        <w:right w:val="none" w:sz="0" w:space="0" w:color="auto"/>
      </w:divBdr>
    </w:div>
    <w:div w:id="153647425">
      <w:bodyDiv w:val="1"/>
      <w:marLeft w:val="0"/>
      <w:marRight w:val="0"/>
      <w:marTop w:val="0"/>
      <w:marBottom w:val="0"/>
      <w:divBdr>
        <w:top w:val="none" w:sz="0" w:space="0" w:color="auto"/>
        <w:left w:val="none" w:sz="0" w:space="0" w:color="auto"/>
        <w:bottom w:val="none" w:sz="0" w:space="0" w:color="auto"/>
        <w:right w:val="none" w:sz="0" w:space="0" w:color="auto"/>
      </w:divBdr>
    </w:div>
    <w:div w:id="159395655">
      <w:bodyDiv w:val="1"/>
      <w:marLeft w:val="0"/>
      <w:marRight w:val="0"/>
      <w:marTop w:val="0"/>
      <w:marBottom w:val="0"/>
      <w:divBdr>
        <w:top w:val="none" w:sz="0" w:space="0" w:color="auto"/>
        <w:left w:val="none" w:sz="0" w:space="0" w:color="auto"/>
        <w:bottom w:val="none" w:sz="0" w:space="0" w:color="auto"/>
        <w:right w:val="none" w:sz="0" w:space="0" w:color="auto"/>
      </w:divBdr>
    </w:div>
    <w:div w:id="241257989">
      <w:bodyDiv w:val="1"/>
      <w:marLeft w:val="0"/>
      <w:marRight w:val="0"/>
      <w:marTop w:val="0"/>
      <w:marBottom w:val="0"/>
      <w:divBdr>
        <w:top w:val="none" w:sz="0" w:space="0" w:color="auto"/>
        <w:left w:val="none" w:sz="0" w:space="0" w:color="auto"/>
        <w:bottom w:val="none" w:sz="0" w:space="0" w:color="auto"/>
        <w:right w:val="none" w:sz="0" w:space="0" w:color="auto"/>
      </w:divBdr>
    </w:div>
    <w:div w:id="244651768">
      <w:bodyDiv w:val="1"/>
      <w:marLeft w:val="0"/>
      <w:marRight w:val="0"/>
      <w:marTop w:val="0"/>
      <w:marBottom w:val="0"/>
      <w:divBdr>
        <w:top w:val="none" w:sz="0" w:space="0" w:color="auto"/>
        <w:left w:val="none" w:sz="0" w:space="0" w:color="auto"/>
        <w:bottom w:val="none" w:sz="0" w:space="0" w:color="auto"/>
        <w:right w:val="none" w:sz="0" w:space="0" w:color="auto"/>
      </w:divBdr>
    </w:div>
    <w:div w:id="251739806">
      <w:bodyDiv w:val="1"/>
      <w:marLeft w:val="0"/>
      <w:marRight w:val="0"/>
      <w:marTop w:val="0"/>
      <w:marBottom w:val="0"/>
      <w:divBdr>
        <w:top w:val="none" w:sz="0" w:space="0" w:color="auto"/>
        <w:left w:val="none" w:sz="0" w:space="0" w:color="auto"/>
        <w:bottom w:val="none" w:sz="0" w:space="0" w:color="auto"/>
        <w:right w:val="none" w:sz="0" w:space="0" w:color="auto"/>
      </w:divBdr>
    </w:div>
    <w:div w:id="286131707">
      <w:bodyDiv w:val="1"/>
      <w:marLeft w:val="0"/>
      <w:marRight w:val="0"/>
      <w:marTop w:val="0"/>
      <w:marBottom w:val="0"/>
      <w:divBdr>
        <w:top w:val="none" w:sz="0" w:space="0" w:color="auto"/>
        <w:left w:val="none" w:sz="0" w:space="0" w:color="auto"/>
        <w:bottom w:val="none" w:sz="0" w:space="0" w:color="auto"/>
        <w:right w:val="none" w:sz="0" w:space="0" w:color="auto"/>
      </w:divBdr>
    </w:div>
    <w:div w:id="325017018">
      <w:bodyDiv w:val="1"/>
      <w:marLeft w:val="0"/>
      <w:marRight w:val="0"/>
      <w:marTop w:val="0"/>
      <w:marBottom w:val="0"/>
      <w:divBdr>
        <w:top w:val="none" w:sz="0" w:space="0" w:color="auto"/>
        <w:left w:val="none" w:sz="0" w:space="0" w:color="auto"/>
        <w:bottom w:val="none" w:sz="0" w:space="0" w:color="auto"/>
        <w:right w:val="none" w:sz="0" w:space="0" w:color="auto"/>
      </w:divBdr>
    </w:div>
    <w:div w:id="394863678">
      <w:bodyDiv w:val="1"/>
      <w:marLeft w:val="0"/>
      <w:marRight w:val="0"/>
      <w:marTop w:val="0"/>
      <w:marBottom w:val="0"/>
      <w:divBdr>
        <w:top w:val="none" w:sz="0" w:space="0" w:color="auto"/>
        <w:left w:val="none" w:sz="0" w:space="0" w:color="auto"/>
        <w:bottom w:val="none" w:sz="0" w:space="0" w:color="auto"/>
        <w:right w:val="none" w:sz="0" w:space="0" w:color="auto"/>
      </w:divBdr>
    </w:div>
    <w:div w:id="433017333">
      <w:bodyDiv w:val="1"/>
      <w:marLeft w:val="0"/>
      <w:marRight w:val="0"/>
      <w:marTop w:val="0"/>
      <w:marBottom w:val="0"/>
      <w:divBdr>
        <w:top w:val="none" w:sz="0" w:space="0" w:color="auto"/>
        <w:left w:val="none" w:sz="0" w:space="0" w:color="auto"/>
        <w:bottom w:val="none" w:sz="0" w:space="0" w:color="auto"/>
        <w:right w:val="none" w:sz="0" w:space="0" w:color="auto"/>
      </w:divBdr>
    </w:div>
    <w:div w:id="439227547">
      <w:bodyDiv w:val="1"/>
      <w:marLeft w:val="0"/>
      <w:marRight w:val="0"/>
      <w:marTop w:val="0"/>
      <w:marBottom w:val="0"/>
      <w:divBdr>
        <w:top w:val="none" w:sz="0" w:space="0" w:color="auto"/>
        <w:left w:val="none" w:sz="0" w:space="0" w:color="auto"/>
        <w:bottom w:val="none" w:sz="0" w:space="0" w:color="auto"/>
        <w:right w:val="none" w:sz="0" w:space="0" w:color="auto"/>
      </w:divBdr>
    </w:div>
    <w:div w:id="457528949">
      <w:bodyDiv w:val="1"/>
      <w:marLeft w:val="0"/>
      <w:marRight w:val="0"/>
      <w:marTop w:val="0"/>
      <w:marBottom w:val="0"/>
      <w:divBdr>
        <w:top w:val="none" w:sz="0" w:space="0" w:color="auto"/>
        <w:left w:val="none" w:sz="0" w:space="0" w:color="auto"/>
        <w:bottom w:val="none" w:sz="0" w:space="0" w:color="auto"/>
        <w:right w:val="none" w:sz="0" w:space="0" w:color="auto"/>
      </w:divBdr>
    </w:div>
    <w:div w:id="476729708">
      <w:bodyDiv w:val="1"/>
      <w:marLeft w:val="0"/>
      <w:marRight w:val="0"/>
      <w:marTop w:val="0"/>
      <w:marBottom w:val="0"/>
      <w:divBdr>
        <w:top w:val="none" w:sz="0" w:space="0" w:color="auto"/>
        <w:left w:val="none" w:sz="0" w:space="0" w:color="auto"/>
        <w:bottom w:val="none" w:sz="0" w:space="0" w:color="auto"/>
        <w:right w:val="none" w:sz="0" w:space="0" w:color="auto"/>
      </w:divBdr>
    </w:div>
    <w:div w:id="484858130">
      <w:bodyDiv w:val="1"/>
      <w:marLeft w:val="0"/>
      <w:marRight w:val="0"/>
      <w:marTop w:val="0"/>
      <w:marBottom w:val="0"/>
      <w:divBdr>
        <w:top w:val="none" w:sz="0" w:space="0" w:color="auto"/>
        <w:left w:val="none" w:sz="0" w:space="0" w:color="auto"/>
        <w:bottom w:val="none" w:sz="0" w:space="0" w:color="auto"/>
        <w:right w:val="none" w:sz="0" w:space="0" w:color="auto"/>
      </w:divBdr>
    </w:div>
    <w:div w:id="488524334">
      <w:bodyDiv w:val="1"/>
      <w:marLeft w:val="0"/>
      <w:marRight w:val="0"/>
      <w:marTop w:val="0"/>
      <w:marBottom w:val="0"/>
      <w:divBdr>
        <w:top w:val="none" w:sz="0" w:space="0" w:color="auto"/>
        <w:left w:val="none" w:sz="0" w:space="0" w:color="auto"/>
        <w:bottom w:val="none" w:sz="0" w:space="0" w:color="auto"/>
        <w:right w:val="none" w:sz="0" w:space="0" w:color="auto"/>
      </w:divBdr>
    </w:div>
    <w:div w:id="507252530">
      <w:bodyDiv w:val="1"/>
      <w:marLeft w:val="0"/>
      <w:marRight w:val="0"/>
      <w:marTop w:val="0"/>
      <w:marBottom w:val="0"/>
      <w:divBdr>
        <w:top w:val="none" w:sz="0" w:space="0" w:color="auto"/>
        <w:left w:val="none" w:sz="0" w:space="0" w:color="auto"/>
        <w:bottom w:val="none" w:sz="0" w:space="0" w:color="auto"/>
        <w:right w:val="none" w:sz="0" w:space="0" w:color="auto"/>
      </w:divBdr>
    </w:div>
    <w:div w:id="582838919">
      <w:bodyDiv w:val="1"/>
      <w:marLeft w:val="0"/>
      <w:marRight w:val="0"/>
      <w:marTop w:val="0"/>
      <w:marBottom w:val="0"/>
      <w:divBdr>
        <w:top w:val="none" w:sz="0" w:space="0" w:color="auto"/>
        <w:left w:val="none" w:sz="0" w:space="0" w:color="auto"/>
        <w:bottom w:val="none" w:sz="0" w:space="0" w:color="auto"/>
        <w:right w:val="none" w:sz="0" w:space="0" w:color="auto"/>
      </w:divBdr>
    </w:div>
    <w:div w:id="603461057">
      <w:bodyDiv w:val="1"/>
      <w:marLeft w:val="0"/>
      <w:marRight w:val="0"/>
      <w:marTop w:val="0"/>
      <w:marBottom w:val="0"/>
      <w:divBdr>
        <w:top w:val="none" w:sz="0" w:space="0" w:color="auto"/>
        <w:left w:val="none" w:sz="0" w:space="0" w:color="auto"/>
        <w:bottom w:val="none" w:sz="0" w:space="0" w:color="auto"/>
        <w:right w:val="none" w:sz="0" w:space="0" w:color="auto"/>
      </w:divBdr>
    </w:div>
    <w:div w:id="611254818">
      <w:bodyDiv w:val="1"/>
      <w:marLeft w:val="0"/>
      <w:marRight w:val="0"/>
      <w:marTop w:val="0"/>
      <w:marBottom w:val="0"/>
      <w:divBdr>
        <w:top w:val="none" w:sz="0" w:space="0" w:color="auto"/>
        <w:left w:val="none" w:sz="0" w:space="0" w:color="auto"/>
        <w:bottom w:val="none" w:sz="0" w:space="0" w:color="auto"/>
        <w:right w:val="none" w:sz="0" w:space="0" w:color="auto"/>
      </w:divBdr>
    </w:div>
    <w:div w:id="690574169">
      <w:bodyDiv w:val="1"/>
      <w:marLeft w:val="0"/>
      <w:marRight w:val="0"/>
      <w:marTop w:val="0"/>
      <w:marBottom w:val="0"/>
      <w:divBdr>
        <w:top w:val="none" w:sz="0" w:space="0" w:color="auto"/>
        <w:left w:val="none" w:sz="0" w:space="0" w:color="auto"/>
        <w:bottom w:val="none" w:sz="0" w:space="0" w:color="auto"/>
        <w:right w:val="none" w:sz="0" w:space="0" w:color="auto"/>
      </w:divBdr>
    </w:div>
    <w:div w:id="696084784">
      <w:bodyDiv w:val="1"/>
      <w:marLeft w:val="0"/>
      <w:marRight w:val="0"/>
      <w:marTop w:val="0"/>
      <w:marBottom w:val="0"/>
      <w:divBdr>
        <w:top w:val="none" w:sz="0" w:space="0" w:color="auto"/>
        <w:left w:val="none" w:sz="0" w:space="0" w:color="auto"/>
        <w:bottom w:val="none" w:sz="0" w:space="0" w:color="auto"/>
        <w:right w:val="none" w:sz="0" w:space="0" w:color="auto"/>
      </w:divBdr>
    </w:div>
    <w:div w:id="714937963">
      <w:bodyDiv w:val="1"/>
      <w:marLeft w:val="0"/>
      <w:marRight w:val="0"/>
      <w:marTop w:val="0"/>
      <w:marBottom w:val="0"/>
      <w:divBdr>
        <w:top w:val="none" w:sz="0" w:space="0" w:color="auto"/>
        <w:left w:val="none" w:sz="0" w:space="0" w:color="auto"/>
        <w:bottom w:val="none" w:sz="0" w:space="0" w:color="auto"/>
        <w:right w:val="none" w:sz="0" w:space="0" w:color="auto"/>
      </w:divBdr>
    </w:div>
    <w:div w:id="746223281">
      <w:bodyDiv w:val="1"/>
      <w:marLeft w:val="0"/>
      <w:marRight w:val="0"/>
      <w:marTop w:val="0"/>
      <w:marBottom w:val="0"/>
      <w:divBdr>
        <w:top w:val="none" w:sz="0" w:space="0" w:color="auto"/>
        <w:left w:val="none" w:sz="0" w:space="0" w:color="auto"/>
        <w:bottom w:val="none" w:sz="0" w:space="0" w:color="auto"/>
        <w:right w:val="none" w:sz="0" w:space="0" w:color="auto"/>
      </w:divBdr>
    </w:div>
    <w:div w:id="756638324">
      <w:bodyDiv w:val="1"/>
      <w:marLeft w:val="0"/>
      <w:marRight w:val="0"/>
      <w:marTop w:val="0"/>
      <w:marBottom w:val="0"/>
      <w:divBdr>
        <w:top w:val="none" w:sz="0" w:space="0" w:color="auto"/>
        <w:left w:val="none" w:sz="0" w:space="0" w:color="auto"/>
        <w:bottom w:val="none" w:sz="0" w:space="0" w:color="auto"/>
        <w:right w:val="none" w:sz="0" w:space="0" w:color="auto"/>
      </w:divBdr>
    </w:div>
    <w:div w:id="757484416">
      <w:bodyDiv w:val="1"/>
      <w:marLeft w:val="0"/>
      <w:marRight w:val="0"/>
      <w:marTop w:val="0"/>
      <w:marBottom w:val="0"/>
      <w:divBdr>
        <w:top w:val="none" w:sz="0" w:space="0" w:color="auto"/>
        <w:left w:val="none" w:sz="0" w:space="0" w:color="auto"/>
        <w:bottom w:val="none" w:sz="0" w:space="0" w:color="auto"/>
        <w:right w:val="none" w:sz="0" w:space="0" w:color="auto"/>
      </w:divBdr>
    </w:div>
    <w:div w:id="767430797">
      <w:bodyDiv w:val="1"/>
      <w:marLeft w:val="0"/>
      <w:marRight w:val="0"/>
      <w:marTop w:val="0"/>
      <w:marBottom w:val="0"/>
      <w:divBdr>
        <w:top w:val="none" w:sz="0" w:space="0" w:color="auto"/>
        <w:left w:val="none" w:sz="0" w:space="0" w:color="auto"/>
        <w:bottom w:val="none" w:sz="0" w:space="0" w:color="auto"/>
        <w:right w:val="none" w:sz="0" w:space="0" w:color="auto"/>
      </w:divBdr>
    </w:div>
    <w:div w:id="814490491">
      <w:bodyDiv w:val="1"/>
      <w:marLeft w:val="0"/>
      <w:marRight w:val="0"/>
      <w:marTop w:val="0"/>
      <w:marBottom w:val="0"/>
      <w:divBdr>
        <w:top w:val="none" w:sz="0" w:space="0" w:color="auto"/>
        <w:left w:val="none" w:sz="0" w:space="0" w:color="auto"/>
        <w:bottom w:val="none" w:sz="0" w:space="0" w:color="auto"/>
        <w:right w:val="none" w:sz="0" w:space="0" w:color="auto"/>
      </w:divBdr>
      <w:divsChild>
        <w:div w:id="356351943">
          <w:marLeft w:val="274"/>
          <w:marRight w:val="0"/>
          <w:marTop w:val="0"/>
          <w:marBottom w:val="0"/>
          <w:divBdr>
            <w:top w:val="none" w:sz="0" w:space="0" w:color="auto"/>
            <w:left w:val="none" w:sz="0" w:space="0" w:color="auto"/>
            <w:bottom w:val="none" w:sz="0" w:space="0" w:color="auto"/>
            <w:right w:val="none" w:sz="0" w:space="0" w:color="auto"/>
          </w:divBdr>
        </w:div>
      </w:divsChild>
    </w:div>
    <w:div w:id="843401671">
      <w:bodyDiv w:val="1"/>
      <w:marLeft w:val="0"/>
      <w:marRight w:val="0"/>
      <w:marTop w:val="0"/>
      <w:marBottom w:val="0"/>
      <w:divBdr>
        <w:top w:val="none" w:sz="0" w:space="0" w:color="auto"/>
        <w:left w:val="none" w:sz="0" w:space="0" w:color="auto"/>
        <w:bottom w:val="none" w:sz="0" w:space="0" w:color="auto"/>
        <w:right w:val="none" w:sz="0" w:space="0" w:color="auto"/>
      </w:divBdr>
    </w:div>
    <w:div w:id="851844265">
      <w:bodyDiv w:val="1"/>
      <w:marLeft w:val="0"/>
      <w:marRight w:val="0"/>
      <w:marTop w:val="0"/>
      <w:marBottom w:val="0"/>
      <w:divBdr>
        <w:top w:val="none" w:sz="0" w:space="0" w:color="auto"/>
        <w:left w:val="none" w:sz="0" w:space="0" w:color="auto"/>
        <w:bottom w:val="none" w:sz="0" w:space="0" w:color="auto"/>
        <w:right w:val="none" w:sz="0" w:space="0" w:color="auto"/>
      </w:divBdr>
    </w:div>
    <w:div w:id="864365654">
      <w:bodyDiv w:val="1"/>
      <w:marLeft w:val="0"/>
      <w:marRight w:val="0"/>
      <w:marTop w:val="0"/>
      <w:marBottom w:val="0"/>
      <w:divBdr>
        <w:top w:val="none" w:sz="0" w:space="0" w:color="auto"/>
        <w:left w:val="none" w:sz="0" w:space="0" w:color="auto"/>
        <w:bottom w:val="none" w:sz="0" w:space="0" w:color="auto"/>
        <w:right w:val="none" w:sz="0" w:space="0" w:color="auto"/>
      </w:divBdr>
    </w:div>
    <w:div w:id="937951916">
      <w:bodyDiv w:val="1"/>
      <w:marLeft w:val="0"/>
      <w:marRight w:val="0"/>
      <w:marTop w:val="0"/>
      <w:marBottom w:val="0"/>
      <w:divBdr>
        <w:top w:val="none" w:sz="0" w:space="0" w:color="auto"/>
        <w:left w:val="none" w:sz="0" w:space="0" w:color="auto"/>
        <w:bottom w:val="none" w:sz="0" w:space="0" w:color="auto"/>
        <w:right w:val="none" w:sz="0" w:space="0" w:color="auto"/>
      </w:divBdr>
    </w:div>
    <w:div w:id="969478065">
      <w:bodyDiv w:val="1"/>
      <w:marLeft w:val="0"/>
      <w:marRight w:val="0"/>
      <w:marTop w:val="0"/>
      <w:marBottom w:val="0"/>
      <w:divBdr>
        <w:top w:val="none" w:sz="0" w:space="0" w:color="auto"/>
        <w:left w:val="none" w:sz="0" w:space="0" w:color="auto"/>
        <w:bottom w:val="none" w:sz="0" w:space="0" w:color="auto"/>
        <w:right w:val="none" w:sz="0" w:space="0" w:color="auto"/>
      </w:divBdr>
    </w:div>
    <w:div w:id="980961370">
      <w:bodyDiv w:val="1"/>
      <w:marLeft w:val="0"/>
      <w:marRight w:val="0"/>
      <w:marTop w:val="0"/>
      <w:marBottom w:val="0"/>
      <w:divBdr>
        <w:top w:val="none" w:sz="0" w:space="0" w:color="auto"/>
        <w:left w:val="none" w:sz="0" w:space="0" w:color="auto"/>
        <w:bottom w:val="none" w:sz="0" w:space="0" w:color="auto"/>
        <w:right w:val="none" w:sz="0" w:space="0" w:color="auto"/>
      </w:divBdr>
    </w:div>
    <w:div w:id="983463769">
      <w:bodyDiv w:val="1"/>
      <w:marLeft w:val="0"/>
      <w:marRight w:val="0"/>
      <w:marTop w:val="0"/>
      <w:marBottom w:val="0"/>
      <w:divBdr>
        <w:top w:val="none" w:sz="0" w:space="0" w:color="auto"/>
        <w:left w:val="none" w:sz="0" w:space="0" w:color="auto"/>
        <w:bottom w:val="none" w:sz="0" w:space="0" w:color="auto"/>
        <w:right w:val="none" w:sz="0" w:space="0" w:color="auto"/>
      </w:divBdr>
    </w:div>
    <w:div w:id="987319127">
      <w:bodyDiv w:val="1"/>
      <w:marLeft w:val="0"/>
      <w:marRight w:val="0"/>
      <w:marTop w:val="0"/>
      <w:marBottom w:val="0"/>
      <w:divBdr>
        <w:top w:val="none" w:sz="0" w:space="0" w:color="auto"/>
        <w:left w:val="none" w:sz="0" w:space="0" w:color="auto"/>
        <w:bottom w:val="none" w:sz="0" w:space="0" w:color="auto"/>
        <w:right w:val="none" w:sz="0" w:space="0" w:color="auto"/>
      </w:divBdr>
    </w:div>
    <w:div w:id="1001617993">
      <w:bodyDiv w:val="1"/>
      <w:marLeft w:val="0"/>
      <w:marRight w:val="0"/>
      <w:marTop w:val="0"/>
      <w:marBottom w:val="0"/>
      <w:divBdr>
        <w:top w:val="none" w:sz="0" w:space="0" w:color="auto"/>
        <w:left w:val="none" w:sz="0" w:space="0" w:color="auto"/>
        <w:bottom w:val="none" w:sz="0" w:space="0" w:color="auto"/>
        <w:right w:val="none" w:sz="0" w:space="0" w:color="auto"/>
      </w:divBdr>
    </w:div>
    <w:div w:id="1057435004">
      <w:bodyDiv w:val="1"/>
      <w:marLeft w:val="0"/>
      <w:marRight w:val="0"/>
      <w:marTop w:val="0"/>
      <w:marBottom w:val="0"/>
      <w:divBdr>
        <w:top w:val="none" w:sz="0" w:space="0" w:color="auto"/>
        <w:left w:val="none" w:sz="0" w:space="0" w:color="auto"/>
        <w:bottom w:val="none" w:sz="0" w:space="0" w:color="auto"/>
        <w:right w:val="none" w:sz="0" w:space="0" w:color="auto"/>
      </w:divBdr>
    </w:div>
    <w:div w:id="1147863350">
      <w:bodyDiv w:val="1"/>
      <w:marLeft w:val="0"/>
      <w:marRight w:val="0"/>
      <w:marTop w:val="0"/>
      <w:marBottom w:val="0"/>
      <w:divBdr>
        <w:top w:val="none" w:sz="0" w:space="0" w:color="auto"/>
        <w:left w:val="none" w:sz="0" w:space="0" w:color="auto"/>
        <w:bottom w:val="none" w:sz="0" w:space="0" w:color="auto"/>
        <w:right w:val="none" w:sz="0" w:space="0" w:color="auto"/>
      </w:divBdr>
    </w:div>
    <w:div w:id="1216964383">
      <w:bodyDiv w:val="1"/>
      <w:marLeft w:val="0"/>
      <w:marRight w:val="0"/>
      <w:marTop w:val="0"/>
      <w:marBottom w:val="0"/>
      <w:divBdr>
        <w:top w:val="none" w:sz="0" w:space="0" w:color="auto"/>
        <w:left w:val="none" w:sz="0" w:space="0" w:color="auto"/>
        <w:bottom w:val="none" w:sz="0" w:space="0" w:color="auto"/>
        <w:right w:val="none" w:sz="0" w:space="0" w:color="auto"/>
      </w:divBdr>
    </w:div>
    <w:div w:id="1219631082">
      <w:bodyDiv w:val="1"/>
      <w:marLeft w:val="0"/>
      <w:marRight w:val="0"/>
      <w:marTop w:val="0"/>
      <w:marBottom w:val="0"/>
      <w:divBdr>
        <w:top w:val="none" w:sz="0" w:space="0" w:color="auto"/>
        <w:left w:val="none" w:sz="0" w:space="0" w:color="auto"/>
        <w:bottom w:val="none" w:sz="0" w:space="0" w:color="auto"/>
        <w:right w:val="none" w:sz="0" w:space="0" w:color="auto"/>
      </w:divBdr>
    </w:div>
    <w:div w:id="1251044137">
      <w:bodyDiv w:val="1"/>
      <w:marLeft w:val="0"/>
      <w:marRight w:val="0"/>
      <w:marTop w:val="0"/>
      <w:marBottom w:val="0"/>
      <w:divBdr>
        <w:top w:val="none" w:sz="0" w:space="0" w:color="auto"/>
        <w:left w:val="none" w:sz="0" w:space="0" w:color="auto"/>
        <w:bottom w:val="none" w:sz="0" w:space="0" w:color="auto"/>
        <w:right w:val="none" w:sz="0" w:space="0" w:color="auto"/>
      </w:divBdr>
    </w:div>
    <w:div w:id="1280868308">
      <w:bodyDiv w:val="1"/>
      <w:marLeft w:val="0"/>
      <w:marRight w:val="0"/>
      <w:marTop w:val="0"/>
      <w:marBottom w:val="0"/>
      <w:divBdr>
        <w:top w:val="none" w:sz="0" w:space="0" w:color="auto"/>
        <w:left w:val="none" w:sz="0" w:space="0" w:color="auto"/>
        <w:bottom w:val="none" w:sz="0" w:space="0" w:color="auto"/>
        <w:right w:val="none" w:sz="0" w:space="0" w:color="auto"/>
      </w:divBdr>
    </w:div>
    <w:div w:id="1299413293">
      <w:bodyDiv w:val="1"/>
      <w:marLeft w:val="0"/>
      <w:marRight w:val="0"/>
      <w:marTop w:val="0"/>
      <w:marBottom w:val="0"/>
      <w:divBdr>
        <w:top w:val="none" w:sz="0" w:space="0" w:color="auto"/>
        <w:left w:val="none" w:sz="0" w:space="0" w:color="auto"/>
        <w:bottom w:val="none" w:sz="0" w:space="0" w:color="auto"/>
        <w:right w:val="none" w:sz="0" w:space="0" w:color="auto"/>
      </w:divBdr>
    </w:div>
    <w:div w:id="1308507077">
      <w:bodyDiv w:val="1"/>
      <w:marLeft w:val="0"/>
      <w:marRight w:val="0"/>
      <w:marTop w:val="0"/>
      <w:marBottom w:val="0"/>
      <w:divBdr>
        <w:top w:val="none" w:sz="0" w:space="0" w:color="auto"/>
        <w:left w:val="none" w:sz="0" w:space="0" w:color="auto"/>
        <w:bottom w:val="none" w:sz="0" w:space="0" w:color="auto"/>
        <w:right w:val="none" w:sz="0" w:space="0" w:color="auto"/>
      </w:divBdr>
    </w:div>
    <w:div w:id="1325280874">
      <w:bodyDiv w:val="1"/>
      <w:marLeft w:val="0"/>
      <w:marRight w:val="0"/>
      <w:marTop w:val="0"/>
      <w:marBottom w:val="0"/>
      <w:divBdr>
        <w:top w:val="none" w:sz="0" w:space="0" w:color="auto"/>
        <w:left w:val="none" w:sz="0" w:space="0" w:color="auto"/>
        <w:bottom w:val="none" w:sz="0" w:space="0" w:color="auto"/>
        <w:right w:val="none" w:sz="0" w:space="0" w:color="auto"/>
      </w:divBdr>
    </w:div>
    <w:div w:id="1344893839">
      <w:bodyDiv w:val="1"/>
      <w:marLeft w:val="0"/>
      <w:marRight w:val="0"/>
      <w:marTop w:val="0"/>
      <w:marBottom w:val="0"/>
      <w:divBdr>
        <w:top w:val="none" w:sz="0" w:space="0" w:color="auto"/>
        <w:left w:val="none" w:sz="0" w:space="0" w:color="auto"/>
        <w:bottom w:val="none" w:sz="0" w:space="0" w:color="auto"/>
        <w:right w:val="none" w:sz="0" w:space="0" w:color="auto"/>
      </w:divBdr>
    </w:div>
    <w:div w:id="1388996090">
      <w:bodyDiv w:val="1"/>
      <w:marLeft w:val="0"/>
      <w:marRight w:val="0"/>
      <w:marTop w:val="0"/>
      <w:marBottom w:val="0"/>
      <w:divBdr>
        <w:top w:val="none" w:sz="0" w:space="0" w:color="auto"/>
        <w:left w:val="none" w:sz="0" w:space="0" w:color="auto"/>
        <w:bottom w:val="none" w:sz="0" w:space="0" w:color="auto"/>
        <w:right w:val="none" w:sz="0" w:space="0" w:color="auto"/>
      </w:divBdr>
    </w:div>
    <w:div w:id="1480422798">
      <w:bodyDiv w:val="1"/>
      <w:marLeft w:val="0"/>
      <w:marRight w:val="0"/>
      <w:marTop w:val="0"/>
      <w:marBottom w:val="0"/>
      <w:divBdr>
        <w:top w:val="none" w:sz="0" w:space="0" w:color="auto"/>
        <w:left w:val="none" w:sz="0" w:space="0" w:color="auto"/>
        <w:bottom w:val="none" w:sz="0" w:space="0" w:color="auto"/>
        <w:right w:val="none" w:sz="0" w:space="0" w:color="auto"/>
      </w:divBdr>
    </w:div>
    <w:div w:id="1482967879">
      <w:bodyDiv w:val="1"/>
      <w:marLeft w:val="0"/>
      <w:marRight w:val="0"/>
      <w:marTop w:val="0"/>
      <w:marBottom w:val="0"/>
      <w:divBdr>
        <w:top w:val="none" w:sz="0" w:space="0" w:color="auto"/>
        <w:left w:val="none" w:sz="0" w:space="0" w:color="auto"/>
        <w:bottom w:val="none" w:sz="0" w:space="0" w:color="auto"/>
        <w:right w:val="none" w:sz="0" w:space="0" w:color="auto"/>
      </w:divBdr>
    </w:div>
    <w:div w:id="1486050618">
      <w:bodyDiv w:val="1"/>
      <w:marLeft w:val="0"/>
      <w:marRight w:val="0"/>
      <w:marTop w:val="0"/>
      <w:marBottom w:val="0"/>
      <w:divBdr>
        <w:top w:val="none" w:sz="0" w:space="0" w:color="auto"/>
        <w:left w:val="none" w:sz="0" w:space="0" w:color="auto"/>
        <w:bottom w:val="none" w:sz="0" w:space="0" w:color="auto"/>
        <w:right w:val="none" w:sz="0" w:space="0" w:color="auto"/>
      </w:divBdr>
    </w:div>
    <w:div w:id="1510950085">
      <w:bodyDiv w:val="1"/>
      <w:marLeft w:val="0"/>
      <w:marRight w:val="0"/>
      <w:marTop w:val="0"/>
      <w:marBottom w:val="0"/>
      <w:divBdr>
        <w:top w:val="none" w:sz="0" w:space="0" w:color="auto"/>
        <w:left w:val="none" w:sz="0" w:space="0" w:color="auto"/>
        <w:bottom w:val="none" w:sz="0" w:space="0" w:color="auto"/>
        <w:right w:val="none" w:sz="0" w:space="0" w:color="auto"/>
      </w:divBdr>
    </w:div>
    <w:div w:id="1553691045">
      <w:bodyDiv w:val="1"/>
      <w:marLeft w:val="0"/>
      <w:marRight w:val="0"/>
      <w:marTop w:val="0"/>
      <w:marBottom w:val="0"/>
      <w:divBdr>
        <w:top w:val="none" w:sz="0" w:space="0" w:color="auto"/>
        <w:left w:val="none" w:sz="0" w:space="0" w:color="auto"/>
        <w:bottom w:val="none" w:sz="0" w:space="0" w:color="auto"/>
        <w:right w:val="none" w:sz="0" w:space="0" w:color="auto"/>
      </w:divBdr>
    </w:div>
    <w:div w:id="1564293341">
      <w:bodyDiv w:val="1"/>
      <w:marLeft w:val="0"/>
      <w:marRight w:val="0"/>
      <w:marTop w:val="0"/>
      <w:marBottom w:val="0"/>
      <w:divBdr>
        <w:top w:val="none" w:sz="0" w:space="0" w:color="auto"/>
        <w:left w:val="none" w:sz="0" w:space="0" w:color="auto"/>
        <w:bottom w:val="none" w:sz="0" w:space="0" w:color="auto"/>
        <w:right w:val="none" w:sz="0" w:space="0" w:color="auto"/>
      </w:divBdr>
    </w:div>
    <w:div w:id="1569269719">
      <w:bodyDiv w:val="1"/>
      <w:marLeft w:val="0"/>
      <w:marRight w:val="0"/>
      <w:marTop w:val="0"/>
      <w:marBottom w:val="0"/>
      <w:divBdr>
        <w:top w:val="none" w:sz="0" w:space="0" w:color="auto"/>
        <w:left w:val="none" w:sz="0" w:space="0" w:color="auto"/>
        <w:bottom w:val="none" w:sz="0" w:space="0" w:color="auto"/>
        <w:right w:val="none" w:sz="0" w:space="0" w:color="auto"/>
      </w:divBdr>
    </w:div>
    <w:div w:id="1579631343">
      <w:bodyDiv w:val="1"/>
      <w:marLeft w:val="0"/>
      <w:marRight w:val="0"/>
      <w:marTop w:val="0"/>
      <w:marBottom w:val="0"/>
      <w:divBdr>
        <w:top w:val="none" w:sz="0" w:space="0" w:color="auto"/>
        <w:left w:val="none" w:sz="0" w:space="0" w:color="auto"/>
        <w:bottom w:val="none" w:sz="0" w:space="0" w:color="auto"/>
        <w:right w:val="none" w:sz="0" w:space="0" w:color="auto"/>
      </w:divBdr>
    </w:div>
    <w:div w:id="1594241510">
      <w:bodyDiv w:val="1"/>
      <w:marLeft w:val="0"/>
      <w:marRight w:val="0"/>
      <w:marTop w:val="0"/>
      <w:marBottom w:val="0"/>
      <w:divBdr>
        <w:top w:val="none" w:sz="0" w:space="0" w:color="auto"/>
        <w:left w:val="none" w:sz="0" w:space="0" w:color="auto"/>
        <w:bottom w:val="none" w:sz="0" w:space="0" w:color="auto"/>
        <w:right w:val="none" w:sz="0" w:space="0" w:color="auto"/>
      </w:divBdr>
    </w:div>
    <w:div w:id="1645623536">
      <w:bodyDiv w:val="1"/>
      <w:marLeft w:val="0"/>
      <w:marRight w:val="0"/>
      <w:marTop w:val="0"/>
      <w:marBottom w:val="0"/>
      <w:divBdr>
        <w:top w:val="none" w:sz="0" w:space="0" w:color="auto"/>
        <w:left w:val="none" w:sz="0" w:space="0" w:color="auto"/>
        <w:bottom w:val="none" w:sz="0" w:space="0" w:color="auto"/>
        <w:right w:val="none" w:sz="0" w:space="0" w:color="auto"/>
      </w:divBdr>
    </w:div>
    <w:div w:id="1682974127">
      <w:bodyDiv w:val="1"/>
      <w:marLeft w:val="0"/>
      <w:marRight w:val="0"/>
      <w:marTop w:val="0"/>
      <w:marBottom w:val="0"/>
      <w:divBdr>
        <w:top w:val="none" w:sz="0" w:space="0" w:color="auto"/>
        <w:left w:val="none" w:sz="0" w:space="0" w:color="auto"/>
        <w:bottom w:val="none" w:sz="0" w:space="0" w:color="auto"/>
        <w:right w:val="none" w:sz="0" w:space="0" w:color="auto"/>
      </w:divBdr>
    </w:div>
    <w:div w:id="1716928569">
      <w:bodyDiv w:val="1"/>
      <w:marLeft w:val="0"/>
      <w:marRight w:val="0"/>
      <w:marTop w:val="0"/>
      <w:marBottom w:val="0"/>
      <w:divBdr>
        <w:top w:val="none" w:sz="0" w:space="0" w:color="auto"/>
        <w:left w:val="none" w:sz="0" w:space="0" w:color="auto"/>
        <w:bottom w:val="none" w:sz="0" w:space="0" w:color="auto"/>
        <w:right w:val="none" w:sz="0" w:space="0" w:color="auto"/>
      </w:divBdr>
    </w:div>
    <w:div w:id="1747266964">
      <w:bodyDiv w:val="1"/>
      <w:marLeft w:val="0"/>
      <w:marRight w:val="0"/>
      <w:marTop w:val="0"/>
      <w:marBottom w:val="0"/>
      <w:divBdr>
        <w:top w:val="none" w:sz="0" w:space="0" w:color="auto"/>
        <w:left w:val="none" w:sz="0" w:space="0" w:color="auto"/>
        <w:bottom w:val="none" w:sz="0" w:space="0" w:color="auto"/>
        <w:right w:val="none" w:sz="0" w:space="0" w:color="auto"/>
      </w:divBdr>
    </w:div>
    <w:div w:id="1777172199">
      <w:bodyDiv w:val="1"/>
      <w:marLeft w:val="0"/>
      <w:marRight w:val="0"/>
      <w:marTop w:val="0"/>
      <w:marBottom w:val="0"/>
      <w:divBdr>
        <w:top w:val="none" w:sz="0" w:space="0" w:color="auto"/>
        <w:left w:val="none" w:sz="0" w:space="0" w:color="auto"/>
        <w:bottom w:val="none" w:sz="0" w:space="0" w:color="auto"/>
        <w:right w:val="none" w:sz="0" w:space="0" w:color="auto"/>
      </w:divBdr>
    </w:div>
    <w:div w:id="1784882978">
      <w:bodyDiv w:val="1"/>
      <w:marLeft w:val="0"/>
      <w:marRight w:val="0"/>
      <w:marTop w:val="0"/>
      <w:marBottom w:val="0"/>
      <w:divBdr>
        <w:top w:val="none" w:sz="0" w:space="0" w:color="auto"/>
        <w:left w:val="none" w:sz="0" w:space="0" w:color="auto"/>
        <w:bottom w:val="none" w:sz="0" w:space="0" w:color="auto"/>
        <w:right w:val="none" w:sz="0" w:space="0" w:color="auto"/>
      </w:divBdr>
    </w:div>
    <w:div w:id="1849706973">
      <w:bodyDiv w:val="1"/>
      <w:marLeft w:val="0"/>
      <w:marRight w:val="0"/>
      <w:marTop w:val="0"/>
      <w:marBottom w:val="0"/>
      <w:divBdr>
        <w:top w:val="none" w:sz="0" w:space="0" w:color="auto"/>
        <w:left w:val="none" w:sz="0" w:space="0" w:color="auto"/>
        <w:bottom w:val="none" w:sz="0" w:space="0" w:color="auto"/>
        <w:right w:val="none" w:sz="0" w:space="0" w:color="auto"/>
      </w:divBdr>
    </w:div>
    <w:div w:id="2009627536">
      <w:bodyDiv w:val="1"/>
      <w:marLeft w:val="0"/>
      <w:marRight w:val="0"/>
      <w:marTop w:val="0"/>
      <w:marBottom w:val="0"/>
      <w:divBdr>
        <w:top w:val="none" w:sz="0" w:space="0" w:color="auto"/>
        <w:left w:val="none" w:sz="0" w:space="0" w:color="auto"/>
        <w:bottom w:val="none" w:sz="0" w:space="0" w:color="auto"/>
        <w:right w:val="none" w:sz="0" w:space="0" w:color="auto"/>
      </w:divBdr>
    </w:div>
    <w:div w:id="2020429223">
      <w:bodyDiv w:val="1"/>
      <w:marLeft w:val="0"/>
      <w:marRight w:val="0"/>
      <w:marTop w:val="0"/>
      <w:marBottom w:val="0"/>
      <w:divBdr>
        <w:top w:val="none" w:sz="0" w:space="0" w:color="auto"/>
        <w:left w:val="none" w:sz="0" w:space="0" w:color="auto"/>
        <w:bottom w:val="none" w:sz="0" w:space="0" w:color="auto"/>
        <w:right w:val="none" w:sz="0" w:space="0" w:color="auto"/>
      </w:divBdr>
    </w:div>
    <w:div w:id="2060860141">
      <w:bodyDiv w:val="1"/>
      <w:marLeft w:val="0"/>
      <w:marRight w:val="0"/>
      <w:marTop w:val="0"/>
      <w:marBottom w:val="0"/>
      <w:divBdr>
        <w:top w:val="none" w:sz="0" w:space="0" w:color="auto"/>
        <w:left w:val="none" w:sz="0" w:space="0" w:color="auto"/>
        <w:bottom w:val="none" w:sz="0" w:space="0" w:color="auto"/>
        <w:right w:val="none" w:sz="0" w:space="0" w:color="auto"/>
      </w:divBdr>
    </w:div>
    <w:div w:id="2064057149">
      <w:bodyDiv w:val="1"/>
      <w:marLeft w:val="0"/>
      <w:marRight w:val="0"/>
      <w:marTop w:val="0"/>
      <w:marBottom w:val="0"/>
      <w:divBdr>
        <w:top w:val="none" w:sz="0" w:space="0" w:color="auto"/>
        <w:left w:val="none" w:sz="0" w:space="0" w:color="auto"/>
        <w:bottom w:val="none" w:sz="0" w:space="0" w:color="auto"/>
        <w:right w:val="none" w:sz="0" w:space="0" w:color="auto"/>
      </w:divBdr>
    </w:div>
    <w:div w:id="2078043390">
      <w:bodyDiv w:val="1"/>
      <w:marLeft w:val="0"/>
      <w:marRight w:val="0"/>
      <w:marTop w:val="0"/>
      <w:marBottom w:val="0"/>
      <w:divBdr>
        <w:top w:val="none" w:sz="0" w:space="0" w:color="auto"/>
        <w:left w:val="none" w:sz="0" w:space="0" w:color="auto"/>
        <w:bottom w:val="none" w:sz="0" w:space="0" w:color="auto"/>
        <w:right w:val="none" w:sz="0" w:space="0" w:color="auto"/>
      </w:divBdr>
    </w:div>
    <w:div w:id="2109039243">
      <w:bodyDiv w:val="1"/>
      <w:marLeft w:val="0"/>
      <w:marRight w:val="0"/>
      <w:marTop w:val="0"/>
      <w:marBottom w:val="0"/>
      <w:divBdr>
        <w:top w:val="none" w:sz="0" w:space="0" w:color="auto"/>
        <w:left w:val="none" w:sz="0" w:space="0" w:color="auto"/>
        <w:bottom w:val="none" w:sz="0" w:space="0" w:color="auto"/>
        <w:right w:val="none" w:sz="0" w:space="0" w:color="auto"/>
      </w:divBdr>
    </w:div>
    <w:div w:id="21349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1bac89f0-b805-4234-bb1a-c7eda73a45ef">
      <Value>Report</Value>
    </Document_x0020_type>
    <NFRS_x0020_department xmlns="1bac89f0-b805-4234-bb1a-c7eda73a45ef">
      <Value>Service Improvement</Value>
    </NFRS_x0020_department>
    <Published_x0020_date xmlns="1bac89f0-b805-4234-bb1a-c7eda73a45ef">2021-01-12T00:00:00+00:00</Published_x0020_date>
    <Owner_x0020_Job_x0020_Title xmlns="1bac89f0-b805-4234-bb1a-c7eda73a45ef">risk and planning manager</Owner_x0020_Job_x0020_Title>
    <Subject_x002f_description xmlns="1bac89f0-b805-4234-bb1a-c7eda73a45ef" xsi:nil="true"/>
    <Retention_x002f_review_x0020_date xmlns="1bac89f0-b805-4234-bb1a-c7eda73a45ef">2021-03-30T23:00:00+00:00</Retention_x002f_review_x0020_date>
    <Protective_x0020_marking xmlns="1bac89f0-b805-4234-bb1a-c7eda73a45ef">Official</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F5AE1A97B8045BFD40A710DD67A55" ma:contentTypeVersion="0" ma:contentTypeDescription="Create a new document." ma:contentTypeScope="" ma:versionID="8a47e5156f1f254497ab05b3bf56e3ad">
  <xsd:schema xmlns:xsd="http://www.w3.org/2001/XMLSchema" xmlns:xs="http://www.w3.org/2001/XMLSchema" xmlns:p="http://schemas.microsoft.com/office/2006/metadata/properties" xmlns:ns2="1bac89f0-b805-4234-bb1a-c7eda73a45ef" targetNamespace="http://schemas.microsoft.com/office/2006/metadata/properties" ma:root="true" ma:fieldsID="b827fccb2b073c397c007405f66fe5c2" ns2:_="">
    <xsd:import namespace="1bac89f0-b805-4234-bb1a-c7eda73a45ef"/>
    <xsd:element name="properties">
      <xsd:complexType>
        <xsd:sequence>
          <xsd:element name="documentManagement">
            <xsd:complexType>
              <xsd:all>
                <xsd:element ref="ns2:Subject_x002f_description" minOccurs="0"/>
                <xsd:element ref="ns2:Owner_x0020_Job_x0020_Title"/>
                <xsd:element ref="ns2:NFRS_x0020_department" minOccurs="0"/>
                <xsd:element ref="ns2:Document_x0020_type" minOccurs="0"/>
                <xsd:element ref="ns2:Published_x0020_date" minOccurs="0"/>
                <xsd:element ref="ns2:Retention_x002f_review_x0020_date"/>
                <xsd:element ref="ns2:Protective_x0020_mark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89f0-b805-4234-bb1a-c7eda73a45ef" elementFormDefault="qualified">
    <xsd:import namespace="http://schemas.microsoft.com/office/2006/documentManagement/types"/>
    <xsd:import namespace="http://schemas.microsoft.com/office/infopath/2007/PartnerControls"/>
    <xsd:element name="Subject_x002f_description" ma:index="2" nillable="true" ma:displayName="Subject/description" ma:internalName="Subject_x002F_description">
      <xsd:simpleType>
        <xsd:restriction base="dms:Note">
          <xsd:maxLength value="255"/>
        </xsd:restriction>
      </xsd:simpleType>
    </xsd:element>
    <xsd:element name="Owner_x0020_Job_x0020_Title" ma:index="3" ma:displayName="Owner job title" ma:internalName="Owner_x0020_Job_x0020_Title">
      <xsd:simpleType>
        <xsd:restriction base="dms:Text">
          <xsd:maxLength value="255"/>
        </xsd:restriction>
      </xsd:simpleType>
    </xsd:element>
    <xsd:element name="NFRS_x0020_department" ma:index="4" nillable="true" ma:displayName="NFRS department" ma:internalName="NFRS_x0020_department" ma:requiredMultiChoice="true">
      <xsd:complexType>
        <xsd:complexContent>
          <xsd:extension base="dms:MultiChoice">
            <xsd:sequence>
              <xsd:element name="Value" maxOccurs="unbounded" minOccurs="0" nillable="true">
                <xsd:simpleType>
                  <xsd:restriction base="dms:Choice">
                    <xsd:enumeration value="Community Prevention"/>
                    <xsd:enumeration value="Community Protection"/>
                    <xsd:enumeration value="CRGs"/>
                    <xsd:enumeration value="Engineering Services"/>
                    <xsd:enumeration value="Fire Control"/>
                    <xsd:enumeration value="Health and Safety"/>
                    <xsd:enumeration value="HR"/>
                    <xsd:enumeration value="Information Systems Group"/>
                    <xsd:enumeration value="Service Information"/>
                    <xsd:enumeration value="Service Improvement"/>
                    <xsd:enumeration value="SLT"/>
                    <xsd:enumeration value="Operations"/>
                    <xsd:enumeration value="Projects"/>
                    <xsd:enumeration value="Training and Development"/>
                  </xsd:restriction>
                </xsd:simpleType>
              </xsd:element>
            </xsd:sequence>
          </xsd:extension>
        </xsd:complexContent>
      </xsd:complexType>
    </xsd:element>
    <xsd:element name="Document_x0020_type" ma:index="5"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Correspondence (letter/e-mail/memo etc.)"/>
                    <xsd:enumeration value="EqIA"/>
                    <xsd:enumeration value="Fire Alert"/>
                    <xsd:enumeration value="Form (FB form etc.)"/>
                    <xsd:enumeration value="Guidance"/>
                    <xsd:enumeration value="Meetings (minutes/agenda etc.)"/>
                    <xsd:enumeration value="Picture"/>
                    <xsd:enumeration value="Report"/>
                    <xsd:enumeration value="Risk Assessment"/>
                    <xsd:enumeration value="Service document (SOP/SLA/GRA/ISA etc.)"/>
                    <xsd:enumeration value="Template"/>
                  </xsd:restriction>
                </xsd:simpleType>
              </xsd:element>
            </xsd:sequence>
          </xsd:extension>
        </xsd:complexContent>
      </xsd:complexType>
    </xsd:element>
    <xsd:element name="Published_x0020_date" ma:index="6" nillable="true" ma:displayName="Published date" ma:format="DateOnly" ma:internalName="Published_x0020_date">
      <xsd:simpleType>
        <xsd:restriction base="dms:DateTime"/>
      </xsd:simpleType>
    </xsd:element>
    <xsd:element name="Retention_x002f_review_x0020_date" ma:index="7" ma:displayName="Review date" ma:format="DateOnly" ma:internalName="Retention_x002F_review_x0020_date">
      <xsd:simpleType>
        <xsd:restriction base="dms:DateTime"/>
      </xsd:simpleType>
    </xsd:element>
    <xsd:element name="Protective_x0020_marking" ma:index="8" ma:displayName="Security classification" ma:default="Official" ma:format="Dropdown" ma:internalName="Protective_x0020_marking">
      <xsd:simpleType>
        <xsd:restriction base="dms:Choice">
          <xsd:enumeration value="Official"/>
          <xsd:enumeration value="Official - Sensitive"/>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7A5F-4E08-45EF-B895-57BFF07FC632}">
  <ds:schemaRefs>
    <ds:schemaRef ds:uri="http://schemas.microsoft.com/sharepoint/v3/contenttype/forms"/>
  </ds:schemaRefs>
</ds:datastoreItem>
</file>

<file path=customXml/itemProps2.xml><?xml version="1.0" encoding="utf-8"?>
<ds:datastoreItem xmlns:ds="http://schemas.openxmlformats.org/officeDocument/2006/customXml" ds:itemID="{25C4214B-CDFE-4DA3-AA9B-BDCCCF025FC9}">
  <ds:schemaRefs>
    <ds:schemaRef ds:uri="http://schemas.microsoft.com/office/2006/metadata/properties"/>
    <ds:schemaRef ds:uri="http://schemas.microsoft.com/office/infopath/2007/PartnerControls"/>
    <ds:schemaRef ds:uri="1bac89f0-b805-4234-bb1a-c7eda73a45ef"/>
  </ds:schemaRefs>
</ds:datastoreItem>
</file>

<file path=customXml/itemProps3.xml><?xml version="1.0" encoding="utf-8"?>
<ds:datastoreItem xmlns:ds="http://schemas.openxmlformats.org/officeDocument/2006/customXml" ds:itemID="{21C16B25-2659-4569-B2CA-FAE8F0D3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89f0-b805-4234-bb1a-c7eda73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2BEC4-7175-4E38-BFA0-FC0B24B7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10009</Words>
  <Characters>57054</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66930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Richard</dc:creator>
  <cp:keywords/>
  <dc:description/>
  <cp:lastModifiedBy>Osborne Kate</cp:lastModifiedBy>
  <cp:revision>2</cp:revision>
  <cp:lastPrinted>2024-11-18T15:03:00Z</cp:lastPrinted>
  <dcterms:created xsi:type="dcterms:W3CDTF">2025-07-02T06:02:00Z</dcterms:created>
  <dcterms:modified xsi:type="dcterms:W3CDTF">2025-07-02T06:02:00Z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0x010100C2BF5AE1A97B8045BFD40A710DD67A55</vt:lpwstr>
  </property>
  <property fmtid="{D5CDD505-2E9C-101B-9397-08002B2CF9AE}" pid="3" name="MSIP_Label_d9cd4a6a-7014-48d6-b119-9b8b87129a7e_Enabled">
    <vt:lpwstr>True</vt:lpwstr>
  </property>
  <property fmtid="{D5CDD505-2E9C-101B-9397-08002B2CF9AE}" pid="4" name="MSIP_Label_d9cd4a6a-7014-48d6-b119-9b8b87129a7e_SiteId">
    <vt:lpwstr>bf91f36f-ab89-4503-8c3f-04a029f837d3</vt:lpwstr>
  </property>
  <property fmtid="{D5CDD505-2E9C-101B-9397-08002B2CF9AE}" pid="5" name="MSIP_Label_d9cd4a6a-7014-48d6-b119-9b8b87129a7e_Owner">
    <vt:lpwstr>Lemuel.Freezer@northants.police.uk</vt:lpwstr>
  </property>
  <property fmtid="{D5CDD505-2E9C-101B-9397-08002B2CF9AE}" pid="6" name="MSIP_Label_d9cd4a6a-7014-48d6-b119-9b8b87129a7e_SetDate">
    <vt:lpwstr>2021-09-15T06:34:37.2526327Z</vt:lpwstr>
  </property>
  <property fmtid="{D5CDD505-2E9C-101B-9397-08002B2CF9AE}" pid="7" name="MSIP_Label_d9cd4a6a-7014-48d6-b119-9b8b87129a7e_Name">
    <vt:lpwstr>OFFICIAL</vt:lpwstr>
  </property>
  <property fmtid="{D5CDD505-2E9C-101B-9397-08002B2CF9AE}" pid="8" name="MSIP_Label_d9cd4a6a-7014-48d6-b119-9b8b87129a7e_Application">
    <vt:lpwstr>Microsoft Azure Information Protection</vt:lpwstr>
  </property>
  <property fmtid="{D5CDD505-2E9C-101B-9397-08002B2CF9AE}" pid="9" name="MSIP_Label_d9cd4a6a-7014-48d6-b119-9b8b87129a7e_Extended_MSFT_Method">
    <vt:lpwstr>Automatic</vt:lpwstr>
  </property>
  <property fmtid="{D5CDD505-2E9C-101B-9397-08002B2CF9AE}" pid="10" name="Sensitivity">
    <vt:lpwstr>OFFICIAL</vt:lpwstr>
  </property>
</Properties>
</file>