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E805C" w14:textId="4ED06ABB" w:rsidR="003B38F4" w:rsidRDefault="003B38F4" w:rsidP="003B38F4">
      <w:pPr>
        <w:tabs>
          <w:tab w:val="left" w:pos="5028"/>
        </w:tabs>
      </w:pPr>
      <w:r>
        <w:tab/>
      </w:r>
      <w:r>
        <w:tab/>
      </w:r>
      <w:r>
        <w:tab/>
      </w:r>
      <w:r>
        <w:tab/>
      </w:r>
    </w:p>
    <w:p w14:paraId="3D6F323F" w14:textId="0568A512" w:rsidR="003B38F4" w:rsidRPr="003B38F4" w:rsidRDefault="00D11BF2" w:rsidP="00D11BF2">
      <w:pPr>
        <w:tabs>
          <w:tab w:val="left" w:pos="3372"/>
        </w:tabs>
        <w:jc w:val="right"/>
      </w:pPr>
      <w:r>
        <w:t>AGENDA ITEM 7</w:t>
      </w:r>
    </w:p>
    <w:p w14:paraId="6DE77925" w14:textId="77777777" w:rsidR="00F321F3" w:rsidRDefault="00F321F3" w:rsidP="003B38F4">
      <w:pPr>
        <w:tabs>
          <w:tab w:val="left" w:pos="2604"/>
        </w:tabs>
        <w:jc w:val="center"/>
        <w:rPr>
          <w:rFonts w:ascii="Arial" w:hAnsi="Arial" w:cs="Arial"/>
          <w:b/>
          <w:sz w:val="24"/>
          <w:szCs w:val="24"/>
        </w:rPr>
      </w:pPr>
    </w:p>
    <w:p w14:paraId="57E44960" w14:textId="77777777" w:rsidR="004C3A04" w:rsidRDefault="004C3A04" w:rsidP="004C3A04">
      <w:pPr>
        <w:tabs>
          <w:tab w:val="left" w:pos="2604"/>
        </w:tabs>
        <w:jc w:val="center"/>
        <w:rPr>
          <w:rFonts w:ascii="Arial" w:hAnsi="Arial" w:cs="Arial"/>
          <w:b/>
          <w:sz w:val="24"/>
          <w:szCs w:val="24"/>
        </w:rPr>
      </w:pPr>
      <w:r w:rsidRPr="003B38F4">
        <w:rPr>
          <w:rFonts w:ascii="Arial" w:hAnsi="Arial" w:cs="Arial"/>
          <w:b/>
          <w:sz w:val="24"/>
          <w:szCs w:val="24"/>
        </w:rPr>
        <w:t>NO</w:t>
      </w:r>
      <w:r>
        <w:rPr>
          <w:rFonts w:ascii="Arial" w:hAnsi="Arial" w:cs="Arial"/>
          <w:b/>
          <w:sz w:val="24"/>
          <w:szCs w:val="24"/>
        </w:rPr>
        <w:t xml:space="preserve">RTHAMPTONSHIRE POLICE, FIRE AND CRIME </w:t>
      </w:r>
      <w:r w:rsidRPr="003B38F4">
        <w:rPr>
          <w:rFonts w:ascii="Arial" w:hAnsi="Arial" w:cs="Arial"/>
          <w:b/>
          <w:sz w:val="24"/>
          <w:szCs w:val="24"/>
        </w:rPr>
        <w:t xml:space="preserve">COMMISSIONER </w:t>
      </w:r>
    </w:p>
    <w:p w14:paraId="6BDFBD84" w14:textId="77777777" w:rsidR="004C3A04" w:rsidRPr="003B38F4" w:rsidRDefault="004C3A04" w:rsidP="004C3A04">
      <w:pPr>
        <w:tabs>
          <w:tab w:val="left" w:pos="2604"/>
        </w:tabs>
        <w:jc w:val="center"/>
        <w:rPr>
          <w:rFonts w:ascii="Arial" w:hAnsi="Arial" w:cs="Arial"/>
          <w:b/>
          <w:sz w:val="24"/>
          <w:szCs w:val="24"/>
        </w:rPr>
      </w:pPr>
      <w:r w:rsidRPr="003B38F4">
        <w:rPr>
          <w:rFonts w:ascii="Arial" w:hAnsi="Arial" w:cs="Arial"/>
          <w:b/>
          <w:sz w:val="24"/>
          <w:szCs w:val="24"/>
        </w:rPr>
        <w:t xml:space="preserve">AND NORTHAMPTONSHIRE </w:t>
      </w:r>
      <w:r>
        <w:rPr>
          <w:rFonts w:ascii="Arial" w:hAnsi="Arial" w:cs="Arial"/>
          <w:b/>
          <w:sz w:val="24"/>
          <w:szCs w:val="24"/>
        </w:rPr>
        <w:t>FIRE AND RESCUE SERVICE</w:t>
      </w:r>
    </w:p>
    <w:p w14:paraId="01766266" w14:textId="77777777" w:rsidR="004C3A04" w:rsidRDefault="004C3A04" w:rsidP="004C3A04">
      <w:pPr>
        <w:tabs>
          <w:tab w:val="left" w:pos="2604"/>
        </w:tabs>
        <w:jc w:val="center"/>
        <w:rPr>
          <w:rFonts w:ascii="Arial" w:hAnsi="Arial" w:cs="Arial"/>
          <w:b/>
          <w:sz w:val="24"/>
          <w:szCs w:val="24"/>
        </w:rPr>
      </w:pPr>
      <w:r>
        <w:rPr>
          <w:rFonts w:ascii="Arial" w:hAnsi="Arial" w:cs="Arial"/>
          <w:b/>
          <w:sz w:val="24"/>
          <w:szCs w:val="24"/>
        </w:rPr>
        <w:t>Joint Independent Audit Committee Report</w:t>
      </w:r>
    </w:p>
    <w:p w14:paraId="53D97D36" w14:textId="77777777" w:rsidR="003B38F4" w:rsidRPr="003B38F4" w:rsidRDefault="003B38F4" w:rsidP="003B38F4">
      <w:pPr>
        <w:tabs>
          <w:tab w:val="left" w:pos="216"/>
          <w:tab w:val="left" w:pos="2604"/>
        </w:tabs>
        <w:rPr>
          <w:rFonts w:ascii="Arial" w:hAnsi="Arial" w:cs="Arial"/>
          <w:color w:val="FF0000"/>
          <w:sz w:val="24"/>
          <w:szCs w:val="24"/>
        </w:rPr>
      </w:pPr>
      <w:r>
        <w:rPr>
          <w:rFonts w:ascii="Arial" w:hAnsi="Arial" w:cs="Arial"/>
          <w:color w:val="FF0000"/>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6894"/>
      </w:tblGrid>
      <w:tr w:rsidR="00F321F3" w:rsidRPr="0076765A" w14:paraId="753BADEC" w14:textId="77777777" w:rsidTr="004C3A04">
        <w:trPr>
          <w:trHeight w:val="455"/>
          <w:jc w:val="center"/>
        </w:trPr>
        <w:tc>
          <w:tcPr>
            <w:tcW w:w="1177" w:type="pct"/>
            <w:shd w:val="clear" w:color="auto" w:fill="A6A6A6" w:themeFill="background1" w:themeFillShade="A6"/>
            <w:vAlign w:val="center"/>
          </w:tcPr>
          <w:p w14:paraId="59A558F5" w14:textId="77777777" w:rsidR="00F321F3" w:rsidRDefault="00F321F3" w:rsidP="0022570C">
            <w:pPr>
              <w:rPr>
                <w:rFonts w:ascii="Arial" w:hAnsi="Arial" w:cs="Arial"/>
                <w:b/>
              </w:rPr>
            </w:pPr>
            <w:r>
              <w:rPr>
                <w:rFonts w:ascii="Arial" w:hAnsi="Arial" w:cs="Arial"/>
                <w:b/>
              </w:rPr>
              <w:t>Report Title</w:t>
            </w:r>
          </w:p>
        </w:tc>
        <w:tc>
          <w:tcPr>
            <w:tcW w:w="3823" w:type="pct"/>
            <w:vAlign w:val="center"/>
          </w:tcPr>
          <w:p w14:paraId="37528EC3" w14:textId="50B7C140" w:rsidR="00F321F3" w:rsidRPr="0076765A" w:rsidRDefault="00441D4F" w:rsidP="00167022">
            <w:pPr>
              <w:rPr>
                <w:rFonts w:ascii="Arial" w:hAnsi="Arial" w:cs="Arial"/>
                <w:b/>
                <w:bCs/>
                <w:szCs w:val="28"/>
              </w:rPr>
            </w:pPr>
            <w:r>
              <w:rPr>
                <w:rFonts w:ascii="Arial" w:hAnsi="Arial" w:cs="Arial"/>
                <w:b/>
                <w:bCs/>
                <w:szCs w:val="28"/>
              </w:rPr>
              <w:t>Internal Audit Summary Report</w:t>
            </w:r>
          </w:p>
        </w:tc>
      </w:tr>
      <w:tr w:rsidR="00593568" w:rsidRPr="00880D74" w14:paraId="52676531" w14:textId="77777777" w:rsidTr="004C3A04">
        <w:trPr>
          <w:trHeight w:val="405"/>
          <w:jc w:val="center"/>
        </w:trPr>
        <w:tc>
          <w:tcPr>
            <w:tcW w:w="1177" w:type="pct"/>
            <w:shd w:val="clear" w:color="auto" w:fill="A6A6A6" w:themeFill="background1" w:themeFillShade="A6"/>
            <w:vAlign w:val="center"/>
          </w:tcPr>
          <w:p w14:paraId="0D8C23D5" w14:textId="77777777" w:rsidR="00593568" w:rsidRPr="00880D74" w:rsidRDefault="00593568" w:rsidP="0022570C">
            <w:pPr>
              <w:rPr>
                <w:rFonts w:ascii="Arial" w:hAnsi="Arial" w:cs="Arial"/>
                <w:b/>
              </w:rPr>
            </w:pPr>
            <w:r w:rsidRPr="00880D74">
              <w:rPr>
                <w:rFonts w:ascii="Arial" w:hAnsi="Arial" w:cs="Arial"/>
                <w:b/>
              </w:rPr>
              <w:t xml:space="preserve">Meeting </w:t>
            </w:r>
            <w:r>
              <w:rPr>
                <w:rFonts w:ascii="Arial" w:hAnsi="Arial" w:cs="Arial"/>
                <w:b/>
              </w:rPr>
              <w:t>Date</w:t>
            </w:r>
          </w:p>
        </w:tc>
        <w:tc>
          <w:tcPr>
            <w:tcW w:w="3823" w:type="pct"/>
            <w:vAlign w:val="center"/>
          </w:tcPr>
          <w:p w14:paraId="544767D6" w14:textId="23366A01" w:rsidR="00593568" w:rsidRPr="00880D74" w:rsidRDefault="00CD258F" w:rsidP="0022570C">
            <w:pPr>
              <w:rPr>
                <w:rFonts w:ascii="Arial" w:hAnsi="Arial" w:cs="Arial"/>
                <w:b/>
                <w:bCs/>
              </w:rPr>
            </w:pPr>
            <w:r>
              <w:rPr>
                <w:rFonts w:ascii="Arial" w:hAnsi="Arial" w:cs="Arial"/>
                <w:b/>
                <w:bCs/>
              </w:rPr>
              <w:t>03 December</w:t>
            </w:r>
            <w:r w:rsidR="000E06F9">
              <w:rPr>
                <w:rFonts w:ascii="Arial" w:hAnsi="Arial" w:cs="Arial"/>
                <w:b/>
                <w:bCs/>
              </w:rPr>
              <w:t xml:space="preserve"> 2025</w:t>
            </w:r>
          </w:p>
        </w:tc>
      </w:tr>
      <w:tr w:rsidR="00593568" w:rsidRPr="00DF1150" w14:paraId="09C66C0E" w14:textId="77777777" w:rsidTr="004C3A04">
        <w:trPr>
          <w:trHeight w:val="412"/>
          <w:jc w:val="center"/>
        </w:trPr>
        <w:tc>
          <w:tcPr>
            <w:tcW w:w="1177" w:type="pct"/>
            <w:shd w:val="clear" w:color="auto" w:fill="A6A6A6" w:themeFill="background1" w:themeFillShade="A6"/>
            <w:vAlign w:val="center"/>
          </w:tcPr>
          <w:p w14:paraId="63A1EA95" w14:textId="77777777" w:rsidR="00593568" w:rsidRDefault="00593568" w:rsidP="0022570C">
            <w:pPr>
              <w:rPr>
                <w:rFonts w:ascii="Arial" w:hAnsi="Arial" w:cs="Arial"/>
                <w:b/>
              </w:rPr>
            </w:pPr>
            <w:r>
              <w:rPr>
                <w:rFonts w:ascii="Arial" w:hAnsi="Arial" w:cs="Arial"/>
                <w:b/>
              </w:rPr>
              <w:t>Author</w:t>
            </w:r>
          </w:p>
        </w:tc>
        <w:tc>
          <w:tcPr>
            <w:tcW w:w="3823" w:type="pct"/>
            <w:vAlign w:val="center"/>
          </w:tcPr>
          <w:p w14:paraId="55B1318A" w14:textId="62A0E35D" w:rsidR="00593568" w:rsidRPr="00DF1150" w:rsidRDefault="00A67A87" w:rsidP="0022570C">
            <w:pPr>
              <w:rPr>
                <w:rFonts w:ascii="Arial" w:hAnsi="Arial" w:cs="Arial"/>
                <w:b/>
              </w:rPr>
            </w:pPr>
            <w:r>
              <w:rPr>
                <w:rFonts w:ascii="Arial" w:hAnsi="Arial" w:cs="Arial"/>
                <w:b/>
              </w:rPr>
              <w:t>Don Crook – Assurance Manager</w:t>
            </w:r>
          </w:p>
        </w:tc>
      </w:tr>
    </w:tbl>
    <w:p w14:paraId="1C2BFE4D" w14:textId="77777777" w:rsidR="003B38F4" w:rsidRDefault="003B38F4" w:rsidP="003B38F4">
      <w:pPr>
        <w:tabs>
          <w:tab w:val="left" w:pos="216"/>
          <w:tab w:val="left" w:pos="2604"/>
        </w:tabs>
        <w:rPr>
          <w:rFonts w:ascii="Arial" w:hAnsi="Arial" w:cs="Arial"/>
          <w:color w:val="FF0000"/>
          <w:sz w:val="24"/>
          <w:szCs w:val="24"/>
        </w:rPr>
      </w:pPr>
    </w:p>
    <w:p w14:paraId="1DD3ED74" w14:textId="09B233C3" w:rsidR="00C31943" w:rsidRDefault="003B38F4" w:rsidP="008E7850">
      <w:pPr>
        <w:pStyle w:val="ListParagraph"/>
        <w:numPr>
          <w:ilvl w:val="0"/>
          <w:numId w:val="25"/>
        </w:numPr>
        <w:ind w:left="426" w:hanging="426"/>
        <w:rPr>
          <w:rFonts w:ascii="Verdana" w:hAnsi="Verdana" w:cs="Arial"/>
          <w:b/>
          <w:u w:val="single"/>
        </w:rPr>
      </w:pPr>
      <w:r w:rsidRPr="009F70FF">
        <w:rPr>
          <w:rFonts w:ascii="Verdana" w:hAnsi="Verdana" w:cs="Arial"/>
          <w:b/>
          <w:u w:val="single"/>
        </w:rPr>
        <w:t xml:space="preserve">Purpose of </w:t>
      </w:r>
      <w:r w:rsidR="00FD1FAB" w:rsidRPr="009F70FF">
        <w:rPr>
          <w:rFonts w:ascii="Verdana" w:hAnsi="Verdana" w:cs="Arial"/>
          <w:b/>
          <w:u w:val="single"/>
        </w:rPr>
        <w:t>the R</w:t>
      </w:r>
      <w:r w:rsidRPr="009F70FF">
        <w:rPr>
          <w:rFonts w:ascii="Verdana" w:hAnsi="Verdana" w:cs="Arial"/>
          <w:b/>
          <w:u w:val="single"/>
        </w:rPr>
        <w:t>eport</w:t>
      </w:r>
    </w:p>
    <w:p w14:paraId="56092CCA" w14:textId="589CE1EE" w:rsidR="001660A9" w:rsidRDefault="00441D4F" w:rsidP="00FD1FAB">
      <w:pPr>
        <w:tabs>
          <w:tab w:val="left" w:pos="216"/>
          <w:tab w:val="left" w:pos="2604"/>
        </w:tabs>
        <w:jc w:val="both"/>
        <w:rPr>
          <w:rFonts w:ascii="Verdana" w:eastAsia="Verdana" w:hAnsi="Verdana" w:cstheme="minorHAnsi"/>
        </w:rPr>
      </w:pPr>
      <w:r w:rsidRPr="001254EE">
        <w:rPr>
          <w:rFonts w:ascii="Verdana" w:eastAsia="Verdana" w:hAnsi="Verdana" w:cstheme="minorHAnsi"/>
        </w:rPr>
        <w:t>This report provides the Accountability Board with an update on t</w:t>
      </w:r>
      <w:r w:rsidR="00251FF5" w:rsidRPr="001254EE">
        <w:rPr>
          <w:rFonts w:ascii="Verdana" w:eastAsia="Verdana" w:hAnsi="Verdana" w:cstheme="minorHAnsi"/>
        </w:rPr>
        <w:t xml:space="preserve">he </w:t>
      </w:r>
      <w:r w:rsidR="00FD7737">
        <w:rPr>
          <w:rFonts w:ascii="Verdana" w:eastAsia="Verdana" w:hAnsi="Verdana" w:cstheme="minorHAnsi"/>
        </w:rPr>
        <w:t xml:space="preserve">service improvement associated with the HMICFRS inspection </w:t>
      </w:r>
      <w:r w:rsidR="0045033E">
        <w:rPr>
          <w:rFonts w:ascii="Verdana" w:eastAsia="Verdana" w:hAnsi="Verdana" w:cstheme="minorHAnsi"/>
        </w:rPr>
        <w:t>programme</w:t>
      </w:r>
      <w:r w:rsidR="00FD7737">
        <w:rPr>
          <w:rFonts w:ascii="Verdana" w:eastAsia="Verdana" w:hAnsi="Verdana" w:cstheme="minorHAnsi"/>
        </w:rPr>
        <w:t>.</w:t>
      </w:r>
      <w:r w:rsidR="00251FF5" w:rsidRPr="001254EE">
        <w:rPr>
          <w:rFonts w:ascii="Verdana" w:eastAsia="Verdana" w:hAnsi="Verdana" w:cstheme="minorHAnsi"/>
        </w:rPr>
        <w:t xml:space="preserve"> </w:t>
      </w:r>
    </w:p>
    <w:p w14:paraId="3D83A8CD" w14:textId="77777777" w:rsidR="006F7A06" w:rsidRDefault="006F7A06" w:rsidP="00FD1FAB">
      <w:pPr>
        <w:tabs>
          <w:tab w:val="left" w:pos="216"/>
          <w:tab w:val="left" w:pos="2604"/>
        </w:tabs>
        <w:jc w:val="both"/>
        <w:rPr>
          <w:rFonts w:ascii="Verdana" w:eastAsia="Verdana" w:hAnsi="Verdana" w:cstheme="minorHAnsi"/>
        </w:rPr>
      </w:pPr>
    </w:p>
    <w:p w14:paraId="3E1699BC" w14:textId="44848A94" w:rsidR="006F7A06" w:rsidRPr="006F7A06" w:rsidRDefault="006F7A06" w:rsidP="006F7A06">
      <w:pPr>
        <w:pStyle w:val="ListParagraph"/>
        <w:numPr>
          <w:ilvl w:val="0"/>
          <w:numId w:val="25"/>
        </w:numPr>
        <w:ind w:left="426" w:hanging="426"/>
        <w:jc w:val="both"/>
        <w:rPr>
          <w:rFonts w:ascii="Verdana" w:hAnsi="Verdana" w:cs="Arial"/>
        </w:rPr>
      </w:pPr>
      <w:r>
        <w:rPr>
          <w:rFonts w:ascii="Verdana" w:eastAsia="Verdana" w:hAnsi="Verdana" w:cstheme="minorHAnsi"/>
          <w:b/>
          <w:u w:val="single"/>
          <w:lang w:eastAsia="en-GB"/>
        </w:rPr>
        <w:t>Background</w:t>
      </w:r>
    </w:p>
    <w:p w14:paraId="56380832" w14:textId="77777777" w:rsidR="002C28AE" w:rsidRDefault="00031666" w:rsidP="00AB4E47">
      <w:pPr>
        <w:tabs>
          <w:tab w:val="left" w:pos="216"/>
          <w:tab w:val="left" w:pos="2604"/>
        </w:tabs>
        <w:jc w:val="both"/>
        <w:rPr>
          <w:rFonts w:ascii="Verdana" w:eastAsia="Verdana" w:hAnsi="Verdana" w:cstheme="minorHAnsi"/>
        </w:rPr>
      </w:pPr>
      <w:r>
        <w:rPr>
          <w:rFonts w:ascii="Verdana" w:eastAsia="Verdana" w:hAnsi="Verdana" w:cstheme="minorHAnsi"/>
        </w:rPr>
        <w:t xml:space="preserve">At the July 2025 </w:t>
      </w:r>
      <w:r w:rsidR="00FD4745">
        <w:rPr>
          <w:rFonts w:ascii="Verdana" w:eastAsia="Verdana" w:hAnsi="Verdana" w:cstheme="minorHAnsi"/>
        </w:rPr>
        <w:t xml:space="preserve">JIAC meeting, the group was provided with an overview of </w:t>
      </w:r>
      <w:r w:rsidR="002C28AE">
        <w:rPr>
          <w:rFonts w:ascii="Verdana" w:eastAsia="Verdana" w:hAnsi="Verdana" w:cstheme="minorHAnsi"/>
        </w:rPr>
        <w:t>the current situation regards service inspections by HMICFRS.</w:t>
      </w:r>
    </w:p>
    <w:p w14:paraId="45EFCA55" w14:textId="21AC95D7" w:rsidR="0043622B" w:rsidRDefault="002C28AE" w:rsidP="00AB4E47">
      <w:pPr>
        <w:tabs>
          <w:tab w:val="left" w:pos="216"/>
          <w:tab w:val="left" w:pos="2604"/>
        </w:tabs>
        <w:jc w:val="both"/>
        <w:rPr>
          <w:rFonts w:ascii="Verdana" w:eastAsia="Verdana" w:hAnsi="Verdana" w:cstheme="minorHAnsi"/>
        </w:rPr>
      </w:pPr>
      <w:r>
        <w:rPr>
          <w:rFonts w:ascii="Verdana" w:eastAsia="Verdana" w:hAnsi="Verdana" w:cstheme="minorHAnsi"/>
        </w:rPr>
        <w:t xml:space="preserve">At that time, the service was in preparation for </w:t>
      </w:r>
      <w:r w:rsidR="000B5B0B">
        <w:rPr>
          <w:rFonts w:ascii="Verdana" w:eastAsia="Verdana" w:hAnsi="Verdana" w:cstheme="minorHAnsi"/>
        </w:rPr>
        <w:t>a reinspection for a Cause of Concern that had been issued</w:t>
      </w:r>
      <w:r w:rsidR="007F4C3C">
        <w:rPr>
          <w:rFonts w:ascii="Verdana" w:eastAsia="Verdana" w:hAnsi="Verdana" w:cstheme="minorHAnsi"/>
        </w:rPr>
        <w:t xml:space="preserve">. This reinspection has now been </w:t>
      </w:r>
      <w:r w:rsidR="00DA3408">
        <w:rPr>
          <w:rFonts w:ascii="Verdana" w:eastAsia="Verdana" w:hAnsi="Verdana" w:cstheme="minorHAnsi"/>
        </w:rPr>
        <w:t>completed,</w:t>
      </w:r>
      <w:r w:rsidR="007F4C3C">
        <w:rPr>
          <w:rFonts w:ascii="Verdana" w:eastAsia="Verdana" w:hAnsi="Verdana" w:cstheme="minorHAnsi"/>
        </w:rPr>
        <w:t xml:space="preserve"> and the outcome of that process is detailed below.</w:t>
      </w:r>
      <w:r w:rsidR="00031666">
        <w:rPr>
          <w:rFonts w:ascii="Verdana" w:eastAsia="Verdana" w:hAnsi="Verdana" w:cstheme="minorHAnsi"/>
        </w:rPr>
        <w:t xml:space="preserve"> </w:t>
      </w:r>
    </w:p>
    <w:p w14:paraId="5FBD716C" w14:textId="2D032705" w:rsidR="0017645E" w:rsidRDefault="0017645E" w:rsidP="00AB4E47">
      <w:pPr>
        <w:tabs>
          <w:tab w:val="left" w:pos="216"/>
          <w:tab w:val="left" w:pos="2604"/>
        </w:tabs>
        <w:jc w:val="both"/>
        <w:rPr>
          <w:rFonts w:ascii="Verdana" w:eastAsia="Verdana" w:hAnsi="Verdana" w:cstheme="minorHAnsi"/>
        </w:rPr>
      </w:pPr>
      <w:r>
        <w:rPr>
          <w:rFonts w:ascii="Verdana" w:eastAsia="Verdana" w:hAnsi="Verdana" w:cstheme="minorHAnsi"/>
        </w:rPr>
        <w:t>The service continue</w:t>
      </w:r>
      <w:r w:rsidR="005878C4">
        <w:rPr>
          <w:rFonts w:ascii="Verdana" w:eastAsia="Verdana" w:hAnsi="Verdana" w:cstheme="minorHAnsi"/>
        </w:rPr>
        <w:t>s</w:t>
      </w:r>
      <w:r>
        <w:rPr>
          <w:rFonts w:ascii="Verdana" w:eastAsia="Verdana" w:hAnsi="Verdana" w:cstheme="minorHAnsi"/>
        </w:rPr>
        <w:t xml:space="preserve"> to make progress on the Area’s for improvement</w:t>
      </w:r>
      <w:r w:rsidR="00FC63B1">
        <w:rPr>
          <w:rFonts w:ascii="Verdana" w:eastAsia="Verdana" w:hAnsi="Verdana" w:cstheme="minorHAnsi"/>
        </w:rPr>
        <w:t xml:space="preserve">. Delivery of these </w:t>
      </w:r>
      <w:r w:rsidR="00FA67DD">
        <w:rPr>
          <w:rFonts w:ascii="Verdana" w:eastAsia="Verdana" w:hAnsi="Verdana" w:cstheme="minorHAnsi"/>
        </w:rPr>
        <w:t>is</w:t>
      </w:r>
      <w:r w:rsidR="00FC63B1">
        <w:rPr>
          <w:rFonts w:ascii="Verdana" w:eastAsia="Verdana" w:hAnsi="Verdana" w:cstheme="minorHAnsi"/>
        </w:rPr>
        <w:t xml:space="preserve"> governed via the service Change and Improvement board, where progress is discussed, </w:t>
      </w:r>
      <w:r w:rsidR="005878C4">
        <w:rPr>
          <w:rFonts w:ascii="Verdana" w:eastAsia="Verdana" w:hAnsi="Verdana" w:cstheme="minorHAnsi"/>
        </w:rPr>
        <w:t>including known risk</w:t>
      </w:r>
      <w:r w:rsidR="00FA67DD">
        <w:rPr>
          <w:rFonts w:ascii="Verdana" w:eastAsia="Verdana" w:hAnsi="Verdana" w:cstheme="minorHAnsi"/>
        </w:rPr>
        <w:t>s</w:t>
      </w:r>
      <w:r w:rsidR="005878C4">
        <w:rPr>
          <w:rFonts w:ascii="Verdana" w:eastAsia="Verdana" w:hAnsi="Verdana" w:cstheme="minorHAnsi"/>
        </w:rPr>
        <w:t xml:space="preserve"> to delivery.</w:t>
      </w:r>
    </w:p>
    <w:p w14:paraId="79FF1732" w14:textId="2ECEBBA0" w:rsidR="00C86B51" w:rsidRDefault="00AF2D76" w:rsidP="00AB4E47">
      <w:pPr>
        <w:tabs>
          <w:tab w:val="left" w:pos="216"/>
          <w:tab w:val="left" w:pos="2604"/>
        </w:tabs>
        <w:jc w:val="both"/>
        <w:rPr>
          <w:rFonts w:ascii="Verdana" w:eastAsia="Verdana" w:hAnsi="Verdana" w:cstheme="minorHAnsi"/>
        </w:rPr>
      </w:pPr>
      <w:r>
        <w:rPr>
          <w:rFonts w:ascii="Verdana" w:eastAsia="Verdana" w:hAnsi="Verdana" w:cstheme="minorHAnsi"/>
        </w:rPr>
        <w:t xml:space="preserve">The next round of HMICFRS inspections for the Fire Sector has begun. Whilst a date has not yet been provided for NFRS, </w:t>
      </w:r>
      <w:r w:rsidR="001611FE">
        <w:rPr>
          <w:rFonts w:ascii="Verdana" w:eastAsia="Verdana" w:hAnsi="Verdana" w:cstheme="minorHAnsi"/>
        </w:rPr>
        <w:t xml:space="preserve">the service is now planning for an inspection in Q1 of </w:t>
      </w:r>
      <w:r w:rsidR="00DC1EFA">
        <w:rPr>
          <w:rFonts w:ascii="Verdana" w:eastAsia="Verdana" w:hAnsi="Verdana" w:cstheme="minorHAnsi"/>
        </w:rPr>
        <w:t>26/27.</w:t>
      </w:r>
    </w:p>
    <w:p w14:paraId="7549253E" w14:textId="77777777" w:rsidR="0045033E" w:rsidRDefault="0045033E" w:rsidP="00901B0C">
      <w:pPr>
        <w:tabs>
          <w:tab w:val="left" w:pos="216"/>
          <w:tab w:val="left" w:pos="2604"/>
        </w:tabs>
        <w:jc w:val="both"/>
        <w:rPr>
          <w:rFonts w:ascii="Verdana" w:eastAsia="Verdana" w:hAnsi="Verdana" w:cstheme="minorHAnsi"/>
        </w:rPr>
      </w:pPr>
    </w:p>
    <w:p w14:paraId="4957DA43" w14:textId="0B872427" w:rsidR="00901B0C" w:rsidRPr="008D1285" w:rsidRDefault="007F4C3C" w:rsidP="008D1285">
      <w:pPr>
        <w:pStyle w:val="ListParagraph"/>
        <w:numPr>
          <w:ilvl w:val="0"/>
          <w:numId w:val="25"/>
        </w:numPr>
        <w:tabs>
          <w:tab w:val="left" w:pos="142"/>
          <w:tab w:val="left" w:pos="1418"/>
          <w:tab w:val="left" w:pos="2604"/>
        </w:tabs>
        <w:ind w:left="426" w:hanging="426"/>
        <w:jc w:val="both"/>
        <w:rPr>
          <w:rFonts w:ascii="Verdana" w:eastAsia="Verdana" w:hAnsi="Verdana" w:cstheme="minorHAnsi"/>
          <w:b/>
          <w:u w:val="single"/>
          <w:lang w:eastAsia="en-GB"/>
        </w:rPr>
      </w:pPr>
      <w:r>
        <w:rPr>
          <w:rFonts w:ascii="Verdana" w:eastAsia="Verdana" w:hAnsi="Verdana" w:cstheme="minorHAnsi"/>
          <w:b/>
          <w:u w:val="single"/>
          <w:lang w:eastAsia="en-GB"/>
        </w:rPr>
        <w:t>Re-</w:t>
      </w:r>
      <w:r w:rsidR="00D478D7">
        <w:rPr>
          <w:rFonts w:ascii="Verdana" w:eastAsia="Verdana" w:hAnsi="Verdana" w:cstheme="minorHAnsi"/>
          <w:b/>
          <w:u w:val="single"/>
          <w:lang w:eastAsia="en-GB"/>
        </w:rPr>
        <w:t>Inspection ou</w:t>
      </w:r>
      <w:r w:rsidR="00534141">
        <w:rPr>
          <w:rFonts w:ascii="Verdana" w:eastAsia="Verdana" w:hAnsi="Verdana" w:cstheme="minorHAnsi"/>
          <w:b/>
          <w:u w:val="single"/>
          <w:lang w:eastAsia="en-GB"/>
        </w:rPr>
        <w:t>t</w:t>
      </w:r>
      <w:r w:rsidR="00D478D7">
        <w:rPr>
          <w:rFonts w:ascii="Verdana" w:eastAsia="Verdana" w:hAnsi="Verdana" w:cstheme="minorHAnsi"/>
          <w:b/>
          <w:u w:val="single"/>
          <w:lang w:eastAsia="en-GB"/>
        </w:rPr>
        <w:t>come</w:t>
      </w:r>
    </w:p>
    <w:p w14:paraId="41C176D5" w14:textId="4D6D3E69" w:rsidR="00115809" w:rsidRDefault="00714F4B" w:rsidP="00714F4B">
      <w:pPr>
        <w:tabs>
          <w:tab w:val="left" w:pos="216"/>
          <w:tab w:val="left" w:pos="2604"/>
        </w:tabs>
        <w:jc w:val="both"/>
        <w:rPr>
          <w:rFonts w:ascii="Verdana" w:eastAsia="Verdana" w:hAnsi="Verdana" w:cstheme="minorHAnsi"/>
        </w:rPr>
      </w:pPr>
      <w:r>
        <w:rPr>
          <w:rFonts w:ascii="Verdana" w:eastAsia="Verdana" w:hAnsi="Verdana" w:cstheme="minorHAnsi"/>
        </w:rPr>
        <w:t>The cause of concern</w:t>
      </w:r>
      <w:r w:rsidR="000C0A3D">
        <w:rPr>
          <w:rFonts w:ascii="Verdana" w:eastAsia="Verdana" w:hAnsi="Verdana" w:cstheme="minorHAnsi"/>
        </w:rPr>
        <w:t xml:space="preserve"> received by the service from the 2024 ‘Round 3’ inspection process</w:t>
      </w:r>
      <w:r>
        <w:rPr>
          <w:rFonts w:ascii="Verdana" w:eastAsia="Verdana" w:hAnsi="Verdana" w:cstheme="minorHAnsi"/>
        </w:rPr>
        <w:t xml:space="preserve"> </w:t>
      </w:r>
      <w:r w:rsidR="00115809">
        <w:rPr>
          <w:rFonts w:ascii="Verdana" w:eastAsia="Verdana" w:hAnsi="Verdana" w:cstheme="minorHAnsi"/>
        </w:rPr>
        <w:t>determined that:</w:t>
      </w:r>
    </w:p>
    <w:p w14:paraId="4F269787" w14:textId="40C0AFE2" w:rsidR="00714F4B" w:rsidRDefault="00714F4B" w:rsidP="00714F4B">
      <w:pPr>
        <w:tabs>
          <w:tab w:val="left" w:pos="216"/>
          <w:tab w:val="left" w:pos="2604"/>
        </w:tabs>
        <w:jc w:val="both"/>
        <w:rPr>
          <w:rFonts w:ascii="Verdana" w:eastAsia="Verdana" w:hAnsi="Verdana" w:cstheme="minorHAnsi"/>
        </w:rPr>
      </w:pPr>
      <w:r>
        <w:rPr>
          <w:rFonts w:ascii="Verdana" w:eastAsia="Verdana" w:hAnsi="Verdana" w:cstheme="minorHAnsi"/>
        </w:rPr>
        <w:t xml:space="preserve"> The Service hasn’t made enough progress since our last inspection to improve equality, diversity and inclusion. This was broken down by HMICFRS into 5 recommendations. These were</w:t>
      </w:r>
      <w:r w:rsidR="009529FB">
        <w:rPr>
          <w:rFonts w:ascii="Verdana" w:eastAsia="Verdana" w:hAnsi="Verdana" w:cstheme="minorHAnsi"/>
        </w:rPr>
        <w:t>:</w:t>
      </w:r>
    </w:p>
    <w:p w14:paraId="168FEA0A" w14:textId="77777777" w:rsidR="00714F4B" w:rsidRPr="00A2797A" w:rsidRDefault="00714F4B" w:rsidP="00714F4B">
      <w:pPr>
        <w:pStyle w:val="ListParagraph"/>
        <w:numPr>
          <w:ilvl w:val="0"/>
          <w:numId w:val="46"/>
        </w:numPr>
        <w:tabs>
          <w:tab w:val="left" w:pos="216"/>
          <w:tab w:val="left" w:pos="2604"/>
        </w:tabs>
        <w:jc w:val="both"/>
        <w:rPr>
          <w:rFonts w:ascii="Verdana" w:eastAsia="Verdana" w:hAnsi="Verdana" w:cstheme="minorHAnsi"/>
        </w:rPr>
      </w:pPr>
      <w:r w:rsidRPr="00A2797A">
        <w:rPr>
          <w:rFonts w:ascii="Verdana" w:eastAsia="Verdana" w:hAnsi="Verdana" w:cstheme="minorHAnsi"/>
        </w:rPr>
        <w:lastRenderedPageBreak/>
        <w:t>Working with staff to develop clear EDI objectives.</w:t>
      </w:r>
    </w:p>
    <w:p w14:paraId="2A124CDD" w14:textId="77777777" w:rsidR="00714F4B" w:rsidRPr="00A2797A" w:rsidRDefault="00714F4B" w:rsidP="00714F4B">
      <w:pPr>
        <w:pStyle w:val="ListParagraph"/>
        <w:numPr>
          <w:ilvl w:val="0"/>
          <w:numId w:val="46"/>
        </w:numPr>
        <w:tabs>
          <w:tab w:val="left" w:pos="216"/>
          <w:tab w:val="left" w:pos="2604"/>
        </w:tabs>
        <w:jc w:val="both"/>
        <w:rPr>
          <w:rFonts w:ascii="Verdana" w:eastAsia="Verdana" w:hAnsi="Verdana" w:cstheme="minorHAnsi"/>
        </w:rPr>
      </w:pPr>
      <w:r w:rsidRPr="00A2797A">
        <w:rPr>
          <w:rFonts w:ascii="Verdana" w:eastAsia="Verdana" w:hAnsi="Verdana" w:cstheme="minorHAnsi"/>
        </w:rPr>
        <w:t>Effective ways to show how it monitors and evaluates EDI objectives.</w:t>
      </w:r>
    </w:p>
    <w:p w14:paraId="1B1B7BDA" w14:textId="77777777" w:rsidR="00714F4B" w:rsidRPr="00A2797A" w:rsidRDefault="00714F4B" w:rsidP="00714F4B">
      <w:pPr>
        <w:pStyle w:val="ListParagraph"/>
        <w:numPr>
          <w:ilvl w:val="0"/>
          <w:numId w:val="46"/>
        </w:numPr>
        <w:tabs>
          <w:tab w:val="left" w:pos="216"/>
          <w:tab w:val="left" w:pos="2604"/>
        </w:tabs>
        <w:jc w:val="both"/>
        <w:rPr>
          <w:rFonts w:ascii="Verdana" w:eastAsia="Verdana" w:hAnsi="Verdana" w:cstheme="minorHAnsi"/>
        </w:rPr>
      </w:pPr>
      <w:r w:rsidRPr="00A2797A">
        <w:rPr>
          <w:rFonts w:ascii="Verdana" w:eastAsia="Verdana" w:hAnsi="Verdana" w:cstheme="minorHAnsi"/>
        </w:rPr>
        <w:t>Robust processes in place to do equality impact assessments.</w:t>
      </w:r>
    </w:p>
    <w:p w14:paraId="086B0B34" w14:textId="77777777" w:rsidR="00714F4B" w:rsidRPr="00A2797A" w:rsidRDefault="00714F4B" w:rsidP="00714F4B">
      <w:pPr>
        <w:pStyle w:val="ListParagraph"/>
        <w:numPr>
          <w:ilvl w:val="0"/>
          <w:numId w:val="46"/>
        </w:numPr>
        <w:tabs>
          <w:tab w:val="left" w:pos="216"/>
          <w:tab w:val="left" w:pos="2604"/>
        </w:tabs>
        <w:jc w:val="both"/>
        <w:rPr>
          <w:rFonts w:ascii="Verdana" w:eastAsia="Verdana" w:hAnsi="Verdana" w:cstheme="minorHAnsi"/>
        </w:rPr>
      </w:pPr>
      <w:r w:rsidRPr="00A2797A">
        <w:rPr>
          <w:rFonts w:ascii="Verdana" w:eastAsia="Verdana" w:hAnsi="Verdana" w:cstheme="minorHAnsi"/>
        </w:rPr>
        <w:t>Improvements to the way it collects equality data.</w:t>
      </w:r>
    </w:p>
    <w:p w14:paraId="0D99756D" w14:textId="77777777" w:rsidR="00714F4B" w:rsidRPr="00A2797A" w:rsidRDefault="00714F4B" w:rsidP="00714F4B">
      <w:pPr>
        <w:pStyle w:val="ListParagraph"/>
        <w:numPr>
          <w:ilvl w:val="0"/>
          <w:numId w:val="46"/>
        </w:numPr>
        <w:tabs>
          <w:tab w:val="left" w:pos="216"/>
          <w:tab w:val="left" w:pos="2604"/>
        </w:tabs>
        <w:jc w:val="both"/>
        <w:rPr>
          <w:rFonts w:ascii="Verdana" w:eastAsia="Verdana" w:hAnsi="Verdana" w:cstheme="minorHAnsi"/>
        </w:rPr>
      </w:pPr>
      <w:r w:rsidRPr="00A2797A">
        <w:rPr>
          <w:rFonts w:ascii="Verdana" w:eastAsia="Verdana" w:hAnsi="Verdana" w:cstheme="minorHAnsi"/>
        </w:rPr>
        <w:t>Confidently challenge and manage inappropriate behaviour.</w:t>
      </w:r>
    </w:p>
    <w:p w14:paraId="1D0E9381" w14:textId="77777777" w:rsidR="00714F4B" w:rsidRDefault="00714F4B" w:rsidP="002A26B1">
      <w:pPr>
        <w:tabs>
          <w:tab w:val="left" w:pos="216"/>
          <w:tab w:val="left" w:pos="2604"/>
        </w:tabs>
        <w:jc w:val="both"/>
        <w:rPr>
          <w:rFonts w:ascii="Verdana" w:eastAsia="Verdana" w:hAnsi="Verdana" w:cstheme="minorHAnsi"/>
        </w:rPr>
      </w:pPr>
    </w:p>
    <w:p w14:paraId="10CCC9FD" w14:textId="567A3927" w:rsidR="00A0392E" w:rsidRDefault="00A16F4B" w:rsidP="00A0392E">
      <w:pPr>
        <w:tabs>
          <w:tab w:val="left" w:pos="216"/>
          <w:tab w:val="left" w:pos="2604"/>
        </w:tabs>
        <w:jc w:val="both"/>
        <w:rPr>
          <w:rFonts w:ascii="Verdana" w:eastAsia="Verdana" w:hAnsi="Verdana" w:cstheme="minorHAnsi"/>
        </w:rPr>
      </w:pPr>
      <w:r>
        <w:rPr>
          <w:rFonts w:ascii="Verdana" w:eastAsia="Verdana" w:hAnsi="Verdana" w:cstheme="minorHAnsi"/>
        </w:rPr>
        <w:t xml:space="preserve">Following the </w:t>
      </w:r>
      <w:r w:rsidR="0055515E">
        <w:rPr>
          <w:rFonts w:ascii="Verdana" w:eastAsia="Verdana" w:hAnsi="Verdana" w:cstheme="minorHAnsi"/>
        </w:rPr>
        <w:t>re-</w:t>
      </w:r>
      <w:r>
        <w:rPr>
          <w:rFonts w:ascii="Verdana" w:eastAsia="Verdana" w:hAnsi="Verdana" w:cstheme="minorHAnsi"/>
        </w:rPr>
        <w:t xml:space="preserve">inspection in </w:t>
      </w:r>
      <w:r w:rsidR="0055515E">
        <w:rPr>
          <w:rFonts w:ascii="Verdana" w:eastAsia="Verdana" w:hAnsi="Verdana" w:cstheme="minorHAnsi"/>
        </w:rPr>
        <w:t>June/</w:t>
      </w:r>
      <w:r>
        <w:rPr>
          <w:rFonts w:ascii="Verdana" w:eastAsia="Verdana" w:hAnsi="Verdana" w:cstheme="minorHAnsi"/>
        </w:rPr>
        <w:t xml:space="preserve">July, HMICFRS published the </w:t>
      </w:r>
      <w:r w:rsidR="00A3071A">
        <w:rPr>
          <w:rFonts w:ascii="Verdana" w:eastAsia="Verdana" w:hAnsi="Verdana" w:cstheme="minorHAnsi"/>
        </w:rPr>
        <w:t>outcome</w:t>
      </w:r>
      <w:r>
        <w:rPr>
          <w:rFonts w:ascii="Verdana" w:eastAsia="Verdana" w:hAnsi="Verdana" w:cstheme="minorHAnsi"/>
        </w:rPr>
        <w:t xml:space="preserve"> of their </w:t>
      </w:r>
      <w:r w:rsidR="00A3071A">
        <w:rPr>
          <w:rFonts w:ascii="Verdana" w:eastAsia="Verdana" w:hAnsi="Verdana" w:cstheme="minorHAnsi"/>
        </w:rPr>
        <w:t>findings</w:t>
      </w:r>
      <w:r>
        <w:rPr>
          <w:rFonts w:ascii="Verdana" w:eastAsia="Verdana" w:hAnsi="Verdana" w:cstheme="minorHAnsi"/>
        </w:rPr>
        <w:t xml:space="preserve"> on </w:t>
      </w:r>
      <w:r w:rsidR="00504E04">
        <w:rPr>
          <w:rFonts w:ascii="Verdana" w:eastAsia="Verdana" w:hAnsi="Verdana" w:cstheme="minorHAnsi"/>
        </w:rPr>
        <w:t>4</w:t>
      </w:r>
      <w:r w:rsidR="00504E04" w:rsidRPr="00504E04">
        <w:rPr>
          <w:rFonts w:ascii="Verdana" w:eastAsia="Verdana" w:hAnsi="Verdana" w:cstheme="minorHAnsi"/>
          <w:vertAlign w:val="superscript"/>
        </w:rPr>
        <w:t>th</w:t>
      </w:r>
      <w:r w:rsidR="00504E04">
        <w:rPr>
          <w:rFonts w:ascii="Verdana" w:eastAsia="Verdana" w:hAnsi="Verdana" w:cstheme="minorHAnsi"/>
        </w:rPr>
        <w:t xml:space="preserve"> September 2025. </w:t>
      </w:r>
      <w:r w:rsidR="00A0392E">
        <w:rPr>
          <w:rFonts w:ascii="Verdana" w:eastAsia="Verdana" w:hAnsi="Verdana" w:cstheme="minorHAnsi"/>
        </w:rPr>
        <w:t>HMICFRS stated that the service had made significant progress against Four of the Five recommendations.</w:t>
      </w:r>
    </w:p>
    <w:p w14:paraId="1DA8ED4C" w14:textId="0BB0F7BB" w:rsidR="00687F00" w:rsidRPr="00687F00" w:rsidRDefault="00504E04" w:rsidP="00687F00">
      <w:pPr>
        <w:tabs>
          <w:tab w:val="left" w:pos="216"/>
          <w:tab w:val="left" w:pos="2604"/>
        </w:tabs>
        <w:jc w:val="both"/>
        <w:rPr>
          <w:rFonts w:ascii="Verdana" w:eastAsia="Verdana" w:hAnsi="Verdana" w:cstheme="minorHAnsi"/>
        </w:rPr>
      </w:pPr>
      <w:r>
        <w:rPr>
          <w:rFonts w:ascii="Verdana" w:eastAsia="Verdana" w:hAnsi="Verdana" w:cstheme="minorHAnsi"/>
        </w:rPr>
        <w:t xml:space="preserve">In clear recognition of the hard work of the service, </w:t>
      </w:r>
      <w:r w:rsidR="0003684F">
        <w:rPr>
          <w:rFonts w:ascii="Verdana" w:eastAsia="Verdana" w:hAnsi="Verdana" w:cstheme="minorHAnsi"/>
        </w:rPr>
        <w:t>HMICFRS closed the cause of Concern.</w:t>
      </w:r>
      <w:r w:rsidR="00A0392E">
        <w:rPr>
          <w:rFonts w:ascii="Verdana" w:eastAsia="Verdana" w:hAnsi="Verdana" w:cstheme="minorHAnsi"/>
        </w:rPr>
        <w:t xml:space="preserve"> </w:t>
      </w:r>
      <w:r w:rsidR="0003684F">
        <w:rPr>
          <w:rFonts w:ascii="Verdana" w:eastAsia="Verdana" w:hAnsi="Verdana" w:cstheme="minorHAnsi"/>
        </w:rPr>
        <w:t xml:space="preserve">However, </w:t>
      </w:r>
      <w:r w:rsidR="00AE695E">
        <w:rPr>
          <w:rFonts w:ascii="Verdana" w:eastAsia="Verdana" w:hAnsi="Verdana" w:cstheme="minorHAnsi"/>
        </w:rPr>
        <w:t xml:space="preserve">in the specific area of positive action, HMICFRS issued a further Area </w:t>
      </w:r>
      <w:r w:rsidR="00A3071A">
        <w:rPr>
          <w:rFonts w:ascii="Verdana" w:eastAsia="Verdana" w:hAnsi="Verdana" w:cstheme="minorHAnsi"/>
        </w:rPr>
        <w:t>for</w:t>
      </w:r>
      <w:r w:rsidR="00AE695E">
        <w:rPr>
          <w:rFonts w:ascii="Verdana" w:eastAsia="Verdana" w:hAnsi="Verdana" w:cstheme="minorHAnsi"/>
        </w:rPr>
        <w:t xml:space="preserve"> Improvement.</w:t>
      </w:r>
    </w:p>
    <w:p w14:paraId="550B0F11" w14:textId="1DB27E0B" w:rsidR="00CE518B" w:rsidRDefault="00837E17" w:rsidP="002A26B1">
      <w:pPr>
        <w:tabs>
          <w:tab w:val="left" w:pos="216"/>
          <w:tab w:val="left" w:pos="2604"/>
        </w:tabs>
        <w:jc w:val="both"/>
        <w:rPr>
          <w:rFonts w:ascii="Verdana" w:eastAsia="Verdana" w:hAnsi="Verdana" w:cstheme="minorHAnsi"/>
        </w:rPr>
      </w:pPr>
      <w:r>
        <w:rPr>
          <w:rFonts w:ascii="Verdana" w:eastAsia="Verdana" w:hAnsi="Verdana" w:cstheme="minorHAnsi"/>
        </w:rPr>
        <w:t>Th</w:t>
      </w:r>
      <w:r w:rsidR="00486E6F">
        <w:rPr>
          <w:rFonts w:ascii="Verdana" w:eastAsia="Verdana" w:hAnsi="Verdana" w:cstheme="minorHAnsi"/>
        </w:rPr>
        <w:t>is has been incorporated into the</w:t>
      </w:r>
      <w:r w:rsidR="00D71A29">
        <w:rPr>
          <w:rFonts w:ascii="Verdana" w:eastAsia="Verdana" w:hAnsi="Verdana" w:cstheme="minorHAnsi"/>
        </w:rPr>
        <w:t xml:space="preserve"> delivery process for the</w:t>
      </w:r>
      <w:r w:rsidR="00486E6F">
        <w:rPr>
          <w:rFonts w:ascii="Verdana" w:eastAsia="Verdana" w:hAnsi="Verdana" w:cstheme="minorHAnsi"/>
        </w:rPr>
        <w:t xml:space="preserve"> previously issued </w:t>
      </w:r>
      <w:r w:rsidR="00AC5755">
        <w:rPr>
          <w:rFonts w:ascii="Verdana" w:eastAsia="Verdana" w:hAnsi="Verdana" w:cstheme="minorHAnsi"/>
        </w:rPr>
        <w:t>recommendations. Th</w:t>
      </w:r>
      <w:r>
        <w:rPr>
          <w:rFonts w:ascii="Verdana" w:eastAsia="Verdana" w:hAnsi="Verdana" w:cstheme="minorHAnsi"/>
        </w:rPr>
        <w:t>e AFI’s</w:t>
      </w:r>
      <w:r w:rsidR="00BF3EEB">
        <w:rPr>
          <w:rFonts w:ascii="Verdana" w:eastAsia="Verdana" w:hAnsi="Verdana" w:cstheme="minorHAnsi"/>
        </w:rPr>
        <w:t xml:space="preserve"> </w:t>
      </w:r>
      <w:r w:rsidR="0006391B">
        <w:rPr>
          <w:rFonts w:ascii="Verdana" w:eastAsia="Verdana" w:hAnsi="Verdana" w:cstheme="minorHAnsi"/>
        </w:rPr>
        <w:t>are being delivered</w:t>
      </w:r>
      <w:r w:rsidR="00001B31">
        <w:rPr>
          <w:rFonts w:ascii="Verdana" w:eastAsia="Verdana" w:hAnsi="Verdana" w:cstheme="minorHAnsi"/>
        </w:rPr>
        <w:t xml:space="preserve"> through our services business plans and </w:t>
      </w:r>
      <w:r w:rsidR="00621ABA">
        <w:rPr>
          <w:rFonts w:ascii="Verdana" w:eastAsia="Verdana" w:hAnsi="Verdana" w:cstheme="minorHAnsi"/>
        </w:rPr>
        <w:t>overall improvement work</w:t>
      </w:r>
      <w:r w:rsidR="00001B31">
        <w:rPr>
          <w:rFonts w:ascii="Verdana" w:eastAsia="Verdana" w:hAnsi="Verdana" w:cstheme="minorHAnsi"/>
        </w:rPr>
        <w:t>.</w:t>
      </w:r>
      <w:r w:rsidR="00B22A43">
        <w:rPr>
          <w:rFonts w:ascii="Verdana" w:eastAsia="Verdana" w:hAnsi="Verdana" w:cstheme="minorHAnsi"/>
        </w:rPr>
        <w:t xml:space="preserve"> </w:t>
      </w:r>
      <w:r w:rsidR="00CE518B">
        <w:rPr>
          <w:rFonts w:ascii="Verdana" w:eastAsia="Verdana" w:hAnsi="Verdana" w:cstheme="minorHAnsi"/>
        </w:rPr>
        <w:t>Activity is monitored through the Services relevant boards</w:t>
      </w:r>
      <w:r w:rsidR="00FD5240">
        <w:rPr>
          <w:rFonts w:ascii="Verdana" w:eastAsia="Verdana" w:hAnsi="Verdana" w:cstheme="minorHAnsi"/>
        </w:rPr>
        <w:t xml:space="preserve">, </w:t>
      </w:r>
      <w:r w:rsidR="00172A28">
        <w:rPr>
          <w:rFonts w:ascii="Verdana" w:eastAsia="Verdana" w:hAnsi="Verdana" w:cstheme="minorHAnsi"/>
        </w:rPr>
        <w:t>People and Culture</w:t>
      </w:r>
      <w:r w:rsidR="00FD5240">
        <w:rPr>
          <w:rFonts w:ascii="Verdana" w:eastAsia="Verdana" w:hAnsi="Verdana" w:cstheme="minorHAnsi"/>
        </w:rPr>
        <w:t xml:space="preserve"> (PACB)</w:t>
      </w:r>
      <w:r w:rsidR="00172A28">
        <w:rPr>
          <w:rFonts w:ascii="Verdana" w:eastAsia="Verdana" w:hAnsi="Verdana" w:cstheme="minorHAnsi"/>
        </w:rPr>
        <w:t>, Performance Assurance and Productivity</w:t>
      </w:r>
      <w:r w:rsidR="00FD5240">
        <w:rPr>
          <w:rFonts w:ascii="Verdana" w:eastAsia="Verdana" w:hAnsi="Verdana" w:cstheme="minorHAnsi"/>
        </w:rPr>
        <w:t xml:space="preserve"> (PAPB)</w:t>
      </w:r>
      <w:r w:rsidR="00172A28">
        <w:rPr>
          <w:rFonts w:ascii="Verdana" w:eastAsia="Verdana" w:hAnsi="Verdana" w:cstheme="minorHAnsi"/>
        </w:rPr>
        <w:t>, C</w:t>
      </w:r>
      <w:r w:rsidR="00671959">
        <w:rPr>
          <w:rFonts w:ascii="Verdana" w:eastAsia="Verdana" w:hAnsi="Verdana" w:cstheme="minorHAnsi"/>
        </w:rPr>
        <w:t xml:space="preserve">hange and </w:t>
      </w:r>
      <w:r w:rsidR="00172A28">
        <w:rPr>
          <w:rFonts w:ascii="Verdana" w:eastAsia="Verdana" w:hAnsi="Verdana" w:cstheme="minorHAnsi"/>
        </w:rPr>
        <w:t>Improvement</w:t>
      </w:r>
      <w:r w:rsidR="00FD5240">
        <w:rPr>
          <w:rFonts w:ascii="Verdana" w:eastAsia="Verdana" w:hAnsi="Verdana" w:cstheme="minorHAnsi"/>
        </w:rPr>
        <w:t xml:space="preserve"> (CIB)</w:t>
      </w:r>
      <w:r w:rsidR="00FE38BF">
        <w:rPr>
          <w:rFonts w:ascii="Verdana" w:eastAsia="Verdana" w:hAnsi="Verdana" w:cstheme="minorHAnsi"/>
        </w:rPr>
        <w:t>.</w:t>
      </w:r>
    </w:p>
    <w:p w14:paraId="22B05E67" w14:textId="580A249A" w:rsidR="00687F00" w:rsidRDefault="006F6197" w:rsidP="002A26B1">
      <w:pPr>
        <w:tabs>
          <w:tab w:val="left" w:pos="216"/>
          <w:tab w:val="left" w:pos="2604"/>
        </w:tabs>
        <w:jc w:val="both"/>
        <w:rPr>
          <w:rFonts w:ascii="Verdana" w:eastAsia="Verdana" w:hAnsi="Verdana" w:cstheme="minorHAnsi"/>
        </w:rPr>
      </w:pPr>
      <w:r>
        <w:rPr>
          <w:rFonts w:ascii="Verdana" w:eastAsia="Verdana" w:hAnsi="Verdana" w:cstheme="minorHAnsi"/>
        </w:rPr>
        <w:t>Improvement activity is being captured</w:t>
      </w:r>
      <w:r w:rsidR="008E1118">
        <w:rPr>
          <w:rFonts w:ascii="Verdana" w:eastAsia="Verdana" w:hAnsi="Verdana" w:cstheme="minorHAnsi"/>
        </w:rPr>
        <w:t xml:space="preserve"> to</w:t>
      </w:r>
      <w:r>
        <w:rPr>
          <w:rFonts w:ascii="Verdana" w:eastAsia="Verdana" w:hAnsi="Verdana" w:cstheme="minorHAnsi"/>
        </w:rPr>
        <w:t xml:space="preserve"> evidence where it delivers outcomes against the </w:t>
      </w:r>
      <w:r w:rsidR="00687F00">
        <w:rPr>
          <w:rFonts w:ascii="Verdana" w:eastAsia="Verdana" w:hAnsi="Verdana" w:cstheme="minorHAnsi"/>
        </w:rPr>
        <w:t>AFI’s.</w:t>
      </w:r>
      <w:r w:rsidR="002D0DEB">
        <w:rPr>
          <w:rFonts w:ascii="Verdana" w:eastAsia="Verdana" w:hAnsi="Verdana" w:cstheme="minorHAnsi"/>
        </w:rPr>
        <w:t xml:space="preserve"> Assessment is made on the </w:t>
      </w:r>
      <w:r w:rsidR="00F2413B">
        <w:rPr>
          <w:rFonts w:ascii="Verdana" w:eastAsia="Verdana" w:hAnsi="Verdana" w:cstheme="minorHAnsi"/>
        </w:rPr>
        <w:t>‘</w:t>
      </w:r>
      <w:r w:rsidR="002D0DEB">
        <w:rPr>
          <w:rFonts w:ascii="Verdana" w:eastAsia="Verdana" w:hAnsi="Verdana" w:cstheme="minorHAnsi"/>
        </w:rPr>
        <w:t>current</w:t>
      </w:r>
      <w:r w:rsidR="00F2413B">
        <w:rPr>
          <w:rFonts w:ascii="Verdana" w:eastAsia="Verdana" w:hAnsi="Verdana" w:cstheme="minorHAnsi"/>
        </w:rPr>
        <w:t>’</w:t>
      </w:r>
      <w:r w:rsidR="002D0DEB">
        <w:rPr>
          <w:rFonts w:ascii="Verdana" w:eastAsia="Verdana" w:hAnsi="Verdana" w:cstheme="minorHAnsi"/>
        </w:rPr>
        <w:t xml:space="preserve"> and </w:t>
      </w:r>
      <w:r w:rsidR="00F2413B">
        <w:rPr>
          <w:rFonts w:ascii="Verdana" w:eastAsia="Verdana" w:hAnsi="Verdana" w:cstheme="minorHAnsi"/>
        </w:rPr>
        <w:t>‘</w:t>
      </w:r>
      <w:r w:rsidR="002D0DEB">
        <w:rPr>
          <w:rFonts w:ascii="Verdana" w:eastAsia="Verdana" w:hAnsi="Verdana" w:cstheme="minorHAnsi"/>
        </w:rPr>
        <w:t>expected status</w:t>
      </w:r>
      <w:r w:rsidR="00F2413B">
        <w:rPr>
          <w:rFonts w:ascii="Verdana" w:eastAsia="Verdana" w:hAnsi="Verdana" w:cstheme="minorHAnsi"/>
        </w:rPr>
        <w:t>’</w:t>
      </w:r>
      <w:r w:rsidR="002D0DEB">
        <w:rPr>
          <w:rFonts w:ascii="Verdana" w:eastAsia="Verdana" w:hAnsi="Verdana" w:cstheme="minorHAnsi"/>
        </w:rPr>
        <w:t xml:space="preserve"> </w:t>
      </w:r>
      <w:r w:rsidR="00F2413B">
        <w:rPr>
          <w:rFonts w:ascii="Verdana" w:eastAsia="Verdana" w:hAnsi="Verdana" w:cstheme="minorHAnsi"/>
        </w:rPr>
        <w:t>for</w:t>
      </w:r>
      <w:r w:rsidR="002D0DEB">
        <w:rPr>
          <w:rFonts w:ascii="Verdana" w:eastAsia="Verdana" w:hAnsi="Verdana" w:cstheme="minorHAnsi"/>
        </w:rPr>
        <w:t xml:space="preserve"> the point HMICFRS return for their next inspection. This allows the service to understand where risk exists and prioritise activity in order to address areas of greatest need. A</w:t>
      </w:r>
      <w:r w:rsidR="007B40CB">
        <w:rPr>
          <w:rFonts w:ascii="Verdana" w:eastAsia="Verdana" w:hAnsi="Verdana" w:cstheme="minorHAnsi"/>
        </w:rPr>
        <w:t>n updated RAG assessment has been provided as appendix 1.</w:t>
      </w:r>
    </w:p>
    <w:p w14:paraId="1F623F8E" w14:textId="4080534E" w:rsidR="008D1285" w:rsidRDefault="00FD5240" w:rsidP="002A26B1">
      <w:pPr>
        <w:tabs>
          <w:tab w:val="left" w:pos="216"/>
          <w:tab w:val="left" w:pos="2604"/>
        </w:tabs>
        <w:jc w:val="both"/>
        <w:rPr>
          <w:rFonts w:ascii="Verdana" w:eastAsia="Verdana" w:hAnsi="Verdana" w:cstheme="minorHAnsi"/>
        </w:rPr>
      </w:pPr>
      <w:r>
        <w:rPr>
          <w:rFonts w:ascii="Verdana" w:eastAsia="Verdana" w:hAnsi="Verdana" w:cstheme="minorHAnsi"/>
        </w:rPr>
        <w:t xml:space="preserve">There are 4 current areas of </w:t>
      </w:r>
      <w:r w:rsidR="004E41E9">
        <w:rPr>
          <w:rFonts w:ascii="Verdana" w:eastAsia="Verdana" w:hAnsi="Verdana" w:cstheme="minorHAnsi"/>
        </w:rPr>
        <w:t>identified risk</w:t>
      </w:r>
      <w:r>
        <w:rPr>
          <w:rFonts w:ascii="Verdana" w:eastAsia="Verdana" w:hAnsi="Verdana" w:cstheme="minorHAnsi"/>
        </w:rPr>
        <w:t xml:space="preserve"> which will be presented at the next CIB for further discussion.</w:t>
      </w:r>
    </w:p>
    <w:p w14:paraId="054B2EF5" w14:textId="592142B3" w:rsidR="00545C93" w:rsidRDefault="00545C93" w:rsidP="002A26B1">
      <w:pPr>
        <w:tabs>
          <w:tab w:val="left" w:pos="216"/>
          <w:tab w:val="left" w:pos="2604"/>
        </w:tabs>
        <w:jc w:val="both"/>
        <w:rPr>
          <w:rFonts w:ascii="Verdana" w:eastAsia="Verdana" w:hAnsi="Verdana" w:cstheme="minorHAnsi"/>
        </w:rPr>
      </w:pPr>
      <w:r>
        <w:rPr>
          <w:rFonts w:ascii="Verdana" w:eastAsia="Verdana" w:hAnsi="Verdana" w:cstheme="minorHAnsi"/>
        </w:rPr>
        <w:t xml:space="preserve">Activity has been introduced to address </w:t>
      </w:r>
      <w:r w:rsidR="00BA7928">
        <w:rPr>
          <w:rFonts w:ascii="Verdana" w:eastAsia="Verdana" w:hAnsi="Verdana" w:cstheme="minorHAnsi"/>
        </w:rPr>
        <w:t xml:space="preserve">these areas, however, as this has only recently been </w:t>
      </w:r>
      <w:r w:rsidR="004E41E9">
        <w:rPr>
          <w:rFonts w:ascii="Verdana" w:eastAsia="Verdana" w:hAnsi="Verdana" w:cstheme="minorHAnsi"/>
        </w:rPr>
        <w:t>introduced, o</w:t>
      </w:r>
      <w:r w:rsidR="00BA7928">
        <w:rPr>
          <w:rFonts w:ascii="Verdana" w:eastAsia="Verdana" w:hAnsi="Verdana" w:cstheme="minorHAnsi"/>
        </w:rPr>
        <w:t xml:space="preserve">utcomes are </w:t>
      </w:r>
      <w:r w:rsidR="0091545F">
        <w:rPr>
          <w:rFonts w:ascii="Verdana" w:eastAsia="Verdana" w:hAnsi="Verdana" w:cstheme="minorHAnsi"/>
        </w:rPr>
        <w:t>not yet able to be evaluated sufficiently.</w:t>
      </w:r>
    </w:p>
    <w:p w14:paraId="2E51C137" w14:textId="77777777" w:rsidR="00217BC3" w:rsidRDefault="00217BC3" w:rsidP="002A26B1">
      <w:pPr>
        <w:tabs>
          <w:tab w:val="left" w:pos="216"/>
          <w:tab w:val="left" w:pos="2604"/>
        </w:tabs>
        <w:jc w:val="both"/>
        <w:rPr>
          <w:rFonts w:ascii="Verdana" w:eastAsia="Verdana" w:hAnsi="Verdana" w:cstheme="minorHAnsi"/>
        </w:rPr>
      </w:pPr>
    </w:p>
    <w:p w14:paraId="206B9004" w14:textId="04CFCE56" w:rsidR="00217BC3" w:rsidRPr="008D1285" w:rsidRDefault="00217BC3" w:rsidP="00217BC3">
      <w:pPr>
        <w:pStyle w:val="ListParagraph"/>
        <w:numPr>
          <w:ilvl w:val="0"/>
          <w:numId w:val="25"/>
        </w:numPr>
        <w:tabs>
          <w:tab w:val="left" w:pos="142"/>
          <w:tab w:val="left" w:pos="1418"/>
          <w:tab w:val="left" w:pos="2604"/>
        </w:tabs>
        <w:ind w:left="426" w:hanging="426"/>
        <w:jc w:val="both"/>
        <w:rPr>
          <w:rFonts w:ascii="Verdana" w:eastAsia="Verdana" w:hAnsi="Verdana" w:cstheme="minorHAnsi"/>
          <w:b/>
          <w:u w:val="single"/>
          <w:lang w:eastAsia="en-GB"/>
        </w:rPr>
      </w:pPr>
      <w:r>
        <w:rPr>
          <w:rFonts w:ascii="Verdana" w:eastAsia="Verdana" w:hAnsi="Verdana" w:cstheme="minorHAnsi"/>
          <w:b/>
          <w:u w:val="single"/>
          <w:lang w:eastAsia="en-GB"/>
        </w:rPr>
        <w:t>Round 4 Inspection preparation</w:t>
      </w:r>
    </w:p>
    <w:p w14:paraId="39EC040C" w14:textId="1F1A7C92" w:rsidR="00C86B51" w:rsidRDefault="00C86B51" w:rsidP="00C86B51">
      <w:pPr>
        <w:tabs>
          <w:tab w:val="left" w:pos="216"/>
          <w:tab w:val="left" w:pos="2604"/>
        </w:tabs>
        <w:jc w:val="both"/>
        <w:rPr>
          <w:rFonts w:ascii="Verdana" w:eastAsia="Verdana" w:hAnsi="Verdana" w:cstheme="minorHAnsi"/>
        </w:rPr>
      </w:pPr>
      <w:r>
        <w:rPr>
          <w:rFonts w:ascii="Verdana" w:eastAsia="Verdana" w:hAnsi="Verdana" w:cstheme="minorHAnsi"/>
        </w:rPr>
        <w:t xml:space="preserve">Preparation for HMICFRS Round 4 Inspection is also underway. A HMI Ready group has been established utilising members of the Business Services team, </w:t>
      </w:r>
      <w:r w:rsidR="00DC1EFA">
        <w:rPr>
          <w:rFonts w:ascii="Verdana" w:eastAsia="Verdana" w:hAnsi="Verdana" w:cstheme="minorHAnsi"/>
        </w:rPr>
        <w:t>t</w:t>
      </w:r>
      <w:r>
        <w:rPr>
          <w:rFonts w:ascii="Verdana" w:eastAsia="Verdana" w:hAnsi="Verdana" w:cstheme="minorHAnsi"/>
        </w:rPr>
        <w:t xml:space="preserve">he service liaison officer (SLO), </w:t>
      </w:r>
      <w:r w:rsidR="00054CA1">
        <w:rPr>
          <w:rFonts w:ascii="Verdana" w:eastAsia="Verdana" w:hAnsi="Verdana" w:cstheme="minorHAnsi"/>
        </w:rPr>
        <w:t>and</w:t>
      </w:r>
      <w:r>
        <w:rPr>
          <w:rFonts w:ascii="Verdana" w:eastAsia="Verdana" w:hAnsi="Verdana" w:cstheme="minorHAnsi"/>
        </w:rPr>
        <w:t xml:space="preserve"> strategic support from ACFO Powell.</w:t>
      </w:r>
    </w:p>
    <w:p w14:paraId="1F98FF7C" w14:textId="0650EFBE" w:rsidR="00217BC3" w:rsidRDefault="003F19EB" w:rsidP="002A26B1">
      <w:pPr>
        <w:tabs>
          <w:tab w:val="left" w:pos="216"/>
          <w:tab w:val="left" w:pos="2604"/>
        </w:tabs>
        <w:jc w:val="both"/>
        <w:rPr>
          <w:rFonts w:ascii="Verdana" w:eastAsia="Verdana" w:hAnsi="Verdana" w:cstheme="minorHAnsi"/>
        </w:rPr>
      </w:pPr>
      <w:r>
        <w:rPr>
          <w:rFonts w:ascii="Verdana" w:eastAsia="Verdana" w:hAnsi="Verdana" w:cstheme="minorHAnsi"/>
        </w:rPr>
        <w:t xml:space="preserve">Currently meetings are being established with departments to conduct a review of current preparedness for </w:t>
      </w:r>
      <w:r w:rsidR="007A73FC">
        <w:rPr>
          <w:rFonts w:ascii="Verdana" w:eastAsia="Verdana" w:hAnsi="Verdana" w:cstheme="minorHAnsi"/>
        </w:rPr>
        <w:t>an inspection. The HMI ready team will</w:t>
      </w:r>
      <w:r w:rsidR="00741F45">
        <w:rPr>
          <w:rFonts w:ascii="Verdana" w:eastAsia="Verdana" w:hAnsi="Verdana" w:cstheme="minorHAnsi"/>
        </w:rPr>
        <w:t xml:space="preserve"> work with department leads to identify good practice, levels of evidence and confidence in delivery, areas for further improvement and </w:t>
      </w:r>
      <w:r w:rsidR="00A7390C">
        <w:rPr>
          <w:rFonts w:ascii="Verdana" w:eastAsia="Verdana" w:hAnsi="Verdana" w:cstheme="minorHAnsi"/>
        </w:rPr>
        <w:t>communication needs to improve staff awareness.</w:t>
      </w:r>
    </w:p>
    <w:p w14:paraId="61D01B12" w14:textId="77777777" w:rsidR="00A7390C" w:rsidRDefault="00A7390C" w:rsidP="002A26B1">
      <w:pPr>
        <w:tabs>
          <w:tab w:val="left" w:pos="216"/>
          <w:tab w:val="left" w:pos="2604"/>
        </w:tabs>
        <w:jc w:val="both"/>
        <w:rPr>
          <w:rFonts w:ascii="Verdana" w:eastAsia="Verdana" w:hAnsi="Verdana" w:cstheme="minorHAnsi"/>
        </w:rPr>
      </w:pPr>
    </w:p>
    <w:p w14:paraId="78520DD9" w14:textId="295EE6C7" w:rsidR="00946AB9" w:rsidRPr="00876BFE" w:rsidRDefault="00600AA9" w:rsidP="00876BFE">
      <w:pPr>
        <w:pStyle w:val="ListParagraph"/>
        <w:numPr>
          <w:ilvl w:val="0"/>
          <w:numId w:val="25"/>
        </w:numPr>
        <w:ind w:left="426" w:hanging="426"/>
        <w:jc w:val="both"/>
        <w:rPr>
          <w:rFonts w:ascii="Verdana" w:hAnsi="Verdana" w:cs="Arial"/>
          <w:b/>
          <w:u w:val="single"/>
        </w:rPr>
      </w:pPr>
      <w:r w:rsidRPr="00876BFE">
        <w:rPr>
          <w:rFonts w:ascii="Verdana" w:hAnsi="Verdana" w:cs="Arial"/>
          <w:b/>
          <w:u w:val="single"/>
        </w:rPr>
        <w:t xml:space="preserve">Conclusion </w:t>
      </w:r>
    </w:p>
    <w:p w14:paraId="461D22F9" w14:textId="60AF93BF" w:rsidR="007013B5" w:rsidRDefault="006F0F86" w:rsidP="00946AB9">
      <w:pPr>
        <w:jc w:val="both"/>
        <w:rPr>
          <w:rFonts w:ascii="Verdana" w:hAnsi="Verdana" w:cs="Arial"/>
        </w:rPr>
      </w:pPr>
      <w:r w:rsidRPr="001254EE">
        <w:rPr>
          <w:rFonts w:ascii="Verdana" w:hAnsi="Verdana" w:cs="Arial"/>
        </w:rPr>
        <w:t xml:space="preserve">The </w:t>
      </w:r>
      <w:r w:rsidR="004C0E32">
        <w:rPr>
          <w:rFonts w:ascii="Verdana" w:hAnsi="Verdana" w:cs="Arial"/>
        </w:rPr>
        <w:t>Committee</w:t>
      </w:r>
      <w:r w:rsidRPr="001254EE">
        <w:rPr>
          <w:rFonts w:ascii="Verdana" w:hAnsi="Verdana" w:cs="Arial"/>
        </w:rPr>
        <w:t xml:space="preserve"> </w:t>
      </w:r>
      <w:r w:rsidR="00946AB9" w:rsidRPr="001254EE">
        <w:rPr>
          <w:rFonts w:ascii="Verdana" w:hAnsi="Verdana" w:cs="Arial"/>
        </w:rPr>
        <w:t>are asked to note the contents of this report</w:t>
      </w:r>
      <w:r w:rsidR="005F1E57" w:rsidRPr="001254EE">
        <w:rPr>
          <w:rFonts w:ascii="Verdana" w:hAnsi="Verdana" w:cs="Arial"/>
        </w:rPr>
        <w:t xml:space="preserve"> and the Governance arrangements discharged by the</w:t>
      </w:r>
      <w:r w:rsidR="00946AB9" w:rsidRPr="001254EE">
        <w:rPr>
          <w:rFonts w:ascii="Verdana" w:hAnsi="Verdana" w:cs="Arial"/>
        </w:rPr>
        <w:t xml:space="preserve"> </w:t>
      </w:r>
      <w:r w:rsidR="003D1F91">
        <w:rPr>
          <w:rFonts w:ascii="Verdana" w:hAnsi="Verdana" w:cs="Arial"/>
        </w:rPr>
        <w:t xml:space="preserve">Service </w:t>
      </w:r>
      <w:r w:rsidR="00A80480">
        <w:rPr>
          <w:rFonts w:ascii="Verdana" w:hAnsi="Verdana" w:cs="Arial"/>
        </w:rPr>
        <w:t>Boards structure to</w:t>
      </w:r>
      <w:r w:rsidR="005F1E57" w:rsidRPr="001254EE">
        <w:rPr>
          <w:rFonts w:ascii="Verdana" w:hAnsi="Verdana" w:cs="Arial"/>
        </w:rPr>
        <w:t xml:space="preserve"> ensuring there is </w:t>
      </w:r>
      <w:r w:rsidR="005F1E57" w:rsidRPr="001254EE">
        <w:rPr>
          <w:rFonts w:ascii="Verdana" w:hAnsi="Verdana" w:cs="Arial"/>
        </w:rPr>
        <w:lastRenderedPageBreak/>
        <w:t xml:space="preserve">sufficient scrutiny and quality assurance of actions relating to </w:t>
      </w:r>
      <w:r w:rsidR="00DC6F1C">
        <w:rPr>
          <w:rFonts w:ascii="Verdana" w:hAnsi="Verdana" w:cs="Arial"/>
        </w:rPr>
        <w:t>inspection</w:t>
      </w:r>
      <w:r w:rsidR="005F1E57" w:rsidRPr="001254EE">
        <w:rPr>
          <w:rFonts w:ascii="Verdana" w:hAnsi="Verdana" w:cs="Arial"/>
        </w:rPr>
        <w:t xml:space="preserve"> recommendations.</w:t>
      </w:r>
      <w:r w:rsidR="00946AB9" w:rsidRPr="001254EE">
        <w:rPr>
          <w:rFonts w:ascii="Verdana" w:hAnsi="Verdana" w:cs="Arial"/>
        </w:rPr>
        <w:t xml:space="preserve"> </w:t>
      </w:r>
    </w:p>
    <w:p w14:paraId="3FC2AC7E" w14:textId="77777777" w:rsidR="00E46BAF" w:rsidRDefault="00E46BAF" w:rsidP="00946AB9">
      <w:pPr>
        <w:jc w:val="both"/>
        <w:rPr>
          <w:rFonts w:ascii="Verdana" w:hAnsi="Verdana" w:cs="Arial"/>
        </w:rPr>
      </w:pPr>
    </w:p>
    <w:p w14:paraId="17206874" w14:textId="129D9BBF" w:rsidR="00E46BAF" w:rsidRPr="00876BFE" w:rsidRDefault="00E46BAF" w:rsidP="00E46BAF">
      <w:pPr>
        <w:pStyle w:val="ListParagraph"/>
        <w:numPr>
          <w:ilvl w:val="0"/>
          <w:numId w:val="25"/>
        </w:numPr>
        <w:ind w:left="426" w:hanging="426"/>
        <w:jc w:val="both"/>
        <w:rPr>
          <w:rFonts w:ascii="Verdana" w:hAnsi="Verdana" w:cs="Arial"/>
          <w:b/>
          <w:u w:val="single"/>
        </w:rPr>
      </w:pPr>
      <w:r>
        <w:rPr>
          <w:rFonts w:ascii="Verdana" w:hAnsi="Verdana" w:cs="Arial"/>
          <w:b/>
          <w:u w:val="single"/>
        </w:rPr>
        <w:t>Appendix 1</w:t>
      </w:r>
      <w:r w:rsidRPr="00876BFE">
        <w:rPr>
          <w:rFonts w:ascii="Verdana" w:hAnsi="Verdana" w:cs="Arial"/>
          <w:b/>
          <w:u w:val="single"/>
        </w:rPr>
        <w:t xml:space="preserve"> </w:t>
      </w:r>
    </w:p>
    <w:p w14:paraId="491669B4" w14:textId="77777777" w:rsidR="00A7390C" w:rsidRDefault="00A7390C" w:rsidP="00946AB9">
      <w:pPr>
        <w:jc w:val="both"/>
        <w:rPr>
          <w:rFonts w:ascii="Verdana" w:hAnsi="Verdana" w:cs="Arial"/>
        </w:rPr>
      </w:pPr>
    </w:p>
    <w:tbl>
      <w:tblPr>
        <w:tblW w:w="9209" w:type="dxa"/>
        <w:tblLook w:val="04A0" w:firstRow="1" w:lastRow="0" w:firstColumn="1" w:lastColumn="0" w:noHBand="0" w:noVBand="1"/>
      </w:tblPr>
      <w:tblGrid>
        <w:gridCol w:w="760"/>
        <w:gridCol w:w="6606"/>
        <w:gridCol w:w="887"/>
        <w:gridCol w:w="1028"/>
      </w:tblGrid>
      <w:tr w:rsidR="0034750F" w:rsidRPr="00BB01C2" w14:paraId="23EE2B6F" w14:textId="77777777" w:rsidTr="0091545F">
        <w:trPr>
          <w:trHeight w:val="576"/>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FB940"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AFI No.</w:t>
            </w:r>
          </w:p>
        </w:tc>
        <w:tc>
          <w:tcPr>
            <w:tcW w:w="6606" w:type="dxa"/>
            <w:tcBorders>
              <w:top w:val="single" w:sz="4" w:space="0" w:color="auto"/>
              <w:left w:val="nil"/>
              <w:bottom w:val="single" w:sz="4" w:space="0" w:color="auto"/>
              <w:right w:val="single" w:sz="4" w:space="0" w:color="auto"/>
            </w:tcBorders>
            <w:shd w:val="clear" w:color="auto" w:fill="auto"/>
            <w:noWrap/>
            <w:vAlign w:val="center"/>
            <w:hideMark/>
          </w:tcPr>
          <w:p w14:paraId="28E27A42"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Heading</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378FDB0"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xml:space="preserve">Current </w:t>
            </w:r>
            <w:r w:rsidRPr="00BB01C2">
              <w:rPr>
                <w:rFonts w:ascii="Aptos Narrow" w:eastAsia="Times New Roman" w:hAnsi="Aptos Narrow" w:cs="Times New Roman"/>
                <w:color w:val="000000"/>
                <w:lang w:eastAsia="en-GB"/>
              </w:rPr>
              <w:br/>
              <w:t>RAG</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23A8F5E6"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Expected</w:t>
            </w:r>
            <w:r w:rsidRPr="00BB01C2">
              <w:rPr>
                <w:rFonts w:ascii="Aptos Narrow" w:eastAsia="Times New Roman" w:hAnsi="Aptos Narrow" w:cs="Times New Roman"/>
                <w:color w:val="000000"/>
                <w:lang w:eastAsia="en-GB"/>
              </w:rPr>
              <w:br/>
              <w:t>RAG</w:t>
            </w:r>
          </w:p>
        </w:tc>
      </w:tr>
      <w:tr w:rsidR="0034750F" w:rsidRPr="00BB01C2" w14:paraId="3EE3D954" w14:textId="77777777" w:rsidTr="0091545F">
        <w:trPr>
          <w:trHeight w:val="341"/>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305019E"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1</w:t>
            </w:r>
          </w:p>
        </w:tc>
        <w:tc>
          <w:tcPr>
            <w:tcW w:w="6606" w:type="dxa"/>
            <w:tcBorders>
              <w:top w:val="nil"/>
              <w:left w:val="nil"/>
              <w:bottom w:val="single" w:sz="4" w:space="0" w:color="auto"/>
              <w:right w:val="single" w:sz="4" w:space="0" w:color="auto"/>
            </w:tcBorders>
            <w:shd w:val="clear" w:color="auto" w:fill="auto"/>
            <w:vAlign w:val="center"/>
            <w:hideMark/>
          </w:tcPr>
          <w:p w14:paraId="721BB807" w14:textId="77777777" w:rsidR="0034750F" w:rsidRPr="00BB01C2" w:rsidRDefault="0034750F" w:rsidP="00991F47">
            <w:pPr>
              <w:spacing w:after="0" w:line="240" w:lineRule="auto"/>
              <w:jc w:val="both"/>
              <w:rPr>
                <w:rFonts w:ascii="Aptos Narrow" w:eastAsia="Times New Roman" w:hAnsi="Aptos Narrow" w:cs="Times New Roman"/>
                <w:color w:val="000000"/>
                <w:lang w:eastAsia="en-GB"/>
              </w:rPr>
            </w:pPr>
            <w:r w:rsidRPr="00BB01C2">
              <w:rPr>
                <w:rFonts w:ascii="Aptos Narrow" w:eastAsia="Verdana" w:hAnsi="Aptos Narrow" w:cs="Verdana"/>
                <w:color w:val="000000"/>
                <w:lang w:eastAsia="en-GB"/>
              </w:rPr>
              <w:t xml:space="preserve">Senior leaders should take accountability for community risk management plan priorities. They should lead and influence cross-organisational activity, so staff understand how they contribute to the objectives. </w:t>
            </w:r>
          </w:p>
        </w:tc>
        <w:tc>
          <w:tcPr>
            <w:tcW w:w="887" w:type="dxa"/>
            <w:tcBorders>
              <w:top w:val="nil"/>
              <w:left w:val="nil"/>
              <w:bottom w:val="single" w:sz="4" w:space="0" w:color="auto"/>
              <w:right w:val="single" w:sz="4" w:space="0" w:color="auto"/>
            </w:tcBorders>
            <w:shd w:val="clear" w:color="000000" w:fill="92D050"/>
            <w:noWrap/>
            <w:vAlign w:val="bottom"/>
            <w:hideMark/>
          </w:tcPr>
          <w:p w14:paraId="2C6FD623"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92D050"/>
            <w:noWrap/>
            <w:vAlign w:val="bottom"/>
            <w:hideMark/>
          </w:tcPr>
          <w:p w14:paraId="5976D55B"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r w:rsidR="0034750F" w:rsidRPr="00BB01C2" w14:paraId="653B59CA" w14:textId="77777777" w:rsidTr="0091545F">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6153A1E"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2</w:t>
            </w:r>
          </w:p>
        </w:tc>
        <w:tc>
          <w:tcPr>
            <w:tcW w:w="6606" w:type="dxa"/>
            <w:tcBorders>
              <w:top w:val="nil"/>
              <w:left w:val="nil"/>
              <w:bottom w:val="single" w:sz="4" w:space="0" w:color="auto"/>
              <w:right w:val="single" w:sz="4" w:space="0" w:color="auto"/>
            </w:tcBorders>
            <w:shd w:val="clear" w:color="auto" w:fill="auto"/>
            <w:vAlign w:val="bottom"/>
            <w:hideMark/>
          </w:tcPr>
          <w:p w14:paraId="37635921"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The service should make sure that consultation with the public is meaningful in influencing its future plans and informing its risk profile</w:t>
            </w:r>
          </w:p>
        </w:tc>
        <w:tc>
          <w:tcPr>
            <w:tcW w:w="887" w:type="dxa"/>
            <w:tcBorders>
              <w:top w:val="nil"/>
              <w:left w:val="nil"/>
              <w:bottom w:val="single" w:sz="4" w:space="0" w:color="auto"/>
              <w:right w:val="single" w:sz="4" w:space="0" w:color="auto"/>
            </w:tcBorders>
            <w:shd w:val="clear" w:color="000000" w:fill="00B050"/>
            <w:noWrap/>
            <w:vAlign w:val="bottom"/>
            <w:hideMark/>
          </w:tcPr>
          <w:p w14:paraId="795F24B8"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00B050"/>
            <w:noWrap/>
            <w:vAlign w:val="bottom"/>
            <w:hideMark/>
          </w:tcPr>
          <w:p w14:paraId="5210AFF6"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r w:rsidR="0034750F" w:rsidRPr="00BB01C2" w14:paraId="57DAF0AF" w14:textId="77777777" w:rsidTr="0091545F">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0F08A07"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3</w:t>
            </w:r>
          </w:p>
        </w:tc>
        <w:tc>
          <w:tcPr>
            <w:tcW w:w="6606" w:type="dxa"/>
            <w:tcBorders>
              <w:top w:val="nil"/>
              <w:left w:val="nil"/>
              <w:bottom w:val="single" w:sz="4" w:space="0" w:color="auto"/>
              <w:right w:val="single" w:sz="4" w:space="0" w:color="auto"/>
            </w:tcBorders>
            <w:shd w:val="clear" w:color="auto" w:fill="auto"/>
            <w:vAlign w:val="center"/>
            <w:hideMark/>
          </w:tcPr>
          <w:p w14:paraId="16EBFABF" w14:textId="77777777" w:rsidR="0034750F" w:rsidRPr="00BB01C2" w:rsidRDefault="0034750F" w:rsidP="00991F47">
            <w:pPr>
              <w:spacing w:after="0" w:line="240" w:lineRule="auto"/>
              <w:jc w:val="both"/>
              <w:rPr>
                <w:rFonts w:ascii="Aptos Narrow" w:eastAsia="Times New Roman" w:hAnsi="Aptos Narrow" w:cs="Times New Roman"/>
                <w:color w:val="000000"/>
                <w:lang w:eastAsia="en-GB"/>
              </w:rPr>
            </w:pPr>
            <w:r w:rsidRPr="00BB01C2">
              <w:rPr>
                <w:rFonts w:ascii="Aptos Narrow" w:eastAsia="Verdana" w:hAnsi="Aptos Narrow" w:cs="Verdana"/>
                <w:color w:val="000000"/>
                <w:lang w:eastAsia="en-GB"/>
              </w:rPr>
              <w:t>The service should make sure it trains its staff, so that they understand how to target risk effectively and can competently carry out home fire safety visits.</w:t>
            </w:r>
          </w:p>
        </w:tc>
        <w:tc>
          <w:tcPr>
            <w:tcW w:w="887" w:type="dxa"/>
            <w:tcBorders>
              <w:top w:val="nil"/>
              <w:left w:val="nil"/>
              <w:bottom w:val="single" w:sz="4" w:space="0" w:color="auto"/>
              <w:right w:val="single" w:sz="4" w:space="0" w:color="auto"/>
            </w:tcBorders>
            <w:shd w:val="clear" w:color="000000" w:fill="FFC000"/>
            <w:noWrap/>
            <w:vAlign w:val="bottom"/>
            <w:hideMark/>
          </w:tcPr>
          <w:p w14:paraId="75FF40CF"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92D050"/>
            <w:noWrap/>
            <w:vAlign w:val="bottom"/>
            <w:hideMark/>
          </w:tcPr>
          <w:p w14:paraId="5C6633B8"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r w:rsidR="0034750F" w:rsidRPr="00BB01C2" w14:paraId="3DFB9DC2" w14:textId="77777777" w:rsidTr="0091545F">
        <w:trPr>
          <w:trHeight w:val="129"/>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550576C"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4</w:t>
            </w:r>
          </w:p>
        </w:tc>
        <w:tc>
          <w:tcPr>
            <w:tcW w:w="6606" w:type="dxa"/>
            <w:tcBorders>
              <w:top w:val="nil"/>
              <w:left w:val="nil"/>
              <w:bottom w:val="single" w:sz="4" w:space="0" w:color="auto"/>
              <w:right w:val="single" w:sz="4" w:space="0" w:color="auto"/>
            </w:tcBorders>
            <w:shd w:val="clear" w:color="auto" w:fill="auto"/>
            <w:vAlign w:val="center"/>
            <w:hideMark/>
          </w:tcPr>
          <w:p w14:paraId="763688A6" w14:textId="77777777" w:rsidR="0034750F" w:rsidRPr="00BB01C2" w:rsidRDefault="0034750F" w:rsidP="00991F47">
            <w:pPr>
              <w:spacing w:after="0" w:line="240" w:lineRule="auto"/>
              <w:jc w:val="both"/>
              <w:rPr>
                <w:rFonts w:ascii="Aptos Narrow" w:eastAsia="Times New Roman" w:hAnsi="Aptos Narrow" w:cs="Times New Roman"/>
                <w:color w:val="000000"/>
                <w:lang w:eastAsia="en-GB"/>
              </w:rPr>
            </w:pPr>
            <w:r w:rsidRPr="00BB01C2">
              <w:rPr>
                <w:rFonts w:ascii="Aptos Narrow" w:eastAsia="Verdana" w:hAnsi="Aptos Narrow" w:cs="Verdana"/>
                <w:color w:val="000000"/>
                <w:lang w:eastAsia="en-GB"/>
              </w:rPr>
              <w:t>The service should make sure it allocates enough resources to meet its prevention strategy to support cross-functional collaborative working and shared intelligence.</w:t>
            </w:r>
          </w:p>
        </w:tc>
        <w:tc>
          <w:tcPr>
            <w:tcW w:w="887" w:type="dxa"/>
            <w:tcBorders>
              <w:top w:val="nil"/>
              <w:left w:val="nil"/>
              <w:bottom w:val="single" w:sz="4" w:space="0" w:color="auto"/>
              <w:right w:val="single" w:sz="4" w:space="0" w:color="auto"/>
            </w:tcBorders>
            <w:shd w:val="clear" w:color="000000" w:fill="FF0000"/>
            <w:noWrap/>
            <w:vAlign w:val="bottom"/>
            <w:hideMark/>
          </w:tcPr>
          <w:p w14:paraId="25252DE9"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FFC000"/>
            <w:noWrap/>
            <w:vAlign w:val="bottom"/>
            <w:hideMark/>
          </w:tcPr>
          <w:p w14:paraId="1E5F02D0"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r w:rsidR="0034750F" w:rsidRPr="00BB01C2" w14:paraId="63A2725E" w14:textId="77777777" w:rsidTr="0091545F">
        <w:trPr>
          <w:trHeight w:val="139"/>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8DFFE27"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5</w:t>
            </w:r>
          </w:p>
        </w:tc>
        <w:tc>
          <w:tcPr>
            <w:tcW w:w="6606" w:type="dxa"/>
            <w:tcBorders>
              <w:top w:val="nil"/>
              <w:left w:val="nil"/>
              <w:bottom w:val="single" w:sz="4" w:space="0" w:color="auto"/>
              <w:right w:val="single" w:sz="4" w:space="0" w:color="auto"/>
            </w:tcBorders>
            <w:shd w:val="clear" w:color="auto" w:fill="auto"/>
            <w:vAlign w:val="center"/>
            <w:hideMark/>
          </w:tcPr>
          <w:p w14:paraId="442626D6" w14:textId="77777777" w:rsidR="0034750F" w:rsidRPr="00BB01C2" w:rsidRDefault="0034750F" w:rsidP="00991F47">
            <w:pPr>
              <w:spacing w:after="0" w:line="240" w:lineRule="auto"/>
              <w:jc w:val="both"/>
              <w:rPr>
                <w:rFonts w:ascii="Aptos Narrow" w:eastAsia="Times New Roman" w:hAnsi="Aptos Narrow" w:cs="Times New Roman"/>
                <w:color w:val="000000"/>
                <w:lang w:eastAsia="en-GB"/>
              </w:rPr>
            </w:pPr>
            <w:r w:rsidRPr="00BB01C2">
              <w:rPr>
                <w:rFonts w:ascii="Aptos Narrow" w:eastAsia="Verdana" w:hAnsi="Aptos Narrow" w:cs="Verdana"/>
                <w:color w:val="000000"/>
                <w:lang w:eastAsia="en-GB"/>
              </w:rPr>
              <w:t>The service should make sure it quality assures its prevention activity, so staff carry out home fire safety visits to an appropriate standard.</w:t>
            </w:r>
          </w:p>
        </w:tc>
        <w:tc>
          <w:tcPr>
            <w:tcW w:w="887" w:type="dxa"/>
            <w:tcBorders>
              <w:top w:val="nil"/>
              <w:left w:val="nil"/>
              <w:bottom w:val="single" w:sz="4" w:space="0" w:color="auto"/>
              <w:right w:val="single" w:sz="4" w:space="0" w:color="auto"/>
            </w:tcBorders>
            <w:shd w:val="clear" w:color="000000" w:fill="FFC000"/>
            <w:noWrap/>
            <w:vAlign w:val="bottom"/>
            <w:hideMark/>
          </w:tcPr>
          <w:p w14:paraId="06ACC593"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92D050"/>
            <w:noWrap/>
            <w:vAlign w:val="bottom"/>
            <w:hideMark/>
          </w:tcPr>
          <w:p w14:paraId="2D24461C"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r w:rsidR="0034750F" w:rsidRPr="00BB01C2" w14:paraId="44AC7553" w14:textId="77777777" w:rsidTr="0091545F">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A0A63F3"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6</w:t>
            </w:r>
          </w:p>
        </w:tc>
        <w:tc>
          <w:tcPr>
            <w:tcW w:w="6606" w:type="dxa"/>
            <w:tcBorders>
              <w:top w:val="nil"/>
              <w:left w:val="nil"/>
              <w:bottom w:val="single" w:sz="4" w:space="0" w:color="auto"/>
              <w:right w:val="single" w:sz="4" w:space="0" w:color="auto"/>
            </w:tcBorders>
            <w:shd w:val="clear" w:color="auto" w:fill="auto"/>
            <w:vAlign w:val="center"/>
            <w:hideMark/>
          </w:tcPr>
          <w:p w14:paraId="2BA95F62" w14:textId="77777777" w:rsidR="0034750F" w:rsidRPr="00BB01C2" w:rsidRDefault="0034750F" w:rsidP="00991F47">
            <w:pPr>
              <w:spacing w:after="0" w:line="240" w:lineRule="auto"/>
              <w:jc w:val="both"/>
              <w:rPr>
                <w:rFonts w:ascii="Aptos Narrow" w:eastAsia="Times New Roman" w:hAnsi="Aptos Narrow" w:cs="Times New Roman"/>
                <w:color w:val="000000"/>
                <w:lang w:eastAsia="en-GB"/>
              </w:rPr>
            </w:pPr>
            <w:r w:rsidRPr="00BB01C2">
              <w:rPr>
                <w:rFonts w:ascii="Aptos Narrow" w:eastAsia="Verdana" w:hAnsi="Aptos Narrow" w:cs="Verdana"/>
                <w:color w:val="000000"/>
                <w:lang w:eastAsia="en-GB"/>
              </w:rPr>
              <w:t>The service should make sure its supporting systems provide an accurate picture of community risk, so that staff can prioritise the most vulnerable.</w:t>
            </w:r>
          </w:p>
        </w:tc>
        <w:tc>
          <w:tcPr>
            <w:tcW w:w="887" w:type="dxa"/>
            <w:tcBorders>
              <w:top w:val="nil"/>
              <w:left w:val="nil"/>
              <w:bottom w:val="single" w:sz="4" w:space="0" w:color="auto"/>
              <w:right w:val="single" w:sz="4" w:space="0" w:color="auto"/>
            </w:tcBorders>
            <w:shd w:val="clear" w:color="000000" w:fill="FFC000"/>
            <w:noWrap/>
            <w:vAlign w:val="bottom"/>
            <w:hideMark/>
          </w:tcPr>
          <w:p w14:paraId="1BBD00FB"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FFC000"/>
            <w:noWrap/>
            <w:vAlign w:val="bottom"/>
            <w:hideMark/>
          </w:tcPr>
          <w:p w14:paraId="3CDB5083"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r w:rsidR="0034750F" w:rsidRPr="00BB01C2" w14:paraId="6C6AB870" w14:textId="77777777" w:rsidTr="0091545F">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71DD2C9"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7</w:t>
            </w:r>
          </w:p>
        </w:tc>
        <w:tc>
          <w:tcPr>
            <w:tcW w:w="6606" w:type="dxa"/>
            <w:tcBorders>
              <w:top w:val="nil"/>
              <w:left w:val="nil"/>
              <w:bottom w:val="single" w:sz="4" w:space="0" w:color="auto"/>
              <w:right w:val="single" w:sz="4" w:space="0" w:color="auto"/>
            </w:tcBorders>
            <w:shd w:val="clear" w:color="auto" w:fill="auto"/>
            <w:vAlign w:val="center"/>
            <w:hideMark/>
          </w:tcPr>
          <w:p w14:paraId="3E2C367F" w14:textId="77777777" w:rsidR="0034750F" w:rsidRPr="00BB01C2" w:rsidRDefault="0034750F" w:rsidP="00991F47">
            <w:pPr>
              <w:spacing w:after="0" w:line="240" w:lineRule="auto"/>
              <w:jc w:val="both"/>
              <w:rPr>
                <w:rFonts w:ascii="Aptos Narrow" w:eastAsia="Times New Roman" w:hAnsi="Aptos Narrow" w:cs="Times New Roman"/>
                <w:color w:val="000000"/>
                <w:lang w:eastAsia="en-GB"/>
              </w:rPr>
            </w:pPr>
            <w:r w:rsidRPr="00BB01C2">
              <w:rPr>
                <w:rFonts w:ascii="Aptos Narrow" w:eastAsia="Verdana" w:hAnsi="Aptos Narrow" w:cs="Verdana"/>
                <w:color w:val="000000"/>
                <w:lang w:eastAsia="en-GB"/>
              </w:rPr>
              <w:t>The service should make sure its response strategy provides the most appropriate response and wholetime and on-call availability, in line with its community risk management plan.</w:t>
            </w:r>
          </w:p>
        </w:tc>
        <w:tc>
          <w:tcPr>
            <w:tcW w:w="887" w:type="dxa"/>
            <w:tcBorders>
              <w:top w:val="nil"/>
              <w:left w:val="nil"/>
              <w:bottom w:val="single" w:sz="4" w:space="0" w:color="auto"/>
              <w:right w:val="single" w:sz="4" w:space="0" w:color="auto"/>
            </w:tcBorders>
            <w:shd w:val="clear" w:color="000000" w:fill="FF0000"/>
            <w:noWrap/>
            <w:vAlign w:val="bottom"/>
            <w:hideMark/>
          </w:tcPr>
          <w:p w14:paraId="413378EF"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92D050"/>
            <w:noWrap/>
            <w:vAlign w:val="bottom"/>
            <w:hideMark/>
          </w:tcPr>
          <w:p w14:paraId="6EB337A5"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r w:rsidR="0034750F" w:rsidRPr="00BB01C2" w14:paraId="18D37BB7" w14:textId="77777777" w:rsidTr="0091545F">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532987F"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8</w:t>
            </w:r>
          </w:p>
        </w:tc>
        <w:tc>
          <w:tcPr>
            <w:tcW w:w="6606" w:type="dxa"/>
            <w:tcBorders>
              <w:top w:val="nil"/>
              <w:left w:val="nil"/>
              <w:bottom w:val="single" w:sz="4" w:space="0" w:color="auto"/>
              <w:right w:val="single" w:sz="4" w:space="0" w:color="auto"/>
            </w:tcBorders>
            <w:shd w:val="clear" w:color="auto" w:fill="auto"/>
            <w:vAlign w:val="center"/>
            <w:hideMark/>
          </w:tcPr>
          <w:p w14:paraId="11112B10" w14:textId="77777777" w:rsidR="0034750F" w:rsidRPr="00BB01C2" w:rsidRDefault="0034750F" w:rsidP="00991F47">
            <w:pPr>
              <w:spacing w:after="0" w:line="240" w:lineRule="auto"/>
              <w:jc w:val="both"/>
              <w:rPr>
                <w:rFonts w:ascii="Aptos Narrow" w:eastAsia="Times New Roman" w:hAnsi="Aptos Narrow" w:cs="Times New Roman"/>
                <w:color w:val="000000"/>
                <w:lang w:eastAsia="en-GB"/>
              </w:rPr>
            </w:pPr>
            <w:r w:rsidRPr="00BB01C2">
              <w:rPr>
                <w:rFonts w:ascii="Aptos Narrow" w:eastAsia="Verdana" w:hAnsi="Aptos Narrow" w:cs="Verdana"/>
                <w:color w:val="000000"/>
                <w:lang w:eastAsia="en-GB"/>
              </w:rPr>
              <w:t>The service should make sure it has an effective system in place to learn from operational incidents and exercises.</w:t>
            </w:r>
          </w:p>
        </w:tc>
        <w:tc>
          <w:tcPr>
            <w:tcW w:w="887" w:type="dxa"/>
            <w:tcBorders>
              <w:top w:val="nil"/>
              <w:left w:val="nil"/>
              <w:bottom w:val="single" w:sz="4" w:space="0" w:color="auto"/>
              <w:right w:val="single" w:sz="4" w:space="0" w:color="auto"/>
            </w:tcBorders>
            <w:shd w:val="clear" w:color="000000" w:fill="00B050"/>
            <w:noWrap/>
            <w:vAlign w:val="bottom"/>
            <w:hideMark/>
          </w:tcPr>
          <w:p w14:paraId="5AADC001"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00B050"/>
            <w:noWrap/>
            <w:vAlign w:val="bottom"/>
            <w:hideMark/>
          </w:tcPr>
          <w:p w14:paraId="56ABD33C"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r w:rsidR="0034750F" w:rsidRPr="00BB01C2" w14:paraId="185DB48F" w14:textId="77777777" w:rsidTr="0091545F">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43DE9EF"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9</w:t>
            </w:r>
          </w:p>
        </w:tc>
        <w:tc>
          <w:tcPr>
            <w:tcW w:w="6606" w:type="dxa"/>
            <w:tcBorders>
              <w:top w:val="nil"/>
              <w:left w:val="nil"/>
              <w:bottom w:val="single" w:sz="4" w:space="0" w:color="auto"/>
              <w:right w:val="single" w:sz="4" w:space="0" w:color="auto"/>
            </w:tcBorders>
            <w:shd w:val="clear" w:color="auto" w:fill="auto"/>
            <w:vAlign w:val="center"/>
            <w:hideMark/>
          </w:tcPr>
          <w:p w14:paraId="5644301E" w14:textId="77777777" w:rsidR="0034750F" w:rsidRPr="00BB01C2" w:rsidRDefault="0034750F" w:rsidP="00991F47">
            <w:pPr>
              <w:spacing w:after="0" w:line="240" w:lineRule="auto"/>
              <w:jc w:val="both"/>
              <w:rPr>
                <w:rFonts w:ascii="Aptos Narrow" w:eastAsia="Times New Roman" w:hAnsi="Aptos Narrow" w:cs="Times New Roman"/>
                <w:color w:val="000000"/>
                <w:lang w:eastAsia="en-GB"/>
              </w:rPr>
            </w:pPr>
            <w:r w:rsidRPr="00BB01C2">
              <w:rPr>
                <w:rFonts w:ascii="Aptos Narrow" w:eastAsia="Verdana" w:hAnsi="Aptos Narrow" w:cs="Verdana"/>
                <w:color w:val="000000"/>
                <w:lang w:eastAsia="en-GB"/>
              </w:rPr>
              <w:t>The service should have effective measures in place to assure itself that its workforce is productive and that their time is used as efficiently and effectively as possible to meet the priorities in its community risk management plan.</w:t>
            </w:r>
          </w:p>
        </w:tc>
        <w:tc>
          <w:tcPr>
            <w:tcW w:w="887" w:type="dxa"/>
            <w:tcBorders>
              <w:top w:val="nil"/>
              <w:left w:val="nil"/>
              <w:bottom w:val="single" w:sz="4" w:space="0" w:color="auto"/>
              <w:right w:val="single" w:sz="4" w:space="0" w:color="auto"/>
            </w:tcBorders>
            <w:shd w:val="clear" w:color="000000" w:fill="FF0000"/>
            <w:noWrap/>
            <w:vAlign w:val="bottom"/>
            <w:hideMark/>
          </w:tcPr>
          <w:p w14:paraId="10F6D4E1"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FFC000"/>
            <w:noWrap/>
            <w:vAlign w:val="bottom"/>
            <w:hideMark/>
          </w:tcPr>
          <w:p w14:paraId="68517761"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r w:rsidR="0034750F" w:rsidRPr="00BB01C2" w14:paraId="098C6575" w14:textId="77777777" w:rsidTr="0091545F">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DE49023"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10</w:t>
            </w:r>
          </w:p>
        </w:tc>
        <w:tc>
          <w:tcPr>
            <w:tcW w:w="6606" w:type="dxa"/>
            <w:tcBorders>
              <w:top w:val="nil"/>
              <w:left w:val="nil"/>
              <w:bottom w:val="single" w:sz="4" w:space="0" w:color="auto"/>
              <w:right w:val="single" w:sz="4" w:space="0" w:color="auto"/>
            </w:tcBorders>
            <w:shd w:val="clear" w:color="auto" w:fill="auto"/>
            <w:vAlign w:val="center"/>
            <w:hideMark/>
          </w:tcPr>
          <w:p w14:paraId="247A85C7" w14:textId="77777777" w:rsidR="0034750F" w:rsidRPr="00BB01C2" w:rsidRDefault="0034750F" w:rsidP="00991F47">
            <w:pPr>
              <w:spacing w:after="0" w:line="240" w:lineRule="auto"/>
              <w:jc w:val="both"/>
              <w:rPr>
                <w:rFonts w:ascii="Aptos Narrow" w:eastAsia="Times New Roman" w:hAnsi="Aptos Narrow" w:cs="Times New Roman"/>
                <w:color w:val="000000"/>
                <w:lang w:eastAsia="en-GB"/>
              </w:rPr>
            </w:pPr>
            <w:r w:rsidRPr="00BB01C2">
              <w:rPr>
                <w:rFonts w:ascii="Aptos Narrow" w:eastAsia="Verdana" w:hAnsi="Aptos Narrow" w:cs="Verdana"/>
                <w:color w:val="000000"/>
                <w:lang w:eastAsia="en-GB"/>
              </w:rPr>
              <w:t>The service needs to assure itself that it is making the most of opportunities to improve workforce productivity and develop future capacity using innovation, including technology</w:t>
            </w:r>
          </w:p>
        </w:tc>
        <w:tc>
          <w:tcPr>
            <w:tcW w:w="887" w:type="dxa"/>
            <w:tcBorders>
              <w:top w:val="nil"/>
              <w:left w:val="nil"/>
              <w:bottom w:val="single" w:sz="4" w:space="0" w:color="auto"/>
              <w:right w:val="single" w:sz="4" w:space="0" w:color="auto"/>
            </w:tcBorders>
            <w:shd w:val="clear" w:color="000000" w:fill="FFC000"/>
            <w:noWrap/>
            <w:vAlign w:val="bottom"/>
            <w:hideMark/>
          </w:tcPr>
          <w:p w14:paraId="0B6AEED3"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92D050"/>
            <w:noWrap/>
            <w:vAlign w:val="bottom"/>
            <w:hideMark/>
          </w:tcPr>
          <w:p w14:paraId="2058CBBA"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r w:rsidR="0034750F" w:rsidRPr="00BB01C2" w14:paraId="50254AC1" w14:textId="77777777" w:rsidTr="0091545F">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A1CE689"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11</w:t>
            </w:r>
          </w:p>
        </w:tc>
        <w:tc>
          <w:tcPr>
            <w:tcW w:w="6606" w:type="dxa"/>
            <w:tcBorders>
              <w:top w:val="nil"/>
              <w:left w:val="nil"/>
              <w:bottom w:val="single" w:sz="4" w:space="0" w:color="auto"/>
              <w:right w:val="single" w:sz="4" w:space="0" w:color="auto"/>
            </w:tcBorders>
            <w:shd w:val="clear" w:color="auto" w:fill="auto"/>
            <w:vAlign w:val="center"/>
            <w:hideMark/>
          </w:tcPr>
          <w:p w14:paraId="71C4F5FA" w14:textId="77777777" w:rsidR="0034750F" w:rsidRPr="00BB01C2" w:rsidRDefault="0034750F" w:rsidP="00991F47">
            <w:pPr>
              <w:spacing w:after="0" w:line="240" w:lineRule="auto"/>
              <w:jc w:val="both"/>
              <w:rPr>
                <w:rFonts w:ascii="Aptos Narrow" w:eastAsia="Times New Roman" w:hAnsi="Aptos Narrow" w:cs="Times New Roman"/>
                <w:color w:val="000000"/>
                <w:lang w:eastAsia="en-GB"/>
              </w:rPr>
            </w:pPr>
            <w:r w:rsidRPr="00BB01C2">
              <w:rPr>
                <w:rFonts w:ascii="Aptos Narrow" w:eastAsia="Verdana" w:hAnsi="Aptos Narrow" w:cs="Verdana"/>
                <w:color w:val="000000"/>
                <w:lang w:eastAsia="en-GB"/>
              </w:rPr>
              <w:t>The service should assure itself that senior and middle managers are visible and inclusive and demonstrate the Core Code of Ethics through their behaviours.</w:t>
            </w:r>
          </w:p>
        </w:tc>
        <w:tc>
          <w:tcPr>
            <w:tcW w:w="887" w:type="dxa"/>
            <w:tcBorders>
              <w:top w:val="nil"/>
              <w:left w:val="nil"/>
              <w:bottom w:val="single" w:sz="4" w:space="0" w:color="auto"/>
              <w:right w:val="single" w:sz="4" w:space="0" w:color="auto"/>
            </w:tcBorders>
            <w:shd w:val="clear" w:color="000000" w:fill="FFC000"/>
            <w:noWrap/>
            <w:vAlign w:val="bottom"/>
            <w:hideMark/>
          </w:tcPr>
          <w:p w14:paraId="2C1D5A5A"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FFC000"/>
            <w:noWrap/>
            <w:vAlign w:val="bottom"/>
            <w:hideMark/>
          </w:tcPr>
          <w:p w14:paraId="7D200323"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r w:rsidR="0034750F" w:rsidRPr="00BB01C2" w14:paraId="757BD13D" w14:textId="77777777" w:rsidTr="0091545F">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1B19D76"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12</w:t>
            </w:r>
          </w:p>
        </w:tc>
        <w:tc>
          <w:tcPr>
            <w:tcW w:w="6606" w:type="dxa"/>
            <w:tcBorders>
              <w:top w:val="nil"/>
              <w:left w:val="nil"/>
              <w:bottom w:val="single" w:sz="4" w:space="0" w:color="auto"/>
              <w:right w:val="single" w:sz="4" w:space="0" w:color="auto"/>
            </w:tcBorders>
            <w:shd w:val="clear" w:color="auto" w:fill="auto"/>
            <w:vAlign w:val="center"/>
            <w:hideMark/>
          </w:tcPr>
          <w:p w14:paraId="55F29F6B" w14:textId="77777777" w:rsidR="0034750F" w:rsidRPr="00BB01C2" w:rsidRDefault="0034750F" w:rsidP="00991F47">
            <w:pPr>
              <w:spacing w:after="0" w:line="240" w:lineRule="auto"/>
              <w:jc w:val="both"/>
              <w:rPr>
                <w:rFonts w:ascii="Aptos Narrow" w:eastAsia="Times New Roman" w:hAnsi="Aptos Narrow" w:cs="Times New Roman"/>
                <w:color w:val="000000"/>
                <w:lang w:eastAsia="en-GB"/>
              </w:rPr>
            </w:pPr>
            <w:r w:rsidRPr="00BB01C2">
              <w:rPr>
                <w:rFonts w:ascii="Aptos Narrow" w:eastAsia="Verdana" w:hAnsi="Aptos Narrow" w:cs="Verdana"/>
                <w:color w:val="000000"/>
                <w:lang w:eastAsia="en-GB"/>
              </w:rPr>
              <w:t>The service should formally monitor overtime, secondary contracts and secondary employment to make sure working hours aren’t exceeded.</w:t>
            </w:r>
          </w:p>
        </w:tc>
        <w:tc>
          <w:tcPr>
            <w:tcW w:w="887" w:type="dxa"/>
            <w:tcBorders>
              <w:top w:val="nil"/>
              <w:left w:val="nil"/>
              <w:bottom w:val="single" w:sz="4" w:space="0" w:color="auto"/>
              <w:right w:val="single" w:sz="4" w:space="0" w:color="auto"/>
            </w:tcBorders>
            <w:shd w:val="clear" w:color="000000" w:fill="92D050"/>
            <w:noWrap/>
            <w:vAlign w:val="bottom"/>
            <w:hideMark/>
          </w:tcPr>
          <w:p w14:paraId="57DAA6C2"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92D050"/>
            <w:noWrap/>
            <w:vAlign w:val="bottom"/>
            <w:hideMark/>
          </w:tcPr>
          <w:p w14:paraId="7A3C46FA"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r w:rsidR="0034750F" w:rsidRPr="00BB01C2" w14:paraId="2DCB8BD5" w14:textId="77777777" w:rsidTr="0091545F">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A170B12"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13</w:t>
            </w:r>
          </w:p>
        </w:tc>
        <w:tc>
          <w:tcPr>
            <w:tcW w:w="6606" w:type="dxa"/>
            <w:tcBorders>
              <w:top w:val="nil"/>
              <w:left w:val="nil"/>
              <w:bottom w:val="single" w:sz="4" w:space="0" w:color="auto"/>
              <w:right w:val="single" w:sz="4" w:space="0" w:color="auto"/>
            </w:tcBorders>
            <w:shd w:val="clear" w:color="auto" w:fill="auto"/>
            <w:vAlign w:val="center"/>
            <w:hideMark/>
          </w:tcPr>
          <w:p w14:paraId="51107965" w14:textId="77777777" w:rsidR="0034750F" w:rsidRPr="00BB01C2" w:rsidRDefault="0034750F" w:rsidP="00991F47">
            <w:pPr>
              <w:spacing w:after="0" w:line="240" w:lineRule="auto"/>
              <w:jc w:val="both"/>
              <w:rPr>
                <w:rFonts w:ascii="Aptos Narrow" w:eastAsia="Times New Roman" w:hAnsi="Aptos Narrow" w:cs="Times New Roman"/>
                <w:color w:val="000000"/>
                <w:lang w:eastAsia="en-GB"/>
              </w:rPr>
            </w:pPr>
            <w:r w:rsidRPr="00BB01C2">
              <w:rPr>
                <w:rFonts w:ascii="Aptos Narrow" w:eastAsia="Verdana" w:hAnsi="Aptos Narrow" w:cs="Verdana"/>
                <w:color w:val="000000"/>
                <w:lang w:eastAsia="en-GB"/>
              </w:rPr>
              <w:t>The service should assure itself that managers are appropriately trained for their role, including those involved in grievance, discipline and welfare processes</w:t>
            </w:r>
          </w:p>
        </w:tc>
        <w:tc>
          <w:tcPr>
            <w:tcW w:w="887" w:type="dxa"/>
            <w:tcBorders>
              <w:top w:val="nil"/>
              <w:left w:val="nil"/>
              <w:bottom w:val="single" w:sz="4" w:space="0" w:color="auto"/>
              <w:right w:val="single" w:sz="4" w:space="0" w:color="auto"/>
            </w:tcBorders>
            <w:shd w:val="clear" w:color="000000" w:fill="92D050"/>
            <w:noWrap/>
            <w:vAlign w:val="bottom"/>
            <w:hideMark/>
          </w:tcPr>
          <w:p w14:paraId="000DF8F4"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92D050"/>
            <w:noWrap/>
            <w:vAlign w:val="bottom"/>
            <w:hideMark/>
          </w:tcPr>
          <w:p w14:paraId="33145347"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r w:rsidR="0034750F" w:rsidRPr="00BB01C2" w14:paraId="7206F21B" w14:textId="77777777" w:rsidTr="0091545F">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4C044F7"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14</w:t>
            </w:r>
          </w:p>
        </w:tc>
        <w:tc>
          <w:tcPr>
            <w:tcW w:w="6606" w:type="dxa"/>
            <w:tcBorders>
              <w:top w:val="nil"/>
              <w:left w:val="nil"/>
              <w:bottom w:val="single" w:sz="4" w:space="0" w:color="auto"/>
              <w:right w:val="single" w:sz="4" w:space="0" w:color="auto"/>
            </w:tcBorders>
            <w:shd w:val="clear" w:color="auto" w:fill="auto"/>
            <w:vAlign w:val="center"/>
            <w:hideMark/>
          </w:tcPr>
          <w:p w14:paraId="0F22A8BA" w14:textId="77777777" w:rsidR="0034750F" w:rsidRPr="00BB01C2" w:rsidRDefault="0034750F" w:rsidP="00991F47">
            <w:pPr>
              <w:spacing w:after="0" w:line="240" w:lineRule="auto"/>
              <w:jc w:val="both"/>
              <w:rPr>
                <w:rFonts w:ascii="Aptos Narrow" w:eastAsia="Times New Roman" w:hAnsi="Aptos Narrow" w:cs="Times New Roman"/>
                <w:color w:val="000000"/>
                <w:lang w:eastAsia="en-GB"/>
              </w:rPr>
            </w:pPr>
            <w:r w:rsidRPr="00BB01C2">
              <w:rPr>
                <w:rFonts w:ascii="Aptos Narrow" w:eastAsia="Verdana" w:hAnsi="Aptos Narrow" w:cs="Verdana"/>
                <w:color w:val="000000"/>
                <w:lang w:eastAsia="en-GB"/>
              </w:rPr>
              <w:t>The service should make sure it has effective arrangements in place to manage its workforce plan, supported by the appropriate departments and roles. It should take full account of the skills and capabilities it needs to implement its community risk management plan.</w:t>
            </w:r>
          </w:p>
        </w:tc>
        <w:tc>
          <w:tcPr>
            <w:tcW w:w="887" w:type="dxa"/>
            <w:tcBorders>
              <w:top w:val="nil"/>
              <w:left w:val="nil"/>
              <w:bottom w:val="single" w:sz="4" w:space="0" w:color="auto"/>
              <w:right w:val="single" w:sz="4" w:space="0" w:color="auto"/>
            </w:tcBorders>
            <w:shd w:val="clear" w:color="000000" w:fill="92D050"/>
            <w:noWrap/>
            <w:vAlign w:val="bottom"/>
            <w:hideMark/>
          </w:tcPr>
          <w:p w14:paraId="3FAF97C0"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92D050"/>
            <w:noWrap/>
            <w:vAlign w:val="bottom"/>
            <w:hideMark/>
          </w:tcPr>
          <w:p w14:paraId="4E5D72B9"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r w:rsidR="0034750F" w:rsidRPr="00BB01C2" w14:paraId="4F7EE0C6" w14:textId="77777777" w:rsidTr="0091545F">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F82D9EB"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15</w:t>
            </w:r>
          </w:p>
        </w:tc>
        <w:tc>
          <w:tcPr>
            <w:tcW w:w="6606" w:type="dxa"/>
            <w:tcBorders>
              <w:top w:val="nil"/>
              <w:left w:val="nil"/>
              <w:bottom w:val="single" w:sz="4" w:space="0" w:color="auto"/>
              <w:right w:val="single" w:sz="4" w:space="0" w:color="auto"/>
            </w:tcBorders>
            <w:shd w:val="clear" w:color="auto" w:fill="auto"/>
            <w:vAlign w:val="center"/>
            <w:hideMark/>
          </w:tcPr>
          <w:p w14:paraId="29EEB343" w14:textId="77777777" w:rsidR="0034750F" w:rsidRPr="00BB01C2" w:rsidRDefault="0034750F" w:rsidP="00991F47">
            <w:pPr>
              <w:spacing w:after="0" w:line="240" w:lineRule="auto"/>
              <w:jc w:val="both"/>
              <w:rPr>
                <w:rFonts w:ascii="Aptos Narrow" w:eastAsia="Times New Roman" w:hAnsi="Aptos Narrow" w:cs="Times New Roman"/>
                <w:color w:val="000000"/>
                <w:lang w:eastAsia="en-GB"/>
              </w:rPr>
            </w:pPr>
            <w:r w:rsidRPr="00BB01C2">
              <w:rPr>
                <w:rFonts w:ascii="Aptos Narrow" w:eastAsia="Verdana" w:hAnsi="Aptos Narrow" w:cs="Verdana"/>
                <w:color w:val="000000"/>
                <w:lang w:eastAsia="en-GB"/>
              </w:rPr>
              <w:t>The service put in place an open and fair process to identify, develop and support all high-potential staff and aspiring leaders.</w:t>
            </w:r>
          </w:p>
        </w:tc>
        <w:tc>
          <w:tcPr>
            <w:tcW w:w="887" w:type="dxa"/>
            <w:tcBorders>
              <w:top w:val="nil"/>
              <w:left w:val="nil"/>
              <w:bottom w:val="single" w:sz="4" w:space="0" w:color="auto"/>
              <w:right w:val="single" w:sz="4" w:space="0" w:color="auto"/>
            </w:tcBorders>
            <w:shd w:val="clear" w:color="000000" w:fill="92D050"/>
            <w:noWrap/>
            <w:vAlign w:val="bottom"/>
            <w:hideMark/>
          </w:tcPr>
          <w:p w14:paraId="455FCF3B"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92D050"/>
            <w:noWrap/>
            <w:vAlign w:val="bottom"/>
            <w:hideMark/>
          </w:tcPr>
          <w:p w14:paraId="079DE5A0"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r w:rsidR="0034750F" w:rsidRPr="00BB01C2" w14:paraId="3B8D95BC" w14:textId="77777777" w:rsidTr="0091545F">
        <w:trPr>
          <w:trHeight w:val="86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181E7DE"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lastRenderedPageBreak/>
              <w:t>16</w:t>
            </w:r>
          </w:p>
        </w:tc>
        <w:tc>
          <w:tcPr>
            <w:tcW w:w="6606" w:type="dxa"/>
            <w:tcBorders>
              <w:top w:val="nil"/>
              <w:left w:val="nil"/>
              <w:bottom w:val="single" w:sz="4" w:space="0" w:color="auto"/>
              <w:right w:val="single" w:sz="4" w:space="0" w:color="auto"/>
            </w:tcBorders>
            <w:shd w:val="clear" w:color="auto" w:fill="auto"/>
            <w:vAlign w:val="center"/>
            <w:hideMark/>
          </w:tcPr>
          <w:p w14:paraId="7FA9049D" w14:textId="77777777" w:rsidR="0034750F" w:rsidRPr="00BB01C2" w:rsidRDefault="0034750F" w:rsidP="00991F47">
            <w:pPr>
              <w:spacing w:after="0" w:line="240" w:lineRule="auto"/>
              <w:jc w:val="both"/>
              <w:rPr>
                <w:rFonts w:ascii="Aptos Narrow" w:eastAsia="Times New Roman" w:hAnsi="Aptos Narrow" w:cs="Times New Roman"/>
                <w:color w:val="000000"/>
                <w:lang w:eastAsia="en-GB"/>
              </w:rPr>
            </w:pPr>
            <w:r w:rsidRPr="00BB01C2">
              <w:rPr>
                <w:rFonts w:ascii="Aptos Narrow" w:eastAsia="Verdana" w:hAnsi="Aptos Narrow" w:cs="Verdana"/>
                <w:color w:val="000000"/>
                <w:lang w:eastAsia="en-GB"/>
              </w:rPr>
              <w:t>The service should make sure its selection, development and promotion of staff are open and fair, and it should do more to make sure staff have confidence in promotion and selection processes.</w:t>
            </w:r>
          </w:p>
        </w:tc>
        <w:tc>
          <w:tcPr>
            <w:tcW w:w="887" w:type="dxa"/>
            <w:tcBorders>
              <w:top w:val="nil"/>
              <w:left w:val="nil"/>
              <w:bottom w:val="single" w:sz="4" w:space="0" w:color="auto"/>
              <w:right w:val="single" w:sz="4" w:space="0" w:color="auto"/>
            </w:tcBorders>
            <w:shd w:val="clear" w:color="000000" w:fill="92D050"/>
            <w:noWrap/>
            <w:vAlign w:val="bottom"/>
            <w:hideMark/>
          </w:tcPr>
          <w:p w14:paraId="1222FA7E"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92D050"/>
            <w:noWrap/>
            <w:vAlign w:val="bottom"/>
            <w:hideMark/>
          </w:tcPr>
          <w:p w14:paraId="62F06633"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r w:rsidR="0034750F" w:rsidRPr="00BB01C2" w14:paraId="124EA6CD" w14:textId="77777777" w:rsidTr="0091545F">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1B613A8" w14:textId="77777777" w:rsidR="0034750F" w:rsidRPr="00BB01C2" w:rsidRDefault="0034750F" w:rsidP="00991F47">
            <w:pPr>
              <w:spacing w:after="0" w:line="240" w:lineRule="auto"/>
              <w:jc w:val="center"/>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17</w:t>
            </w:r>
          </w:p>
        </w:tc>
        <w:tc>
          <w:tcPr>
            <w:tcW w:w="6606" w:type="dxa"/>
            <w:tcBorders>
              <w:top w:val="nil"/>
              <w:left w:val="nil"/>
              <w:bottom w:val="single" w:sz="4" w:space="0" w:color="auto"/>
              <w:right w:val="single" w:sz="4" w:space="0" w:color="auto"/>
            </w:tcBorders>
            <w:shd w:val="clear" w:color="auto" w:fill="auto"/>
            <w:vAlign w:val="bottom"/>
            <w:hideMark/>
          </w:tcPr>
          <w:p w14:paraId="011CDD04"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The service should improve equality, diversity and inclusion (EDI) by developing effective ways to show how it monitors and evaluates EDI objectives, including understanding and addressing the effect positive action has on staff</w:t>
            </w:r>
          </w:p>
        </w:tc>
        <w:tc>
          <w:tcPr>
            <w:tcW w:w="887" w:type="dxa"/>
            <w:tcBorders>
              <w:top w:val="nil"/>
              <w:left w:val="nil"/>
              <w:bottom w:val="single" w:sz="4" w:space="0" w:color="auto"/>
              <w:right w:val="single" w:sz="4" w:space="0" w:color="auto"/>
            </w:tcBorders>
            <w:shd w:val="clear" w:color="000000" w:fill="FF0000"/>
            <w:noWrap/>
            <w:vAlign w:val="bottom"/>
            <w:hideMark/>
          </w:tcPr>
          <w:p w14:paraId="4B5792C8"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c>
          <w:tcPr>
            <w:tcW w:w="956" w:type="dxa"/>
            <w:tcBorders>
              <w:top w:val="nil"/>
              <w:left w:val="nil"/>
              <w:bottom w:val="single" w:sz="4" w:space="0" w:color="auto"/>
              <w:right w:val="single" w:sz="4" w:space="0" w:color="auto"/>
            </w:tcBorders>
            <w:shd w:val="clear" w:color="000000" w:fill="FFC000"/>
            <w:noWrap/>
            <w:vAlign w:val="bottom"/>
            <w:hideMark/>
          </w:tcPr>
          <w:p w14:paraId="79A6E290" w14:textId="77777777" w:rsidR="0034750F" w:rsidRPr="00BB01C2" w:rsidRDefault="0034750F" w:rsidP="00991F47">
            <w:pPr>
              <w:spacing w:after="0" w:line="240" w:lineRule="auto"/>
              <w:rPr>
                <w:rFonts w:ascii="Aptos Narrow" w:eastAsia="Times New Roman" w:hAnsi="Aptos Narrow" w:cs="Times New Roman"/>
                <w:color w:val="000000"/>
                <w:lang w:eastAsia="en-GB"/>
              </w:rPr>
            </w:pPr>
            <w:r w:rsidRPr="00BB01C2">
              <w:rPr>
                <w:rFonts w:ascii="Aptos Narrow" w:eastAsia="Times New Roman" w:hAnsi="Aptos Narrow" w:cs="Times New Roman"/>
                <w:color w:val="000000"/>
                <w:lang w:eastAsia="en-GB"/>
              </w:rPr>
              <w:t> </w:t>
            </w:r>
          </w:p>
        </w:tc>
      </w:tr>
    </w:tbl>
    <w:p w14:paraId="188A7824" w14:textId="77777777" w:rsidR="0034750F" w:rsidRPr="001254EE" w:rsidRDefault="0034750F" w:rsidP="00946AB9">
      <w:pPr>
        <w:jc w:val="both"/>
        <w:rPr>
          <w:rFonts w:ascii="Verdana" w:hAnsi="Verdana" w:cs="Arial"/>
          <w:b/>
          <w:u w:val="single"/>
        </w:rPr>
      </w:pPr>
    </w:p>
    <w:sectPr w:rsidR="0034750F" w:rsidRPr="001254EE" w:rsidSect="004C3A04">
      <w:footerReference w:type="default" r:id="rId8"/>
      <w:headerReference w:type="first" r:id="rId9"/>
      <w:pgSz w:w="11906" w:h="16838"/>
      <w:pgMar w:top="1440" w:right="1440" w:bottom="567"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5C105" w14:textId="77777777" w:rsidR="00833600" w:rsidRDefault="00833600" w:rsidP="003B38F4">
      <w:pPr>
        <w:spacing w:after="0" w:line="240" w:lineRule="auto"/>
      </w:pPr>
      <w:r>
        <w:separator/>
      </w:r>
    </w:p>
  </w:endnote>
  <w:endnote w:type="continuationSeparator" w:id="0">
    <w:p w14:paraId="09C4CF0E" w14:textId="77777777" w:rsidR="00833600" w:rsidRDefault="00833600" w:rsidP="003B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5933067"/>
      <w:docPartObj>
        <w:docPartGallery w:val="Page Numbers (Bottom of Page)"/>
        <w:docPartUnique/>
      </w:docPartObj>
    </w:sdtPr>
    <w:sdtEndPr>
      <w:rPr>
        <w:noProof/>
      </w:rPr>
    </w:sdtEndPr>
    <w:sdtContent>
      <w:p w14:paraId="5C6F843E" w14:textId="77777777" w:rsidR="00983019" w:rsidRDefault="00983019">
        <w:pPr>
          <w:pStyle w:val="Footer"/>
          <w:jc w:val="center"/>
        </w:pPr>
        <w:r>
          <w:fldChar w:fldCharType="begin"/>
        </w:r>
        <w:r>
          <w:instrText xml:space="preserve"> PAGE   \* MERGEFORMAT </w:instrText>
        </w:r>
        <w:r>
          <w:fldChar w:fldCharType="separate"/>
        </w:r>
        <w:r w:rsidR="002F4B0E">
          <w:rPr>
            <w:noProof/>
          </w:rPr>
          <w:t>1</w:t>
        </w:r>
        <w:r>
          <w:rPr>
            <w:noProof/>
          </w:rPr>
          <w:fldChar w:fldCharType="end"/>
        </w:r>
      </w:p>
    </w:sdtContent>
  </w:sdt>
  <w:p w14:paraId="3D311D9C" w14:textId="77777777" w:rsidR="00983019" w:rsidRDefault="00983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95002" w14:textId="77777777" w:rsidR="00833600" w:rsidRDefault="00833600" w:rsidP="003B38F4">
      <w:pPr>
        <w:spacing w:after="0" w:line="240" w:lineRule="auto"/>
      </w:pPr>
      <w:r>
        <w:separator/>
      </w:r>
    </w:p>
  </w:footnote>
  <w:footnote w:type="continuationSeparator" w:id="0">
    <w:p w14:paraId="60A2781C" w14:textId="77777777" w:rsidR="00833600" w:rsidRDefault="00833600" w:rsidP="003B3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93269" w14:textId="1F913F2D" w:rsidR="00F930D8" w:rsidRDefault="004C3A04">
    <w:pPr>
      <w:pStyle w:val="Header"/>
    </w:pPr>
    <w:r w:rsidRPr="008E52F0">
      <w:rPr>
        <w:rFonts w:ascii="Calibri" w:hAnsi="Calibri" w:cs="Arial"/>
        <w:b/>
        <w:noProof/>
        <w:lang w:val="en-US"/>
      </w:rPr>
      <w:drawing>
        <wp:anchor distT="0" distB="0" distL="114300" distR="114300" simplePos="0" relativeHeight="251659264" behindDoc="0" locked="0" layoutInCell="1" allowOverlap="1" wp14:anchorId="431B7233" wp14:editId="1E62B5D7">
          <wp:simplePos x="0" y="0"/>
          <wp:positionH relativeFrom="margin">
            <wp:posOffset>4419600</wp:posOffset>
          </wp:positionH>
          <wp:positionV relativeFrom="paragraph">
            <wp:posOffset>-153035</wp:posOffset>
          </wp:positionV>
          <wp:extent cx="1381125" cy="1381125"/>
          <wp:effectExtent l="0" t="0" r="0" b="0"/>
          <wp:wrapNone/>
          <wp:docPr id="2" name="Picture 2" descr="A picture containing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etalware, gear&#10;&#10;Description automatically generated"/>
                  <pic:cNvPicPr/>
                </pic:nvPicPr>
                <pic:blipFill>
                  <a:blip r:embed="rId1"/>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86766D2" wp14:editId="2BBE9A18">
          <wp:extent cx="1209675" cy="1209675"/>
          <wp:effectExtent l="0" t="0" r="9525" b="9525"/>
          <wp:docPr id="151023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35C59"/>
    <w:multiLevelType w:val="hybridMultilevel"/>
    <w:tmpl w:val="166C8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C72041"/>
    <w:multiLevelType w:val="hybridMultilevel"/>
    <w:tmpl w:val="399C8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E0106"/>
    <w:multiLevelType w:val="hybridMultilevel"/>
    <w:tmpl w:val="D14A9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53AD7"/>
    <w:multiLevelType w:val="hybridMultilevel"/>
    <w:tmpl w:val="032AD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553E9"/>
    <w:multiLevelType w:val="hybridMultilevel"/>
    <w:tmpl w:val="A1884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D4708"/>
    <w:multiLevelType w:val="hybridMultilevel"/>
    <w:tmpl w:val="7A7C7DBC"/>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120D2A1E"/>
    <w:multiLevelType w:val="hybridMultilevel"/>
    <w:tmpl w:val="1CD435F4"/>
    <w:lvl w:ilvl="0" w:tplc="F2229DAA">
      <w:numFmt w:val="bullet"/>
      <w:lvlText w:val="•"/>
      <w:lvlJc w:val="left"/>
      <w:pPr>
        <w:ind w:left="1080" w:hanging="72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22982"/>
    <w:multiLevelType w:val="hybridMultilevel"/>
    <w:tmpl w:val="87CE56F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30735BF"/>
    <w:multiLevelType w:val="hybridMultilevel"/>
    <w:tmpl w:val="5378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4269A8"/>
    <w:multiLevelType w:val="hybridMultilevel"/>
    <w:tmpl w:val="22269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5F2388"/>
    <w:multiLevelType w:val="hybridMultilevel"/>
    <w:tmpl w:val="E13E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4B76AD"/>
    <w:multiLevelType w:val="hybridMultilevel"/>
    <w:tmpl w:val="6602F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CF15B8"/>
    <w:multiLevelType w:val="hybridMultilevel"/>
    <w:tmpl w:val="CE5AC8D2"/>
    <w:lvl w:ilvl="0" w:tplc="80B8A3E6">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332034"/>
    <w:multiLevelType w:val="hybridMultilevel"/>
    <w:tmpl w:val="37CCE3EC"/>
    <w:lvl w:ilvl="0" w:tplc="3D82FB9A">
      <w:numFmt w:val="bullet"/>
      <w:lvlText w:val="-"/>
      <w:lvlJc w:val="left"/>
      <w:pPr>
        <w:ind w:left="1440" w:hanging="360"/>
      </w:pPr>
      <w:rPr>
        <w:rFonts w:ascii="Arial Narrow" w:eastAsiaTheme="minorHAnsi" w:hAnsi="Arial Narrow"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2485940"/>
    <w:multiLevelType w:val="hybridMultilevel"/>
    <w:tmpl w:val="677A3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AA4EBE"/>
    <w:multiLevelType w:val="hybridMultilevel"/>
    <w:tmpl w:val="1A0A6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16651"/>
    <w:multiLevelType w:val="hybridMultilevel"/>
    <w:tmpl w:val="44E0A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CA14CAD"/>
    <w:multiLevelType w:val="hybridMultilevel"/>
    <w:tmpl w:val="7F6C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221B83"/>
    <w:multiLevelType w:val="hybridMultilevel"/>
    <w:tmpl w:val="3B2A4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C76C8F"/>
    <w:multiLevelType w:val="hybridMultilevel"/>
    <w:tmpl w:val="00C61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A74469"/>
    <w:multiLevelType w:val="hybridMultilevel"/>
    <w:tmpl w:val="8950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54895"/>
    <w:multiLevelType w:val="hybridMultilevel"/>
    <w:tmpl w:val="781671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4C2FFC"/>
    <w:multiLevelType w:val="multilevel"/>
    <w:tmpl w:val="48EA8E64"/>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3807332F"/>
    <w:multiLevelType w:val="hybridMultilevel"/>
    <w:tmpl w:val="81DA1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3036C1"/>
    <w:multiLevelType w:val="hybridMultilevel"/>
    <w:tmpl w:val="7C18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D96587"/>
    <w:multiLevelType w:val="hybridMultilevel"/>
    <w:tmpl w:val="936E5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5167DD"/>
    <w:multiLevelType w:val="hybridMultilevel"/>
    <w:tmpl w:val="BD889BF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7" w15:restartNumberingAfterBreak="0">
    <w:nsid w:val="3F741050"/>
    <w:multiLevelType w:val="hybridMultilevel"/>
    <w:tmpl w:val="5B1EE498"/>
    <w:lvl w:ilvl="0" w:tplc="46B619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F810A47"/>
    <w:multiLevelType w:val="hybridMultilevel"/>
    <w:tmpl w:val="F7EE1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A14A98"/>
    <w:multiLevelType w:val="hybridMultilevel"/>
    <w:tmpl w:val="823223D6"/>
    <w:lvl w:ilvl="0" w:tplc="BEAC531A">
      <w:start w:val="1"/>
      <w:numFmt w:val="decimal"/>
      <w:lvlText w:val="%1."/>
      <w:lvlJc w:val="left"/>
      <w:pPr>
        <w:ind w:left="1080" w:hanging="360"/>
      </w:pPr>
      <w:rPr>
        <w:rFonts w:eastAsia="Calibri"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71F2921"/>
    <w:multiLevelType w:val="hybridMultilevel"/>
    <w:tmpl w:val="1FBE4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A9E2B83"/>
    <w:multiLevelType w:val="hybridMultilevel"/>
    <w:tmpl w:val="9268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695691"/>
    <w:multiLevelType w:val="hybridMultilevel"/>
    <w:tmpl w:val="68783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F000F6"/>
    <w:multiLevelType w:val="hybridMultilevel"/>
    <w:tmpl w:val="7284BAC8"/>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5F7023A9"/>
    <w:multiLevelType w:val="hybridMultilevel"/>
    <w:tmpl w:val="7A98B2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9E5891"/>
    <w:multiLevelType w:val="hybridMultilevel"/>
    <w:tmpl w:val="E6806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635959"/>
    <w:multiLevelType w:val="hybridMultilevel"/>
    <w:tmpl w:val="2690D9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57869FE"/>
    <w:multiLevelType w:val="multilevel"/>
    <w:tmpl w:val="F86AB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643E5E"/>
    <w:multiLevelType w:val="hybridMultilevel"/>
    <w:tmpl w:val="CAF478E4"/>
    <w:lvl w:ilvl="0" w:tplc="4A5E74D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8755F5"/>
    <w:multiLevelType w:val="hybridMultilevel"/>
    <w:tmpl w:val="2F3441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DA29AC"/>
    <w:multiLevelType w:val="hybridMultilevel"/>
    <w:tmpl w:val="A9D25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B12940"/>
    <w:multiLevelType w:val="hybridMultilevel"/>
    <w:tmpl w:val="718A391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2" w15:restartNumberingAfterBreak="0">
    <w:nsid w:val="6C745FCA"/>
    <w:multiLevelType w:val="hybridMultilevel"/>
    <w:tmpl w:val="0E064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71693F"/>
    <w:multiLevelType w:val="hybridMultilevel"/>
    <w:tmpl w:val="E572E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1B4E78"/>
    <w:multiLevelType w:val="hybridMultilevel"/>
    <w:tmpl w:val="0A84CF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907633"/>
    <w:multiLevelType w:val="hybridMultilevel"/>
    <w:tmpl w:val="FF4CC3AA"/>
    <w:lvl w:ilvl="0" w:tplc="F2229DAA">
      <w:numFmt w:val="bullet"/>
      <w:lvlText w:val="•"/>
      <w:lvlJc w:val="left"/>
      <w:pPr>
        <w:ind w:left="1080" w:hanging="72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6803279">
    <w:abstractNumId w:val="7"/>
  </w:num>
  <w:num w:numId="2" w16cid:durableId="1228342369">
    <w:abstractNumId w:val="0"/>
  </w:num>
  <w:num w:numId="3" w16cid:durableId="975178967">
    <w:abstractNumId w:val="36"/>
  </w:num>
  <w:num w:numId="4" w16cid:durableId="19681205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1737885">
    <w:abstractNumId w:val="30"/>
  </w:num>
  <w:num w:numId="6" w16cid:durableId="2115322955">
    <w:abstractNumId w:val="32"/>
  </w:num>
  <w:num w:numId="7" w16cid:durableId="1909270540">
    <w:abstractNumId w:val="44"/>
  </w:num>
  <w:num w:numId="8" w16cid:durableId="1840149901">
    <w:abstractNumId w:val="10"/>
  </w:num>
  <w:num w:numId="9" w16cid:durableId="1153789975">
    <w:abstractNumId w:val="39"/>
  </w:num>
  <w:num w:numId="10" w16cid:durableId="1559246920">
    <w:abstractNumId w:val="37"/>
  </w:num>
  <w:num w:numId="11" w16cid:durableId="1863669344">
    <w:abstractNumId w:val="21"/>
  </w:num>
  <w:num w:numId="12" w16cid:durableId="541212619">
    <w:abstractNumId w:val="33"/>
  </w:num>
  <w:num w:numId="13" w16cid:durableId="1403722075">
    <w:abstractNumId w:val="34"/>
  </w:num>
  <w:num w:numId="14" w16cid:durableId="307907585">
    <w:abstractNumId w:val="35"/>
  </w:num>
  <w:num w:numId="15" w16cid:durableId="1125192978">
    <w:abstractNumId w:val="4"/>
  </w:num>
  <w:num w:numId="16" w16cid:durableId="661203624">
    <w:abstractNumId w:val="20"/>
  </w:num>
  <w:num w:numId="17" w16cid:durableId="763766705">
    <w:abstractNumId w:val="19"/>
  </w:num>
  <w:num w:numId="18" w16cid:durableId="884564587">
    <w:abstractNumId w:val="18"/>
  </w:num>
  <w:num w:numId="19" w16cid:durableId="1046683130">
    <w:abstractNumId w:val="16"/>
  </w:num>
  <w:num w:numId="20" w16cid:durableId="1284730422">
    <w:abstractNumId w:val="40"/>
  </w:num>
  <w:num w:numId="21" w16cid:durableId="1033463806">
    <w:abstractNumId w:val="41"/>
  </w:num>
  <w:num w:numId="22" w16cid:durableId="177161914">
    <w:abstractNumId w:val="27"/>
  </w:num>
  <w:num w:numId="23" w16cid:durableId="594944656">
    <w:abstractNumId w:val="15"/>
  </w:num>
  <w:num w:numId="24" w16cid:durableId="1178226589">
    <w:abstractNumId w:val="22"/>
  </w:num>
  <w:num w:numId="25" w16cid:durableId="2059931664">
    <w:abstractNumId w:val="12"/>
  </w:num>
  <w:num w:numId="26" w16cid:durableId="1488323320">
    <w:abstractNumId w:val="9"/>
  </w:num>
  <w:num w:numId="27" w16cid:durableId="1498113551">
    <w:abstractNumId w:val="31"/>
  </w:num>
  <w:num w:numId="28" w16cid:durableId="1558055798">
    <w:abstractNumId w:val="24"/>
  </w:num>
  <w:num w:numId="29" w16cid:durableId="757211000">
    <w:abstractNumId w:val="2"/>
  </w:num>
  <w:num w:numId="30" w16cid:durableId="215433475">
    <w:abstractNumId w:val="1"/>
  </w:num>
  <w:num w:numId="31" w16cid:durableId="918946998">
    <w:abstractNumId w:val="8"/>
  </w:num>
  <w:num w:numId="32" w16cid:durableId="1544244437">
    <w:abstractNumId w:val="28"/>
  </w:num>
  <w:num w:numId="33" w16cid:durableId="1117798066">
    <w:abstractNumId w:val="38"/>
  </w:num>
  <w:num w:numId="34" w16cid:durableId="244580989">
    <w:abstractNumId w:val="25"/>
  </w:num>
  <w:num w:numId="35" w16cid:durableId="1598907179">
    <w:abstractNumId w:val="3"/>
  </w:num>
  <w:num w:numId="36" w16cid:durableId="1191382346">
    <w:abstractNumId w:val="13"/>
  </w:num>
  <w:num w:numId="37" w16cid:durableId="313024340">
    <w:abstractNumId w:val="43"/>
  </w:num>
  <w:num w:numId="38" w16cid:durableId="895435270">
    <w:abstractNumId w:val="17"/>
  </w:num>
  <w:num w:numId="39" w16cid:durableId="1578588759">
    <w:abstractNumId w:val="45"/>
  </w:num>
  <w:num w:numId="40" w16cid:durableId="226770751">
    <w:abstractNumId w:val="6"/>
  </w:num>
  <w:num w:numId="41" w16cid:durableId="1845897071">
    <w:abstractNumId w:val="5"/>
  </w:num>
  <w:num w:numId="42" w16cid:durableId="1214151479">
    <w:abstractNumId w:val="14"/>
  </w:num>
  <w:num w:numId="43" w16cid:durableId="1479960481">
    <w:abstractNumId w:val="29"/>
  </w:num>
  <w:num w:numId="44" w16cid:durableId="1528762153">
    <w:abstractNumId w:val="26"/>
  </w:num>
  <w:num w:numId="45" w16cid:durableId="504516892">
    <w:abstractNumId w:val="42"/>
  </w:num>
  <w:num w:numId="46" w16cid:durableId="590047210">
    <w:abstractNumId w:val="23"/>
  </w:num>
  <w:num w:numId="47" w16cid:durableId="16559919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8F4"/>
    <w:rsid w:val="00001B31"/>
    <w:rsid w:val="00005CBF"/>
    <w:rsid w:val="00021EAA"/>
    <w:rsid w:val="00031666"/>
    <w:rsid w:val="00035740"/>
    <w:rsid w:val="0003684F"/>
    <w:rsid w:val="00050B15"/>
    <w:rsid w:val="00054CA1"/>
    <w:rsid w:val="00055F99"/>
    <w:rsid w:val="00061D2C"/>
    <w:rsid w:val="00063383"/>
    <w:rsid w:val="0006391B"/>
    <w:rsid w:val="00076628"/>
    <w:rsid w:val="000925C7"/>
    <w:rsid w:val="000927A3"/>
    <w:rsid w:val="00093EE2"/>
    <w:rsid w:val="00096D4A"/>
    <w:rsid w:val="000A0985"/>
    <w:rsid w:val="000A67CF"/>
    <w:rsid w:val="000B1BE3"/>
    <w:rsid w:val="000B4AAB"/>
    <w:rsid w:val="000B5B0B"/>
    <w:rsid w:val="000C0A3D"/>
    <w:rsid w:val="000C7266"/>
    <w:rsid w:val="000D2DF5"/>
    <w:rsid w:val="000D2E6E"/>
    <w:rsid w:val="000D48FC"/>
    <w:rsid w:val="000E06F9"/>
    <w:rsid w:val="000E51AE"/>
    <w:rsid w:val="000E542E"/>
    <w:rsid w:val="000F204E"/>
    <w:rsid w:val="000F2A2E"/>
    <w:rsid w:val="001044A0"/>
    <w:rsid w:val="001070AE"/>
    <w:rsid w:val="00111318"/>
    <w:rsid w:val="00115809"/>
    <w:rsid w:val="00124029"/>
    <w:rsid w:val="001254EE"/>
    <w:rsid w:val="0013346C"/>
    <w:rsid w:val="00135C53"/>
    <w:rsid w:val="0014213C"/>
    <w:rsid w:val="00153BB8"/>
    <w:rsid w:val="00156174"/>
    <w:rsid w:val="001611FE"/>
    <w:rsid w:val="00164FF6"/>
    <w:rsid w:val="001660A9"/>
    <w:rsid w:val="00167022"/>
    <w:rsid w:val="00172A28"/>
    <w:rsid w:val="0017645E"/>
    <w:rsid w:val="00187709"/>
    <w:rsid w:val="001A0782"/>
    <w:rsid w:val="001A66F0"/>
    <w:rsid w:val="001B0047"/>
    <w:rsid w:val="001B28FB"/>
    <w:rsid w:val="001B7D6A"/>
    <w:rsid w:val="001C1D39"/>
    <w:rsid w:val="001C20D2"/>
    <w:rsid w:val="001C3C43"/>
    <w:rsid w:val="001D7A0F"/>
    <w:rsid w:val="001F3722"/>
    <w:rsid w:val="001F6994"/>
    <w:rsid w:val="00200CE4"/>
    <w:rsid w:val="00217BC3"/>
    <w:rsid w:val="0022570C"/>
    <w:rsid w:val="0022608F"/>
    <w:rsid w:val="0024131D"/>
    <w:rsid w:val="00243C79"/>
    <w:rsid w:val="00244AC0"/>
    <w:rsid w:val="00251FF5"/>
    <w:rsid w:val="0025393B"/>
    <w:rsid w:val="00255890"/>
    <w:rsid w:val="00263D50"/>
    <w:rsid w:val="00292403"/>
    <w:rsid w:val="00297A8D"/>
    <w:rsid w:val="002A26B1"/>
    <w:rsid w:val="002A2C6A"/>
    <w:rsid w:val="002B07BB"/>
    <w:rsid w:val="002B1717"/>
    <w:rsid w:val="002C02F8"/>
    <w:rsid w:val="002C28AE"/>
    <w:rsid w:val="002C32D3"/>
    <w:rsid w:val="002D0DEB"/>
    <w:rsid w:val="002D2455"/>
    <w:rsid w:val="002F2202"/>
    <w:rsid w:val="002F4B0E"/>
    <w:rsid w:val="002F6C2D"/>
    <w:rsid w:val="00306A92"/>
    <w:rsid w:val="00323853"/>
    <w:rsid w:val="00323C02"/>
    <w:rsid w:val="003240A5"/>
    <w:rsid w:val="00330428"/>
    <w:rsid w:val="00337274"/>
    <w:rsid w:val="0034750F"/>
    <w:rsid w:val="00350925"/>
    <w:rsid w:val="00350EF5"/>
    <w:rsid w:val="0035774D"/>
    <w:rsid w:val="00367C73"/>
    <w:rsid w:val="00380E17"/>
    <w:rsid w:val="00386E79"/>
    <w:rsid w:val="003930B0"/>
    <w:rsid w:val="003B0EE3"/>
    <w:rsid w:val="003B38F4"/>
    <w:rsid w:val="003B3C8E"/>
    <w:rsid w:val="003C49AB"/>
    <w:rsid w:val="003D1F91"/>
    <w:rsid w:val="003D32E0"/>
    <w:rsid w:val="003D5C26"/>
    <w:rsid w:val="003E1CD2"/>
    <w:rsid w:val="003F085C"/>
    <w:rsid w:val="003F19EB"/>
    <w:rsid w:val="004012C2"/>
    <w:rsid w:val="0040592E"/>
    <w:rsid w:val="004131E7"/>
    <w:rsid w:val="00422128"/>
    <w:rsid w:val="004263E2"/>
    <w:rsid w:val="00427D28"/>
    <w:rsid w:val="00432193"/>
    <w:rsid w:val="0043396E"/>
    <w:rsid w:val="0043622B"/>
    <w:rsid w:val="0043648E"/>
    <w:rsid w:val="00440FB7"/>
    <w:rsid w:val="00441C9A"/>
    <w:rsid w:val="00441D4F"/>
    <w:rsid w:val="0045033E"/>
    <w:rsid w:val="0046117D"/>
    <w:rsid w:val="004673BD"/>
    <w:rsid w:val="00473DEE"/>
    <w:rsid w:val="004778BE"/>
    <w:rsid w:val="00480EF2"/>
    <w:rsid w:val="004833EB"/>
    <w:rsid w:val="00484691"/>
    <w:rsid w:val="00486E6F"/>
    <w:rsid w:val="00491D75"/>
    <w:rsid w:val="00492B22"/>
    <w:rsid w:val="004B086A"/>
    <w:rsid w:val="004C0E32"/>
    <w:rsid w:val="004C3A04"/>
    <w:rsid w:val="004C4657"/>
    <w:rsid w:val="004C7C55"/>
    <w:rsid w:val="004D0D55"/>
    <w:rsid w:val="004D3C02"/>
    <w:rsid w:val="004D53B5"/>
    <w:rsid w:val="004E1857"/>
    <w:rsid w:val="004E41E9"/>
    <w:rsid w:val="004E5C41"/>
    <w:rsid w:val="00504E04"/>
    <w:rsid w:val="00513BD2"/>
    <w:rsid w:val="00532558"/>
    <w:rsid w:val="00534141"/>
    <w:rsid w:val="00534CAA"/>
    <w:rsid w:val="00545C93"/>
    <w:rsid w:val="005505F2"/>
    <w:rsid w:val="00553348"/>
    <w:rsid w:val="0055515E"/>
    <w:rsid w:val="005576DC"/>
    <w:rsid w:val="00561732"/>
    <w:rsid w:val="005746DB"/>
    <w:rsid w:val="00581454"/>
    <w:rsid w:val="005878C4"/>
    <w:rsid w:val="00590DC6"/>
    <w:rsid w:val="00593568"/>
    <w:rsid w:val="005A1B99"/>
    <w:rsid w:val="005C098E"/>
    <w:rsid w:val="005C254A"/>
    <w:rsid w:val="005C3B03"/>
    <w:rsid w:val="005C5783"/>
    <w:rsid w:val="005E5BF5"/>
    <w:rsid w:val="005F1E57"/>
    <w:rsid w:val="00600AA9"/>
    <w:rsid w:val="00616F33"/>
    <w:rsid w:val="00621ABA"/>
    <w:rsid w:val="006275AA"/>
    <w:rsid w:val="00636E38"/>
    <w:rsid w:val="006405F1"/>
    <w:rsid w:val="006511A9"/>
    <w:rsid w:val="006616CB"/>
    <w:rsid w:val="006712EC"/>
    <w:rsid w:val="00671959"/>
    <w:rsid w:val="00671D6F"/>
    <w:rsid w:val="00672B34"/>
    <w:rsid w:val="00674DDE"/>
    <w:rsid w:val="00680AEF"/>
    <w:rsid w:val="00686ED1"/>
    <w:rsid w:val="00687F00"/>
    <w:rsid w:val="00692A44"/>
    <w:rsid w:val="006970AB"/>
    <w:rsid w:val="006A30B2"/>
    <w:rsid w:val="006C3265"/>
    <w:rsid w:val="006C4814"/>
    <w:rsid w:val="006D1CF2"/>
    <w:rsid w:val="006D27F8"/>
    <w:rsid w:val="006D6B3C"/>
    <w:rsid w:val="006D72A0"/>
    <w:rsid w:val="006E32BA"/>
    <w:rsid w:val="006F0F86"/>
    <w:rsid w:val="006F2418"/>
    <w:rsid w:val="006F6197"/>
    <w:rsid w:val="006F7A06"/>
    <w:rsid w:val="007006DE"/>
    <w:rsid w:val="007013B5"/>
    <w:rsid w:val="00710ABA"/>
    <w:rsid w:val="00714B56"/>
    <w:rsid w:val="00714F4B"/>
    <w:rsid w:val="00724229"/>
    <w:rsid w:val="00726E9E"/>
    <w:rsid w:val="0072722A"/>
    <w:rsid w:val="00727AAE"/>
    <w:rsid w:val="0073004B"/>
    <w:rsid w:val="00735D33"/>
    <w:rsid w:val="00741509"/>
    <w:rsid w:val="00741F45"/>
    <w:rsid w:val="007449EB"/>
    <w:rsid w:val="00763BC3"/>
    <w:rsid w:val="00764E5C"/>
    <w:rsid w:val="007675A0"/>
    <w:rsid w:val="00770AAB"/>
    <w:rsid w:val="00771992"/>
    <w:rsid w:val="0077729C"/>
    <w:rsid w:val="00792642"/>
    <w:rsid w:val="007A1FB5"/>
    <w:rsid w:val="007A73FC"/>
    <w:rsid w:val="007B40CB"/>
    <w:rsid w:val="007B5D83"/>
    <w:rsid w:val="007B791A"/>
    <w:rsid w:val="007E4D72"/>
    <w:rsid w:val="007E7F48"/>
    <w:rsid w:val="007F188B"/>
    <w:rsid w:val="007F4C3C"/>
    <w:rsid w:val="0081005A"/>
    <w:rsid w:val="00814999"/>
    <w:rsid w:val="00816AAF"/>
    <w:rsid w:val="008238EE"/>
    <w:rsid w:val="008271C7"/>
    <w:rsid w:val="00833600"/>
    <w:rsid w:val="0083619A"/>
    <w:rsid w:val="008377CE"/>
    <w:rsid w:val="00837E17"/>
    <w:rsid w:val="00850D72"/>
    <w:rsid w:val="00875E48"/>
    <w:rsid w:val="00876128"/>
    <w:rsid w:val="00876BFE"/>
    <w:rsid w:val="00880387"/>
    <w:rsid w:val="00885E44"/>
    <w:rsid w:val="00890F15"/>
    <w:rsid w:val="00896C0E"/>
    <w:rsid w:val="00897BD3"/>
    <w:rsid w:val="008A280A"/>
    <w:rsid w:val="008A3E4D"/>
    <w:rsid w:val="008A3FB9"/>
    <w:rsid w:val="008A5CC3"/>
    <w:rsid w:val="008B0C44"/>
    <w:rsid w:val="008B22F7"/>
    <w:rsid w:val="008B5856"/>
    <w:rsid w:val="008C23A1"/>
    <w:rsid w:val="008D1285"/>
    <w:rsid w:val="008D33FB"/>
    <w:rsid w:val="008E1118"/>
    <w:rsid w:val="008E22D3"/>
    <w:rsid w:val="008E7850"/>
    <w:rsid w:val="008F5EA0"/>
    <w:rsid w:val="008F629E"/>
    <w:rsid w:val="00900BB8"/>
    <w:rsid w:val="00901B0C"/>
    <w:rsid w:val="0090250C"/>
    <w:rsid w:val="0090580C"/>
    <w:rsid w:val="00905823"/>
    <w:rsid w:val="00907105"/>
    <w:rsid w:val="009072DC"/>
    <w:rsid w:val="0091545F"/>
    <w:rsid w:val="0092507F"/>
    <w:rsid w:val="00930696"/>
    <w:rsid w:val="0093160A"/>
    <w:rsid w:val="00931FC2"/>
    <w:rsid w:val="0093212D"/>
    <w:rsid w:val="00940481"/>
    <w:rsid w:val="00945AE8"/>
    <w:rsid w:val="00946AB9"/>
    <w:rsid w:val="00950473"/>
    <w:rsid w:val="009529FB"/>
    <w:rsid w:val="009601BE"/>
    <w:rsid w:val="009621B8"/>
    <w:rsid w:val="0097046A"/>
    <w:rsid w:val="0097584E"/>
    <w:rsid w:val="00981DAD"/>
    <w:rsid w:val="00981E46"/>
    <w:rsid w:val="0098218A"/>
    <w:rsid w:val="00983019"/>
    <w:rsid w:val="009B033E"/>
    <w:rsid w:val="009E2818"/>
    <w:rsid w:val="009F70FF"/>
    <w:rsid w:val="00A005B4"/>
    <w:rsid w:val="00A0392E"/>
    <w:rsid w:val="00A16F4B"/>
    <w:rsid w:val="00A1710A"/>
    <w:rsid w:val="00A27256"/>
    <w:rsid w:val="00A2797A"/>
    <w:rsid w:val="00A27D11"/>
    <w:rsid w:val="00A3071A"/>
    <w:rsid w:val="00A4379F"/>
    <w:rsid w:val="00A45086"/>
    <w:rsid w:val="00A5476B"/>
    <w:rsid w:val="00A56F00"/>
    <w:rsid w:val="00A65DAC"/>
    <w:rsid w:val="00A6624A"/>
    <w:rsid w:val="00A668B7"/>
    <w:rsid w:val="00A67A87"/>
    <w:rsid w:val="00A7390C"/>
    <w:rsid w:val="00A76C9E"/>
    <w:rsid w:val="00A77A58"/>
    <w:rsid w:val="00A80480"/>
    <w:rsid w:val="00A86708"/>
    <w:rsid w:val="00A91F2C"/>
    <w:rsid w:val="00A95762"/>
    <w:rsid w:val="00AB4BEB"/>
    <w:rsid w:val="00AB4E47"/>
    <w:rsid w:val="00AC5755"/>
    <w:rsid w:val="00AC6A2C"/>
    <w:rsid w:val="00AC6E7D"/>
    <w:rsid w:val="00AD3758"/>
    <w:rsid w:val="00AE143F"/>
    <w:rsid w:val="00AE695E"/>
    <w:rsid w:val="00AF2D76"/>
    <w:rsid w:val="00B05819"/>
    <w:rsid w:val="00B1126F"/>
    <w:rsid w:val="00B11349"/>
    <w:rsid w:val="00B12220"/>
    <w:rsid w:val="00B13EBF"/>
    <w:rsid w:val="00B22A43"/>
    <w:rsid w:val="00B26380"/>
    <w:rsid w:val="00B32026"/>
    <w:rsid w:val="00B341A8"/>
    <w:rsid w:val="00B36035"/>
    <w:rsid w:val="00B42079"/>
    <w:rsid w:val="00B44961"/>
    <w:rsid w:val="00B44F4C"/>
    <w:rsid w:val="00B47A3B"/>
    <w:rsid w:val="00B51B46"/>
    <w:rsid w:val="00B53D5A"/>
    <w:rsid w:val="00B579BD"/>
    <w:rsid w:val="00B6227E"/>
    <w:rsid w:val="00B66B69"/>
    <w:rsid w:val="00B7410A"/>
    <w:rsid w:val="00B8102C"/>
    <w:rsid w:val="00B8466E"/>
    <w:rsid w:val="00B92688"/>
    <w:rsid w:val="00B9412E"/>
    <w:rsid w:val="00B9587C"/>
    <w:rsid w:val="00BA4DB7"/>
    <w:rsid w:val="00BA7928"/>
    <w:rsid w:val="00BB01C2"/>
    <w:rsid w:val="00BB0235"/>
    <w:rsid w:val="00BB2DE3"/>
    <w:rsid w:val="00BB74F7"/>
    <w:rsid w:val="00BC3142"/>
    <w:rsid w:val="00BC5BD9"/>
    <w:rsid w:val="00BC6EB6"/>
    <w:rsid w:val="00BD640F"/>
    <w:rsid w:val="00BD6BFC"/>
    <w:rsid w:val="00BE5358"/>
    <w:rsid w:val="00BE77EB"/>
    <w:rsid w:val="00BF3EEB"/>
    <w:rsid w:val="00C044FA"/>
    <w:rsid w:val="00C04FED"/>
    <w:rsid w:val="00C13E60"/>
    <w:rsid w:val="00C13F53"/>
    <w:rsid w:val="00C31943"/>
    <w:rsid w:val="00C35F4E"/>
    <w:rsid w:val="00C409BA"/>
    <w:rsid w:val="00C41B4F"/>
    <w:rsid w:val="00C45744"/>
    <w:rsid w:val="00C53949"/>
    <w:rsid w:val="00C54DAC"/>
    <w:rsid w:val="00C62C82"/>
    <w:rsid w:val="00C76CC7"/>
    <w:rsid w:val="00C86B51"/>
    <w:rsid w:val="00C87531"/>
    <w:rsid w:val="00C97A4C"/>
    <w:rsid w:val="00CA6892"/>
    <w:rsid w:val="00CA6C1E"/>
    <w:rsid w:val="00CB55B3"/>
    <w:rsid w:val="00CC6A2B"/>
    <w:rsid w:val="00CD258F"/>
    <w:rsid w:val="00CD4E81"/>
    <w:rsid w:val="00CE11AB"/>
    <w:rsid w:val="00CE518B"/>
    <w:rsid w:val="00CE6A87"/>
    <w:rsid w:val="00CF29C6"/>
    <w:rsid w:val="00CF3920"/>
    <w:rsid w:val="00CF6D3F"/>
    <w:rsid w:val="00D11BF2"/>
    <w:rsid w:val="00D20CA1"/>
    <w:rsid w:val="00D26696"/>
    <w:rsid w:val="00D26715"/>
    <w:rsid w:val="00D3062B"/>
    <w:rsid w:val="00D31E7D"/>
    <w:rsid w:val="00D33AB9"/>
    <w:rsid w:val="00D4418A"/>
    <w:rsid w:val="00D478D7"/>
    <w:rsid w:val="00D704A0"/>
    <w:rsid w:val="00D71A29"/>
    <w:rsid w:val="00D857ED"/>
    <w:rsid w:val="00D909C4"/>
    <w:rsid w:val="00D926D9"/>
    <w:rsid w:val="00D9761C"/>
    <w:rsid w:val="00DA3408"/>
    <w:rsid w:val="00DB52BB"/>
    <w:rsid w:val="00DC1A37"/>
    <w:rsid w:val="00DC1EFA"/>
    <w:rsid w:val="00DC408D"/>
    <w:rsid w:val="00DC6F1C"/>
    <w:rsid w:val="00DD09FA"/>
    <w:rsid w:val="00DD4F27"/>
    <w:rsid w:val="00DF51CA"/>
    <w:rsid w:val="00DF7B6A"/>
    <w:rsid w:val="00E047E4"/>
    <w:rsid w:val="00E13228"/>
    <w:rsid w:val="00E2184D"/>
    <w:rsid w:val="00E24BA8"/>
    <w:rsid w:val="00E31630"/>
    <w:rsid w:val="00E46BAF"/>
    <w:rsid w:val="00E51F46"/>
    <w:rsid w:val="00E70033"/>
    <w:rsid w:val="00E710FE"/>
    <w:rsid w:val="00E718F3"/>
    <w:rsid w:val="00E7396E"/>
    <w:rsid w:val="00E76C69"/>
    <w:rsid w:val="00E80846"/>
    <w:rsid w:val="00E850BB"/>
    <w:rsid w:val="00E934A2"/>
    <w:rsid w:val="00E93EEC"/>
    <w:rsid w:val="00E976CE"/>
    <w:rsid w:val="00EA5FA4"/>
    <w:rsid w:val="00EA7D0D"/>
    <w:rsid w:val="00EB09DA"/>
    <w:rsid w:val="00EB7819"/>
    <w:rsid w:val="00EC0292"/>
    <w:rsid w:val="00EC43CA"/>
    <w:rsid w:val="00EC625F"/>
    <w:rsid w:val="00ED1BDF"/>
    <w:rsid w:val="00ED4F24"/>
    <w:rsid w:val="00ED5E63"/>
    <w:rsid w:val="00EE27FC"/>
    <w:rsid w:val="00EE4BD8"/>
    <w:rsid w:val="00F060E5"/>
    <w:rsid w:val="00F2413B"/>
    <w:rsid w:val="00F25D8D"/>
    <w:rsid w:val="00F2749C"/>
    <w:rsid w:val="00F321F3"/>
    <w:rsid w:val="00F3231D"/>
    <w:rsid w:val="00F32C25"/>
    <w:rsid w:val="00F34B6B"/>
    <w:rsid w:val="00F362B2"/>
    <w:rsid w:val="00F56F56"/>
    <w:rsid w:val="00F61CD2"/>
    <w:rsid w:val="00F750A7"/>
    <w:rsid w:val="00F7727F"/>
    <w:rsid w:val="00F85BD3"/>
    <w:rsid w:val="00F8639E"/>
    <w:rsid w:val="00F87F10"/>
    <w:rsid w:val="00F930D8"/>
    <w:rsid w:val="00F93514"/>
    <w:rsid w:val="00FA67DD"/>
    <w:rsid w:val="00FC4981"/>
    <w:rsid w:val="00FC63B1"/>
    <w:rsid w:val="00FD1FAB"/>
    <w:rsid w:val="00FD3361"/>
    <w:rsid w:val="00FD4745"/>
    <w:rsid w:val="00FD5240"/>
    <w:rsid w:val="00FD7737"/>
    <w:rsid w:val="00FE1034"/>
    <w:rsid w:val="00FE38BF"/>
    <w:rsid w:val="00FF27B1"/>
    <w:rsid w:val="00FF320C"/>
    <w:rsid w:val="00FF3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37D35"/>
  <w15:docId w15:val="{7D509A06-B1EF-4FF5-9E53-6BD9D9EF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B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8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8F4"/>
    <w:rPr>
      <w:rFonts w:ascii="Segoe UI" w:hAnsi="Segoe UI" w:cs="Segoe UI"/>
      <w:sz w:val="18"/>
      <w:szCs w:val="18"/>
    </w:rPr>
  </w:style>
  <w:style w:type="paragraph" w:styleId="Header">
    <w:name w:val="header"/>
    <w:basedOn w:val="Normal"/>
    <w:link w:val="HeaderChar"/>
    <w:uiPriority w:val="99"/>
    <w:unhideWhenUsed/>
    <w:rsid w:val="003B38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8F4"/>
  </w:style>
  <w:style w:type="paragraph" w:styleId="Footer">
    <w:name w:val="footer"/>
    <w:basedOn w:val="Normal"/>
    <w:link w:val="FooterChar"/>
    <w:uiPriority w:val="99"/>
    <w:unhideWhenUsed/>
    <w:rsid w:val="003B38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8F4"/>
  </w:style>
  <w:style w:type="paragraph" w:styleId="ListParagraph">
    <w:name w:val="List Paragraph"/>
    <w:aliases w:val="Bullet"/>
    <w:basedOn w:val="Normal"/>
    <w:uiPriority w:val="34"/>
    <w:qFormat/>
    <w:rsid w:val="003B38F4"/>
    <w:pPr>
      <w:ind w:left="720"/>
      <w:contextualSpacing/>
    </w:pPr>
  </w:style>
  <w:style w:type="table" w:styleId="TableGrid">
    <w:name w:val="Table Grid"/>
    <w:basedOn w:val="TableNormal"/>
    <w:uiPriority w:val="39"/>
    <w:rsid w:val="00F77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39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461544">
      <w:bodyDiv w:val="1"/>
      <w:marLeft w:val="0"/>
      <w:marRight w:val="0"/>
      <w:marTop w:val="0"/>
      <w:marBottom w:val="0"/>
      <w:divBdr>
        <w:top w:val="none" w:sz="0" w:space="0" w:color="auto"/>
        <w:left w:val="none" w:sz="0" w:space="0" w:color="auto"/>
        <w:bottom w:val="none" w:sz="0" w:space="0" w:color="auto"/>
        <w:right w:val="none" w:sz="0" w:space="0" w:color="auto"/>
      </w:divBdr>
    </w:div>
    <w:div w:id="345326235">
      <w:bodyDiv w:val="1"/>
      <w:marLeft w:val="0"/>
      <w:marRight w:val="0"/>
      <w:marTop w:val="0"/>
      <w:marBottom w:val="0"/>
      <w:divBdr>
        <w:top w:val="none" w:sz="0" w:space="0" w:color="auto"/>
        <w:left w:val="none" w:sz="0" w:space="0" w:color="auto"/>
        <w:bottom w:val="none" w:sz="0" w:space="0" w:color="auto"/>
        <w:right w:val="none" w:sz="0" w:space="0" w:color="auto"/>
      </w:divBdr>
    </w:div>
    <w:div w:id="469057100">
      <w:bodyDiv w:val="1"/>
      <w:marLeft w:val="0"/>
      <w:marRight w:val="0"/>
      <w:marTop w:val="0"/>
      <w:marBottom w:val="0"/>
      <w:divBdr>
        <w:top w:val="none" w:sz="0" w:space="0" w:color="auto"/>
        <w:left w:val="none" w:sz="0" w:space="0" w:color="auto"/>
        <w:bottom w:val="none" w:sz="0" w:space="0" w:color="auto"/>
        <w:right w:val="none" w:sz="0" w:space="0" w:color="auto"/>
      </w:divBdr>
    </w:div>
    <w:div w:id="604504770">
      <w:bodyDiv w:val="1"/>
      <w:marLeft w:val="0"/>
      <w:marRight w:val="0"/>
      <w:marTop w:val="0"/>
      <w:marBottom w:val="0"/>
      <w:divBdr>
        <w:top w:val="none" w:sz="0" w:space="0" w:color="auto"/>
        <w:left w:val="none" w:sz="0" w:space="0" w:color="auto"/>
        <w:bottom w:val="none" w:sz="0" w:space="0" w:color="auto"/>
        <w:right w:val="none" w:sz="0" w:space="0" w:color="auto"/>
      </w:divBdr>
    </w:div>
    <w:div w:id="821586049">
      <w:bodyDiv w:val="1"/>
      <w:marLeft w:val="0"/>
      <w:marRight w:val="0"/>
      <w:marTop w:val="0"/>
      <w:marBottom w:val="0"/>
      <w:divBdr>
        <w:top w:val="none" w:sz="0" w:space="0" w:color="auto"/>
        <w:left w:val="none" w:sz="0" w:space="0" w:color="auto"/>
        <w:bottom w:val="none" w:sz="0" w:space="0" w:color="auto"/>
        <w:right w:val="none" w:sz="0" w:space="0" w:color="auto"/>
      </w:divBdr>
    </w:div>
    <w:div w:id="189176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13B02-2FFE-4D21-A8B4-563813215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1176</Words>
  <Characters>6013</Characters>
  <Application>Microsoft Office Word</Application>
  <DocSecurity>0</DocSecurity>
  <Lines>171</Lines>
  <Paragraphs>102</Paragraphs>
  <ScaleCrop>false</ScaleCrop>
  <HeadingPairs>
    <vt:vector size="2" baseType="variant">
      <vt:variant>
        <vt:lpstr>Title</vt:lpstr>
      </vt:variant>
      <vt:variant>
        <vt:i4>1</vt:i4>
      </vt:variant>
    </vt:vector>
  </HeadingPairs>
  <TitlesOfParts>
    <vt:vector size="1" baseType="lpstr">
      <vt:lpstr/>
    </vt:vector>
  </TitlesOfParts>
  <Company>Northamptonshire Police</Company>
  <LinksUpToDate>false</LinksUpToDate>
  <CharactersWithSpaces>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Fell Paul</dc:creator>
  <cp:lastModifiedBy>Osborne Kate</cp:lastModifiedBy>
  <cp:revision>3</cp:revision>
  <cp:lastPrinted>2017-11-21T18:28:00Z</cp:lastPrinted>
  <dcterms:created xsi:type="dcterms:W3CDTF">2025-11-20T12:47:00Z</dcterms:created>
  <dcterms:modified xsi:type="dcterms:W3CDTF">2025-11-25T08:20:00Z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Colleen.Rattigan@northants.police.uk</vt:lpwstr>
  </property>
  <property fmtid="{D5CDD505-2E9C-101B-9397-08002B2CF9AE}" pid="5" name="MSIP_Label_d9cd4a6a-7014-48d6-b119-9b8b87129a7e_SetDate">
    <vt:lpwstr>2021-03-02T15:42:44.3875771Z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