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1534961D" w:rsidR="004A3122" w:rsidRDefault="00A07C02" w:rsidP="00E23592">
      <w:pPr>
        <w:spacing w:before="244"/>
        <w:jc w:val="both"/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>
      <w:pPr>
        <w:pStyle w:val="BodyText"/>
        <w:rPr>
          <w:b/>
        </w:rPr>
      </w:pPr>
    </w:p>
    <w:p w14:paraId="26A36135" w14:textId="23CEC1FC" w:rsidR="004A3122" w:rsidRDefault="007F3617">
      <w:pPr>
        <w:pStyle w:val="BodyText"/>
        <w:spacing w:before="1"/>
        <w:ind w:left="100"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987B67">
        <w:rPr>
          <w:spacing w:val="-15"/>
        </w:rPr>
        <w:t xml:space="preserve">she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proofErr w:type="gramStart"/>
      <w:r>
        <w:t>the</w:t>
      </w:r>
      <w:r w:rsidR="00987B67">
        <w:t xml:space="preserve"> </w:t>
      </w:r>
      <w:r>
        <w:rPr>
          <w:spacing w:val="-61"/>
        </w:rPr>
        <w:t xml:space="preserve"> </w:t>
      </w:r>
      <w:r>
        <w:t>decision</w:t>
      </w:r>
      <w:proofErr w:type="gramEnd"/>
      <w:r>
        <w:t>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9B028E4" w14:textId="77777777" w:rsidR="004A3122" w:rsidRDefault="007F3617">
      <w:pPr>
        <w:ind w:left="100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>
      <w:pPr>
        <w:pStyle w:val="BodyText"/>
        <w:rPr>
          <w:b/>
        </w:rPr>
      </w:pPr>
    </w:p>
    <w:p w14:paraId="28E8291B" w14:textId="42EB380C" w:rsidR="00B73BEF" w:rsidRDefault="00FE0103" w:rsidP="3FD8D9D9">
      <w:pPr>
        <w:pStyle w:val="BodyText"/>
      </w:pPr>
      <w:r>
        <w:t xml:space="preserve">The decision has been taken </w:t>
      </w:r>
      <w:r w:rsidR="037124F3">
        <w:t xml:space="preserve">to </w:t>
      </w:r>
      <w:r w:rsidR="00B73BEF">
        <w:t>vary a</w:t>
      </w:r>
      <w:r w:rsidRPr="3FD8D9D9">
        <w:rPr>
          <w:i/>
          <w:iCs/>
        </w:rPr>
        <w:t xml:space="preserve"> </w:t>
      </w:r>
      <w:r w:rsidR="00B73BEF">
        <w:t>Northamptonshire Police C</w:t>
      </w:r>
      <w:r>
        <w:t xml:space="preserve">ontract for </w:t>
      </w:r>
      <w:r w:rsidR="00B73BEF">
        <w:t xml:space="preserve">pensions administration with XPS Administration. This variation includes additional </w:t>
      </w:r>
      <w:r w:rsidR="7B7EE9CC">
        <w:t>work</w:t>
      </w:r>
      <w:r w:rsidR="1A9F5318">
        <w:t xml:space="preserve"> in respect of remedy activity</w:t>
      </w:r>
      <w:r w:rsidR="1D4F1F94">
        <w:t xml:space="preserve"> and capturing the difference in membership pricing for the year to 30</w:t>
      </w:r>
      <w:r w:rsidR="1D4F1F94" w:rsidRPr="3FD8D9D9">
        <w:rPr>
          <w:vertAlign w:val="superscript"/>
        </w:rPr>
        <w:t>th</w:t>
      </w:r>
      <w:r w:rsidR="1D4F1F94">
        <w:t xml:space="preserve"> September 2026.</w:t>
      </w:r>
    </w:p>
    <w:p w14:paraId="079A6605" w14:textId="5ED6ABB8" w:rsidR="3FD8D9D9" w:rsidRDefault="3FD8D9D9" w:rsidP="3FD8D9D9">
      <w:pPr>
        <w:pStyle w:val="BodyText"/>
      </w:pPr>
    </w:p>
    <w:p w14:paraId="1AE7AA3F" w14:textId="1C1DB885" w:rsidR="00B73BEF" w:rsidRPr="00E23592" w:rsidRDefault="5FBE41E2" w:rsidP="00B73BEF">
      <w:pPr>
        <w:pStyle w:val="BodyText"/>
      </w:pPr>
      <w:r>
        <w:t>T</w:t>
      </w:r>
      <w:r w:rsidR="00B73BEF">
        <w:t xml:space="preserve">he variation price is </w:t>
      </w:r>
      <w:r w:rsidR="00D366E6">
        <w:t>£</w:t>
      </w:r>
      <w:r w:rsidR="00987B67">
        <w:t>19,173</w:t>
      </w:r>
      <w:r w:rsidR="00A81B6E">
        <w:t xml:space="preserve"> ex VAT</w:t>
      </w:r>
      <w:r w:rsidR="00D366E6">
        <w:t xml:space="preserve"> </w:t>
      </w:r>
      <w:r w:rsidR="00B73BEF">
        <w:t>and this increases the contract value to £</w:t>
      </w:r>
      <w:r w:rsidR="00987B67">
        <w:t>662,999</w:t>
      </w:r>
      <w:r w:rsidR="00A81B6E">
        <w:t>.00</w:t>
      </w:r>
      <w:r w:rsidR="00B73BEF">
        <w:t xml:space="preserve">.  The contract term shall remain as 01 October 2021 to 30 September 2026. </w:t>
      </w:r>
    </w:p>
    <w:p w14:paraId="4A948DAC" w14:textId="39CC522D" w:rsidR="004A3122" w:rsidRDefault="00A07C02" w:rsidP="00A07C02">
      <w:pPr>
        <w:spacing w:before="200"/>
        <w:jc w:val="both"/>
        <w:rPr>
          <w:b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400BE59D" w14:textId="77777777" w:rsidR="004A3122" w:rsidRDefault="004A3122">
      <w:pPr>
        <w:pStyle w:val="BodyText"/>
        <w:rPr>
          <w:b/>
        </w:rPr>
      </w:pPr>
    </w:p>
    <w:p w14:paraId="2374819E" w14:textId="4AEF9FD2" w:rsidR="004A3122" w:rsidRPr="0092236A" w:rsidRDefault="007F3617" w:rsidP="2A1E1658">
      <w:pPr>
        <w:pStyle w:val="BodyText"/>
        <w:rPr>
          <w:i/>
          <w:iCs/>
        </w:rPr>
      </w:pPr>
      <w:r w:rsidRPr="2A1E1658">
        <w:rPr>
          <w:i/>
          <w:iCs/>
        </w:rPr>
        <w:t>Professional</w:t>
      </w:r>
      <w:r w:rsidR="329A7F27" w:rsidRPr="2A1E1658">
        <w:rPr>
          <w:i/>
          <w:iCs/>
        </w:rPr>
        <w:t>,</w:t>
      </w:r>
      <w:r w:rsidRPr="2A1E1658">
        <w:rPr>
          <w:i/>
          <w:iCs/>
        </w:rPr>
        <w:t xml:space="preserve"> operational, financial</w:t>
      </w:r>
      <w:r w:rsidR="005707CC" w:rsidRPr="2A1E1658">
        <w:rPr>
          <w:i/>
          <w:iCs/>
        </w:rPr>
        <w:t>, commercial</w:t>
      </w:r>
      <w:r w:rsidRPr="2A1E1658">
        <w:rPr>
          <w:i/>
          <w:iCs/>
        </w:rPr>
        <w:t xml:space="preserve"> and legal advice has been sought to ensure</w:t>
      </w:r>
      <w:r w:rsidRPr="2A1E1658">
        <w:rPr>
          <w:i/>
          <w:iCs/>
          <w:spacing w:val="1"/>
        </w:rPr>
        <w:t xml:space="preserve"> </w:t>
      </w:r>
      <w:r w:rsidRPr="2A1E1658">
        <w:rPr>
          <w:i/>
          <w:iCs/>
        </w:rPr>
        <w:t>the</w:t>
      </w:r>
      <w:r w:rsidRPr="2A1E1658">
        <w:rPr>
          <w:i/>
          <w:iCs/>
          <w:spacing w:val="-4"/>
        </w:rPr>
        <w:t xml:space="preserve"> </w:t>
      </w:r>
      <w:r w:rsidRPr="2A1E1658">
        <w:rPr>
          <w:i/>
          <w:iCs/>
        </w:rPr>
        <w:t>decision</w:t>
      </w:r>
      <w:r w:rsidRPr="2A1E1658">
        <w:rPr>
          <w:i/>
          <w:iCs/>
          <w:spacing w:val="-4"/>
        </w:rPr>
        <w:t xml:space="preserve"> </w:t>
      </w:r>
      <w:r w:rsidRPr="2A1E1658">
        <w:rPr>
          <w:i/>
          <w:iCs/>
        </w:rPr>
        <w:t>best</w:t>
      </w:r>
      <w:r w:rsidRPr="2A1E1658">
        <w:rPr>
          <w:i/>
          <w:iCs/>
          <w:spacing w:val="-4"/>
        </w:rPr>
        <w:t xml:space="preserve"> </w:t>
      </w:r>
      <w:r w:rsidRPr="2A1E1658">
        <w:rPr>
          <w:i/>
          <w:iCs/>
        </w:rPr>
        <w:t>supports</w:t>
      </w:r>
      <w:r w:rsidRPr="2A1E1658">
        <w:rPr>
          <w:i/>
          <w:iCs/>
          <w:spacing w:val="-3"/>
        </w:rPr>
        <w:t xml:space="preserve"> </w:t>
      </w:r>
      <w:r w:rsidRPr="2A1E1658">
        <w:rPr>
          <w:i/>
          <w:iCs/>
        </w:rPr>
        <w:t>operational</w:t>
      </w:r>
      <w:r w:rsidRPr="2A1E1658">
        <w:rPr>
          <w:i/>
          <w:iCs/>
          <w:spacing w:val="-4"/>
        </w:rPr>
        <w:t xml:space="preserve"> </w:t>
      </w:r>
      <w:r w:rsidRPr="2A1E1658">
        <w:rPr>
          <w:i/>
          <w:iCs/>
        </w:rPr>
        <w:t>needs</w:t>
      </w:r>
      <w:r w:rsidRPr="2A1E1658">
        <w:rPr>
          <w:i/>
          <w:iCs/>
          <w:spacing w:val="-2"/>
        </w:rPr>
        <w:t xml:space="preserve"> </w:t>
      </w:r>
      <w:r w:rsidRPr="2A1E1658">
        <w:rPr>
          <w:i/>
          <w:iCs/>
        </w:rPr>
        <w:t>and</w:t>
      </w:r>
      <w:r w:rsidRPr="2A1E1658">
        <w:rPr>
          <w:i/>
          <w:iCs/>
          <w:spacing w:val="-5"/>
        </w:rPr>
        <w:t xml:space="preserve"> </w:t>
      </w:r>
      <w:r w:rsidRPr="2A1E1658">
        <w:rPr>
          <w:i/>
          <w:iCs/>
        </w:rPr>
        <w:t>represents</w:t>
      </w:r>
      <w:r w:rsidRPr="2A1E1658">
        <w:rPr>
          <w:i/>
          <w:iCs/>
          <w:spacing w:val="-3"/>
        </w:rPr>
        <w:t xml:space="preserve"> </w:t>
      </w:r>
      <w:r w:rsidRPr="2A1E1658">
        <w:rPr>
          <w:i/>
          <w:iCs/>
        </w:rPr>
        <w:t>value</w:t>
      </w:r>
      <w:r w:rsidRPr="2A1E1658">
        <w:rPr>
          <w:i/>
          <w:iCs/>
          <w:spacing w:val="-4"/>
        </w:rPr>
        <w:t xml:space="preserve"> </w:t>
      </w:r>
      <w:r w:rsidRPr="2A1E1658">
        <w:rPr>
          <w:i/>
          <w:iCs/>
        </w:rPr>
        <w:t>for</w:t>
      </w:r>
      <w:r w:rsidRPr="2A1E1658">
        <w:rPr>
          <w:i/>
          <w:iCs/>
          <w:spacing w:val="-2"/>
        </w:rPr>
        <w:t xml:space="preserve"> </w:t>
      </w:r>
      <w:r w:rsidRPr="2A1E1658">
        <w:rPr>
          <w:i/>
          <w:iCs/>
        </w:rPr>
        <w:t>money.</w:t>
      </w: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23E39C3F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9765ECD" w:rsidR="004A3122" w:rsidRDefault="007F3617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6E69800C" w:rsidR="0092236A" w:rsidRDefault="00987B67" w:rsidP="2A1E1658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27</w:t>
      </w:r>
      <w:r w:rsidRPr="00987B67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October </w:t>
      </w:r>
      <w:r w:rsidR="00A81B6E">
        <w:rPr>
          <w:b/>
          <w:bCs/>
          <w:color w:val="660033"/>
          <w:spacing w:val="-3"/>
          <w:sz w:val="28"/>
          <w:szCs w:val="28"/>
        </w:rPr>
        <w:t>2025</w:t>
      </w:r>
    </w:p>
    <w:p w14:paraId="72FBAA8D" w14:textId="77777777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31CC" w14:textId="77777777" w:rsidR="00932491" w:rsidRDefault="00932491" w:rsidP="007F3617">
      <w:r>
        <w:separator/>
      </w:r>
    </w:p>
  </w:endnote>
  <w:endnote w:type="continuationSeparator" w:id="0">
    <w:p w14:paraId="28055E0A" w14:textId="77777777" w:rsidR="00932491" w:rsidRDefault="00932491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9241" w14:textId="77777777" w:rsidR="00932491" w:rsidRDefault="00932491" w:rsidP="007F3617">
      <w:r>
        <w:separator/>
      </w:r>
    </w:p>
  </w:footnote>
  <w:footnote w:type="continuationSeparator" w:id="0">
    <w:p w14:paraId="19FD101D" w14:textId="77777777" w:rsidR="00932491" w:rsidRDefault="00932491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D2A3D"/>
    <w:rsid w:val="001B648B"/>
    <w:rsid w:val="00332C91"/>
    <w:rsid w:val="003A7EDE"/>
    <w:rsid w:val="004A3122"/>
    <w:rsid w:val="00514E29"/>
    <w:rsid w:val="00523F74"/>
    <w:rsid w:val="005707CC"/>
    <w:rsid w:val="00642080"/>
    <w:rsid w:val="006D39F5"/>
    <w:rsid w:val="00754C63"/>
    <w:rsid w:val="00784FD9"/>
    <w:rsid w:val="007C3F3C"/>
    <w:rsid w:val="007F3617"/>
    <w:rsid w:val="0092236A"/>
    <w:rsid w:val="00932491"/>
    <w:rsid w:val="00987B67"/>
    <w:rsid w:val="00A07C02"/>
    <w:rsid w:val="00A14054"/>
    <w:rsid w:val="00A81B6E"/>
    <w:rsid w:val="00B73BEF"/>
    <w:rsid w:val="00B9048F"/>
    <w:rsid w:val="00BE07AC"/>
    <w:rsid w:val="00C05242"/>
    <w:rsid w:val="00C253CC"/>
    <w:rsid w:val="00D366E6"/>
    <w:rsid w:val="00E23592"/>
    <w:rsid w:val="00E61DB8"/>
    <w:rsid w:val="00E846B2"/>
    <w:rsid w:val="00F974D1"/>
    <w:rsid w:val="00FE0103"/>
    <w:rsid w:val="037124F3"/>
    <w:rsid w:val="03BC17E4"/>
    <w:rsid w:val="0A92BF23"/>
    <w:rsid w:val="157A9B99"/>
    <w:rsid w:val="165B693D"/>
    <w:rsid w:val="1A9F5318"/>
    <w:rsid w:val="1D4F1F94"/>
    <w:rsid w:val="1FFB669C"/>
    <w:rsid w:val="20D726E8"/>
    <w:rsid w:val="21E54699"/>
    <w:rsid w:val="2508323E"/>
    <w:rsid w:val="29F4A798"/>
    <w:rsid w:val="2A1E1658"/>
    <w:rsid w:val="2AEA4F94"/>
    <w:rsid w:val="329A7F27"/>
    <w:rsid w:val="34FA7EBE"/>
    <w:rsid w:val="367C3038"/>
    <w:rsid w:val="36BCF263"/>
    <w:rsid w:val="370B2FA6"/>
    <w:rsid w:val="37370EF4"/>
    <w:rsid w:val="3B61B3D1"/>
    <w:rsid w:val="3FD8D9D9"/>
    <w:rsid w:val="42BFBE9A"/>
    <w:rsid w:val="48D31733"/>
    <w:rsid w:val="4E1D2D26"/>
    <w:rsid w:val="5199C13B"/>
    <w:rsid w:val="531FD48D"/>
    <w:rsid w:val="5FBE41E2"/>
    <w:rsid w:val="6E1DCBE8"/>
    <w:rsid w:val="713236AA"/>
    <w:rsid w:val="76C460E3"/>
    <w:rsid w:val="7B7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2025-11-11T08:23:00Z</dcterms:created>
  <dcterms:modified xsi:type="dcterms:W3CDTF">2025-11-11T08:23:00Z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