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0D2DA4AF">
            <wp:simplePos x="0" y="0"/>
            <wp:positionH relativeFrom="column">
              <wp:posOffset>1809297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5C974C6C" w:rsidR="004A3122" w:rsidRDefault="007F3617" w:rsidP="000744B9">
      <w:pPr>
        <w:pStyle w:val="Title"/>
        <w:ind w:left="0" w:right="36"/>
        <w:rPr>
          <w:color w:val="660033"/>
        </w:rPr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0EC2BF08" w:rsidR="004A3122" w:rsidRDefault="007F3617" w:rsidP="0092139F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92139F">
      <w:pPr>
        <w:jc w:val="both"/>
        <w:rPr>
          <w:b/>
        </w:rPr>
      </w:pPr>
    </w:p>
    <w:p w14:paraId="26A36135" w14:textId="21EDE458" w:rsidR="004A3122" w:rsidRPr="007C5794" w:rsidRDefault="007F3617" w:rsidP="0092139F">
      <w:pPr>
        <w:pStyle w:val="BodyText"/>
        <w:jc w:val="both"/>
      </w:pPr>
      <w:r w:rsidRPr="007C5794">
        <w:t>This</w:t>
      </w:r>
      <w:r w:rsidRPr="0092139F">
        <w:t xml:space="preserve"> </w:t>
      </w:r>
      <w:r w:rsidRPr="007C5794">
        <w:t>document</w:t>
      </w:r>
      <w:r w:rsidRPr="0092139F">
        <w:t xml:space="preserve"> </w:t>
      </w:r>
      <w:r w:rsidRPr="007C5794">
        <w:t>records</w:t>
      </w:r>
      <w:r w:rsidRPr="0092139F">
        <w:t xml:space="preserve"> </w:t>
      </w:r>
      <w:r w:rsidRPr="007C5794">
        <w:t>a</w:t>
      </w:r>
      <w:r w:rsidRPr="0092139F">
        <w:t xml:space="preserve"> </w:t>
      </w:r>
      <w:r w:rsidRPr="007C5794">
        <w:t>decision</w:t>
      </w:r>
      <w:r w:rsidRPr="0092139F">
        <w:t xml:space="preserve"> </w:t>
      </w:r>
      <w:r w:rsidRPr="007C5794">
        <w:t>taken</w:t>
      </w:r>
      <w:r w:rsidRPr="0092139F">
        <w:t xml:space="preserve"> </w:t>
      </w:r>
      <w:r w:rsidRPr="007C5794">
        <w:t>by</w:t>
      </w:r>
      <w:r w:rsidRPr="0092139F">
        <w:t xml:space="preserve"> </w:t>
      </w:r>
      <w:r w:rsidRPr="007C5794">
        <w:t>the</w:t>
      </w:r>
      <w:r w:rsidRPr="0092139F">
        <w:t xml:space="preserve"> </w:t>
      </w:r>
      <w:r w:rsidRPr="007C5794">
        <w:t>Police,</w:t>
      </w:r>
      <w:r w:rsidRPr="0092139F">
        <w:t xml:space="preserve"> </w:t>
      </w:r>
      <w:r w:rsidRPr="007C5794">
        <w:t>Fire</w:t>
      </w:r>
      <w:r w:rsidRPr="0092139F">
        <w:t xml:space="preserve"> </w:t>
      </w:r>
      <w:r w:rsidRPr="007C5794">
        <w:t>and</w:t>
      </w:r>
      <w:r w:rsidRPr="0092139F">
        <w:t xml:space="preserve"> </w:t>
      </w:r>
      <w:r w:rsidRPr="007C5794">
        <w:t>Crime</w:t>
      </w:r>
      <w:r w:rsidRPr="0092139F">
        <w:t xml:space="preserve"> Commissioner, </w:t>
      </w:r>
      <w:r w:rsidRPr="007C5794">
        <w:t>together</w:t>
      </w:r>
      <w:r w:rsidRPr="0092139F">
        <w:t xml:space="preserve"> </w:t>
      </w:r>
      <w:r w:rsidRPr="007C5794">
        <w:t>with</w:t>
      </w:r>
      <w:r w:rsidRPr="0092139F">
        <w:t xml:space="preserve"> </w:t>
      </w:r>
      <w:r w:rsidRPr="007C5794">
        <w:t>details</w:t>
      </w:r>
      <w:r w:rsidRPr="0092139F">
        <w:t xml:space="preserve"> </w:t>
      </w:r>
      <w:r w:rsidRPr="007C5794">
        <w:t>of</w:t>
      </w:r>
      <w:r w:rsidRPr="0092139F">
        <w:t xml:space="preserve"> </w:t>
      </w:r>
      <w:r w:rsidRPr="007C5794">
        <w:t>the</w:t>
      </w:r>
      <w:r w:rsidRPr="0092139F">
        <w:t xml:space="preserve"> </w:t>
      </w:r>
      <w:r w:rsidRPr="007C5794">
        <w:t>advice</w:t>
      </w:r>
      <w:r w:rsidRPr="0092139F">
        <w:t xml:space="preserve"> </w:t>
      </w:r>
      <w:r w:rsidR="6E1DCBE8" w:rsidRPr="0092139F">
        <w:t>they</w:t>
      </w:r>
      <w:r w:rsidRPr="007C5794">
        <w:t xml:space="preserve"> received</w:t>
      </w:r>
      <w:r w:rsidRPr="0092139F">
        <w:t xml:space="preserve"> </w:t>
      </w:r>
      <w:r w:rsidRPr="007C5794">
        <w:t>prior</w:t>
      </w:r>
      <w:r w:rsidRPr="0092139F">
        <w:t xml:space="preserve"> </w:t>
      </w:r>
      <w:r w:rsidRPr="007C5794">
        <w:t>to</w:t>
      </w:r>
      <w:r w:rsidRPr="0092139F">
        <w:t xml:space="preserve"> </w:t>
      </w:r>
      <w:r w:rsidRPr="007C5794">
        <w:t>taking</w:t>
      </w:r>
      <w:r w:rsidRPr="0092139F"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Pr="0092139F" w:rsidRDefault="004A3122" w:rsidP="0092139F">
      <w:pPr>
        <w:pStyle w:val="BodyText"/>
        <w:jc w:val="both"/>
      </w:pPr>
    </w:p>
    <w:p w14:paraId="561DA6BE" w14:textId="1A6FD8D4" w:rsidR="004A3122" w:rsidRDefault="007F3617" w:rsidP="0092139F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92139F">
      <w:pPr>
        <w:jc w:val="both"/>
        <w:rPr>
          <w:b/>
        </w:rPr>
      </w:pPr>
    </w:p>
    <w:p w14:paraId="0D84F3D7" w14:textId="1E204CD8" w:rsidR="00E23592" w:rsidRPr="00A81A73" w:rsidRDefault="00FE0103" w:rsidP="0092139F">
      <w:pPr>
        <w:pStyle w:val="BodyText"/>
        <w:jc w:val="both"/>
      </w:pPr>
      <w:r>
        <w:t>The decision has been taken to award a</w:t>
      </w:r>
      <w:r w:rsidRPr="70A0F781">
        <w:rPr>
          <w:i/>
          <w:iCs/>
        </w:rPr>
        <w:t xml:space="preserve"> </w:t>
      </w:r>
      <w:r>
        <w:t>Northamptonshire</w:t>
      </w:r>
      <w:r w:rsidR="007419E0">
        <w:t xml:space="preserve"> </w:t>
      </w:r>
      <w:r>
        <w:t>Police</w:t>
      </w:r>
      <w:r w:rsidR="007419E0" w:rsidRPr="70A0F781">
        <w:rPr>
          <w:i/>
          <w:iCs/>
        </w:rPr>
        <w:t xml:space="preserve"> </w:t>
      </w:r>
      <w:r>
        <w:t>Contract for</w:t>
      </w:r>
      <w:r w:rsidR="009C7A9E">
        <w:t xml:space="preserve"> </w:t>
      </w:r>
      <w:r w:rsidR="00A97DB0">
        <w:t xml:space="preserve">The Demolition of Modular Buildings </w:t>
      </w:r>
      <w:r w:rsidR="009342A0">
        <w:t>and Removal and Replacement of the Roof at the Firearms Range</w:t>
      </w:r>
      <w:r w:rsidR="00012DED">
        <w:t>,</w:t>
      </w:r>
      <w:r w:rsidR="009C7A9E">
        <w:t xml:space="preserve"> </w:t>
      </w:r>
      <w:r>
        <w:t xml:space="preserve">to </w:t>
      </w:r>
      <w:r w:rsidR="009C7A9E">
        <w:t>Higham Roofing and Construction</w:t>
      </w:r>
      <w:r w:rsidRPr="70A0F781">
        <w:rPr>
          <w:i/>
          <w:iCs/>
        </w:rPr>
        <w:t>.</w:t>
      </w:r>
      <w:r w:rsidR="00A81A73" w:rsidRPr="70A0F781">
        <w:rPr>
          <w:i/>
          <w:iCs/>
        </w:rPr>
        <w:t xml:space="preserve"> </w:t>
      </w:r>
      <w:r w:rsidR="00A81A73">
        <w:t xml:space="preserve">The modular buildings </w:t>
      </w:r>
      <w:r w:rsidR="008A6234">
        <w:t xml:space="preserve">at the Firearms Range </w:t>
      </w:r>
      <w:r w:rsidR="00A81A73">
        <w:t xml:space="preserve">are </w:t>
      </w:r>
      <w:r w:rsidR="0021065A">
        <w:t xml:space="preserve">end of life and no longer fit for use. </w:t>
      </w:r>
      <w:r w:rsidR="00C720CC">
        <w:t xml:space="preserve"> </w:t>
      </w:r>
      <w:r w:rsidR="0021065A">
        <w:t>The roof to the Firearms Range</w:t>
      </w:r>
      <w:r w:rsidR="00886B10">
        <w:t xml:space="preserve"> building</w:t>
      </w:r>
      <w:r w:rsidR="0021065A">
        <w:t xml:space="preserve"> is </w:t>
      </w:r>
      <w:r w:rsidR="009B18F2">
        <w:t xml:space="preserve">in disrepair with significant leaking. </w:t>
      </w:r>
      <w:r w:rsidR="00C720CC">
        <w:t xml:space="preserve"> </w:t>
      </w:r>
      <w:r w:rsidR="009B18F2">
        <w:t xml:space="preserve">This contract covers the requirement to address </w:t>
      </w:r>
      <w:proofErr w:type="gramStart"/>
      <w:r w:rsidR="009B18F2">
        <w:t>both of these</w:t>
      </w:r>
      <w:proofErr w:type="gramEnd"/>
      <w:r w:rsidR="009B18F2">
        <w:t xml:space="preserve"> </w:t>
      </w:r>
      <w:r w:rsidR="008A6234">
        <w:t xml:space="preserve">areas. </w:t>
      </w:r>
    </w:p>
    <w:p w14:paraId="38766069" w14:textId="77777777" w:rsidR="00E23592" w:rsidRDefault="00E23592" w:rsidP="0092139F">
      <w:pPr>
        <w:pStyle w:val="BodyText"/>
        <w:jc w:val="both"/>
        <w:rPr>
          <w:i/>
          <w:iCs/>
        </w:rPr>
      </w:pPr>
    </w:p>
    <w:p w14:paraId="3915A791" w14:textId="7672FC40" w:rsidR="00FE0103" w:rsidRPr="00A90116" w:rsidRDefault="00FE0103" w:rsidP="0092139F">
      <w:pPr>
        <w:pStyle w:val="BodyText"/>
        <w:jc w:val="both"/>
      </w:pPr>
      <w:r>
        <w:t xml:space="preserve">The contract term is from </w:t>
      </w:r>
      <w:r w:rsidR="00BC04BD">
        <w:t xml:space="preserve">21/11/25 to 20/11/26 </w:t>
      </w:r>
      <w:r w:rsidR="00A14054">
        <w:t xml:space="preserve">and </w:t>
      </w:r>
      <w:r w:rsidR="00BC04BD">
        <w:t>there are no extension options available.  T</w:t>
      </w:r>
      <w:r>
        <w:t>he Contract value is</w:t>
      </w:r>
      <w:r w:rsidR="00A90116">
        <w:t xml:space="preserve"> £329,814 excluding VAT. </w:t>
      </w:r>
    </w:p>
    <w:p w14:paraId="706124DC" w14:textId="77777777" w:rsidR="007C5794" w:rsidRPr="00754C63" w:rsidRDefault="007C5794" w:rsidP="0092139F">
      <w:pPr>
        <w:pStyle w:val="BodyText"/>
        <w:jc w:val="both"/>
        <w:rPr>
          <w:bCs/>
          <w:i/>
          <w:iCs/>
        </w:rPr>
      </w:pPr>
    </w:p>
    <w:p w14:paraId="2BE3E0A3" w14:textId="619DFF16" w:rsidR="007C66E7" w:rsidRDefault="00A07C02" w:rsidP="0092139F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92139F">
      <w:pPr>
        <w:jc w:val="both"/>
        <w:rPr>
          <w:b/>
        </w:rPr>
      </w:pPr>
    </w:p>
    <w:p w14:paraId="2374819E" w14:textId="5830B031" w:rsidR="004A3122" w:rsidRDefault="007F3617" w:rsidP="0092139F">
      <w:pPr>
        <w:pStyle w:val="BodyText"/>
        <w:jc w:val="both"/>
      </w:pPr>
      <w:r w:rsidRPr="007C66E7">
        <w:t>Professional operational, financial</w:t>
      </w:r>
      <w:r w:rsidR="005707CC" w:rsidRPr="007C66E7">
        <w:t>, commercial</w:t>
      </w:r>
      <w:r w:rsidRPr="007C66E7">
        <w:t xml:space="preserve"> and legal advice has been</w:t>
      </w:r>
      <w:r w:rsidR="007C5794">
        <w:t xml:space="preserve"> 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="007C5794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2C17AB67" w14:textId="5D1BAFC8" w:rsidR="00E23592" w:rsidRDefault="00E23592" w:rsidP="0092139F">
      <w:pPr>
        <w:pStyle w:val="BodyText"/>
        <w:spacing w:before="1"/>
        <w:jc w:val="both"/>
      </w:pPr>
    </w:p>
    <w:p w14:paraId="72473299" w14:textId="77777777" w:rsidR="00C720CC" w:rsidRDefault="00C720CC" w:rsidP="0092139F">
      <w:pPr>
        <w:pStyle w:val="BodyText"/>
        <w:spacing w:before="1"/>
        <w:jc w:val="both"/>
      </w:pPr>
    </w:p>
    <w:p w14:paraId="6427EC7C" w14:textId="77777777" w:rsidR="00C720CC" w:rsidRDefault="00C720CC" w:rsidP="0092139F">
      <w:pPr>
        <w:pStyle w:val="BodyText"/>
        <w:spacing w:before="1"/>
        <w:jc w:val="both"/>
      </w:pPr>
    </w:p>
    <w:p w14:paraId="787DB379" w14:textId="2D59DCC5" w:rsidR="004A3122" w:rsidRPr="0060283B" w:rsidRDefault="37370EF4" w:rsidP="0092139F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 w:rsidRPr="0060283B">
        <w:rPr>
          <w:b/>
          <w:bCs/>
          <w:color w:val="660033"/>
          <w:sz w:val="28"/>
          <w:szCs w:val="28"/>
        </w:rPr>
        <w:t>Danielle Stone</w:t>
      </w:r>
    </w:p>
    <w:p w14:paraId="095B18FA" w14:textId="6B774C87" w:rsidR="004A3122" w:rsidRPr="0060283B" w:rsidRDefault="007F3617" w:rsidP="0092139F">
      <w:pPr>
        <w:jc w:val="both"/>
        <w:rPr>
          <w:b/>
          <w:color w:val="660033"/>
          <w:spacing w:val="-3"/>
          <w:sz w:val="28"/>
        </w:rPr>
      </w:pPr>
      <w:r w:rsidRPr="0060283B">
        <w:rPr>
          <w:b/>
          <w:color w:val="660033"/>
          <w:sz w:val="28"/>
        </w:rPr>
        <w:t>Police, Fire and Crime Commissioner</w:t>
      </w:r>
      <w:r w:rsidRPr="0060283B">
        <w:rPr>
          <w:b/>
          <w:color w:val="660033"/>
          <w:spacing w:val="-61"/>
          <w:sz w:val="28"/>
        </w:rPr>
        <w:t xml:space="preserve"> </w:t>
      </w:r>
      <w:r w:rsidRPr="0060283B">
        <w:rPr>
          <w:b/>
          <w:color w:val="660033"/>
          <w:spacing w:val="-3"/>
          <w:sz w:val="28"/>
        </w:rPr>
        <w:t xml:space="preserve">       </w:t>
      </w:r>
    </w:p>
    <w:p w14:paraId="226AC3B5" w14:textId="5ABFC483" w:rsidR="0092236A" w:rsidRPr="0060283B" w:rsidRDefault="0060283B" w:rsidP="0092139F">
      <w:pPr>
        <w:jc w:val="both"/>
        <w:rPr>
          <w:b/>
          <w:bCs/>
          <w:color w:val="660033"/>
          <w:sz w:val="28"/>
          <w:szCs w:val="28"/>
        </w:rPr>
      </w:pPr>
      <w:r w:rsidRPr="0060283B">
        <w:rPr>
          <w:b/>
          <w:bCs/>
          <w:color w:val="660033"/>
          <w:sz w:val="28"/>
          <w:szCs w:val="28"/>
        </w:rPr>
        <w:t>1</w:t>
      </w:r>
      <w:r w:rsidRPr="0060283B">
        <w:rPr>
          <w:b/>
          <w:bCs/>
          <w:color w:val="660033"/>
          <w:sz w:val="28"/>
          <w:szCs w:val="28"/>
          <w:vertAlign w:val="superscript"/>
        </w:rPr>
        <w:t>st</w:t>
      </w:r>
      <w:r w:rsidRPr="0060283B">
        <w:rPr>
          <w:b/>
          <w:bCs/>
          <w:color w:val="660033"/>
          <w:sz w:val="28"/>
          <w:szCs w:val="28"/>
        </w:rPr>
        <w:t xml:space="preserve"> December 2025</w:t>
      </w:r>
    </w:p>
    <w:p w14:paraId="72FBAA8D" w14:textId="09E2BDF8" w:rsidR="004A3122" w:rsidRDefault="007F3617" w:rsidP="0092139F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C57CD" w14:textId="77777777" w:rsidR="006E375E" w:rsidRDefault="006E375E" w:rsidP="007F3617">
      <w:r>
        <w:separator/>
      </w:r>
    </w:p>
  </w:endnote>
  <w:endnote w:type="continuationSeparator" w:id="0">
    <w:p w14:paraId="56A7D4ED" w14:textId="77777777" w:rsidR="006E375E" w:rsidRDefault="006E375E" w:rsidP="007F3617">
      <w:r>
        <w:continuationSeparator/>
      </w:r>
    </w:p>
  </w:endnote>
  <w:endnote w:type="continuationNotice" w:id="1">
    <w:p w14:paraId="49A5C5A8" w14:textId="77777777" w:rsidR="006E375E" w:rsidRDefault="006E37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58325" w14:textId="77777777" w:rsidR="006E375E" w:rsidRDefault="006E375E" w:rsidP="007F3617">
      <w:r>
        <w:separator/>
      </w:r>
    </w:p>
  </w:footnote>
  <w:footnote w:type="continuationSeparator" w:id="0">
    <w:p w14:paraId="15109CF8" w14:textId="77777777" w:rsidR="006E375E" w:rsidRDefault="006E375E" w:rsidP="007F3617">
      <w:r>
        <w:continuationSeparator/>
      </w:r>
    </w:p>
  </w:footnote>
  <w:footnote w:type="continuationNotice" w:id="1">
    <w:p w14:paraId="1410BA0B" w14:textId="77777777" w:rsidR="006E375E" w:rsidRDefault="006E37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12DED"/>
    <w:rsid w:val="000744B9"/>
    <w:rsid w:val="000962B6"/>
    <w:rsid w:val="001072BE"/>
    <w:rsid w:val="00170AF6"/>
    <w:rsid w:val="001B76BA"/>
    <w:rsid w:val="00202F1C"/>
    <w:rsid w:val="0021065A"/>
    <w:rsid w:val="00233325"/>
    <w:rsid w:val="00283CCC"/>
    <w:rsid w:val="003E6CB6"/>
    <w:rsid w:val="0045536A"/>
    <w:rsid w:val="004A3122"/>
    <w:rsid w:val="00523F74"/>
    <w:rsid w:val="00563ACB"/>
    <w:rsid w:val="005707CC"/>
    <w:rsid w:val="0060283B"/>
    <w:rsid w:val="0061665D"/>
    <w:rsid w:val="00642080"/>
    <w:rsid w:val="006D39F5"/>
    <w:rsid w:val="006E375E"/>
    <w:rsid w:val="006E5F4F"/>
    <w:rsid w:val="007419E0"/>
    <w:rsid w:val="007549E4"/>
    <w:rsid w:val="00754C63"/>
    <w:rsid w:val="00784FD9"/>
    <w:rsid w:val="007C5794"/>
    <w:rsid w:val="007C66E7"/>
    <w:rsid w:val="007F3617"/>
    <w:rsid w:val="00886B10"/>
    <w:rsid w:val="008A6234"/>
    <w:rsid w:val="0092139F"/>
    <w:rsid w:val="0092236A"/>
    <w:rsid w:val="009342A0"/>
    <w:rsid w:val="009B18F2"/>
    <w:rsid w:val="009C7A9E"/>
    <w:rsid w:val="00A07C02"/>
    <w:rsid w:val="00A14054"/>
    <w:rsid w:val="00A81A73"/>
    <w:rsid w:val="00A90116"/>
    <w:rsid w:val="00A97DB0"/>
    <w:rsid w:val="00B244F2"/>
    <w:rsid w:val="00B9048F"/>
    <w:rsid w:val="00B96D54"/>
    <w:rsid w:val="00BC04BD"/>
    <w:rsid w:val="00C05242"/>
    <w:rsid w:val="00C522B2"/>
    <w:rsid w:val="00C66AB9"/>
    <w:rsid w:val="00C6732E"/>
    <w:rsid w:val="00C720CC"/>
    <w:rsid w:val="00DB1C0C"/>
    <w:rsid w:val="00E0252F"/>
    <w:rsid w:val="00E23592"/>
    <w:rsid w:val="00E53A4E"/>
    <w:rsid w:val="00E61DB8"/>
    <w:rsid w:val="00F83FA5"/>
    <w:rsid w:val="00F8743D"/>
    <w:rsid w:val="00F974D1"/>
    <w:rsid w:val="00FD0E86"/>
    <w:rsid w:val="00FE0103"/>
    <w:rsid w:val="21E54699"/>
    <w:rsid w:val="27F5EA74"/>
    <w:rsid w:val="37370EF4"/>
    <w:rsid w:val="3B61B3D1"/>
    <w:rsid w:val="613E17F4"/>
    <w:rsid w:val="6E1DCBE8"/>
    <w:rsid w:val="70A0F781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E88BA9B3-107A-404E-8BF4-C6B61F5C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B244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4F2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B244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44F2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a929cfc7b6e31cf3f49b2ecfee179c0b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5f05fe3dfdf1c5c1cfdaed06bd388691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69E051-CFBC-4E3C-801A-98B1E892B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 John</dc:creator>
  <cp:keywords/>
  <cp:lastModifiedBy>Osborne Kate</cp:lastModifiedBy>
  <cp:revision>2</cp:revision>
  <dcterms:created xsi:type="dcterms:W3CDTF">2026-01-05T11:50:00Z</dcterms:created>
  <dcterms:modified xsi:type="dcterms:W3CDTF">2026-01-05T11:50:00Z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