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B88831" w14:textId="77777777" w:rsidR="009428A9" w:rsidRPr="00FA4C3E" w:rsidRDefault="009428A9" w:rsidP="009428A9">
      <w:pPr>
        <w:spacing w:line="240" w:lineRule="auto"/>
        <w:jc w:val="center"/>
        <w:rPr>
          <w:rFonts w:ascii="Arial" w:eastAsia="Times New Roman" w:hAnsi="Arial"/>
          <w:szCs w:val="24"/>
        </w:rPr>
      </w:pPr>
      <w:r w:rsidRPr="00FA4C3E">
        <w:rPr>
          <w:rFonts w:ascii="Arial" w:eastAsia="Times New Roman" w:hAnsi="Arial"/>
          <w:noProof/>
          <w:szCs w:val="24"/>
        </w:rPr>
        <w:drawing>
          <wp:inline distT="0" distB="0" distL="0" distR="0" wp14:anchorId="0D237BC0" wp14:editId="254F20F6">
            <wp:extent cx="1781175" cy="17430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1175" cy="1743075"/>
                    </a:xfrm>
                    <a:prstGeom prst="rect">
                      <a:avLst/>
                    </a:prstGeom>
                    <a:noFill/>
                    <a:ln>
                      <a:noFill/>
                    </a:ln>
                  </pic:spPr>
                </pic:pic>
              </a:graphicData>
            </a:graphic>
          </wp:inline>
        </w:drawing>
      </w:r>
    </w:p>
    <w:p w14:paraId="644D863B" w14:textId="77777777" w:rsidR="009428A9" w:rsidRPr="00FA4C3E" w:rsidRDefault="009428A9" w:rsidP="009428A9">
      <w:pPr>
        <w:spacing w:line="240" w:lineRule="auto"/>
        <w:rPr>
          <w:rFonts w:ascii="Arial" w:eastAsia="Times New Roman" w:hAnsi="Arial"/>
          <w:szCs w:val="24"/>
        </w:rPr>
      </w:pPr>
    </w:p>
    <w:p w14:paraId="2067C392" w14:textId="09EB974A" w:rsidR="00F115BD" w:rsidRPr="00FA4C3E" w:rsidRDefault="00F115BD" w:rsidP="00F115BD">
      <w:pPr>
        <w:jc w:val="center"/>
        <w:rPr>
          <w:rFonts w:cs="Arial"/>
          <w:b/>
          <w:sz w:val="24"/>
        </w:rPr>
      </w:pPr>
      <w:r w:rsidRPr="00FA4C3E">
        <w:rPr>
          <w:rFonts w:cs="Arial"/>
          <w:b/>
          <w:sz w:val="24"/>
        </w:rPr>
        <w:t xml:space="preserve">NORTHAMPTONSHIRE COMMISSIONER FIRE AND RESCUE AUTHORITY </w:t>
      </w:r>
      <w:r w:rsidRPr="00FA4C3E">
        <w:rPr>
          <w:rFonts w:cs="Arial"/>
          <w:b/>
          <w:sz w:val="24"/>
        </w:rPr>
        <w:br/>
      </w:r>
      <w:r w:rsidR="0081263C" w:rsidRPr="00FA4C3E">
        <w:rPr>
          <w:rFonts w:cs="Arial"/>
          <w:b/>
          <w:sz w:val="24"/>
        </w:rPr>
        <w:t>RESERVE</w:t>
      </w:r>
      <w:r w:rsidR="00F671CE" w:rsidRPr="00FA4C3E">
        <w:rPr>
          <w:rFonts w:cs="Arial"/>
          <w:b/>
          <w:sz w:val="24"/>
        </w:rPr>
        <w:t>S STRATEGY</w:t>
      </w:r>
      <w:r w:rsidRPr="00FA4C3E">
        <w:rPr>
          <w:rFonts w:cs="Arial"/>
          <w:b/>
          <w:sz w:val="24"/>
        </w:rPr>
        <w:t xml:space="preserve"> </w:t>
      </w:r>
      <w:r w:rsidR="009428A9" w:rsidRPr="00FA4C3E">
        <w:rPr>
          <w:rFonts w:cs="Arial"/>
          <w:b/>
          <w:sz w:val="24"/>
        </w:rPr>
        <w:t>(</w:t>
      </w:r>
      <w:r w:rsidR="00D92C2F" w:rsidRPr="00FA4C3E">
        <w:rPr>
          <w:rFonts w:cs="Arial"/>
          <w:b/>
          <w:sz w:val="24"/>
        </w:rPr>
        <w:t>REVISED</w:t>
      </w:r>
      <w:r w:rsidR="009428A9" w:rsidRPr="00FA4C3E">
        <w:rPr>
          <w:rFonts w:cs="Arial"/>
          <w:b/>
          <w:sz w:val="24"/>
        </w:rPr>
        <w:t xml:space="preserve"> </w:t>
      </w:r>
      <w:r w:rsidRPr="00FA4C3E">
        <w:rPr>
          <w:rFonts w:cs="Arial"/>
          <w:b/>
          <w:sz w:val="24"/>
        </w:rPr>
        <w:t>JANUARY 202</w:t>
      </w:r>
      <w:r w:rsidR="00353709" w:rsidRPr="00FA4C3E">
        <w:rPr>
          <w:rFonts w:cs="Arial"/>
          <w:b/>
          <w:sz w:val="24"/>
        </w:rPr>
        <w:t>6</w:t>
      </w:r>
      <w:r w:rsidR="009428A9" w:rsidRPr="00FA4C3E">
        <w:rPr>
          <w:rFonts w:cs="Arial"/>
          <w:b/>
          <w:sz w:val="24"/>
        </w:rPr>
        <w:t>)</w:t>
      </w:r>
    </w:p>
    <w:p w14:paraId="67BA7E9F" w14:textId="77777777" w:rsidR="00436912" w:rsidRPr="00FA4C3E" w:rsidRDefault="00436912" w:rsidP="00F115BD">
      <w:pPr>
        <w:jc w:val="center"/>
        <w:rPr>
          <w:rFonts w:cs="Arial"/>
          <w:b/>
          <w:sz w:val="24"/>
        </w:rPr>
      </w:pPr>
    </w:p>
    <w:p w14:paraId="318F0130" w14:textId="77777777" w:rsidR="009428A9" w:rsidRPr="00FA4C3E" w:rsidRDefault="009428A9" w:rsidP="009428A9">
      <w:pPr>
        <w:pStyle w:val="ReservesHeading"/>
      </w:pPr>
      <w:r w:rsidRPr="00FA4C3E">
        <w:t>Reserves Strategy</w:t>
      </w:r>
    </w:p>
    <w:p w14:paraId="562D6C66" w14:textId="77777777" w:rsidR="009428A9" w:rsidRPr="00FA4C3E" w:rsidRDefault="009428A9" w:rsidP="009428A9">
      <w:pPr>
        <w:pStyle w:val="ReservesBody"/>
      </w:pPr>
      <w:r w:rsidRPr="00FA4C3E">
        <w:t>Reserves are a key part of medium-term financial planning with other components including revenue spending plans, income forecasts, potential liabilities, capital investment plans, borrowing and council tax levels.  Decisions on these are inter-linked.  Consequently, some organisations will need to maintain reserves at higher levels than others.</w:t>
      </w:r>
    </w:p>
    <w:p w14:paraId="27A4565B" w14:textId="77777777" w:rsidR="009428A9" w:rsidRPr="00FA4C3E" w:rsidRDefault="009428A9" w:rsidP="009428A9">
      <w:pPr>
        <w:pStyle w:val="ReservesBody"/>
      </w:pPr>
      <w:r w:rsidRPr="00FA4C3E">
        <w:t>All publicly funded organisations should have a reserves strategy to demonstrate transparency and accountability, to comply with best practice financial management and to justify the levels of reserves held.</w:t>
      </w:r>
    </w:p>
    <w:p w14:paraId="6691979B" w14:textId="77777777" w:rsidR="009428A9" w:rsidRPr="00FA4C3E" w:rsidRDefault="009428A9" w:rsidP="009428A9">
      <w:pPr>
        <w:pStyle w:val="ReservesBody"/>
      </w:pPr>
      <w:r w:rsidRPr="00FA4C3E">
        <w:t>The PFCC maintains reserves to provide a measure of protection against risk.  Without this protection, any unforeseen expenditure would have to be met either by increases in Council Tax or immediate savings (potentially through reductions in service levels).</w:t>
      </w:r>
    </w:p>
    <w:p w14:paraId="7A71F823" w14:textId="77777777" w:rsidR="009428A9" w:rsidRPr="00FA4C3E" w:rsidRDefault="009428A9" w:rsidP="009428A9">
      <w:pPr>
        <w:pStyle w:val="ReservesBody"/>
      </w:pPr>
      <w:r w:rsidRPr="00FA4C3E">
        <w:t xml:space="preserve">The term "reserves" has a variety of technical and everyday meanings, depending on the context in which it is used.  In this strategy, it is taken to mean funds set-aside at the PFCC’s discretion for general or specific future purposes. </w:t>
      </w:r>
    </w:p>
    <w:p w14:paraId="16329800" w14:textId="77777777" w:rsidR="009428A9" w:rsidRPr="00FA4C3E" w:rsidRDefault="009428A9" w:rsidP="009428A9">
      <w:pPr>
        <w:pStyle w:val="ReservesBody"/>
      </w:pPr>
      <w:r w:rsidRPr="00FA4C3E">
        <w:t>Reserves are required to protect and enhance the financial viability and in particular:</w:t>
      </w:r>
    </w:p>
    <w:p w14:paraId="2DFDE2C9" w14:textId="77777777" w:rsidR="009428A9" w:rsidRPr="00FA4C3E" w:rsidRDefault="009428A9" w:rsidP="009428A9">
      <w:pPr>
        <w:pStyle w:val="Reservesbullet"/>
      </w:pPr>
      <w:r w:rsidRPr="00FA4C3E">
        <w:t>To maintain a degree of in-year financial flexibility.</w:t>
      </w:r>
    </w:p>
    <w:p w14:paraId="7FF207FE" w14:textId="77777777" w:rsidR="009428A9" w:rsidRPr="00FA4C3E" w:rsidRDefault="009428A9" w:rsidP="009428A9">
      <w:pPr>
        <w:pStyle w:val="Reservesbullet"/>
      </w:pPr>
      <w:r w:rsidRPr="00FA4C3E">
        <w:t>To enable the PFCC to deal with unforeseen circumstances and incidents.</w:t>
      </w:r>
    </w:p>
    <w:p w14:paraId="0329865A" w14:textId="77777777" w:rsidR="009428A9" w:rsidRPr="00FA4C3E" w:rsidRDefault="009428A9" w:rsidP="009428A9">
      <w:pPr>
        <w:pStyle w:val="Reservesbullet"/>
      </w:pPr>
      <w:r w:rsidRPr="00FA4C3E">
        <w:t>To set aside monies to fund major developments in future years.</w:t>
      </w:r>
    </w:p>
    <w:p w14:paraId="6B13CD89" w14:textId="77777777" w:rsidR="009428A9" w:rsidRPr="00FA4C3E" w:rsidRDefault="009428A9" w:rsidP="009428A9">
      <w:pPr>
        <w:pStyle w:val="Reservesbullet"/>
      </w:pPr>
      <w:r w:rsidRPr="00FA4C3E">
        <w:t>To enable the PFCC to invest to transform and achieve improved service effectiveness and efficiency.</w:t>
      </w:r>
    </w:p>
    <w:p w14:paraId="71C0EC5E" w14:textId="77777777" w:rsidR="009428A9" w:rsidRPr="00FA4C3E" w:rsidRDefault="009428A9" w:rsidP="009428A9">
      <w:pPr>
        <w:pStyle w:val="Reservesbullet"/>
      </w:pPr>
      <w:r w:rsidRPr="00FA4C3E">
        <w:t>To set aside sums for known and potential liabilities.</w:t>
      </w:r>
    </w:p>
    <w:p w14:paraId="1138BCC6" w14:textId="77777777" w:rsidR="009428A9" w:rsidRPr="00FA4C3E" w:rsidRDefault="009428A9" w:rsidP="009428A9">
      <w:pPr>
        <w:pStyle w:val="Reservesbullet"/>
      </w:pPr>
      <w:r w:rsidRPr="00FA4C3E">
        <w:t>To provide an operational contingency at service level.</w:t>
      </w:r>
    </w:p>
    <w:p w14:paraId="48AEBDB0" w14:textId="77777777" w:rsidR="009428A9" w:rsidRPr="00FA4C3E" w:rsidRDefault="009428A9" w:rsidP="009428A9">
      <w:pPr>
        <w:pStyle w:val="ReservesBody"/>
      </w:pPr>
      <w:r w:rsidRPr="00FA4C3E">
        <w:t>Reserves should not be held to fund ongoing revenue expenditure as this is unsustainable in the long term.  However, they may be important in smoothing a major financial imbalance (revenue or capital) over a longer timescale.  CIPFA Bulletin 13 – Local Authority Reserves and Balances (Updated) published March 2023 states:</w:t>
      </w:r>
    </w:p>
    <w:p w14:paraId="53A5B2E5" w14:textId="71A72CC9" w:rsidR="00F115BD" w:rsidRPr="00FA4C3E" w:rsidRDefault="009428A9" w:rsidP="009428A9">
      <w:pPr>
        <w:pStyle w:val="ReservesBody"/>
        <w:numPr>
          <w:ilvl w:val="0"/>
          <w:numId w:val="0"/>
        </w:numPr>
        <w:ind w:left="567"/>
        <w:rPr>
          <w:i/>
          <w:iCs/>
        </w:rPr>
      </w:pPr>
      <w:r w:rsidRPr="00FA4C3E">
        <w:rPr>
          <w:i/>
          <w:iCs/>
        </w:rPr>
        <w:lastRenderedPageBreak/>
        <w:t xml:space="preserve">“Balancing the annual budget by drawing on general reserves may be viewed as a legitimate short-term option.  However, it is not normally prudent for reserves to be deployed to finance recurrent expenditure.  CIPFA has commented that councils should be particularly wary about using one off </w:t>
      </w:r>
      <w:proofErr w:type="gramStart"/>
      <w:r w:rsidRPr="00FA4C3E">
        <w:rPr>
          <w:i/>
          <w:iCs/>
        </w:rPr>
        <w:t>reserves</w:t>
      </w:r>
      <w:proofErr w:type="gramEnd"/>
      <w:r w:rsidRPr="00FA4C3E">
        <w:rPr>
          <w:i/>
          <w:iCs/>
        </w:rPr>
        <w:t xml:space="preserve"> to deal with shortfalls in current funding.  Where such action is to be taken, this should be made explicit, and an explanation given as to how such expenditure will be funded in the medium to long term.”</w:t>
      </w:r>
      <w:r w:rsidR="00F115BD" w:rsidRPr="00FA4C3E">
        <w:rPr>
          <w:rFonts w:cs="Arial"/>
          <w:i/>
          <w:iCs/>
          <w:color w:val="FF0000"/>
        </w:rPr>
        <w:t xml:space="preserve"> </w:t>
      </w:r>
    </w:p>
    <w:p w14:paraId="4D544BB6" w14:textId="5AD5ABDE" w:rsidR="00F115BD" w:rsidRPr="00FA4C3E" w:rsidRDefault="00F115BD" w:rsidP="009428A9">
      <w:pPr>
        <w:pStyle w:val="ReservesBody"/>
      </w:pPr>
      <w:r w:rsidRPr="00FA4C3E">
        <w:t xml:space="preserve">The Northamptonshire Commissioner Fire and Rescue Authority (NCFRA) was established on the </w:t>
      </w:r>
      <w:proofErr w:type="gramStart"/>
      <w:r w:rsidRPr="00FA4C3E">
        <w:t>1</w:t>
      </w:r>
      <w:r w:rsidR="00436912" w:rsidRPr="00FA4C3E">
        <w:rPr>
          <w:vertAlign w:val="superscript"/>
        </w:rPr>
        <w:t>st</w:t>
      </w:r>
      <w:proofErr w:type="gramEnd"/>
      <w:r w:rsidRPr="00FA4C3E">
        <w:t xml:space="preserve"> January 2019 with no transfer of </w:t>
      </w:r>
      <w:r w:rsidR="0081263C" w:rsidRPr="00FA4C3E">
        <w:t>reserve</w:t>
      </w:r>
      <w:r w:rsidRPr="00FA4C3E">
        <w:t xml:space="preserve">s agreed as part of the business case. </w:t>
      </w:r>
      <w:r w:rsidR="009428A9" w:rsidRPr="00FA4C3E">
        <w:t xml:space="preserve"> </w:t>
      </w:r>
      <w:r w:rsidRPr="00FA4C3E">
        <w:t xml:space="preserve">As such, a three year financial stability period was set to establish a more stable budget position, supported by a sufficient level of </w:t>
      </w:r>
      <w:r w:rsidR="0081263C" w:rsidRPr="00FA4C3E">
        <w:t>reserve</w:t>
      </w:r>
      <w:r w:rsidRPr="00FA4C3E">
        <w:t>s.</w:t>
      </w:r>
    </w:p>
    <w:p w14:paraId="57D24D4F" w14:textId="14B13957" w:rsidR="00F115BD" w:rsidRPr="00FA4C3E" w:rsidRDefault="00353709" w:rsidP="009428A9">
      <w:pPr>
        <w:pStyle w:val="ReservesBody"/>
      </w:pPr>
      <w:r w:rsidRPr="00FA4C3E">
        <w:t>Since 2019, t</w:t>
      </w:r>
      <w:r w:rsidR="00F115BD" w:rsidRPr="00FA4C3E">
        <w:t xml:space="preserve">ight financial planning, together with assistance from the Home Office enabled a sufficient </w:t>
      </w:r>
      <w:r w:rsidRPr="00FA4C3E">
        <w:t xml:space="preserve">level of </w:t>
      </w:r>
      <w:r w:rsidR="0081263C" w:rsidRPr="00FA4C3E">
        <w:t>reserve</w:t>
      </w:r>
      <w:r w:rsidR="00F115BD" w:rsidRPr="00FA4C3E">
        <w:t>s</w:t>
      </w:r>
      <w:r w:rsidRPr="00FA4C3E">
        <w:t xml:space="preserve"> to be built up</w:t>
      </w:r>
      <w:r w:rsidR="00F115BD" w:rsidRPr="00FA4C3E">
        <w:t xml:space="preserve">. </w:t>
      </w:r>
      <w:r w:rsidR="009428A9" w:rsidRPr="00FA4C3E">
        <w:t xml:space="preserve"> </w:t>
      </w:r>
      <w:r w:rsidR="00F115BD" w:rsidRPr="00FA4C3E">
        <w:t xml:space="preserve">However, work </w:t>
      </w:r>
      <w:r w:rsidR="009428A9" w:rsidRPr="00FA4C3E">
        <w:t>on</w:t>
      </w:r>
      <w:r w:rsidR="00F115BD" w:rsidRPr="00FA4C3E">
        <w:t xml:space="preserve"> the budget and Medium</w:t>
      </w:r>
      <w:r w:rsidR="007728F2" w:rsidRPr="00FA4C3E">
        <w:t>-</w:t>
      </w:r>
      <w:r w:rsidR="00F115BD" w:rsidRPr="00FA4C3E">
        <w:t xml:space="preserve">Term Financial Plan has identified that the financial risks from inflation and other pressures are </w:t>
      </w:r>
      <w:r w:rsidR="009428A9" w:rsidRPr="00FA4C3E">
        <w:t xml:space="preserve">still </w:t>
      </w:r>
      <w:r w:rsidR="00F115BD" w:rsidRPr="00FA4C3E">
        <w:t xml:space="preserve">forecast to be higher than funding available to the service. </w:t>
      </w:r>
      <w:r w:rsidR="009428A9" w:rsidRPr="00FA4C3E">
        <w:t xml:space="preserve"> </w:t>
      </w:r>
      <w:r w:rsidR="00F115BD" w:rsidRPr="00FA4C3E">
        <w:t>Despite annual efficiency targets, funding deficits are identified in future years.</w:t>
      </w:r>
    </w:p>
    <w:p w14:paraId="00290F41" w14:textId="7218EE97" w:rsidR="00436912" w:rsidRPr="00FA4C3E" w:rsidRDefault="009428A9" w:rsidP="00436912">
      <w:pPr>
        <w:pStyle w:val="ReservesBody"/>
      </w:pPr>
      <w:r w:rsidRPr="00FA4C3E">
        <w:t>The reserves strategy assumes that the Medium-Term Financial Plan (MTFP) is broadly balanced on a sustainable basis across the five year planning period.  If the financial impact of current economic conditions continues to impact on tax</w:t>
      </w:r>
      <w:r w:rsidR="007217EA">
        <w:t xml:space="preserve"> </w:t>
      </w:r>
      <w:r w:rsidRPr="00FA4C3E">
        <w:t xml:space="preserve">base and council tax levels over the medium term, then this could impact on those assumptions. </w:t>
      </w:r>
      <w:r w:rsidR="00436912" w:rsidRPr="00FA4C3E">
        <w:t xml:space="preserve"> </w:t>
      </w:r>
    </w:p>
    <w:p w14:paraId="27AED8AA" w14:textId="11E458A3" w:rsidR="00F115BD" w:rsidRPr="00FA4C3E" w:rsidRDefault="009428A9" w:rsidP="00436912">
      <w:pPr>
        <w:pStyle w:val="ReservesBody"/>
      </w:pPr>
      <w:r w:rsidRPr="00FA4C3E">
        <w:t>T</w:t>
      </w:r>
      <w:r w:rsidR="00F115BD" w:rsidRPr="00FA4C3E">
        <w:t xml:space="preserve">his is recognised as a risk as when </w:t>
      </w:r>
      <w:proofErr w:type="gramStart"/>
      <w:r w:rsidR="00F115BD" w:rsidRPr="00FA4C3E">
        <w:t>taking into account</w:t>
      </w:r>
      <w:proofErr w:type="gramEnd"/>
      <w:r w:rsidR="00F115BD" w:rsidRPr="00FA4C3E">
        <w:t xml:space="preserve"> the projected shortfalls on the MTFP where savings will need to be achieved to facilitate balancing </w:t>
      </w:r>
      <w:r w:rsidRPr="00FA4C3E">
        <w:t>budgets in future years</w:t>
      </w:r>
      <w:r w:rsidR="00F115BD" w:rsidRPr="00FA4C3E">
        <w:t xml:space="preserve">.  If savings cannot bridge the full gap, based on current estimates, as a worst case scenario, revenue </w:t>
      </w:r>
      <w:r w:rsidR="0081263C" w:rsidRPr="00FA4C3E">
        <w:t>reserve</w:t>
      </w:r>
      <w:r w:rsidR="00F115BD" w:rsidRPr="00FA4C3E">
        <w:t xml:space="preserve">s can balance the gap over the five year </w:t>
      </w:r>
      <w:r w:rsidR="00E73A1C" w:rsidRPr="00FA4C3E">
        <w:t>MTFP</w:t>
      </w:r>
      <w:r w:rsidR="00436912" w:rsidRPr="00FA4C3E">
        <w:t xml:space="preserve"> to some extent</w:t>
      </w:r>
      <w:r w:rsidR="00E73A1C" w:rsidRPr="00FA4C3E">
        <w:t>,</w:t>
      </w:r>
      <w:r w:rsidR="00F115BD" w:rsidRPr="00FA4C3E">
        <w:t xml:space="preserve"> but this would </w:t>
      </w:r>
      <w:r w:rsidR="00436912" w:rsidRPr="00FA4C3E">
        <w:t>exhaust</w:t>
      </w:r>
      <w:r w:rsidR="00F115BD" w:rsidRPr="00FA4C3E">
        <w:t xml:space="preserve"> available </w:t>
      </w:r>
      <w:r w:rsidR="0081263C" w:rsidRPr="00FA4C3E">
        <w:t>reserve</w:t>
      </w:r>
      <w:r w:rsidR="00F115BD" w:rsidRPr="00FA4C3E">
        <w:t>s and would impact funding available for investment.</w:t>
      </w:r>
    </w:p>
    <w:p w14:paraId="0E3E3CF7" w14:textId="6DF18B52" w:rsidR="00F115BD" w:rsidRPr="00FA4C3E" w:rsidRDefault="00F115BD" w:rsidP="009428A9">
      <w:pPr>
        <w:pStyle w:val="ReservesBody"/>
      </w:pPr>
      <w:r w:rsidRPr="00FA4C3E">
        <w:t xml:space="preserve">NCFRA have a significant </w:t>
      </w:r>
      <w:r w:rsidR="00F671CE" w:rsidRPr="00FA4C3E">
        <w:t>Capital programme</w:t>
      </w:r>
      <w:r w:rsidRPr="00FA4C3E">
        <w:t xml:space="preserve"> requirement. </w:t>
      </w:r>
      <w:r w:rsidR="009428A9" w:rsidRPr="00FA4C3E">
        <w:t xml:space="preserve"> </w:t>
      </w:r>
      <w:r w:rsidRPr="00FA4C3E">
        <w:t>This is continually reviewed to ensure it is both operationally deliverable and affordable.</w:t>
      </w:r>
    </w:p>
    <w:p w14:paraId="76B750B3" w14:textId="120A13DF" w:rsidR="0016619A" w:rsidRPr="00FA4C3E" w:rsidRDefault="009428A9" w:rsidP="00186442">
      <w:pPr>
        <w:pStyle w:val="ReservesBody"/>
      </w:pPr>
      <w:r w:rsidRPr="00FA4C3E">
        <w:t>Reserves should reflect the agreed financial strategy and should represent the quantified impact of risks and opportunities over the planning period, weighted for their probability.</w:t>
      </w:r>
    </w:p>
    <w:p w14:paraId="339EF930" w14:textId="667AB9BE" w:rsidR="009428A9" w:rsidRPr="00FA4C3E" w:rsidRDefault="009428A9" w:rsidP="009428A9">
      <w:pPr>
        <w:pStyle w:val="ReservesHeading"/>
      </w:pPr>
      <w:r w:rsidRPr="00FA4C3E">
        <w:t xml:space="preserve">National Guidance and Compliance with Home Office Guidance on Reserves </w:t>
      </w:r>
    </w:p>
    <w:p w14:paraId="06560962" w14:textId="77777777" w:rsidR="009428A9" w:rsidRPr="00FA4C3E" w:rsidRDefault="009428A9" w:rsidP="009428A9">
      <w:pPr>
        <w:pStyle w:val="ReservesBody"/>
      </w:pPr>
      <w:r w:rsidRPr="00FA4C3E">
        <w:t xml:space="preserve">The CIPFA Bulletin includes guidance on the establishment and maintenance of local authority reserves and balances, setting out the key factors that should be </w:t>
      </w:r>
      <w:proofErr w:type="gramStart"/>
      <w:r w:rsidRPr="00FA4C3E">
        <w:t>taken into account</w:t>
      </w:r>
      <w:proofErr w:type="gramEnd"/>
      <w:r w:rsidRPr="00FA4C3E">
        <w:t xml:space="preserve"> locally in making an assessment of the appropriate level of reserves and balances to be held.</w:t>
      </w:r>
    </w:p>
    <w:p w14:paraId="775B189C" w14:textId="794CCC60" w:rsidR="00573227" w:rsidRPr="00FA4C3E" w:rsidRDefault="00573227" w:rsidP="00573227">
      <w:pPr>
        <w:pStyle w:val="ReservesBody"/>
      </w:pPr>
      <w:r w:rsidRPr="00FA4C3E">
        <w:t xml:space="preserve">There is information that each PFCC must publish in terms of police reserves.  This guidance has </w:t>
      </w:r>
      <w:r w:rsidR="00353709" w:rsidRPr="00FA4C3E">
        <w:t xml:space="preserve">also </w:t>
      </w:r>
      <w:r w:rsidRPr="00FA4C3E">
        <w:t>been adopted for NCFRA to ensure consistency across PFCC governed Fire and Police services in Northamptonshire.  One of the key requirements is that the information on each reserve should make clear how much of the funding falls into each of the following three categories:</w:t>
      </w:r>
    </w:p>
    <w:p w14:paraId="7CCC22FC" w14:textId="77777777" w:rsidR="00573227" w:rsidRPr="00FA4C3E" w:rsidRDefault="00573227" w:rsidP="00573227">
      <w:pPr>
        <w:pStyle w:val="Reservesbullet"/>
      </w:pPr>
      <w:r w:rsidRPr="00FA4C3E">
        <w:t>Funding for planned expenditure on projects and programmes over the period of the current medium term financial plan.</w:t>
      </w:r>
    </w:p>
    <w:p w14:paraId="3E6729BD" w14:textId="77777777" w:rsidR="00573227" w:rsidRPr="00FA4C3E" w:rsidRDefault="00573227" w:rsidP="00573227">
      <w:pPr>
        <w:pStyle w:val="Reservesbullet"/>
      </w:pPr>
      <w:r w:rsidRPr="00FA4C3E">
        <w:t>Funding for specific projects and programmes beyond the current planning period.</w:t>
      </w:r>
    </w:p>
    <w:p w14:paraId="16B90BCF" w14:textId="77777777" w:rsidR="00573227" w:rsidRPr="00FA4C3E" w:rsidRDefault="00573227" w:rsidP="00573227">
      <w:pPr>
        <w:pStyle w:val="Reservesbullet"/>
      </w:pPr>
      <w:r w:rsidRPr="00FA4C3E">
        <w:lastRenderedPageBreak/>
        <w:t>As a general contingency to meet other expenditure needs held in accordance with sound principles of good financial management.</w:t>
      </w:r>
    </w:p>
    <w:p w14:paraId="3E2965B9" w14:textId="468FCE62" w:rsidR="00483217" w:rsidRPr="00FA4C3E" w:rsidRDefault="00483217" w:rsidP="00D54977">
      <w:pPr>
        <w:pStyle w:val="ReservesBody"/>
      </w:pPr>
      <w:r w:rsidRPr="00FA4C3E">
        <w:t>This information is summarised across the Home Office headings as at 31/3/2</w:t>
      </w:r>
      <w:r w:rsidR="00BC1DA0" w:rsidRPr="00FA4C3E">
        <w:t>6</w:t>
      </w:r>
      <w:r w:rsidRPr="00FA4C3E">
        <w:t xml:space="preserve"> as follows:</w:t>
      </w:r>
    </w:p>
    <w:tbl>
      <w:tblPr>
        <w:tblW w:w="10320" w:type="dxa"/>
        <w:tblLook w:val="04A0" w:firstRow="1" w:lastRow="0" w:firstColumn="1" w:lastColumn="0" w:noHBand="0" w:noVBand="1"/>
      </w:tblPr>
      <w:tblGrid>
        <w:gridCol w:w="3020"/>
        <w:gridCol w:w="1460"/>
        <w:gridCol w:w="1460"/>
        <w:gridCol w:w="1460"/>
        <w:gridCol w:w="1460"/>
        <w:gridCol w:w="1460"/>
      </w:tblGrid>
      <w:tr w:rsidR="005F5EE6" w:rsidRPr="005F5EE6" w14:paraId="6EDB12ED" w14:textId="77777777" w:rsidTr="00311209">
        <w:trPr>
          <w:trHeight w:val="1932"/>
        </w:trPr>
        <w:tc>
          <w:tcPr>
            <w:tcW w:w="3020" w:type="dxa"/>
            <w:tcBorders>
              <w:top w:val="single" w:sz="4" w:space="0" w:color="auto"/>
              <w:left w:val="single" w:sz="4" w:space="0" w:color="auto"/>
              <w:bottom w:val="nil"/>
              <w:right w:val="single" w:sz="4" w:space="0" w:color="auto"/>
            </w:tcBorders>
            <w:shd w:val="clear" w:color="000000" w:fill="C00000"/>
            <w:hideMark/>
          </w:tcPr>
          <w:p w14:paraId="7874148B" w14:textId="77777777" w:rsidR="005F5EE6" w:rsidRPr="005F5EE6" w:rsidRDefault="005F5EE6" w:rsidP="00311209">
            <w:pPr>
              <w:spacing w:line="240" w:lineRule="auto"/>
              <w:rPr>
                <w:rFonts w:eastAsia="Times New Roman" w:cs="Calibri"/>
                <w:b/>
                <w:bCs/>
                <w:color w:val="FFFFFF"/>
                <w:sz w:val="20"/>
                <w:szCs w:val="20"/>
                <w:lang w:eastAsia="en-GB"/>
              </w:rPr>
            </w:pPr>
            <w:r w:rsidRPr="005F5EE6">
              <w:rPr>
                <w:rFonts w:eastAsia="Times New Roman" w:cs="Calibri"/>
                <w:b/>
                <w:bCs/>
                <w:color w:val="FFFFFF"/>
                <w:sz w:val="20"/>
                <w:szCs w:val="20"/>
                <w:lang w:eastAsia="en-GB"/>
              </w:rPr>
              <w:t>Reserve</w:t>
            </w:r>
          </w:p>
        </w:tc>
        <w:tc>
          <w:tcPr>
            <w:tcW w:w="1460" w:type="dxa"/>
            <w:tcBorders>
              <w:top w:val="single" w:sz="4" w:space="0" w:color="auto"/>
              <w:left w:val="nil"/>
              <w:bottom w:val="nil"/>
              <w:right w:val="single" w:sz="4" w:space="0" w:color="auto"/>
            </w:tcBorders>
            <w:shd w:val="clear" w:color="000000" w:fill="C00000"/>
            <w:hideMark/>
          </w:tcPr>
          <w:p w14:paraId="18450B37" w14:textId="36AA49FD" w:rsidR="005F5EE6" w:rsidRPr="005F5EE6" w:rsidRDefault="005F5EE6" w:rsidP="00311209">
            <w:pPr>
              <w:spacing w:line="240" w:lineRule="auto"/>
              <w:jc w:val="center"/>
              <w:rPr>
                <w:rFonts w:eastAsia="Times New Roman" w:cs="Calibri"/>
                <w:b/>
                <w:bCs/>
                <w:color w:val="FFFFFF"/>
                <w:sz w:val="20"/>
                <w:szCs w:val="20"/>
                <w:lang w:eastAsia="en-GB"/>
              </w:rPr>
            </w:pPr>
            <w:r w:rsidRPr="005F5EE6">
              <w:rPr>
                <w:rFonts w:eastAsia="Times New Roman" w:cs="Calibri"/>
                <w:b/>
                <w:bCs/>
                <w:color w:val="FFFFFF"/>
                <w:sz w:val="20"/>
                <w:szCs w:val="20"/>
                <w:lang w:eastAsia="en-GB"/>
              </w:rPr>
              <w:t xml:space="preserve">Forecast Balance as </w:t>
            </w:r>
            <w:proofErr w:type="gramStart"/>
            <w:r w:rsidRPr="005F5EE6">
              <w:rPr>
                <w:rFonts w:eastAsia="Times New Roman" w:cs="Calibri"/>
                <w:b/>
                <w:bCs/>
                <w:color w:val="FFFFFF"/>
                <w:sz w:val="20"/>
                <w:szCs w:val="20"/>
                <w:lang w:eastAsia="en-GB"/>
              </w:rPr>
              <w:t>at</w:t>
            </w:r>
            <w:proofErr w:type="gramEnd"/>
            <w:r w:rsidRPr="005F5EE6">
              <w:rPr>
                <w:rFonts w:eastAsia="Times New Roman" w:cs="Calibri"/>
                <w:b/>
                <w:bCs/>
                <w:color w:val="FFFFFF"/>
                <w:sz w:val="20"/>
                <w:szCs w:val="20"/>
                <w:lang w:eastAsia="en-GB"/>
              </w:rPr>
              <w:t xml:space="preserve"> </w:t>
            </w:r>
            <w:r w:rsidR="00311209">
              <w:rPr>
                <w:rFonts w:eastAsia="Times New Roman" w:cs="Calibri"/>
                <w:b/>
                <w:bCs/>
                <w:color w:val="FFFFFF"/>
                <w:sz w:val="20"/>
                <w:szCs w:val="20"/>
                <w:lang w:eastAsia="en-GB"/>
              </w:rPr>
              <w:t>31 March 2026</w:t>
            </w:r>
          </w:p>
        </w:tc>
        <w:tc>
          <w:tcPr>
            <w:tcW w:w="1460" w:type="dxa"/>
            <w:tcBorders>
              <w:top w:val="single" w:sz="4" w:space="0" w:color="auto"/>
              <w:left w:val="nil"/>
              <w:bottom w:val="nil"/>
              <w:right w:val="single" w:sz="4" w:space="0" w:color="auto"/>
            </w:tcBorders>
            <w:shd w:val="clear" w:color="000000" w:fill="C00000"/>
            <w:hideMark/>
          </w:tcPr>
          <w:p w14:paraId="2BCBF40E" w14:textId="77777777" w:rsidR="005F5EE6" w:rsidRPr="005F5EE6" w:rsidRDefault="005F5EE6" w:rsidP="00311209">
            <w:pPr>
              <w:spacing w:line="240" w:lineRule="auto"/>
              <w:jc w:val="center"/>
              <w:rPr>
                <w:rFonts w:eastAsia="Times New Roman" w:cs="Calibri"/>
                <w:b/>
                <w:bCs/>
                <w:color w:val="FFFFFF"/>
                <w:sz w:val="20"/>
                <w:szCs w:val="20"/>
                <w:lang w:eastAsia="en-GB"/>
              </w:rPr>
            </w:pPr>
            <w:r w:rsidRPr="005F5EE6">
              <w:rPr>
                <w:rFonts w:eastAsia="Times New Roman" w:cs="Calibri"/>
                <w:b/>
                <w:bCs/>
                <w:color w:val="FFFFFF"/>
                <w:sz w:val="20"/>
                <w:szCs w:val="20"/>
                <w:lang w:eastAsia="en-GB"/>
              </w:rPr>
              <w:t>Funding for planned expenditure on projects and programmes over the MTFP (26/27-30/31)</w:t>
            </w:r>
          </w:p>
        </w:tc>
        <w:tc>
          <w:tcPr>
            <w:tcW w:w="1460" w:type="dxa"/>
            <w:tcBorders>
              <w:top w:val="single" w:sz="4" w:space="0" w:color="auto"/>
              <w:left w:val="nil"/>
              <w:bottom w:val="nil"/>
              <w:right w:val="single" w:sz="4" w:space="0" w:color="auto"/>
            </w:tcBorders>
            <w:shd w:val="clear" w:color="000000" w:fill="C00000"/>
            <w:hideMark/>
          </w:tcPr>
          <w:p w14:paraId="4A5E83F8" w14:textId="058F256A" w:rsidR="005F5EE6" w:rsidRPr="005F5EE6" w:rsidRDefault="005F5EE6" w:rsidP="00311209">
            <w:pPr>
              <w:spacing w:line="240" w:lineRule="auto"/>
              <w:jc w:val="center"/>
              <w:rPr>
                <w:rFonts w:eastAsia="Times New Roman" w:cs="Calibri"/>
                <w:b/>
                <w:bCs/>
                <w:color w:val="FFFFFF"/>
                <w:sz w:val="20"/>
                <w:szCs w:val="20"/>
                <w:lang w:eastAsia="en-GB"/>
              </w:rPr>
            </w:pPr>
            <w:r w:rsidRPr="005F5EE6">
              <w:rPr>
                <w:rFonts w:eastAsia="Times New Roman" w:cs="Calibri"/>
                <w:b/>
                <w:bCs/>
                <w:color w:val="FFFFFF"/>
                <w:sz w:val="20"/>
                <w:szCs w:val="20"/>
                <w:lang w:eastAsia="en-GB"/>
              </w:rPr>
              <w:t xml:space="preserve">Total Forecast Revenue and Capital Reserves as </w:t>
            </w:r>
            <w:proofErr w:type="gramStart"/>
            <w:r w:rsidRPr="005F5EE6">
              <w:rPr>
                <w:rFonts w:eastAsia="Times New Roman" w:cs="Calibri"/>
                <w:b/>
                <w:bCs/>
                <w:color w:val="FFFFFF"/>
                <w:sz w:val="20"/>
                <w:szCs w:val="20"/>
                <w:lang w:eastAsia="en-GB"/>
              </w:rPr>
              <w:t>at</w:t>
            </w:r>
            <w:proofErr w:type="gramEnd"/>
            <w:r w:rsidRPr="005F5EE6">
              <w:rPr>
                <w:rFonts w:eastAsia="Times New Roman" w:cs="Calibri"/>
                <w:b/>
                <w:bCs/>
                <w:color w:val="FFFFFF"/>
                <w:sz w:val="20"/>
                <w:szCs w:val="20"/>
                <w:lang w:eastAsia="en-GB"/>
              </w:rPr>
              <w:t xml:space="preserve"> 31</w:t>
            </w:r>
            <w:r w:rsidR="00311209">
              <w:rPr>
                <w:rFonts w:eastAsia="Times New Roman" w:cs="Calibri"/>
                <w:b/>
                <w:bCs/>
                <w:color w:val="FFFFFF"/>
                <w:sz w:val="20"/>
                <w:szCs w:val="20"/>
                <w:lang w:eastAsia="en-GB"/>
              </w:rPr>
              <w:t xml:space="preserve"> March 2031</w:t>
            </w:r>
          </w:p>
        </w:tc>
        <w:tc>
          <w:tcPr>
            <w:tcW w:w="1460" w:type="dxa"/>
            <w:tcBorders>
              <w:top w:val="single" w:sz="4" w:space="0" w:color="auto"/>
              <w:left w:val="nil"/>
              <w:bottom w:val="nil"/>
              <w:right w:val="single" w:sz="4" w:space="0" w:color="auto"/>
            </w:tcBorders>
            <w:shd w:val="clear" w:color="000000" w:fill="C00000"/>
            <w:hideMark/>
          </w:tcPr>
          <w:p w14:paraId="26F9947E" w14:textId="77777777" w:rsidR="005F5EE6" w:rsidRPr="005F5EE6" w:rsidRDefault="005F5EE6" w:rsidP="00311209">
            <w:pPr>
              <w:spacing w:line="240" w:lineRule="auto"/>
              <w:jc w:val="center"/>
              <w:rPr>
                <w:rFonts w:eastAsia="Times New Roman" w:cs="Calibri"/>
                <w:b/>
                <w:bCs/>
                <w:color w:val="FFFFFF"/>
                <w:sz w:val="20"/>
                <w:szCs w:val="20"/>
                <w:lang w:eastAsia="en-GB"/>
              </w:rPr>
            </w:pPr>
            <w:r w:rsidRPr="005F5EE6">
              <w:rPr>
                <w:rFonts w:eastAsia="Times New Roman" w:cs="Calibri"/>
                <w:b/>
                <w:bCs/>
                <w:color w:val="FFFFFF"/>
                <w:sz w:val="20"/>
                <w:szCs w:val="20"/>
                <w:lang w:eastAsia="en-GB"/>
              </w:rPr>
              <w:t>Funding for specific projects and programmes beyond the current planning period</w:t>
            </w:r>
          </w:p>
        </w:tc>
        <w:tc>
          <w:tcPr>
            <w:tcW w:w="1460" w:type="dxa"/>
            <w:tcBorders>
              <w:top w:val="single" w:sz="4" w:space="0" w:color="auto"/>
              <w:left w:val="nil"/>
              <w:bottom w:val="nil"/>
              <w:right w:val="single" w:sz="4" w:space="0" w:color="auto"/>
            </w:tcBorders>
            <w:shd w:val="clear" w:color="000000" w:fill="C00000"/>
            <w:hideMark/>
          </w:tcPr>
          <w:p w14:paraId="4FC25F9E" w14:textId="34BCE474" w:rsidR="005F5EE6" w:rsidRPr="005F5EE6" w:rsidRDefault="005F5EE6" w:rsidP="00311209">
            <w:pPr>
              <w:spacing w:line="240" w:lineRule="auto"/>
              <w:jc w:val="center"/>
              <w:rPr>
                <w:rFonts w:eastAsia="Times New Roman" w:cs="Calibri"/>
                <w:b/>
                <w:bCs/>
                <w:color w:val="FFFFFF"/>
                <w:sz w:val="20"/>
                <w:szCs w:val="20"/>
                <w:lang w:eastAsia="en-GB"/>
              </w:rPr>
            </w:pPr>
            <w:r w:rsidRPr="005F5EE6">
              <w:rPr>
                <w:rFonts w:eastAsia="Times New Roman" w:cs="Calibri"/>
                <w:b/>
                <w:bCs/>
                <w:color w:val="FFFFFF"/>
                <w:sz w:val="20"/>
                <w:szCs w:val="20"/>
                <w:lang w:eastAsia="en-GB"/>
              </w:rPr>
              <w:t>As a general contingency to meet other expenditure needs</w:t>
            </w:r>
          </w:p>
        </w:tc>
      </w:tr>
      <w:tr w:rsidR="005F5EE6" w:rsidRPr="005F5EE6" w14:paraId="6FBE2231" w14:textId="77777777" w:rsidTr="005F5EE6">
        <w:trPr>
          <w:trHeight w:val="288"/>
        </w:trPr>
        <w:tc>
          <w:tcPr>
            <w:tcW w:w="3020" w:type="dxa"/>
            <w:tcBorders>
              <w:top w:val="nil"/>
              <w:left w:val="single" w:sz="4" w:space="0" w:color="auto"/>
              <w:bottom w:val="single" w:sz="4" w:space="0" w:color="auto"/>
              <w:right w:val="single" w:sz="4" w:space="0" w:color="auto"/>
            </w:tcBorders>
            <w:shd w:val="clear" w:color="000000" w:fill="C00000"/>
            <w:vAlign w:val="center"/>
            <w:hideMark/>
          </w:tcPr>
          <w:p w14:paraId="657208D4" w14:textId="77777777" w:rsidR="005F5EE6" w:rsidRPr="005F5EE6" w:rsidRDefault="005F5EE6" w:rsidP="005F5EE6">
            <w:pPr>
              <w:spacing w:line="240" w:lineRule="auto"/>
              <w:jc w:val="center"/>
              <w:rPr>
                <w:rFonts w:eastAsia="Times New Roman" w:cs="Calibri"/>
                <w:b/>
                <w:bCs/>
                <w:color w:val="FFFFFF"/>
                <w:sz w:val="20"/>
                <w:szCs w:val="20"/>
                <w:lang w:eastAsia="en-GB"/>
              </w:rPr>
            </w:pPr>
            <w:r w:rsidRPr="005F5EE6">
              <w:rPr>
                <w:rFonts w:eastAsia="Times New Roman" w:cs="Calibri"/>
                <w:b/>
                <w:bCs/>
                <w:color w:val="FFFFFF"/>
                <w:sz w:val="20"/>
                <w:szCs w:val="20"/>
                <w:lang w:eastAsia="en-GB"/>
              </w:rPr>
              <w:t> </w:t>
            </w:r>
          </w:p>
        </w:tc>
        <w:tc>
          <w:tcPr>
            <w:tcW w:w="1460" w:type="dxa"/>
            <w:tcBorders>
              <w:top w:val="nil"/>
              <w:left w:val="nil"/>
              <w:bottom w:val="single" w:sz="4" w:space="0" w:color="auto"/>
              <w:right w:val="single" w:sz="4" w:space="0" w:color="auto"/>
            </w:tcBorders>
            <w:shd w:val="clear" w:color="000000" w:fill="C00000"/>
            <w:vAlign w:val="center"/>
            <w:hideMark/>
          </w:tcPr>
          <w:p w14:paraId="62C99B3C" w14:textId="77777777" w:rsidR="005F5EE6" w:rsidRPr="005F5EE6" w:rsidRDefault="005F5EE6" w:rsidP="005F5EE6">
            <w:pPr>
              <w:spacing w:line="240" w:lineRule="auto"/>
              <w:jc w:val="center"/>
              <w:rPr>
                <w:rFonts w:eastAsia="Times New Roman" w:cs="Calibri"/>
                <w:b/>
                <w:bCs/>
                <w:color w:val="FFFFFF"/>
                <w:sz w:val="20"/>
                <w:szCs w:val="20"/>
                <w:lang w:eastAsia="en-GB"/>
              </w:rPr>
            </w:pPr>
            <w:r w:rsidRPr="005F5EE6">
              <w:rPr>
                <w:rFonts w:eastAsia="Times New Roman" w:cs="Calibri"/>
                <w:b/>
                <w:bCs/>
                <w:color w:val="FFFFFF"/>
                <w:sz w:val="20"/>
                <w:szCs w:val="20"/>
                <w:lang w:eastAsia="en-GB"/>
              </w:rPr>
              <w:t>£m</w:t>
            </w:r>
          </w:p>
        </w:tc>
        <w:tc>
          <w:tcPr>
            <w:tcW w:w="1460" w:type="dxa"/>
            <w:tcBorders>
              <w:top w:val="nil"/>
              <w:left w:val="nil"/>
              <w:bottom w:val="single" w:sz="4" w:space="0" w:color="auto"/>
              <w:right w:val="single" w:sz="4" w:space="0" w:color="auto"/>
            </w:tcBorders>
            <w:shd w:val="clear" w:color="000000" w:fill="C00000"/>
            <w:vAlign w:val="center"/>
            <w:hideMark/>
          </w:tcPr>
          <w:p w14:paraId="6B552E0D" w14:textId="77777777" w:rsidR="005F5EE6" w:rsidRPr="005F5EE6" w:rsidRDefault="005F5EE6" w:rsidP="005F5EE6">
            <w:pPr>
              <w:spacing w:line="240" w:lineRule="auto"/>
              <w:jc w:val="center"/>
              <w:rPr>
                <w:rFonts w:eastAsia="Times New Roman" w:cs="Calibri"/>
                <w:b/>
                <w:bCs/>
                <w:color w:val="FFFFFF"/>
                <w:sz w:val="20"/>
                <w:szCs w:val="20"/>
                <w:lang w:eastAsia="en-GB"/>
              </w:rPr>
            </w:pPr>
            <w:r w:rsidRPr="005F5EE6">
              <w:rPr>
                <w:rFonts w:eastAsia="Times New Roman" w:cs="Calibri"/>
                <w:b/>
                <w:bCs/>
                <w:color w:val="FFFFFF"/>
                <w:sz w:val="20"/>
                <w:szCs w:val="20"/>
                <w:lang w:eastAsia="en-GB"/>
              </w:rPr>
              <w:t>£m</w:t>
            </w:r>
          </w:p>
        </w:tc>
        <w:tc>
          <w:tcPr>
            <w:tcW w:w="1460" w:type="dxa"/>
            <w:tcBorders>
              <w:top w:val="nil"/>
              <w:left w:val="nil"/>
              <w:bottom w:val="single" w:sz="4" w:space="0" w:color="auto"/>
              <w:right w:val="single" w:sz="4" w:space="0" w:color="auto"/>
            </w:tcBorders>
            <w:shd w:val="clear" w:color="000000" w:fill="C00000"/>
            <w:vAlign w:val="center"/>
            <w:hideMark/>
          </w:tcPr>
          <w:p w14:paraId="3DD4A015" w14:textId="77777777" w:rsidR="005F5EE6" w:rsidRPr="005F5EE6" w:rsidRDefault="005F5EE6" w:rsidP="005F5EE6">
            <w:pPr>
              <w:spacing w:line="240" w:lineRule="auto"/>
              <w:jc w:val="center"/>
              <w:rPr>
                <w:rFonts w:eastAsia="Times New Roman" w:cs="Calibri"/>
                <w:b/>
                <w:bCs/>
                <w:color w:val="FFFFFF"/>
                <w:sz w:val="20"/>
                <w:szCs w:val="20"/>
                <w:lang w:eastAsia="en-GB"/>
              </w:rPr>
            </w:pPr>
            <w:r w:rsidRPr="005F5EE6">
              <w:rPr>
                <w:rFonts w:eastAsia="Times New Roman" w:cs="Calibri"/>
                <w:b/>
                <w:bCs/>
                <w:color w:val="FFFFFF"/>
                <w:sz w:val="20"/>
                <w:szCs w:val="20"/>
                <w:lang w:eastAsia="en-GB"/>
              </w:rPr>
              <w:t>£m</w:t>
            </w:r>
          </w:p>
        </w:tc>
        <w:tc>
          <w:tcPr>
            <w:tcW w:w="1460" w:type="dxa"/>
            <w:tcBorders>
              <w:top w:val="nil"/>
              <w:left w:val="nil"/>
              <w:bottom w:val="single" w:sz="4" w:space="0" w:color="auto"/>
              <w:right w:val="single" w:sz="4" w:space="0" w:color="auto"/>
            </w:tcBorders>
            <w:shd w:val="clear" w:color="000000" w:fill="C00000"/>
            <w:vAlign w:val="center"/>
            <w:hideMark/>
          </w:tcPr>
          <w:p w14:paraId="210E2D1B" w14:textId="77777777" w:rsidR="005F5EE6" w:rsidRPr="005F5EE6" w:rsidRDefault="005F5EE6" w:rsidP="005F5EE6">
            <w:pPr>
              <w:spacing w:line="240" w:lineRule="auto"/>
              <w:jc w:val="center"/>
              <w:rPr>
                <w:rFonts w:eastAsia="Times New Roman" w:cs="Calibri"/>
                <w:b/>
                <w:bCs/>
                <w:color w:val="FFFFFF"/>
                <w:sz w:val="20"/>
                <w:szCs w:val="20"/>
                <w:lang w:eastAsia="en-GB"/>
              </w:rPr>
            </w:pPr>
            <w:r w:rsidRPr="005F5EE6">
              <w:rPr>
                <w:rFonts w:eastAsia="Times New Roman" w:cs="Calibri"/>
                <w:b/>
                <w:bCs/>
                <w:color w:val="FFFFFF"/>
                <w:sz w:val="20"/>
                <w:szCs w:val="20"/>
                <w:lang w:eastAsia="en-GB"/>
              </w:rPr>
              <w:t>£m</w:t>
            </w:r>
          </w:p>
        </w:tc>
        <w:tc>
          <w:tcPr>
            <w:tcW w:w="1460" w:type="dxa"/>
            <w:tcBorders>
              <w:top w:val="nil"/>
              <w:left w:val="nil"/>
              <w:bottom w:val="single" w:sz="4" w:space="0" w:color="auto"/>
              <w:right w:val="single" w:sz="4" w:space="0" w:color="auto"/>
            </w:tcBorders>
            <w:shd w:val="clear" w:color="000000" w:fill="C00000"/>
            <w:vAlign w:val="center"/>
            <w:hideMark/>
          </w:tcPr>
          <w:p w14:paraId="37E538BB" w14:textId="77777777" w:rsidR="005F5EE6" w:rsidRPr="005F5EE6" w:rsidRDefault="005F5EE6" w:rsidP="005F5EE6">
            <w:pPr>
              <w:spacing w:line="240" w:lineRule="auto"/>
              <w:jc w:val="center"/>
              <w:rPr>
                <w:rFonts w:eastAsia="Times New Roman" w:cs="Calibri"/>
                <w:b/>
                <w:bCs/>
                <w:color w:val="FFFFFF"/>
                <w:sz w:val="20"/>
                <w:szCs w:val="20"/>
                <w:lang w:eastAsia="en-GB"/>
              </w:rPr>
            </w:pPr>
            <w:r w:rsidRPr="005F5EE6">
              <w:rPr>
                <w:rFonts w:eastAsia="Times New Roman" w:cs="Calibri"/>
                <w:b/>
                <w:bCs/>
                <w:color w:val="FFFFFF"/>
                <w:sz w:val="20"/>
                <w:szCs w:val="20"/>
                <w:lang w:eastAsia="en-GB"/>
              </w:rPr>
              <w:t>£m</w:t>
            </w:r>
          </w:p>
        </w:tc>
      </w:tr>
      <w:tr w:rsidR="005F5EE6" w:rsidRPr="005F5EE6" w14:paraId="79D7FE2D" w14:textId="77777777" w:rsidTr="005F5EE6">
        <w:trPr>
          <w:trHeight w:val="288"/>
        </w:trPr>
        <w:tc>
          <w:tcPr>
            <w:tcW w:w="3020" w:type="dxa"/>
            <w:tcBorders>
              <w:top w:val="nil"/>
              <w:left w:val="single" w:sz="4" w:space="0" w:color="auto"/>
              <w:bottom w:val="single" w:sz="4" w:space="0" w:color="auto"/>
              <w:right w:val="nil"/>
            </w:tcBorders>
            <w:shd w:val="clear" w:color="auto" w:fill="auto"/>
            <w:noWrap/>
            <w:vAlign w:val="bottom"/>
            <w:hideMark/>
          </w:tcPr>
          <w:p w14:paraId="6C329DD8"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General</w:t>
            </w:r>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6CDE64F9"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2.000</w:t>
            </w:r>
          </w:p>
        </w:tc>
        <w:tc>
          <w:tcPr>
            <w:tcW w:w="1460" w:type="dxa"/>
            <w:tcBorders>
              <w:top w:val="nil"/>
              <w:left w:val="nil"/>
              <w:bottom w:val="single" w:sz="4" w:space="0" w:color="auto"/>
              <w:right w:val="single" w:sz="4" w:space="0" w:color="auto"/>
            </w:tcBorders>
            <w:shd w:val="clear" w:color="auto" w:fill="auto"/>
            <w:noWrap/>
            <w:vAlign w:val="bottom"/>
            <w:hideMark/>
          </w:tcPr>
          <w:p w14:paraId="2AD487E3"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 </w:t>
            </w:r>
          </w:p>
        </w:tc>
        <w:tc>
          <w:tcPr>
            <w:tcW w:w="1460" w:type="dxa"/>
            <w:tcBorders>
              <w:top w:val="nil"/>
              <w:left w:val="nil"/>
              <w:bottom w:val="single" w:sz="4" w:space="0" w:color="auto"/>
              <w:right w:val="single" w:sz="4" w:space="0" w:color="auto"/>
            </w:tcBorders>
            <w:shd w:val="clear" w:color="auto" w:fill="auto"/>
            <w:noWrap/>
            <w:vAlign w:val="bottom"/>
            <w:hideMark/>
          </w:tcPr>
          <w:p w14:paraId="366DEACE"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2.180</w:t>
            </w:r>
          </w:p>
        </w:tc>
        <w:tc>
          <w:tcPr>
            <w:tcW w:w="1460" w:type="dxa"/>
            <w:tcBorders>
              <w:top w:val="nil"/>
              <w:left w:val="nil"/>
              <w:bottom w:val="single" w:sz="4" w:space="0" w:color="auto"/>
              <w:right w:val="single" w:sz="4" w:space="0" w:color="auto"/>
            </w:tcBorders>
            <w:shd w:val="clear" w:color="auto" w:fill="auto"/>
            <w:noWrap/>
            <w:vAlign w:val="bottom"/>
            <w:hideMark/>
          </w:tcPr>
          <w:p w14:paraId="31D5A46C"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 </w:t>
            </w:r>
          </w:p>
        </w:tc>
        <w:tc>
          <w:tcPr>
            <w:tcW w:w="1460" w:type="dxa"/>
            <w:tcBorders>
              <w:top w:val="nil"/>
              <w:left w:val="nil"/>
              <w:bottom w:val="single" w:sz="4" w:space="0" w:color="auto"/>
              <w:right w:val="single" w:sz="4" w:space="0" w:color="auto"/>
            </w:tcBorders>
            <w:shd w:val="clear" w:color="auto" w:fill="auto"/>
            <w:noWrap/>
            <w:vAlign w:val="bottom"/>
            <w:hideMark/>
          </w:tcPr>
          <w:p w14:paraId="6C1196ED"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2.180</w:t>
            </w:r>
          </w:p>
        </w:tc>
      </w:tr>
      <w:tr w:rsidR="005F5EE6" w:rsidRPr="005F5EE6" w14:paraId="139C5D80" w14:textId="77777777" w:rsidTr="005F5EE6">
        <w:trPr>
          <w:trHeight w:val="288"/>
        </w:trPr>
        <w:tc>
          <w:tcPr>
            <w:tcW w:w="3020" w:type="dxa"/>
            <w:tcBorders>
              <w:top w:val="nil"/>
              <w:left w:val="single" w:sz="4" w:space="0" w:color="auto"/>
              <w:bottom w:val="nil"/>
              <w:right w:val="nil"/>
            </w:tcBorders>
            <w:shd w:val="clear" w:color="auto" w:fill="auto"/>
            <w:noWrap/>
            <w:vAlign w:val="bottom"/>
            <w:hideMark/>
          </w:tcPr>
          <w:p w14:paraId="6E3EFCC1"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 </w:t>
            </w:r>
          </w:p>
        </w:tc>
        <w:tc>
          <w:tcPr>
            <w:tcW w:w="1460" w:type="dxa"/>
            <w:tcBorders>
              <w:top w:val="nil"/>
              <w:left w:val="single" w:sz="4" w:space="0" w:color="auto"/>
              <w:bottom w:val="nil"/>
              <w:right w:val="single" w:sz="4" w:space="0" w:color="auto"/>
            </w:tcBorders>
            <w:shd w:val="clear" w:color="auto" w:fill="auto"/>
            <w:noWrap/>
            <w:vAlign w:val="bottom"/>
            <w:hideMark/>
          </w:tcPr>
          <w:p w14:paraId="0173746C"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 </w:t>
            </w:r>
          </w:p>
        </w:tc>
        <w:tc>
          <w:tcPr>
            <w:tcW w:w="1460" w:type="dxa"/>
            <w:tcBorders>
              <w:top w:val="nil"/>
              <w:left w:val="nil"/>
              <w:bottom w:val="nil"/>
              <w:right w:val="single" w:sz="4" w:space="0" w:color="auto"/>
            </w:tcBorders>
            <w:shd w:val="clear" w:color="auto" w:fill="auto"/>
            <w:noWrap/>
            <w:vAlign w:val="bottom"/>
            <w:hideMark/>
          </w:tcPr>
          <w:p w14:paraId="454613E6" w14:textId="77777777" w:rsidR="005F5EE6" w:rsidRPr="005F5EE6" w:rsidRDefault="005F5EE6" w:rsidP="005F5EE6">
            <w:pPr>
              <w:spacing w:line="240" w:lineRule="auto"/>
              <w:rPr>
                <w:rFonts w:eastAsia="Times New Roman" w:cs="Calibri"/>
                <w:color w:val="000000"/>
                <w:lang w:eastAsia="en-GB"/>
              </w:rPr>
            </w:pPr>
            <w:r w:rsidRPr="005F5EE6">
              <w:rPr>
                <w:rFonts w:eastAsia="Times New Roman" w:cs="Calibri"/>
                <w:color w:val="000000"/>
                <w:lang w:eastAsia="en-GB"/>
              </w:rPr>
              <w:t> </w:t>
            </w:r>
          </w:p>
        </w:tc>
        <w:tc>
          <w:tcPr>
            <w:tcW w:w="1460" w:type="dxa"/>
            <w:tcBorders>
              <w:top w:val="nil"/>
              <w:left w:val="nil"/>
              <w:bottom w:val="nil"/>
              <w:right w:val="single" w:sz="4" w:space="0" w:color="auto"/>
            </w:tcBorders>
            <w:shd w:val="clear" w:color="auto" w:fill="auto"/>
            <w:noWrap/>
            <w:vAlign w:val="bottom"/>
            <w:hideMark/>
          </w:tcPr>
          <w:p w14:paraId="2C762F08"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 </w:t>
            </w:r>
          </w:p>
        </w:tc>
        <w:tc>
          <w:tcPr>
            <w:tcW w:w="1460" w:type="dxa"/>
            <w:tcBorders>
              <w:top w:val="nil"/>
              <w:left w:val="nil"/>
              <w:bottom w:val="nil"/>
              <w:right w:val="single" w:sz="4" w:space="0" w:color="auto"/>
            </w:tcBorders>
            <w:shd w:val="clear" w:color="auto" w:fill="auto"/>
            <w:noWrap/>
            <w:vAlign w:val="bottom"/>
            <w:hideMark/>
          </w:tcPr>
          <w:p w14:paraId="4CF707FE"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 </w:t>
            </w:r>
          </w:p>
        </w:tc>
        <w:tc>
          <w:tcPr>
            <w:tcW w:w="1460" w:type="dxa"/>
            <w:tcBorders>
              <w:top w:val="nil"/>
              <w:left w:val="nil"/>
              <w:bottom w:val="nil"/>
              <w:right w:val="single" w:sz="4" w:space="0" w:color="auto"/>
            </w:tcBorders>
            <w:shd w:val="clear" w:color="auto" w:fill="auto"/>
            <w:noWrap/>
            <w:vAlign w:val="bottom"/>
            <w:hideMark/>
          </w:tcPr>
          <w:p w14:paraId="3BFA7D0E"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 </w:t>
            </w:r>
          </w:p>
        </w:tc>
      </w:tr>
      <w:tr w:rsidR="005F5EE6" w:rsidRPr="005F5EE6" w14:paraId="5A79092C" w14:textId="77777777" w:rsidTr="005F5EE6">
        <w:trPr>
          <w:trHeight w:val="288"/>
        </w:trPr>
        <w:tc>
          <w:tcPr>
            <w:tcW w:w="3020" w:type="dxa"/>
            <w:tcBorders>
              <w:top w:val="nil"/>
              <w:left w:val="single" w:sz="4" w:space="0" w:color="auto"/>
              <w:bottom w:val="nil"/>
              <w:right w:val="nil"/>
            </w:tcBorders>
            <w:shd w:val="clear" w:color="auto" w:fill="auto"/>
            <w:noWrap/>
            <w:vAlign w:val="bottom"/>
            <w:hideMark/>
          </w:tcPr>
          <w:p w14:paraId="70BBC20D"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Earmarked Revenue:</w:t>
            </w:r>
          </w:p>
        </w:tc>
        <w:tc>
          <w:tcPr>
            <w:tcW w:w="1460" w:type="dxa"/>
            <w:tcBorders>
              <w:top w:val="nil"/>
              <w:left w:val="single" w:sz="4" w:space="0" w:color="auto"/>
              <w:bottom w:val="nil"/>
              <w:right w:val="single" w:sz="4" w:space="0" w:color="auto"/>
            </w:tcBorders>
            <w:shd w:val="clear" w:color="auto" w:fill="auto"/>
            <w:noWrap/>
            <w:vAlign w:val="bottom"/>
            <w:hideMark/>
          </w:tcPr>
          <w:p w14:paraId="6E1062A8"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 </w:t>
            </w:r>
          </w:p>
        </w:tc>
        <w:tc>
          <w:tcPr>
            <w:tcW w:w="1460" w:type="dxa"/>
            <w:tcBorders>
              <w:top w:val="nil"/>
              <w:left w:val="nil"/>
              <w:bottom w:val="nil"/>
              <w:right w:val="single" w:sz="4" w:space="0" w:color="auto"/>
            </w:tcBorders>
            <w:shd w:val="clear" w:color="auto" w:fill="auto"/>
            <w:noWrap/>
            <w:vAlign w:val="bottom"/>
            <w:hideMark/>
          </w:tcPr>
          <w:p w14:paraId="05A5C3A4" w14:textId="77777777" w:rsidR="005F5EE6" w:rsidRPr="005F5EE6" w:rsidRDefault="005F5EE6" w:rsidP="005F5EE6">
            <w:pPr>
              <w:spacing w:line="240" w:lineRule="auto"/>
              <w:rPr>
                <w:rFonts w:eastAsia="Times New Roman" w:cs="Calibri"/>
                <w:color w:val="000000"/>
                <w:lang w:eastAsia="en-GB"/>
              </w:rPr>
            </w:pPr>
            <w:r w:rsidRPr="005F5EE6">
              <w:rPr>
                <w:rFonts w:eastAsia="Times New Roman" w:cs="Calibri"/>
                <w:color w:val="000000"/>
                <w:lang w:eastAsia="en-GB"/>
              </w:rPr>
              <w:t> </w:t>
            </w:r>
          </w:p>
        </w:tc>
        <w:tc>
          <w:tcPr>
            <w:tcW w:w="1460" w:type="dxa"/>
            <w:tcBorders>
              <w:top w:val="nil"/>
              <w:left w:val="nil"/>
              <w:bottom w:val="nil"/>
              <w:right w:val="single" w:sz="4" w:space="0" w:color="auto"/>
            </w:tcBorders>
            <w:shd w:val="clear" w:color="auto" w:fill="auto"/>
            <w:noWrap/>
            <w:vAlign w:val="bottom"/>
            <w:hideMark/>
          </w:tcPr>
          <w:p w14:paraId="434F20C0"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 </w:t>
            </w:r>
          </w:p>
        </w:tc>
        <w:tc>
          <w:tcPr>
            <w:tcW w:w="1460" w:type="dxa"/>
            <w:tcBorders>
              <w:top w:val="nil"/>
              <w:left w:val="nil"/>
              <w:bottom w:val="nil"/>
              <w:right w:val="single" w:sz="4" w:space="0" w:color="auto"/>
            </w:tcBorders>
            <w:shd w:val="clear" w:color="auto" w:fill="auto"/>
            <w:noWrap/>
            <w:vAlign w:val="bottom"/>
            <w:hideMark/>
          </w:tcPr>
          <w:p w14:paraId="4DA84C1A"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 </w:t>
            </w:r>
          </w:p>
        </w:tc>
        <w:tc>
          <w:tcPr>
            <w:tcW w:w="1460" w:type="dxa"/>
            <w:tcBorders>
              <w:top w:val="nil"/>
              <w:left w:val="nil"/>
              <w:bottom w:val="nil"/>
              <w:right w:val="single" w:sz="4" w:space="0" w:color="auto"/>
            </w:tcBorders>
            <w:shd w:val="clear" w:color="auto" w:fill="auto"/>
            <w:noWrap/>
            <w:vAlign w:val="bottom"/>
            <w:hideMark/>
          </w:tcPr>
          <w:p w14:paraId="4C7C5FEE"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 </w:t>
            </w:r>
          </w:p>
        </w:tc>
      </w:tr>
      <w:tr w:rsidR="005F5EE6" w:rsidRPr="005F5EE6" w14:paraId="7FB46BD0" w14:textId="77777777" w:rsidTr="005F5EE6">
        <w:trPr>
          <w:trHeight w:val="288"/>
        </w:trPr>
        <w:tc>
          <w:tcPr>
            <w:tcW w:w="3020" w:type="dxa"/>
            <w:tcBorders>
              <w:top w:val="nil"/>
              <w:left w:val="single" w:sz="4" w:space="0" w:color="auto"/>
              <w:bottom w:val="nil"/>
              <w:right w:val="nil"/>
            </w:tcBorders>
            <w:shd w:val="clear" w:color="auto" w:fill="auto"/>
            <w:noWrap/>
            <w:vAlign w:val="bottom"/>
            <w:hideMark/>
          </w:tcPr>
          <w:p w14:paraId="7061C369" w14:textId="77777777" w:rsidR="005F5EE6" w:rsidRPr="005F5EE6" w:rsidRDefault="005F5EE6" w:rsidP="005F5EE6">
            <w:pPr>
              <w:spacing w:line="240" w:lineRule="auto"/>
              <w:rPr>
                <w:rFonts w:eastAsia="Times New Roman" w:cs="Calibri"/>
                <w:color w:val="000000"/>
                <w:lang w:eastAsia="en-GB"/>
              </w:rPr>
            </w:pPr>
            <w:r w:rsidRPr="005F5EE6">
              <w:rPr>
                <w:rFonts w:eastAsia="Times New Roman" w:cs="Calibri"/>
                <w:color w:val="000000"/>
                <w:lang w:eastAsia="en-GB"/>
              </w:rPr>
              <w:t>Insurance</w:t>
            </w:r>
          </w:p>
        </w:tc>
        <w:tc>
          <w:tcPr>
            <w:tcW w:w="1460" w:type="dxa"/>
            <w:tcBorders>
              <w:top w:val="nil"/>
              <w:left w:val="single" w:sz="4" w:space="0" w:color="auto"/>
              <w:bottom w:val="nil"/>
              <w:right w:val="single" w:sz="4" w:space="0" w:color="auto"/>
            </w:tcBorders>
            <w:shd w:val="clear" w:color="auto" w:fill="auto"/>
            <w:noWrap/>
            <w:vAlign w:val="bottom"/>
            <w:hideMark/>
          </w:tcPr>
          <w:p w14:paraId="71927898"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0.250</w:t>
            </w:r>
          </w:p>
        </w:tc>
        <w:tc>
          <w:tcPr>
            <w:tcW w:w="1460" w:type="dxa"/>
            <w:tcBorders>
              <w:top w:val="nil"/>
              <w:left w:val="nil"/>
              <w:bottom w:val="nil"/>
              <w:right w:val="single" w:sz="4" w:space="0" w:color="auto"/>
            </w:tcBorders>
            <w:shd w:val="clear" w:color="auto" w:fill="auto"/>
            <w:noWrap/>
            <w:vAlign w:val="bottom"/>
            <w:hideMark/>
          </w:tcPr>
          <w:p w14:paraId="1B295D53" w14:textId="77777777" w:rsidR="005F5EE6" w:rsidRPr="005F5EE6" w:rsidRDefault="005F5EE6" w:rsidP="005F5EE6">
            <w:pPr>
              <w:spacing w:line="240" w:lineRule="auto"/>
              <w:rPr>
                <w:rFonts w:eastAsia="Times New Roman" w:cs="Calibri"/>
                <w:color w:val="000000"/>
                <w:lang w:eastAsia="en-GB"/>
              </w:rPr>
            </w:pPr>
            <w:r w:rsidRPr="005F5EE6">
              <w:rPr>
                <w:rFonts w:eastAsia="Times New Roman" w:cs="Calibri"/>
                <w:color w:val="000000"/>
                <w:lang w:eastAsia="en-GB"/>
              </w:rPr>
              <w:t> </w:t>
            </w:r>
          </w:p>
        </w:tc>
        <w:tc>
          <w:tcPr>
            <w:tcW w:w="1460" w:type="dxa"/>
            <w:tcBorders>
              <w:top w:val="nil"/>
              <w:left w:val="nil"/>
              <w:bottom w:val="nil"/>
              <w:right w:val="single" w:sz="4" w:space="0" w:color="auto"/>
            </w:tcBorders>
            <w:shd w:val="clear" w:color="auto" w:fill="auto"/>
            <w:noWrap/>
            <w:vAlign w:val="bottom"/>
            <w:hideMark/>
          </w:tcPr>
          <w:p w14:paraId="1CEE079B"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0.250</w:t>
            </w:r>
          </w:p>
        </w:tc>
        <w:tc>
          <w:tcPr>
            <w:tcW w:w="1460" w:type="dxa"/>
            <w:tcBorders>
              <w:top w:val="nil"/>
              <w:left w:val="nil"/>
              <w:bottom w:val="nil"/>
              <w:right w:val="single" w:sz="4" w:space="0" w:color="auto"/>
            </w:tcBorders>
            <w:shd w:val="clear" w:color="auto" w:fill="auto"/>
            <w:noWrap/>
            <w:vAlign w:val="bottom"/>
            <w:hideMark/>
          </w:tcPr>
          <w:p w14:paraId="72A67F9A"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 </w:t>
            </w:r>
          </w:p>
        </w:tc>
        <w:tc>
          <w:tcPr>
            <w:tcW w:w="1460" w:type="dxa"/>
            <w:tcBorders>
              <w:top w:val="nil"/>
              <w:left w:val="nil"/>
              <w:bottom w:val="nil"/>
              <w:right w:val="single" w:sz="4" w:space="0" w:color="auto"/>
            </w:tcBorders>
            <w:shd w:val="clear" w:color="auto" w:fill="auto"/>
            <w:noWrap/>
            <w:vAlign w:val="bottom"/>
            <w:hideMark/>
          </w:tcPr>
          <w:p w14:paraId="787A1CEB"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0.250</w:t>
            </w:r>
          </w:p>
        </w:tc>
      </w:tr>
      <w:tr w:rsidR="005F5EE6" w:rsidRPr="005F5EE6" w14:paraId="572E0611" w14:textId="77777777" w:rsidTr="005F5EE6">
        <w:trPr>
          <w:trHeight w:val="288"/>
        </w:trPr>
        <w:tc>
          <w:tcPr>
            <w:tcW w:w="3020" w:type="dxa"/>
            <w:tcBorders>
              <w:top w:val="nil"/>
              <w:left w:val="single" w:sz="4" w:space="0" w:color="auto"/>
              <w:bottom w:val="nil"/>
              <w:right w:val="nil"/>
            </w:tcBorders>
            <w:shd w:val="clear" w:color="auto" w:fill="auto"/>
            <w:noWrap/>
            <w:vAlign w:val="bottom"/>
            <w:hideMark/>
          </w:tcPr>
          <w:p w14:paraId="479901EC" w14:textId="77777777" w:rsidR="005F5EE6" w:rsidRPr="005F5EE6" w:rsidRDefault="005F5EE6" w:rsidP="005F5EE6">
            <w:pPr>
              <w:spacing w:line="240" w:lineRule="auto"/>
              <w:rPr>
                <w:rFonts w:eastAsia="Times New Roman" w:cs="Calibri"/>
                <w:color w:val="000000"/>
                <w:lang w:eastAsia="en-GB"/>
              </w:rPr>
            </w:pPr>
            <w:r w:rsidRPr="005F5EE6">
              <w:rPr>
                <w:rFonts w:eastAsia="Times New Roman" w:cs="Calibri"/>
                <w:color w:val="000000"/>
                <w:lang w:eastAsia="en-GB"/>
              </w:rPr>
              <w:t>Operational Equipment</w:t>
            </w:r>
          </w:p>
        </w:tc>
        <w:tc>
          <w:tcPr>
            <w:tcW w:w="1460" w:type="dxa"/>
            <w:tcBorders>
              <w:top w:val="nil"/>
              <w:left w:val="single" w:sz="4" w:space="0" w:color="auto"/>
              <w:bottom w:val="nil"/>
              <w:right w:val="single" w:sz="4" w:space="0" w:color="auto"/>
            </w:tcBorders>
            <w:shd w:val="clear" w:color="auto" w:fill="auto"/>
            <w:noWrap/>
            <w:vAlign w:val="bottom"/>
            <w:hideMark/>
          </w:tcPr>
          <w:p w14:paraId="53EBA236"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0.096</w:t>
            </w:r>
          </w:p>
        </w:tc>
        <w:tc>
          <w:tcPr>
            <w:tcW w:w="1460" w:type="dxa"/>
            <w:tcBorders>
              <w:top w:val="nil"/>
              <w:left w:val="nil"/>
              <w:bottom w:val="nil"/>
              <w:right w:val="single" w:sz="4" w:space="0" w:color="auto"/>
            </w:tcBorders>
            <w:shd w:val="clear" w:color="auto" w:fill="auto"/>
            <w:noWrap/>
            <w:vAlign w:val="bottom"/>
            <w:hideMark/>
          </w:tcPr>
          <w:p w14:paraId="11BAC58A" w14:textId="77777777" w:rsidR="005F5EE6" w:rsidRPr="005F5EE6" w:rsidRDefault="005F5EE6" w:rsidP="005F5EE6">
            <w:pPr>
              <w:spacing w:line="240" w:lineRule="auto"/>
              <w:jc w:val="right"/>
              <w:rPr>
                <w:rFonts w:eastAsia="Times New Roman" w:cs="Calibri"/>
                <w:color w:val="000000"/>
                <w:lang w:eastAsia="en-GB"/>
              </w:rPr>
            </w:pPr>
            <w:r w:rsidRPr="005F5EE6">
              <w:rPr>
                <w:rFonts w:eastAsia="Times New Roman" w:cs="Calibri"/>
                <w:color w:val="000000"/>
                <w:lang w:eastAsia="en-GB"/>
              </w:rPr>
              <w:t>0.355</w:t>
            </w:r>
          </w:p>
        </w:tc>
        <w:tc>
          <w:tcPr>
            <w:tcW w:w="1460" w:type="dxa"/>
            <w:tcBorders>
              <w:top w:val="nil"/>
              <w:left w:val="nil"/>
              <w:bottom w:val="nil"/>
              <w:right w:val="single" w:sz="4" w:space="0" w:color="auto"/>
            </w:tcBorders>
            <w:shd w:val="clear" w:color="auto" w:fill="auto"/>
            <w:noWrap/>
            <w:vAlign w:val="bottom"/>
            <w:hideMark/>
          </w:tcPr>
          <w:p w14:paraId="45390364"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0.451</w:t>
            </w:r>
          </w:p>
        </w:tc>
        <w:tc>
          <w:tcPr>
            <w:tcW w:w="1460" w:type="dxa"/>
            <w:tcBorders>
              <w:top w:val="nil"/>
              <w:left w:val="nil"/>
              <w:bottom w:val="nil"/>
              <w:right w:val="single" w:sz="4" w:space="0" w:color="auto"/>
            </w:tcBorders>
            <w:shd w:val="clear" w:color="auto" w:fill="auto"/>
            <w:noWrap/>
            <w:vAlign w:val="bottom"/>
            <w:hideMark/>
          </w:tcPr>
          <w:p w14:paraId="3743FF60" w14:textId="77777777" w:rsidR="005F5EE6" w:rsidRPr="005F5EE6" w:rsidRDefault="005F5EE6" w:rsidP="005F5EE6">
            <w:pPr>
              <w:spacing w:line="240" w:lineRule="auto"/>
              <w:jc w:val="right"/>
              <w:rPr>
                <w:rFonts w:eastAsia="Times New Roman" w:cs="Calibri"/>
                <w:color w:val="000000"/>
                <w:lang w:eastAsia="en-GB"/>
              </w:rPr>
            </w:pPr>
            <w:r w:rsidRPr="005F5EE6">
              <w:rPr>
                <w:rFonts w:eastAsia="Times New Roman" w:cs="Calibri"/>
                <w:color w:val="000000"/>
                <w:lang w:eastAsia="en-GB"/>
              </w:rPr>
              <w:t>(0.201)</w:t>
            </w:r>
          </w:p>
        </w:tc>
        <w:tc>
          <w:tcPr>
            <w:tcW w:w="1460" w:type="dxa"/>
            <w:tcBorders>
              <w:top w:val="nil"/>
              <w:left w:val="nil"/>
              <w:bottom w:val="nil"/>
              <w:right w:val="single" w:sz="4" w:space="0" w:color="auto"/>
            </w:tcBorders>
            <w:shd w:val="clear" w:color="auto" w:fill="auto"/>
            <w:noWrap/>
            <w:vAlign w:val="bottom"/>
            <w:hideMark/>
          </w:tcPr>
          <w:p w14:paraId="46A8DCDE"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0.250</w:t>
            </w:r>
          </w:p>
        </w:tc>
      </w:tr>
      <w:tr w:rsidR="005F5EE6" w:rsidRPr="005F5EE6" w14:paraId="2CD6C233" w14:textId="77777777" w:rsidTr="005F5EE6">
        <w:trPr>
          <w:trHeight w:val="288"/>
        </w:trPr>
        <w:tc>
          <w:tcPr>
            <w:tcW w:w="3020" w:type="dxa"/>
            <w:tcBorders>
              <w:top w:val="nil"/>
              <w:left w:val="single" w:sz="4" w:space="0" w:color="auto"/>
              <w:bottom w:val="nil"/>
              <w:right w:val="nil"/>
            </w:tcBorders>
            <w:shd w:val="clear" w:color="auto" w:fill="auto"/>
            <w:noWrap/>
            <w:vAlign w:val="bottom"/>
            <w:hideMark/>
          </w:tcPr>
          <w:p w14:paraId="1BAB96B7" w14:textId="77777777" w:rsidR="005F5EE6" w:rsidRPr="005F5EE6" w:rsidRDefault="005F5EE6" w:rsidP="005F5EE6">
            <w:pPr>
              <w:spacing w:line="240" w:lineRule="auto"/>
              <w:rPr>
                <w:rFonts w:eastAsia="Times New Roman" w:cs="Calibri"/>
                <w:color w:val="000000"/>
                <w:lang w:eastAsia="en-GB"/>
              </w:rPr>
            </w:pPr>
            <w:r w:rsidRPr="005F5EE6">
              <w:rPr>
                <w:rFonts w:eastAsia="Times New Roman" w:cs="Calibri"/>
                <w:color w:val="000000"/>
                <w:lang w:eastAsia="en-GB"/>
              </w:rPr>
              <w:t>Smoothing</w:t>
            </w:r>
          </w:p>
        </w:tc>
        <w:tc>
          <w:tcPr>
            <w:tcW w:w="1460" w:type="dxa"/>
            <w:tcBorders>
              <w:top w:val="nil"/>
              <w:left w:val="single" w:sz="4" w:space="0" w:color="auto"/>
              <w:bottom w:val="nil"/>
              <w:right w:val="single" w:sz="4" w:space="0" w:color="auto"/>
            </w:tcBorders>
            <w:shd w:val="clear" w:color="auto" w:fill="auto"/>
            <w:noWrap/>
            <w:vAlign w:val="bottom"/>
            <w:hideMark/>
          </w:tcPr>
          <w:p w14:paraId="20C1AA79"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0.033</w:t>
            </w:r>
          </w:p>
        </w:tc>
        <w:tc>
          <w:tcPr>
            <w:tcW w:w="1460" w:type="dxa"/>
            <w:tcBorders>
              <w:top w:val="nil"/>
              <w:left w:val="nil"/>
              <w:bottom w:val="nil"/>
              <w:right w:val="single" w:sz="4" w:space="0" w:color="auto"/>
            </w:tcBorders>
            <w:shd w:val="clear" w:color="auto" w:fill="auto"/>
            <w:noWrap/>
            <w:vAlign w:val="bottom"/>
            <w:hideMark/>
          </w:tcPr>
          <w:p w14:paraId="40B59C14" w14:textId="77777777" w:rsidR="005F5EE6" w:rsidRPr="005F5EE6" w:rsidRDefault="005F5EE6" w:rsidP="005F5EE6">
            <w:pPr>
              <w:spacing w:line="240" w:lineRule="auto"/>
              <w:jc w:val="right"/>
              <w:rPr>
                <w:rFonts w:eastAsia="Times New Roman" w:cs="Calibri"/>
                <w:color w:val="000000"/>
                <w:lang w:eastAsia="en-GB"/>
              </w:rPr>
            </w:pPr>
            <w:r w:rsidRPr="005F5EE6">
              <w:rPr>
                <w:rFonts w:eastAsia="Times New Roman" w:cs="Calibri"/>
                <w:color w:val="000000"/>
                <w:lang w:eastAsia="en-GB"/>
              </w:rPr>
              <w:t>0.420</w:t>
            </w:r>
          </w:p>
        </w:tc>
        <w:tc>
          <w:tcPr>
            <w:tcW w:w="1460" w:type="dxa"/>
            <w:tcBorders>
              <w:top w:val="nil"/>
              <w:left w:val="nil"/>
              <w:bottom w:val="nil"/>
              <w:right w:val="single" w:sz="4" w:space="0" w:color="auto"/>
            </w:tcBorders>
            <w:shd w:val="clear" w:color="auto" w:fill="auto"/>
            <w:noWrap/>
            <w:vAlign w:val="bottom"/>
            <w:hideMark/>
          </w:tcPr>
          <w:p w14:paraId="123186FB"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0.453</w:t>
            </w:r>
          </w:p>
        </w:tc>
        <w:tc>
          <w:tcPr>
            <w:tcW w:w="1460" w:type="dxa"/>
            <w:tcBorders>
              <w:top w:val="nil"/>
              <w:left w:val="nil"/>
              <w:bottom w:val="nil"/>
              <w:right w:val="single" w:sz="4" w:space="0" w:color="auto"/>
            </w:tcBorders>
            <w:shd w:val="clear" w:color="auto" w:fill="auto"/>
            <w:noWrap/>
            <w:vAlign w:val="bottom"/>
            <w:hideMark/>
          </w:tcPr>
          <w:p w14:paraId="11140B40"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 </w:t>
            </w:r>
          </w:p>
        </w:tc>
        <w:tc>
          <w:tcPr>
            <w:tcW w:w="1460" w:type="dxa"/>
            <w:tcBorders>
              <w:top w:val="nil"/>
              <w:left w:val="nil"/>
              <w:bottom w:val="nil"/>
              <w:right w:val="single" w:sz="4" w:space="0" w:color="auto"/>
            </w:tcBorders>
            <w:shd w:val="clear" w:color="auto" w:fill="auto"/>
            <w:noWrap/>
            <w:vAlign w:val="bottom"/>
            <w:hideMark/>
          </w:tcPr>
          <w:p w14:paraId="49005557"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0.453</w:t>
            </w:r>
          </w:p>
        </w:tc>
      </w:tr>
      <w:tr w:rsidR="005F5EE6" w:rsidRPr="005F5EE6" w14:paraId="03EFD579" w14:textId="77777777" w:rsidTr="005F5EE6">
        <w:trPr>
          <w:trHeight w:val="288"/>
        </w:trPr>
        <w:tc>
          <w:tcPr>
            <w:tcW w:w="3020" w:type="dxa"/>
            <w:tcBorders>
              <w:top w:val="nil"/>
              <w:left w:val="single" w:sz="4" w:space="0" w:color="auto"/>
              <w:bottom w:val="nil"/>
              <w:right w:val="nil"/>
            </w:tcBorders>
            <w:shd w:val="clear" w:color="auto" w:fill="auto"/>
            <w:noWrap/>
            <w:vAlign w:val="bottom"/>
            <w:hideMark/>
          </w:tcPr>
          <w:p w14:paraId="45E4DEF7" w14:textId="77777777" w:rsidR="005F5EE6" w:rsidRPr="005F5EE6" w:rsidRDefault="005F5EE6" w:rsidP="005F5EE6">
            <w:pPr>
              <w:spacing w:line="240" w:lineRule="auto"/>
              <w:rPr>
                <w:rFonts w:eastAsia="Times New Roman" w:cs="Calibri"/>
                <w:color w:val="000000"/>
                <w:lang w:eastAsia="en-GB"/>
              </w:rPr>
            </w:pPr>
            <w:r w:rsidRPr="005F5EE6">
              <w:rPr>
                <w:rFonts w:eastAsia="Times New Roman" w:cs="Calibri"/>
                <w:color w:val="000000"/>
                <w:lang w:eastAsia="en-GB"/>
              </w:rPr>
              <w:t>Transformation</w:t>
            </w:r>
          </w:p>
        </w:tc>
        <w:tc>
          <w:tcPr>
            <w:tcW w:w="1460" w:type="dxa"/>
            <w:tcBorders>
              <w:top w:val="nil"/>
              <w:left w:val="single" w:sz="4" w:space="0" w:color="auto"/>
              <w:bottom w:val="nil"/>
              <w:right w:val="single" w:sz="4" w:space="0" w:color="auto"/>
            </w:tcBorders>
            <w:shd w:val="clear" w:color="auto" w:fill="auto"/>
            <w:noWrap/>
            <w:vAlign w:val="bottom"/>
            <w:hideMark/>
          </w:tcPr>
          <w:p w14:paraId="784A8BA9"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0.603</w:t>
            </w:r>
          </w:p>
        </w:tc>
        <w:tc>
          <w:tcPr>
            <w:tcW w:w="1460" w:type="dxa"/>
            <w:tcBorders>
              <w:top w:val="nil"/>
              <w:left w:val="nil"/>
              <w:bottom w:val="nil"/>
              <w:right w:val="single" w:sz="4" w:space="0" w:color="auto"/>
            </w:tcBorders>
            <w:shd w:val="clear" w:color="auto" w:fill="auto"/>
            <w:noWrap/>
            <w:vAlign w:val="bottom"/>
            <w:hideMark/>
          </w:tcPr>
          <w:p w14:paraId="5EDCBBBE" w14:textId="77777777" w:rsidR="005F5EE6" w:rsidRPr="005F5EE6" w:rsidRDefault="005F5EE6" w:rsidP="005F5EE6">
            <w:pPr>
              <w:spacing w:line="240" w:lineRule="auto"/>
              <w:jc w:val="right"/>
              <w:rPr>
                <w:rFonts w:eastAsia="Times New Roman" w:cs="Calibri"/>
                <w:color w:val="000000"/>
                <w:lang w:eastAsia="en-GB"/>
              </w:rPr>
            </w:pPr>
            <w:r w:rsidRPr="005F5EE6">
              <w:rPr>
                <w:rFonts w:eastAsia="Times New Roman" w:cs="Calibri"/>
                <w:color w:val="000000"/>
                <w:lang w:eastAsia="en-GB"/>
              </w:rPr>
              <w:t>(0.137)</w:t>
            </w:r>
          </w:p>
        </w:tc>
        <w:tc>
          <w:tcPr>
            <w:tcW w:w="1460" w:type="dxa"/>
            <w:tcBorders>
              <w:top w:val="nil"/>
              <w:left w:val="nil"/>
              <w:bottom w:val="nil"/>
              <w:right w:val="single" w:sz="4" w:space="0" w:color="auto"/>
            </w:tcBorders>
            <w:shd w:val="clear" w:color="auto" w:fill="auto"/>
            <w:noWrap/>
            <w:vAlign w:val="bottom"/>
            <w:hideMark/>
          </w:tcPr>
          <w:p w14:paraId="551B50D9"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0.466</w:t>
            </w:r>
          </w:p>
        </w:tc>
        <w:tc>
          <w:tcPr>
            <w:tcW w:w="1460" w:type="dxa"/>
            <w:tcBorders>
              <w:top w:val="nil"/>
              <w:left w:val="nil"/>
              <w:bottom w:val="nil"/>
              <w:right w:val="single" w:sz="4" w:space="0" w:color="auto"/>
            </w:tcBorders>
            <w:shd w:val="clear" w:color="auto" w:fill="auto"/>
            <w:noWrap/>
            <w:vAlign w:val="bottom"/>
            <w:hideMark/>
          </w:tcPr>
          <w:p w14:paraId="13F97318" w14:textId="77777777" w:rsidR="005F5EE6" w:rsidRPr="005F5EE6" w:rsidRDefault="005F5EE6" w:rsidP="005F5EE6">
            <w:pPr>
              <w:spacing w:line="240" w:lineRule="auto"/>
              <w:jc w:val="right"/>
              <w:rPr>
                <w:rFonts w:eastAsia="Times New Roman" w:cs="Calibri"/>
                <w:color w:val="000000"/>
                <w:lang w:eastAsia="en-GB"/>
              </w:rPr>
            </w:pPr>
            <w:r w:rsidRPr="005F5EE6">
              <w:rPr>
                <w:rFonts w:eastAsia="Times New Roman" w:cs="Calibri"/>
                <w:color w:val="000000"/>
                <w:lang w:eastAsia="en-GB"/>
              </w:rPr>
              <w:t>(0.466)</w:t>
            </w:r>
          </w:p>
        </w:tc>
        <w:tc>
          <w:tcPr>
            <w:tcW w:w="1460" w:type="dxa"/>
            <w:tcBorders>
              <w:top w:val="nil"/>
              <w:left w:val="nil"/>
              <w:bottom w:val="nil"/>
              <w:right w:val="single" w:sz="4" w:space="0" w:color="auto"/>
            </w:tcBorders>
            <w:shd w:val="clear" w:color="auto" w:fill="auto"/>
            <w:noWrap/>
            <w:vAlign w:val="bottom"/>
            <w:hideMark/>
          </w:tcPr>
          <w:p w14:paraId="63C12686"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0.000</w:t>
            </w:r>
          </w:p>
        </w:tc>
      </w:tr>
      <w:tr w:rsidR="005F5EE6" w:rsidRPr="005F5EE6" w14:paraId="5AAB9EB5" w14:textId="77777777" w:rsidTr="005F5EE6">
        <w:trPr>
          <w:trHeight w:val="288"/>
        </w:trPr>
        <w:tc>
          <w:tcPr>
            <w:tcW w:w="3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DD40ED"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Total Earmarked</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14:paraId="1D107FE5"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0.982</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14:paraId="1D0725B9"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0.638</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14:paraId="363EE028"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1.620</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14:paraId="252A2FFB"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(0.667)</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14:paraId="5E7F74AB"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0.953</w:t>
            </w:r>
          </w:p>
        </w:tc>
      </w:tr>
      <w:tr w:rsidR="005F5EE6" w:rsidRPr="005F5EE6" w14:paraId="0F5FCDE5" w14:textId="77777777" w:rsidTr="005F5EE6">
        <w:trPr>
          <w:trHeight w:val="288"/>
        </w:trPr>
        <w:tc>
          <w:tcPr>
            <w:tcW w:w="3020" w:type="dxa"/>
            <w:tcBorders>
              <w:top w:val="nil"/>
              <w:left w:val="single" w:sz="4" w:space="0" w:color="auto"/>
              <w:bottom w:val="nil"/>
              <w:right w:val="nil"/>
            </w:tcBorders>
            <w:shd w:val="clear" w:color="auto" w:fill="auto"/>
            <w:noWrap/>
            <w:vAlign w:val="bottom"/>
            <w:hideMark/>
          </w:tcPr>
          <w:p w14:paraId="04F476C0"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 </w:t>
            </w:r>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317C53EE"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 </w:t>
            </w:r>
          </w:p>
        </w:tc>
        <w:tc>
          <w:tcPr>
            <w:tcW w:w="1460" w:type="dxa"/>
            <w:tcBorders>
              <w:top w:val="nil"/>
              <w:left w:val="nil"/>
              <w:bottom w:val="single" w:sz="4" w:space="0" w:color="auto"/>
              <w:right w:val="single" w:sz="4" w:space="0" w:color="auto"/>
            </w:tcBorders>
            <w:shd w:val="clear" w:color="auto" w:fill="auto"/>
            <w:noWrap/>
            <w:vAlign w:val="bottom"/>
            <w:hideMark/>
          </w:tcPr>
          <w:p w14:paraId="09ACA370"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 </w:t>
            </w:r>
          </w:p>
        </w:tc>
        <w:tc>
          <w:tcPr>
            <w:tcW w:w="1460" w:type="dxa"/>
            <w:tcBorders>
              <w:top w:val="nil"/>
              <w:left w:val="nil"/>
              <w:bottom w:val="single" w:sz="4" w:space="0" w:color="auto"/>
              <w:right w:val="single" w:sz="4" w:space="0" w:color="auto"/>
            </w:tcBorders>
            <w:shd w:val="clear" w:color="auto" w:fill="auto"/>
            <w:noWrap/>
            <w:vAlign w:val="bottom"/>
            <w:hideMark/>
          </w:tcPr>
          <w:p w14:paraId="3F06A839"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 </w:t>
            </w:r>
          </w:p>
        </w:tc>
        <w:tc>
          <w:tcPr>
            <w:tcW w:w="1460" w:type="dxa"/>
            <w:tcBorders>
              <w:top w:val="nil"/>
              <w:left w:val="nil"/>
              <w:bottom w:val="single" w:sz="4" w:space="0" w:color="auto"/>
              <w:right w:val="single" w:sz="4" w:space="0" w:color="auto"/>
            </w:tcBorders>
            <w:shd w:val="clear" w:color="auto" w:fill="auto"/>
            <w:noWrap/>
            <w:vAlign w:val="bottom"/>
            <w:hideMark/>
          </w:tcPr>
          <w:p w14:paraId="7D7076CF"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 </w:t>
            </w:r>
          </w:p>
        </w:tc>
        <w:tc>
          <w:tcPr>
            <w:tcW w:w="1460" w:type="dxa"/>
            <w:tcBorders>
              <w:top w:val="nil"/>
              <w:left w:val="nil"/>
              <w:bottom w:val="single" w:sz="4" w:space="0" w:color="auto"/>
              <w:right w:val="single" w:sz="4" w:space="0" w:color="auto"/>
            </w:tcBorders>
            <w:shd w:val="clear" w:color="auto" w:fill="auto"/>
            <w:noWrap/>
            <w:vAlign w:val="bottom"/>
            <w:hideMark/>
          </w:tcPr>
          <w:p w14:paraId="5E8AD6D0"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 </w:t>
            </w:r>
          </w:p>
        </w:tc>
      </w:tr>
      <w:tr w:rsidR="005F5EE6" w:rsidRPr="005F5EE6" w14:paraId="692A8F2A" w14:textId="77777777" w:rsidTr="005F5EE6">
        <w:trPr>
          <w:trHeight w:val="288"/>
        </w:trPr>
        <w:tc>
          <w:tcPr>
            <w:tcW w:w="3020" w:type="dxa"/>
            <w:tcBorders>
              <w:top w:val="single" w:sz="4" w:space="0" w:color="auto"/>
              <w:left w:val="single" w:sz="4" w:space="0" w:color="auto"/>
              <w:bottom w:val="single" w:sz="4" w:space="0" w:color="auto"/>
              <w:right w:val="nil"/>
            </w:tcBorders>
            <w:shd w:val="clear" w:color="auto" w:fill="auto"/>
            <w:noWrap/>
            <w:vAlign w:val="bottom"/>
            <w:hideMark/>
          </w:tcPr>
          <w:p w14:paraId="696A85FB"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Total Revenue</w:t>
            </w:r>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36A2EC70"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2.982</w:t>
            </w:r>
          </w:p>
        </w:tc>
        <w:tc>
          <w:tcPr>
            <w:tcW w:w="1460" w:type="dxa"/>
            <w:tcBorders>
              <w:top w:val="nil"/>
              <w:left w:val="nil"/>
              <w:bottom w:val="single" w:sz="4" w:space="0" w:color="auto"/>
              <w:right w:val="single" w:sz="4" w:space="0" w:color="auto"/>
            </w:tcBorders>
            <w:shd w:val="clear" w:color="auto" w:fill="auto"/>
            <w:noWrap/>
            <w:vAlign w:val="bottom"/>
            <w:hideMark/>
          </w:tcPr>
          <w:p w14:paraId="23556100"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0.638</w:t>
            </w:r>
          </w:p>
        </w:tc>
        <w:tc>
          <w:tcPr>
            <w:tcW w:w="1460" w:type="dxa"/>
            <w:tcBorders>
              <w:top w:val="nil"/>
              <w:left w:val="nil"/>
              <w:bottom w:val="single" w:sz="4" w:space="0" w:color="auto"/>
              <w:right w:val="single" w:sz="4" w:space="0" w:color="auto"/>
            </w:tcBorders>
            <w:shd w:val="clear" w:color="auto" w:fill="auto"/>
            <w:noWrap/>
            <w:vAlign w:val="bottom"/>
            <w:hideMark/>
          </w:tcPr>
          <w:p w14:paraId="1D770E73"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3.800</w:t>
            </w:r>
          </w:p>
        </w:tc>
        <w:tc>
          <w:tcPr>
            <w:tcW w:w="1460" w:type="dxa"/>
            <w:tcBorders>
              <w:top w:val="nil"/>
              <w:left w:val="nil"/>
              <w:bottom w:val="single" w:sz="4" w:space="0" w:color="auto"/>
              <w:right w:val="single" w:sz="4" w:space="0" w:color="auto"/>
            </w:tcBorders>
            <w:shd w:val="clear" w:color="auto" w:fill="auto"/>
            <w:noWrap/>
            <w:vAlign w:val="bottom"/>
            <w:hideMark/>
          </w:tcPr>
          <w:p w14:paraId="7B721642"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(0.667)</w:t>
            </w:r>
          </w:p>
        </w:tc>
        <w:tc>
          <w:tcPr>
            <w:tcW w:w="1460" w:type="dxa"/>
            <w:tcBorders>
              <w:top w:val="nil"/>
              <w:left w:val="nil"/>
              <w:bottom w:val="single" w:sz="4" w:space="0" w:color="auto"/>
              <w:right w:val="single" w:sz="4" w:space="0" w:color="auto"/>
            </w:tcBorders>
            <w:shd w:val="clear" w:color="auto" w:fill="auto"/>
            <w:noWrap/>
            <w:vAlign w:val="bottom"/>
            <w:hideMark/>
          </w:tcPr>
          <w:p w14:paraId="62CCE2ED"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3.133</w:t>
            </w:r>
          </w:p>
        </w:tc>
      </w:tr>
      <w:tr w:rsidR="005F5EE6" w:rsidRPr="005F5EE6" w14:paraId="69031AA9" w14:textId="77777777" w:rsidTr="005F5EE6">
        <w:trPr>
          <w:trHeight w:val="288"/>
        </w:trPr>
        <w:tc>
          <w:tcPr>
            <w:tcW w:w="3020" w:type="dxa"/>
            <w:tcBorders>
              <w:top w:val="nil"/>
              <w:left w:val="single" w:sz="4" w:space="0" w:color="auto"/>
              <w:bottom w:val="nil"/>
              <w:right w:val="nil"/>
            </w:tcBorders>
            <w:shd w:val="clear" w:color="auto" w:fill="auto"/>
            <w:noWrap/>
            <w:vAlign w:val="bottom"/>
            <w:hideMark/>
          </w:tcPr>
          <w:p w14:paraId="20C31BC5"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 </w:t>
            </w:r>
          </w:p>
        </w:tc>
        <w:tc>
          <w:tcPr>
            <w:tcW w:w="1460" w:type="dxa"/>
            <w:tcBorders>
              <w:top w:val="nil"/>
              <w:left w:val="single" w:sz="4" w:space="0" w:color="auto"/>
              <w:bottom w:val="nil"/>
              <w:right w:val="single" w:sz="4" w:space="0" w:color="auto"/>
            </w:tcBorders>
            <w:shd w:val="clear" w:color="auto" w:fill="auto"/>
            <w:noWrap/>
            <w:vAlign w:val="bottom"/>
            <w:hideMark/>
          </w:tcPr>
          <w:p w14:paraId="780D226A"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 </w:t>
            </w:r>
          </w:p>
        </w:tc>
        <w:tc>
          <w:tcPr>
            <w:tcW w:w="1460" w:type="dxa"/>
            <w:tcBorders>
              <w:top w:val="nil"/>
              <w:left w:val="nil"/>
              <w:bottom w:val="nil"/>
              <w:right w:val="single" w:sz="4" w:space="0" w:color="auto"/>
            </w:tcBorders>
            <w:shd w:val="clear" w:color="auto" w:fill="auto"/>
            <w:noWrap/>
            <w:vAlign w:val="bottom"/>
            <w:hideMark/>
          </w:tcPr>
          <w:p w14:paraId="2AEE3226"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 </w:t>
            </w:r>
          </w:p>
        </w:tc>
        <w:tc>
          <w:tcPr>
            <w:tcW w:w="1460" w:type="dxa"/>
            <w:tcBorders>
              <w:top w:val="nil"/>
              <w:left w:val="nil"/>
              <w:bottom w:val="nil"/>
              <w:right w:val="single" w:sz="4" w:space="0" w:color="auto"/>
            </w:tcBorders>
            <w:shd w:val="clear" w:color="auto" w:fill="auto"/>
            <w:noWrap/>
            <w:vAlign w:val="bottom"/>
            <w:hideMark/>
          </w:tcPr>
          <w:p w14:paraId="0F06962D"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 </w:t>
            </w:r>
          </w:p>
        </w:tc>
        <w:tc>
          <w:tcPr>
            <w:tcW w:w="1460" w:type="dxa"/>
            <w:tcBorders>
              <w:top w:val="nil"/>
              <w:left w:val="nil"/>
              <w:bottom w:val="nil"/>
              <w:right w:val="single" w:sz="4" w:space="0" w:color="auto"/>
            </w:tcBorders>
            <w:shd w:val="clear" w:color="auto" w:fill="auto"/>
            <w:noWrap/>
            <w:vAlign w:val="bottom"/>
            <w:hideMark/>
          </w:tcPr>
          <w:p w14:paraId="0ABC02EF"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 </w:t>
            </w:r>
          </w:p>
        </w:tc>
        <w:tc>
          <w:tcPr>
            <w:tcW w:w="1460" w:type="dxa"/>
            <w:tcBorders>
              <w:top w:val="nil"/>
              <w:left w:val="nil"/>
              <w:bottom w:val="nil"/>
              <w:right w:val="single" w:sz="4" w:space="0" w:color="auto"/>
            </w:tcBorders>
            <w:shd w:val="clear" w:color="auto" w:fill="auto"/>
            <w:noWrap/>
            <w:vAlign w:val="bottom"/>
            <w:hideMark/>
          </w:tcPr>
          <w:p w14:paraId="69C94258"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 </w:t>
            </w:r>
          </w:p>
        </w:tc>
      </w:tr>
      <w:tr w:rsidR="005F5EE6" w:rsidRPr="005F5EE6" w14:paraId="618963EE" w14:textId="77777777" w:rsidTr="005F5EE6">
        <w:trPr>
          <w:trHeight w:val="288"/>
        </w:trPr>
        <w:tc>
          <w:tcPr>
            <w:tcW w:w="3020" w:type="dxa"/>
            <w:tcBorders>
              <w:top w:val="nil"/>
              <w:left w:val="single" w:sz="4" w:space="0" w:color="auto"/>
              <w:bottom w:val="nil"/>
              <w:right w:val="nil"/>
            </w:tcBorders>
            <w:shd w:val="clear" w:color="auto" w:fill="auto"/>
            <w:noWrap/>
            <w:vAlign w:val="bottom"/>
            <w:hideMark/>
          </w:tcPr>
          <w:p w14:paraId="3722A66D"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Capital:</w:t>
            </w:r>
          </w:p>
        </w:tc>
        <w:tc>
          <w:tcPr>
            <w:tcW w:w="1460" w:type="dxa"/>
            <w:tcBorders>
              <w:top w:val="nil"/>
              <w:left w:val="single" w:sz="4" w:space="0" w:color="auto"/>
              <w:bottom w:val="nil"/>
              <w:right w:val="single" w:sz="4" w:space="0" w:color="auto"/>
            </w:tcBorders>
            <w:shd w:val="clear" w:color="auto" w:fill="auto"/>
            <w:noWrap/>
            <w:vAlign w:val="bottom"/>
            <w:hideMark/>
          </w:tcPr>
          <w:p w14:paraId="4757860E"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 </w:t>
            </w:r>
          </w:p>
        </w:tc>
        <w:tc>
          <w:tcPr>
            <w:tcW w:w="1460" w:type="dxa"/>
            <w:tcBorders>
              <w:top w:val="nil"/>
              <w:left w:val="nil"/>
              <w:bottom w:val="nil"/>
              <w:right w:val="single" w:sz="4" w:space="0" w:color="auto"/>
            </w:tcBorders>
            <w:shd w:val="clear" w:color="auto" w:fill="auto"/>
            <w:noWrap/>
            <w:vAlign w:val="bottom"/>
            <w:hideMark/>
          </w:tcPr>
          <w:p w14:paraId="03BE947E"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 </w:t>
            </w:r>
          </w:p>
        </w:tc>
        <w:tc>
          <w:tcPr>
            <w:tcW w:w="1460" w:type="dxa"/>
            <w:tcBorders>
              <w:top w:val="nil"/>
              <w:left w:val="nil"/>
              <w:bottom w:val="nil"/>
              <w:right w:val="single" w:sz="4" w:space="0" w:color="auto"/>
            </w:tcBorders>
            <w:shd w:val="clear" w:color="auto" w:fill="auto"/>
            <w:noWrap/>
            <w:vAlign w:val="bottom"/>
            <w:hideMark/>
          </w:tcPr>
          <w:p w14:paraId="41534B3D"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 </w:t>
            </w:r>
          </w:p>
        </w:tc>
        <w:tc>
          <w:tcPr>
            <w:tcW w:w="1460" w:type="dxa"/>
            <w:tcBorders>
              <w:top w:val="nil"/>
              <w:left w:val="nil"/>
              <w:bottom w:val="nil"/>
              <w:right w:val="single" w:sz="4" w:space="0" w:color="auto"/>
            </w:tcBorders>
            <w:shd w:val="clear" w:color="auto" w:fill="auto"/>
            <w:noWrap/>
            <w:vAlign w:val="bottom"/>
            <w:hideMark/>
          </w:tcPr>
          <w:p w14:paraId="337A361B"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 </w:t>
            </w:r>
          </w:p>
        </w:tc>
        <w:tc>
          <w:tcPr>
            <w:tcW w:w="1460" w:type="dxa"/>
            <w:tcBorders>
              <w:top w:val="nil"/>
              <w:left w:val="nil"/>
              <w:bottom w:val="nil"/>
              <w:right w:val="single" w:sz="4" w:space="0" w:color="auto"/>
            </w:tcBorders>
            <w:shd w:val="clear" w:color="auto" w:fill="auto"/>
            <w:noWrap/>
            <w:vAlign w:val="bottom"/>
            <w:hideMark/>
          </w:tcPr>
          <w:p w14:paraId="727A8691"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 </w:t>
            </w:r>
          </w:p>
        </w:tc>
      </w:tr>
      <w:tr w:rsidR="005F5EE6" w:rsidRPr="005F5EE6" w14:paraId="5C2041F6" w14:textId="77777777" w:rsidTr="005F5EE6">
        <w:trPr>
          <w:trHeight w:val="276"/>
        </w:trPr>
        <w:tc>
          <w:tcPr>
            <w:tcW w:w="3020" w:type="dxa"/>
            <w:tcBorders>
              <w:top w:val="nil"/>
              <w:left w:val="single" w:sz="4" w:space="0" w:color="auto"/>
              <w:bottom w:val="nil"/>
              <w:right w:val="nil"/>
            </w:tcBorders>
            <w:shd w:val="clear" w:color="auto" w:fill="auto"/>
            <w:noWrap/>
            <w:vAlign w:val="bottom"/>
            <w:hideMark/>
          </w:tcPr>
          <w:p w14:paraId="6ECB9A05" w14:textId="77777777" w:rsidR="005F5EE6" w:rsidRPr="005F5EE6" w:rsidRDefault="005F5EE6" w:rsidP="005F5EE6">
            <w:pPr>
              <w:spacing w:line="240" w:lineRule="auto"/>
              <w:rPr>
                <w:rFonts w:eastAsia="Times New Roman" w:cs="Calibri"/>
                <w:color w:val="000000"/>
                <w:lang w:eastAsia="en-GB"/>
              </w:rPr>
            </w:pPr>
            <w:r w:rsidRPr="005F5EE6">
              <w:rPr>
                <w:rFonts w:eastAsia="Times New Roman" w:cs="Calibri"/>
                <w:color w:val="000000"/>
                <w:lang w:eastAsia="en-GB"/>
              </w:rPr>
              <w:t>Capital Receipts</w:t>
            </w:r>
          </w:p>
        </w:tc>
        <w:tc>
          <w:tcPr>
            <w:tcW w:w="1460" w:type="dxa"/>
            <w:tcBorders>
              <w:top w:val="nil"/>
              <w:left w:val="single" w:sz="4" w:space="0" w:color="auto"/>
              <w:bottom w:val="nil"/>
              <w:right w:val="single" w:sz="4" w:space="0" w:color="auto"/>
            </w:tcBorders>
            <w:shd w:val="clear" w:color="auto" w:fill="auto"/>
            <w:noWrap/>
            <w:vAlign w:val="bottom"/>
            <w:hideMark/>
          </w:tcPr>
          <w:p w14:paraId="13E095A0"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1.607</w:t>
            </w:r>
          </w:p>
        </w:tc>
        <w:tc>
          <w:tcPr>
            <w:tcW w:w="1460" w:type="dxa"/>
            <w:tcBorders>
              <w:top w:val="nil"/>
              <w:left w:val="nil"/>
              <w:bottom w:val="nil"/>
              <w:right w:val="single" w:sz="4" w:space="0" w:color="auto"/>
            </w:tcBorders>
            <w:shd w:val="clear" w:color="auto" w:fill="auto"/>
            <w:noWrap/>
            <w:vAlign w:val="bottom"/>
            <w:hideMark/>
          </w:tcPr>
          <w:p w14:paraId="29D8CC81" w14:textId="77777777" w:rsidR="005F5EE6" w:rsidRPr="005F5EE6" w:rsidRDefault="005F5EE6" w:rsidP="005F5EE6">
            <w:pPr>
              <w:spacing w:line="240" w:lineRule="auto"/>
              <w:jc w:val="right"/>
              <w:rPr>
                <w:rFonts w:eastAsia="Times New Roman" w:cs="Calibri"/>
                <w:color w:val="000000"/>
                <w:lang w:eastAsia="en-GB"/>
              </w:rPr>
            </w:pPr>
            <w:r w:rsidRPr="005F5EE6">
              <w:rPr>
                <w:rFonts w:eastAsia="Times New Roman" w:cs="Calibri"/>
                <w:color w:val="000000"/>
                <w:lang w:eastAsia="en-GB"/>
              </w:rPr>
              <w:t>(1.607)</w:t>
            </w:r>
          </w:p>
        </w:tc>
        <w:tc>
          <w:tcPr>
            <w:tcW w:w="1460" w:type="dxa"/>
            <w:tcBorders>
              <w:top w:val="nil"/>
              <w:left w:val="nil"/>
              <w:bottom w:val="nil"/>
              <w:right w:val="single" w:sz="4" w:space="0" w:color="auto"/>
            </w:tcBorders>
            <w:shd w:val="clear" w:color="auto" w:fill="auto"/>
            <w:noWrap/>
            <w:vAlign w:val="bottom"/>
            <w:hideMark/>
          </w:tcPr>
          <w:p w14:paraId="7D2A3F3C"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0.000</w:t>
            </w:r>
          </w:p>
        </w:tc>
        <w:tc>
          <w:tcPr>
            <w:tcW w:w="1460" w:type="dxa"/>
            <w:tcBorders>
              <w:top w:val="nil"/>
              <w:left w:val="nil"/>
              <w:bottom w:val="nil"/>
              <w:right w:val="single" w:sz="4" w:space="0" w:color="auto"/>
            </w:tcBorders>
            <w:shd w:val="clear" w:color="auto" w:fill="auto"/>
            <w:noWrap/>
            <w:vAlign w:val="bottom"/>
            <w:hideMark/>
          </w:tcPr>
          <w:p w14:paraId="58C8E0D9" w14:textId="77777777" w:rsidR="005F5EE6" w:rsidRPr="005F5EE6" w:rsidRDefault="005F5EE6" w:rsidP="005F5EE6">
            <w:pPr>
              <w:spacing w:line="240" w:lineRule="auto"/>
              <w:rPr>
                <w:rFonts w:eastAsia="Times New Roman" w:cs="Calibri"/>
                <w:color w:val="000000"/>
                <w:lang w:eastAsia="en-GB"/>
              </w:rPr>
            </w:pPr>
            <w:r w:rsidRPr="005F5EE6">
              <w:rPr>
                <w:rFonts w:eastAsia="Times New Roman" w:cs="Calibri"/>
                <w:color w:val="000000"/>
                <w:lang w:eastAsia="en-GB"/>
              </w:rPr>
              <w:t> </w:t>
            </w:r>
          </w:p>
        </w:tc>
        <w:tc>
          <w:tcPr>
            <w:tcW w:w="1460" w:type="dxa"/>
            <w:tcBorders>
              <w:top w:val="nil"/>
              <w:left w:val="nil"/>
              <w:bottom w:val="nil"/>
              <w:right w:val="single" w:sz="4" w:space="0" w:color="auto"/>
            </w:tcBorders>
            <w:shd w:val="clear" w:color="auto" w:fill="auto"/>
            <w:noWrap/>
            <w:vAlign w:val="bottom"/>
            <w:hideMark/>
          </w:tcPr>
          <w:p w14:paraId="2D66CF02"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0.000</w:t>
            </w:r>
          </w:p>
        </w:tc>
      </w:tr>
      <w:tr w:rsidR="005F5EE6" w:rsidRPr="005F5EE6" w14:paraId="09717E87" w14:textId="77777777" w:rsidTr="005F5EE6">
        <w:trPr>
          <w:trHeight w:val="288"/>
        </w:trPr>
        <w:tc>
          <w:tcPr>
            <w:tcW w:w="3020" w:type="dxa"/>
            <w:tcBorders>
              <w:top w:val="nil"/>
              <w:left w:val="single" w:sz="4" w:space="0" w:color="auto"/>
              <w:bottom w:val="nil"/>
              <w:right w:val="nil"/>
            </w:tcBorders>
            <w:shd w:val="clear" w:color="auto" w:fill="auto"/>
            <w:noWrap/>
            <w:vAlign w:val="bottom"/>
            <w:hideMark/>
          </w:tcPr>
          <w:p w14:paraId="5C8F6A15" w14:textId="77777777" w:rsidR="005F5EE6" w:rsidRPr="005F5EE6" w:rsidRDefault="005F5EE6" w:rsidP="005F5EE6">
            <w:pPr>
              <w:spacing w:line="240" w:lineRule="auto"/>
              <w:rPr>
                <w:rFonts w:eastAsia="Times New Roman" w:cs="Calibri"/>
                <w:color w:val="000000"/>
                <w:lang w:eastAsia="en-GB"/>
              </w:rPr>
            </w:pPr>
            <w:r w:rsidRPr="005F5EE6">
              <w:rPr>
                <w:rFonts w:eastAsia="Times New Roman" w:cs="Calibri"/>
                <w:color w:val="000000"/>
                <w:lang w:eastAsia="en-GB"/>
              </w:rPr>
              <w:t>Capital and ESN Reserve</w:t>
            </w:r>
          </w:p>
        </w:tc>
        <w:tc>
          <w:tcPr>
            <w:tcW w:w="1460" w:type="dxa"/>
            <w:tcBorders>
              <w:top w:val="nil"/>
              <w:left w:val="single" w:sz="4" w:space="0" w:color="auto"/>
              <w:bottom w:val="nil"/>
              <w:right w:val="single" w:sz="4" w:space="0" w:color="auto"/>
            </w:tcBorders>
            <w:shd w:val="clear" w:color="auto" w:fill="auto"/>
            <w:noWrap/>
            <w:vAlign w:val="bottom"/>
            <w:hideMark/>
          </w:tcPr>
          <w:p w14:paraId="04E5A12B"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0.314</w:t>
            </w:r>
          </w:p>
        </w:tc>
        <w:tc>
          <w:tcPr>
            <w:tcW w:w="1460" w:type="dxa"/>
            <w:tcBorders>
              <w:top w:val="nil"/>
              <w:left w:val="nil"/>
              <w:bottom w:val="nil"/>
              <w:right w:val="single" w:sz="4" w:space="0" w:color="auto"/>
            </w:tcBorders>
            <w:shd w:val="clear" w:color="auto" w:fill="auto"/>
            <w:noWrap/>
            <w:vAlign w:val="bottom"/>
            <w:hideMark/>
          </w:tcPr>
          <w:p w14:paraId="7864938F" w14:textId="77777777" w:rsidR="005F5EE6" w:rsidRPr="005F5EE6" w:rsidRDefault="005F5EE6" w:rsidP="005F5EE6">
            <w:pPr>
              <w:spacing w:line="240" w:lineRule="auto"/>
              <w:jc w:val="right"/>
              <w:rPr>
                <w:rFonts w:eastAsia="Times New Roman" w:cs="Calibri"/>
                <w:color w:val="000000"/>
                <w:lang w:eastAsia="en-GB"/>
              </w:rPr>
            </w:pPr>
            <w:r w:rsidRPr="005F5EE6">
              <w:rPr>
                <w:rFonts w:eastAsia="Times New Roman" w:cs="Calibri"/>
                <w:color w:val="000000"/>
                <w:lang w:eastAsia="en-GB"/>
              </w:rPr>
              <w:t>(0.314)</w:t>
            </w:r>
          </w:p>
        </w:tc>
        <w:tc>
          <w:tcPr>
            <w:tcW w:w="1460" w:type="dxa"/>
            <w:tcBorders>
              <w:top w:val="nil"/>
              <w:left w:val="nil"/>
              <w:bottom w:val="nil"/>
              <w:right w:val="single" w:sz="4" w:space="0" w:color="auto"/>
            </w:tcBorders>
            <w:shd w:val="clear" w:color="auto" w:fill="auto"/>
            <w:noWrap/>
            <w:vAlign w:val="bottom"/>
            <w:hideMark/>
          </w:tcPr>
          <w:p w14:paraId="457DC3D8"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0.000</w:t>
            </w:r>
          </w:p>
        </w:tc>
        <w:tc>
          <w:tcPr>
            <w:tcW w:w="1460" w:type="dxa"/>
            <w:tcBorders>
              <w:top w:val="nil"/>
              <w:left w:val="nil"/>
              <w:bottom w:val="nil"/>
              <w:right w:val="single" w:sz="4" w:space="0" w:color="auto"/>
            </w:tcBorders>
            <w:shd w:val="clear" w:color="auto" w:fill="auto"/>
            <w:noWrap/>
            <w:vAlign w:val="bottom"/>
            <w:hideMark/>
          </w:tcPr>
          <w:p w14:paraId="04CF08B8" w14:textId="77777777" w:rsidR="005F5EE6" w:rsidRPr="005F5EE6" w:rsidRDefault="005F5EE6" w:rsidP="005F5EE6">
            <w:pPr>
              <w:spacing w:line="240" w:lineRule="auto"/>
              <w:rPr>
                <w:rFonts w:eastAsia="Times New Roman" w:cs="Calibri"/>
                <w:color w:val="000000"/>
                <w:lang w:eastAsia="en-GB"/>
              </w:rPr>
            </w:pPr>
            <w:r w:rsidRPr="005F5EE6">
              <w:rPr>
                <w:rFonts w:eastAsia="Times New Roman" w:cs="Calibri"/>
                <w:color w:val="000000"/>
                <w:lang w:eastAsia="en-GB"/>
              </w:rPr>
              <w:t> </w:t>
            </w:r>
          </w:p>
        </w:tc>
        <w:tc>
          <w:tcPr>
            <w:tcW w:w="1460" w:type="dxa"/>
            <w:tcBorders>
              <w:top w:val="nil"/>
              <w:left w:val="nil"/>
              <w:bottom w:val="nil"/>
              <w:right w:val="single" w:sz="4" w:space="0" w:color="auto"/>
            </w:tcBorders>
            <w:shd w:val="clear" w:color="auto" w:fill="auto"/>
            <w:noWrap/>
            <w:vAlign w:val="bottom"/>
            <w:hideMark/>
          </w:tcPr>
          <w:p w14:paraId="158E26C1"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0.000</w:t>
            </w:r>
          </w:p>
        </w:tc>
      </w:tr>
      <w:tr w:rsidR="005F5EE6" w:rsidRPr="005F5EE6" w14:paraId="4DAFB62D" w14:textId="77777777" w:rsidTr="005F5EE6">
        <w:trPr>
          <w:trHeight w:val="288"/>
        </w:trPr>
        <w:tc>
          <w:tcPr>
            <w:tcW w:w="3020" w:type="dxa"/>
            <w:tcBorders>
              <w:top w:val="nil"/>
              <w:left w:val="single" w:sz="4" w:space="0" w:color="auto"/>
              <w:bottom w:val="nil"/>
              <w:right w:val="nil"/>
            </w:tcBorders>
            <w:shd w:val="clear" w:color="auto" w:fill="auto"/>
            <w:noWrap/>
            <w:vAlign w:val="bottom"/>
            <w:hideMark/>
          </w:tcPr>
          <w:p w14:paraId="620FAE4C" w14:textId="77777777" w:rsidR="005F5EE6" w:rsidRPr="005F5EE6" w:rsidRDefault="005F5EE6" w:rsidP="005F5EE6">
            <w:pPr>
              <w:spacing w:line="240" w:lineRule="auto"/>
              <w:rPr>
                <w:rFonts w:eastAsia="Times New Roman" w:cs="Calibri"/>
                <w:color w:val="000000"/>
                <w:lang w:eastAsia="en-GB"/>
              </w:rPr>
            </w:pPr>
            <w:r w:rsidRPr="005F5EE6">
              <w:rPr>
                <w:rFonts w:eastAsia="Times New Roman" w:cs="Calibri"/>
                <w:color w:val="000000"/>
                <w:lang w:eastAsia="en-GB"/>
              </w:rPr>
              <w:t>S106 Developer Contributions</w:t>
            </w:r>
          </w:p>
        </w:tc>
        <w:tc>
          <w:tcPr>
            <w:tcW w:w="1460" w:type="dxa"/>
            <w:tcBorders>
              <w:top w:val="nil"/>
              <w:left w:val="single" w:sz="4" w:space="0" w:color="auto"/>
              <w:bottom w:val="nil"/>
              <w:right w:val="single" w:sz="4" w:space="0" w:color="auto"/>
            </w:tcBorders>
            <w:shd w:val="clear" w:color="auto" w:fill="auto"/>
            <w:noWrap/>
            <w:vAlign w:val="bottom"/>
            <w:hideMark/>
          </w:tcPr>
          <w:p w14:paraId="0E9E8EBA"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0.000</w:t>
            </w:r>
          </w:p>
        </w:tc>
        <w:tc>
          <w:tcPr>
            <w:tcW w:w="1460" w:type="dxa"/>
            <w:tcBorders>
              <w:top w:val="nil"/>
              <w:left w:val="nil"/>
              <w:bottom w:val="nil"/>
              <w:right w:val="single" w:sz="4" w:space="0" w:color="auto"/>
            </w:tcBorders>
            <w:shd w:val="clear" w:color="auto" w:fill="auto"/>
            <w:noWrap/>
            <w:vAlign w:val="bottom"/>
            <w:hideMark/>
          </w:tcPr>
          <w:p w14:paraId="73D6255F" w14:textId="77777777" w:rsidR="005F5EE6" w:rsidRPr="005F5EE6" w:rsidRDefault="005F5EE6" w:rsidP="005F5EE6">
            <w:pPr>
              <w:spacing w:line="240" w:lineRule="auto"/>
              <w:rPr>
                <w:rFonts w:eastAsia="Times New Roman" w:cs="Calibri"/>
                <w:color w:val="000000"/>
                <w:lang w:eastAsia="en-GB"/>
              </w:rPr>
            </w:pPr>
            <w:r w:rsidRPr="005F5EE6">
              <w:rPr>
                <w:rFonts w:eastAsia="Times New Roman" w:cs="Calibri"/>
                <w:color w:val="000000"/>
                <w:lang w:eastAsia="en-GB"/>
              </w:rPr>
              <w:t> </w:t>
            </w:r>
          </w:p>
        </w:tc>
        <w:tc>
          <w:tcPr>
            <w:tcW w:w="1460" w:type="dxa"/>
            <w:tcBorders>
              <w:top w:val="nil"/>
              <w:left w:val="nil"/>
              <w:bottom w:val="nil"/>
              <w:right w:val="single" w:sz="4" w:space="0" w:color="auto"/>
            </w:tcBorders>
            <w:shd w:val="clear" w:color="auto" w:fill="auto"/>
            <w:noWrap/>
            <w:vAlign w:val="bottom"/>
            <w:hideMark/>
          </w:tcPr>
          <w:p w14:paraId="7964A95D"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0.000</w:t>
            </w:r>
          </w:p>
        </w:tc>
        <w:tc>
          <w:tcPr>
            <w:tcW w:w="1460" w:type="dxa"/>
            <w:tcBorders>
              <w:top w:val="nil"/>
              <w:left w:val="nil"/>
              <w:bottom w:val="nil"/>
              <w:right w:val="single" w:sz="4" w:space="0" w:color="auto"/>
            </w:tcBorders>
            <w:shd w:val="clear" w:color="auto" w:fill="auto"/>
            <w:noWrap/>
            <w:vAlign w:val="bottom"/>
            <w:hideMark/>
          </w:tcPr>
          <w:p w14:paraId="25C25EBB" w14:textId="77777777" w:rsidR="005F5EE6" w:rsidRPr="005F5EE6" w:rsidRDefault="005F5EE6" w:rsidP="005F5EE6">
            <w:pPr>
              <w:spacing w:line="240" w:lineRule="auto"/>
              <w:rPr>
                <w:rFonts w:eastAsia="Times New Roman" w:cs="Calibri"/>
                <w:color w:val="000000"/>
                <w:lang w:eastAsia="en-GB"/>
              </w:rPr>
            </w:pPr>
            <w:r w:rsidRPr="005F5EE6">
              <w:rPr>
                <w:rFonts w:eastAsia="Times New Roman" w:cs="Calibri"/>
                <w:color w:val="000000"/>
                <w:lang w:eastAsia="en-GB"/>
              </w:rPr>
              <w:t> </w:t>
            </w:r>
          </w:p>
        </w:tc>
        <w:tc>
          <w:tcPr>
            <w:tcW w:w="1460" w:type="dxa"/>
            <w:tcBorders>
              <w:top w:val="nil"/>
              <w:left w:val="nil"/>
              <w:bottom w:val="nil"/>
              <w:right w:val="single" w:sz="4" w:space="0" w:color="auto"/>
            </w:tcBorders>
            <w:shd w:val="clear" w:color="auto" w:fill="auto"/>
            <w:noWrap/>
            <w:vAlign w:val="bottom"/>
            <w:hideMark/>
          </w:tcPr>
          <w:p w14:paraId="2CB8EED9"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0.000</w:t>
            </w:r>
          </w:p>
        </w:tc>
      </w:tr>
      <w:tr w:rsidR="005F5EE6" w:rsidRPr="005F5EE6" w14:paraId="0811C7D1" w14:textId="77777777" w:rsidTr="005F5EE6">
        <w:trPr>
          <w:trHeight w:val="288"/>
        </w:trPr>
        <w:tc>
          <w:tcPr>
            <w:tcW w:w="3020" w:type="dxa"/>
            <w:tcBorders>
              <w:top w:val="nil"/>
              <w:left w:val="single" w:sz="4" w:space="0" w:color="auto"/>
              <w:bottom w:val="nil"/>
              <w:right w:val="nil"/>
            </w:tcBorders>
            <w:shd w:val="clear" w:color="auto" w:fill="auto"/>
            <w:noWrap/>
            <w:vAlign w:val="bottom"/>
            <w:hideMark/>
          </w:tcPr>
          <w:p w14:paraId="68ECB0CA" w14:textId="77777777" w:rsidR="005F5EE6" w:rsidRPr="005F5EE6" w:rsidRDefault="005F5EE6" w:rsidP="005F5EE6">
            <w:pPr>
              <w:spacing w:line="240" w:lineRule="auto"/>
              <w:rPr>
                <w:rFonts w:eastAsia="Times New Roman" w:cs="Calibri"/>
                <w:color w:val="000000"/>
                <w:lang w:eastAsia="en-GB"/>
              </w:rPr>
            </w:pPr>
            <w:r w:rsidRPr="005F5EE6">
              <w:rPr>
                <w:rFonts w:eastAsia="Times New Roman" w:cs="Calibri"/>
                <w:color w:val="000000"/>
                <w:lang w:eastAsia="en-GB"/>
              </w:rPr>
              <w:t>Capital Grants Unapplied</w:t>
            </w:r>
          </w:p>
        </w:tc>
        <w:tc>
          <w:tcPr>
            <w:tcW w:w="1460" w:type="dxa"/>
            <w:tcBorders>
              <w:top w:val="nil"/>
              <w:left w:val="single" w:sz="4" w:space="0" w:color="auto"/>
              <w:bottom w:val="nil"/>
              <w:right w:val="single" w:sz="4" w:space="0" w:color="auto"/>
            </w:tcBorders>
            <w:shd w:val="clear" w:color="auto" w:fill="auto"/>
            <w:noWrap/>
            <w:vAlign w:val="bottom"/>
            <w:hideMark/>
          </w:tcPr>
          <w:p w14:paraId="5B472A6B"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0.418</w:t>
            </w:r>
          </w:p>
        </w:tc>
        <w:tc>
          <w:tcPr>
            <w:tcW w:w="1460" w:type="dxa"/>
            <w:tcBorders>
              <w:top w:val="nil"/>
              <w:left w:val="nil"/>
              <w:bottom w:val="nil"/>
              <w:right w:val="single" w:sz="4" w:space="0" w:color="auto"/>
            </w:tcBorders>
            <w:shd w:val="clear" w:color="auto" w:fill="auto"/>
            <w:noWrap/>
            <w:vAlign w:val="bottom"/>
            <w:hideMark/>
          </w:tcPr>
          <w:p w14:paraId="5433406F" w14:textId="77777777" w:rsidR="005F5EE6" w:rsidRPr="005F5EE6" w:rsidRDefault="005F5EE6" w:rsidP="005F5EE6">
            <w:pPr>
              <w:spacing w:line="240" w:lineRule="auto"/>
              <w:jc w:val="right"/>
              <w:rPr>
                <w:rFonts w:eastAsia="Times New Roman" w:cs="Calibri"/>
                <w:color w:val="000000"/>
                <w:lang w:eastAsia="en-GB"/>
              </w:rPr>
            </w:pPr>
            <w:r w:rsidRPr="005F5EE6">
              <w:rPr>
                <w:rFonts w:eastAsia="Times New Roman" w:cs="Calibri"/>
                <w:color w:val="000000"/>
                <w:lang w:eastAsia="en-GB"/>
              </w:rPr>
              <w:t>(0.418)</w:t>
            </w:r>
          </w:p>
        </w:tc>
        <w:tc>
          <w:tcPr>
            <w:tcW w:w="1460" w:type="dxa"/>
            <w:tcBorders>
              <w:top w:val="nil"/>
              <w:left w:val="nil"/>
              <w:bottom w:val="nil"/>
              <w:right w:val="single" w:sz="4" w:space="0" w:color="auto"/>
            </w:tcBorders>
            <w:shd w:val="clear" w:color="auto" w:fill="auto"/>
            <w:noWrap/>
            <w:vAlign w:val="bottom"/>
            <w:hideMark/>
          </w:tcPr>
          <w:p w14:paraId="4D3BBBF0"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0.000</w:t>
            </w:r>
          </w:p>
        </w:tc>
        <w:tc>
          <w:tcPr>
            <w:tcW w:w="1460" w:type="dxa"/>
            <w:tcBorders>
              <w:top w:val="nil"/>
              <w:left w:val="nil"/>
              <w:bottom w:val="nil"/>
              <w:right w:val="single" w:sz="4" w:space="0" w:color="auto"/>
            </w:tcBorders>
            <w:shd w:val="clear" w:color="auto" w:fill="auto"/>
            <w:noWrap/>
            <w:vAlign w:val="bottom"/>
            <w:hideMark/>
          </w:tcPr>
          <w:p w14:paraId="07A5C952" w14:textId="77777777" w:rsidR="005F5EE6" w:rsidRPr="005F5EE6" w:rsidRDefault="005F5EE6" w:rsidP="005F5EE6">
            <w:pPr>
              <w:spacing w:line="240" w:lineRule="auto"/>
              <w:rPr>
                <w:rFonts w:eastAsia="Times New Roman" w:cs="Calibri"/>
                <w:color w:val="000000"/>
                <w:lang w:eastAsia="en-GB"/>
              </w:rPr>
            </w:pPr>
            <w:r w:rsidRPr="005F5EE6">
              <w:rPr>
                <w:rFonts w:eastAsia="Times New Roman" w:cs="Calibri"/>
                <w:color w:val="000000"/>
                <w:lang w:eastAsia="en-GB"/>
              </w:rPr>
              <w:t> </w:t>
            </w:r>
          </w:p>
        </w:tc>
        <w:tc>
          <w:tcPr>
            <w:tcW w:w="1460" w:type="dxa"/>
            <w:tcBorders>
              <w:top w:val="nil"/>
              <w:left w:val="nil"/>
              <w:bottom w:val="nil"/>
              <w:right w:val="single" w:sz="4" w:space="0" w:color="auto"/>
            </w:tcBorders>
            <w:shd w:val="clear" w:color="auto" w:fill="auto"/>
            <w:noWrap/>
            <w:vAlign w:val="bottom"/>
            <w:hideMark/>
          </w:tcPr>
          <w:p w14:paraId="7E290E2D"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0.000</w:t>
            </w:r>
          </w:p>
        </w:tc>
      </w:tr>
      <w:tr w:rsidR="005F5EE6" w:rsidRPr="005F5EE6" w14:paraId="73BCC54A" w14:textId="77777777" w:rsidTr="005F5EE6">
        <w:trPr>
          <w:trHeight w:val="288"/>
        </w:trPr>
        <w:tc>
          <w:tcPr>
            <w:tcW w:w="3020" w:type="dxa"/>
            <w:tcBorders>
              <w:top w:val="single" w:sz="4" w:space="0" w:color="auto"/>
              <w:left w:val="single" w:sz="4" w:space="0" w:color="auto"/>
              <w:bottom w:val="single" w:sz="4" w:space="0" w:color="auto"/>
              <w:right w:val="nil"/>
            </w:tcBorders>
            <w:shd w:val="clear" w:color="auto" w:fill="auto"/>
            <w:noWrap/>
            <w:vAlign w:val="bottom"/>
            <w:hideMark/>
          </w:tcPr>
          <w:p w14:paraId="2D2B4CF5"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Total Capital</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341709"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2.339</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14:paraId="7664B1C5"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(2.339)</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14:paraId="1004DC5D"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0.000</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14:paraId="258690C3"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0.000</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14:paraId="366C4C6D"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0.000</w:t>
            </w:r>
          </w:p>
        </w:tc>
      </w:tr>
      <w:tr w:rsidR="005F5EE6" w:rsidRPr="005F5EE6" w14:paraId="267573CB" w14:textId="77777777" w:rsidTr="005F5EE6">
        <w:trPr>
          <w:trHeight w:val="300"/>
        </w:trPr>
        <w:tc>
          <w:tcPr>
            <w:tcW w:w="3020" w:type="dxa"/>
            <w:tcBorders>
              <w:top w:val="nil"/>
              <w:left w:val="single" w:sz="4" w:space="0" w:color="auto"/>
              <w:bottom w:val="single" w:sz="4" w:space="0" w:color="auto"/>
              <w:right w:val="nil"/>
            </w:tcBorders>
            <w:shd w:val="clear" w:color="auto" w:fill="auto"/>
            <w:noWrap/>
            <w:vAlign w:val="bottom"/>
            <w:hideMark/>
          </w:tcPr>
          <w:p w14:paraId="2BE9A3F7"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 </w:t>
            </w:r>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3D440CC7"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 </w:t>
            </w:r>
          </w:p>
        </w:tc>
        <w:tc>
          <w:tcPr>
            <w:tcW w:w="1460" w:type="dxa"/>
            <w:tcBorders>
              <w:top w:val="nil"/>
              <w:left w:val="nil"/>
              <w:bottom w:val="single" w:sz="4" w:space="0" w:color="auto"/>
              <w:right w:val="single" w:sz="4" w:space="0" w:color="auto"/>
            </w:tcBorders>
            <w:shd w:val="clear" w:color="auto" w:fill="auto"/>
            <w:noWrap/>
            <w:vAlign w:val="bottom"/>
            <w:hideMark/>
          </w:tcPr>
          <w:p w14:paraId="76AB0428"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 </w:t>
            </w:r>
          </w:p>
        </w:tc>
        <w:tc>
          <w:tcPr>
            <w:tcW w:w="1460" w:type="dxa"/>
            <w:tcBorders>
              <w:top w:val="nil"/>
              <w:left w:val="nil"/>
              <w:bottom w:val="single" w:sz="4" w:space="0" w:color="auto"/>
              <w:right w:val="single" w:sz="4" w:space="0" w:color="auto"/>
            </w:tcBorders>
            <w:shd w:val="clear" w:color="auto" w:fill="auto"/>
            <w:noWrap/>
            <w:vAlign w:val="bottom"/>
            <w:hideMark/>
          </w:tcPr>
          <w:p w14:paraId="19CB78E1"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 </w:t>
            </w:r>
          </w:p>
        </w:tc>
        <w:tc>
          <w:tcPr>
            <w:tcW w:w="1460" w:type="dxa"/>
            <w:tcBorders>
              <w:top w:val="nil"/>
              <w:left w:val="nil"/>
              <w:bottom w:val="single" w:sz="4" w:space="0" w:color="auto"/>
              <w:right w:val="single" w:sz="4" w:space="0" w:color="auto"/>
            </w:tcBorders>
            <w:shd w:val="clear" w:color="auto" w:fill="auto"/>
            <w:noWrap/>
            <w:vAlign w:val="bottom"/>
            <w:hideMark/>
          </w:tcPr>
          <w:p w14:paraId="2DE91D71"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 </w:t>
            </w:r>
          </w:p>
        </w:tc>
        <w:tc>
          <w:tcPr>
            <w:tcW w:w="1460" w:type="dxa"/>
            <w:tcBorders>
              <w:top w:val="nil"/>
              <w:left w:val="nil"/>
              <w:bottom w:val="single" w:sz="4" w:space="0" w:color="auto"/>
              <w:right w:val="single" w:sz="4" w:space="0" w:color="auto"/>
            </w:tcBorders>
            <w:shd w:val="clear" w:color="auto" w:fill="auto"/>
            <w:noWrap/>
            <w:vAlign w:val="bottom"/>
            <w:hideMark/>
          </w:tcPr>
          <w:p w14:paraId="631B3963"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 </w:t>
            </w:r>
          </w:p>
        </w:tc>
      </w:tr>
      <w:tr w:rsidR="005F5EE6" w:rsidRPr="005F5EE6" w14:paraId="39704B2D" w14:textId="77777777" w:rsidTr="005F5EE6">
        <w:trPr>
          <w:trHeight w:val="288"/>
        </w:trPr>
        <w:tc>
          <w:tcPr>
            <w:tcW w:w="3020" w:type="dxa"/>
            <w:tcBorders>
              <w:top w:val="nil"/>
              <w:left w:val="single" w:sz="4" w:space="0" w:color="auto"/>
              <w:bottom w:val="single" w:sz="4" w:space="0" w:color="auto"/>
              <w:right w:val="nil"/>
            </w:tcBorders>
            <w:shd w:val="clear" w:color="auto" w:fill="auto"/>
            <w:noWrap/>
            <w:vAlign w:val="bottom"/>
            <w:hideMark/>
          </w:tcPr>
          <w:p w14:paraId="02E7EAA6" w14:textId="77777777" w:rsidR="005F5EE6" w:rsidRPr="005F5EE6" w:rsidRDefault="005F5EE6" w:rsidP="005F5EE6">
            <w:pPr>
              <w:spacing w:line="240" w:lineRule="auto"/>
              <w:rPr>
                <w:rFonts w:eastAsia="Times New Roman" w:cs="Calibri"/>
                <w:b/>
                <w:bCs/>
                <w:color w:val="000000"/>
                <w:lang w:eastAsia="en-GB"/>
              </w:rPr>
            </w:pPr>
            <w:r w:rsidRPr="005F5EE6">
              <w:rPr>
                <w:rFonts w:eastAsia="Times New Roman" w:cs="Calibri"/>
                <w:b/>
                <w:bCs/>
                <w:color w:val="000000"/>
                <w:lang w:eastAsia="en-GB"/>
              </w:rPr>
              <w:t>Total Reserves</w:t>
            </w:r>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162182C0"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5.321</w:t>
            </w:r>
          </w:p>
        </w:tc>
        <w:tc>
          <w:tcPr>
            <w:tcW w:w="1460" w:type="dxa"/>
            <w:tcBorders>
              <w:top w:val="nil"/>
              <w:left w:val="nil"/>
              <w:bottom w:val="single" w:sz="4" w:space="0" w:color="auto"/>
              <w:right w:val="single" w:sz="4" w:space="0" w:color="auto"/>
            </w:tcBorders>
            <w:shd w:val="clear" w:color="auto" w:fill="auto"/>
            <w:noWrap/>
            <w:vAlign w:val="bottom"/>
            <w:hideMark/>
          </w:tcPr>
          <w:p w14:paraId="1EA1CC2E"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(1.701)</w:t>
            </w:r>
          </w:p>
        </w:tc>
        <w:tc>
          <w:tcPr>
            <w:tcW w:w="1460" w:type="dxa"/>
            <w:tcBorders>
              <w:top w:val="nil"/>
              <w:left w:val="nil"/>
              <w:bottom w:val="single" w:sz="4" w:space="0" w:color="auto"/>
              <w:right w:val="single" w:sz="4" w:space="0" w:color="auto"/>
            </w:tcBorders>
            <w:shd w:val="clear" w:color="auto" w:fill="auto"/>
            <w:noWrap/>
            <w:vAlign w:val="bottom"/>
            <w:hideMark/>
          </w:tcPr>
          <w:p w14:paraId="4022D5AE"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3.800</w:t>
            </w:r>
          </w:p>
        </w:tc>
        <w:tc>
          <w:tcPr>
            <w:tcW w:w="1460" w:type="dxa"/>
            <w:tcBorders>
              <w:top w:val="nil"/>
              <w:left w:val="nil"/>
              <w:bottom w:val="single" w:sz="4" w:space="0" w:color="auto"/>
              <w:right w:val="single" w:sz="4" w:space="0" w:color="auto"/>
            </w:tcBorders>
            <w:shd w:val="clear" w:color="auto" w:fill="auto"/>
            <w:noWrap/>
            <w:vAlign w:val="bottom"/>
            <w:hideMark/>
          </w:tcPr>
          <w:p w14:paraId="136C4D4E"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(0.667)</w:t>
            </w:r>
          </w:p>
        </w:tc>
        <w:tc>
          <w:tcPr>
            <w:tcW w:w="1460" w:type="dxa"/>
            <w:tcBorders>
              <w:top w:val="nil"/>
              <w:left w:val="nil"/>
              <w:bottom w:val="single" w:sz="4" w:space="0" w:color="auto"/>
              <w:right w:val="single" w:sz="4" w:space="0" w:color="auto"/>
            </w:tcBorders>
            <w:shd w:val="clear" w:color="auto" w:fill="auto"/>
            <w:noWrap/>
            <w:vAlign w:val="bottom"/>
            <w:hideMark/>
          </w:tcPr>
          <w:p w14:paraId="3CDE5BB0" w14:textId="77777777" w:rsidR="005F5EE6" w:rsidRPr="005F5EE6" w:rsidRDefault="005F5EE6" w:rsidP="005F5EE6">
            <w:pPr>
              <w:spacing w:line="240" w:lineRule="auto"/>
              <w:jc w:val="right"/>
              <w:rPr>
                <w:rFonts w:eastAsia="Times New Roman" w:cs="Calibri"/>
                <w:b/>
                <w:bCs/>
                <w:color w:val="000000"/>
                <w:lang w:eastAsia="en-GB"/>
              </w:rPr>
            </w:pPr>
            <w:r w:rsidRPr="005F5EE6">
              <w:rPr>
                <w:rFonts w:eastAsia="Times New Roman" w:cs="Calibri"/>
                <w:b/>
                <w:bCs/>
                <w:color w:val="000000"/>
                <w:lang w:eastAsia="en-GB"/>
              </w:rPr>
              <w:t>3.133</w:t>
            </w:r>
          </w:p>
        </w:tc>
      </w:tr>
    </w:tbl>
    <w:p w14:paraId="1E9C67A4" w14:textId="77777777" w:rsidR="00DE422B" w:rsidRPr="00FA4C3E" w:rsidRDefault="00DE422B" w:rsidP="00DE422B">
      <w:pPr>
        <w:spacing w:line="240" w:lineRule="auto"/>
        <w:jc w:val="both"/>
        <w:rPr>
          <w:rFonts w:ascii="Arial" w:eastAsia="Times New Roman" w:hAnsi="Arial" w:cs="Arial"/>
          <w:bCs/>
        </w:rPr>
      </w:pPr>
    </w:p>
    <w:p w14:paraId="7140BB31" w14:textId="77777777" w:rsidR="00DE422B" w:rsidRPr="00F438EF" w:rsidRDefault="00DE422B" w:rsidP="00DE422B">
      <w:pPr>
        <w:spacing w:line="240" w:lineRule="auto"/>
        <w:jc w:val="both"/>
        <w:rPr>
          <w:rFonts w:asciiTheme="minorHAnsi" w:eastAsia="Times New Roman" w:hAnsiTheme="minorHAnsi" w:cstheme="minorHAnsi"/>
          <w:bCs/>
          <w:i/>
          <w:iCs/>
        </w:rPr>
      </w:pPr>
      <w:r w:rsidRPr="00F438EF">
        <w:rPr>
          <w:rFonts w:asciiTheme="minorHAnsi" w:eastAsia="Times New Roman" w:hAnsiTheme="minorHAnsi" w:cstheme="minorHAnsi"/>
          <w:bCs/>
          <w:i/>
          <w:iCs/>
        </w:rPr>
        <w:t>Note: numbers may not sum due to rounding</w:t>
      </w:r>
    </w:p>
    <w:p w14:paraId="707A0D3D" w14:textId="77777777" w:rsidR="00186442" w:rsidRPr="00FA4C3E" w:rsidRDefault="00186442" w:rsidP="00483217">
      <w:pPr>
        <w:spacing w:line="240" w:lineRule="auto"/>
        <w:jc w:val="both"/>
        <w:rPr>
          <w:rFonts w:ascii="Arial" w:eastAsia="Times New Roman" w:hAnsi="Arial" w:cs="Arial"/>
          <w:bCs/>
          <w:i/>
          <w:iCs/>
        </w:rPr>
      </w:pPr>
    </w:p>
    <w:p w14:paraId="617AACF5" w14:textId="77777777" w:rsidR="00483217" w:rsidRPr="00FA4C3E" w:rsidRDefault="00483217" w:rsidP="00483217">
      <w:pPr>
        <w:pStyle w:val="ReservesHeading"/>
      </w:pPr>
      <w:r w:rsidRPr="00FA4C3E">
        <w:t>General Reserve</w:t>
      </w:r>
    </w:p>
    <w:p w14:paraId="39CA5024" w14:textId="259D7678" w:rsidR="00483217" w:rsidRPr="00FA4C3E" w:rsidRDefault="00483217" w:rsidP="00483217">
      <w:pPr>
        <w:pStyle w:val="ReservesBody"/>
      </w:pPr>
      <w:proofErr w:type="gramStart"/>
      <w:r w:rsidRPr="00FA4C3E">
        <w:t>In order to</w:t>
      </w:r>
      <w:proofErr w:type="gramEnd"/>
      <w:r w:rsidRPr="00FA4C3E">
        <w:t xml:space="preserve"> assess the adequacy of the unallocated general reserve when setting the budget, the PFCC, on the advice of the Chief Finance Officer, should take account of the strategic, operational and financial risks facing the authority.  This assessment of risk should include external risks, as well as internal risks, for example the ability to deliver planned efficiency savings. </w:t>
      </w:r>
    </w:p>
    <w:p w14:paraId="21715151" w14:textId="77777777" w:rsidR="00483217" w:rsidRPr="00FA4C3E" w:rsidRDefault="00483217" w:rsidP="00483217">
      <w:pPr>
        <w:pStyle w:val="ReservesBody"/>
      </w:pPr>
      <w:r w:rsidRPr="00FA4C3E">
        <w:t>Whilst there is no prescribed level of reserves that PFCCs should hold; it is influenced by individual discretion, local circumstances, advice from external auditors, risk management arrangements and risk appetite.  CIPFA guidance specifically cautions against prescriptive national guidance for a minimum or maximum level of reserves and states:</w:t>
      </w:r>
    </w:p>
    <w:p w14:paraId="13495AE8" w14:textId="77777777" w:rsidR="00483217" w:rsidRPr="00FA4C3E" w:rsidRDefault="00483217" w:rsidP="00483217">
      <w:pPr>
        <w:pStyle w:val="ReservesBody"/>
        <w:numPr>
          <w:ilvl w:val="0"/>
          <w:numId w:val="0"/>
        </w:numPr>
        <w:ind w:left="567"/>
        <w:rPr>
          <w:i/>
          <w:iCs/>
        </w:rPr>
      </w:pPr>
      <w:r w:rsidRPr="00FA4C3E">
        <w:rPr>
          <w:i/>
          <w:iCs/>
        </w:rPr>
        <w:t xml:space="preserve">“The many factors involved when considering appropriate levels of reserves can only be assessed properly at a local level. A considerable degree of professional judgement is required. The chief finance officer may choose to express advice on the level of balances in cash and/or </w:t>
      </w:r>
      <w:r w:rsidRPr="00FA4C3E">
        <w:rPr>
          <w:i/>
          <w:iCs/>
        </w:rPr>
        <w:lastRenderedPageBreak/>
        <w:t xml:space="preserve">as a percentage of budget (to aid understanding) so long as that advice is tailored to the circumstances of the authority.” </w:t>
      </w:r>
    </w:p>
    <w:p w14:paraId="00313EE4" w14:textId="77777777" w:rsidR="00483217" w:rsidRPr="00FA4C3E" w:rsidRDefault="00483217" w:rsidP="00483217">
      <w:pPr>
        <w:pStyle w:val="ReservesBody"/>
        <w:rPr>
          <w:i/>
        </w:rPr>
      </w:pPr>
      <w:r w:rsidRPr="00FA4C3E">
        <w:t>However, the minimum level of reserves may be set for the authority by the Ministers in England and Wales where an authority does not act prudently, disregards the advice of its chief finance officer or is heading for financial difficulties.</w:t>
      </w:r>
    </w:p>
    <w:p w14:paraId="2FDF7FD4" w14:textId="710B0DE2" w:rsidR="00F115BD" w:rsidRPr="00FA4C3E" w:rsidRDefault="00483217" w:rsidP="00483217">
      <w:pPr>
        <w:pStyle w:val="ReservesBody"/>
      </w:pPr>
      <w:r w:rsidRPr="00FA4C3E">
        <w:t xml:space="preserve">CIPFA indicate a minimum general reserve level is typically between 2% and 3% of net budget requirement. </w:t>
      </w:r>
    </w:p>
    <w:p w14:paraId="37785CEF" w14:textId="1CF60AE2" w:rsidR="00F115BD" w:rsidRPr="00FA4C3E" w:rsidRDefault="00D425FF" w:rsidP="00C644FE">
      <w:pPr>
        <w:pStyle w:val="ReservesBody"/>
      </w:pPr>
      <w:r w:rsidRPr="00FA4C3E">
        <w:t>D</w:t>
      </w:r>
      <w:r w:rsidR="00F115BD" w:rsidRPr="00FA4C3E">
        <w:t xml:space="preserve">espite progress in building </w:t>
      </w:r>
      <w:r w:rsidR="0081263C" w:rsidRPr="00FA4C3E">
        <w:t>reserve</w:t>
      </w:r>
      <w:r w:rsidR="00F115BD" w:rsidRPr="00FA4C3E">
        <w:t xml:space="preserve">s, NCFRA </w:t>
      </w:r>
      <w:r w:rsidR="00A2316A" w:rsidRPr="00FA4C3E">
        <w:t>still</w:t>
      </w:r>
      <w:r w:rsidR="00F115BD" w:rsidRPr="00FA4C3E">
        <w:t xml:space="preserve"> ha</w:t>
      </w:r>
      <w:r w:rsidR="00A2316A" w:rsidRPr="00FA4C3E">
        <w:t>s one of</w:t>
      </w:r>
      <w:r w:rsidR="00F115BD" w:rsidRPr="00FA4C3E">
        <w:t xml:space="preserve"> the lowest level of </w:t>
      </w:r>
      <w:r w:rsidR="0081263C" w:rsidRPr="00FA4C3E">
        <w:t>reserve</w:t>
      </w:r>
      <w:r w:rsidR="00F115BD" w:rsidRPr="00FA4C3E">
        <w:t xml:space="preserve">s per core spending power across all Fire and Rescue Authorities in England and Wales. </w:t>
      </w:r>
    </w:p>
    <w:p w14:paraId="5B4A729B" w14:textId="5B0946D3" w:rsidR="00C644FE" w:rsidRPr="00FA4C3E" w:rsidRDefault="00C644FE" w:rsidP="00C644FE">
      <w:pPr>
        <w:pStyle w:val="ReservesBody"/>
      </w:pPr>
      <w:r w:rsidRPr="00FA4C3E">
        <w:t xml:space="preserve">The PFCC has considered </w:t>
      </w:r>
      <w:r w:rsidR="00A2316A" w:rsidRPr="00FA4C3E">
        <w:t>the</w:t>
      </w:r>
      <w:r w:rsidRPr="00FA4C3E">
        <w:t xml:space="preserve"> reserves strategy and wishes to hold a sufficient but not excessive level of reserves.  In determining this position, Annexe 1 outlines how the PFCC complies with the 7 key CIPFA principles which can be used to assess the adequacy of reserves.</w:t>
      </w:r>
    </w:p>
    <w:p w14:paraId="37461318" w14:textId="2A02BB37" w:rsidR="00F115BD" w:rsidRPr="00FA4C3E" w:rsidRDefault="00F115BD" w:rsidP="00C644FE">
      <w:pPr>
        <w:pStyle w:val="ReservesBody"/>
      </w:pPr>
      <w:r w:rsidRPr="00FA4C3E">
        <w:t>NCFRA have also considered the following factors:</w:t>
      </w:r>
    </w:p>
    <w:p w14:paraId="165742DB" w14:textId="282824F4" w:rsidR="00F115BD" w:rsidRPr="00FA4C3E" w:rsidRDefault="00F115BD" w:rsidP="00C644FE">
      <w:pPr>
        <w:pStyle w:val="Reservesbullet"/>
      </w:pPr>
      <w:r w:rsidRPr="00FA4C3E">
        <w:t xml:space="preserve">NCFRA are required to meet </w:t>
      </w:r>
      <w:r w:rsidR="00FB714A" w:rsidRPr="00FA4C3E">
        <w:t>costs up to a certain threshold for any claims for extraordinary funding to cover large-scale unplanned events.</w:t>
      </w:r>
    </w:p>
    <w:p w14:paraId="2163C5F5" w14:textId="59193051" w:rsidR="00F115BD" w:rsidRPr="00FA4C3E" w:rsidRDefault="00F115BD" w:rsidP="00C644FE">
      <w:pPr>
        <w:pStyle w:val="Reservesbullet"/>
      </w:pPr>
      <w:r w:rsidRPr="00FA4C3E">
        <w:t xml:space="preserve">NCFRA was established without the transfer of any </w:t>
      </w:r>
      <w:r w:rsidR="0081263C" w:rsidRPr="00FA4C3E">
        <w:t>reserve</w:t>
      </w:r>
      <w:r w:rsidRPr="00FA4C3E">
        <w:t>s.</w:t>
      </w:r>
    </w:p>
    <w:p w14:paraId="0F20F24E" w14:textId="7F1DBA74" w:rsidR="00F115BD" w:rsidRPr="00FA4C3E" w:rsidRDefault="00F115BD" w:rsidP="00C644FE">
      <w:pPr>
        <w:pStyle w:val="Reservesbullet"/>
      </w:pPr>
      <w:r w:rsidRPr="00FA4C3E">
        <w:t xml:space="preserve">Local funding accounts for some </w:t>
      </w:r>
      <w:r w:rsidR="00711974" w:rsidRPr="00FA4C3E">
        <w:t>80</w:t>
      </w:r>
      <w:r w:rsidRPr="00FA4C3E">
        <w:t xml:space="preserve">% of NCFRA’s funding streams, </w:t>
      </w:r>
      <w:r w:rsidR="009D76F4" w:rsidRPr="00FA4C3E">
        <w:t xml:space="preserve">which can </w:t>
      </w:r>
      <w:r w:rsidR="00A14F12" w:rsidRPr="00FA4C3E">
        <w:t>be affected</w:t>
      </w:r>
      <w:r w:rsidRPr="00FA4C3E">
        <w:t xml:space="preserve"> by local taxpayers and business’ ability to pay and </w:t>
      </w:r>
      <w:r w:rsidR="00FB714A" w:rsidRPr="00FA4C3E">
        <w:t>are</w:t>
      </w:r>
      <w:r w:rsidRPr="00FA4C3E">
        <w:t xml:space="preserve"> subject to volatility.</w:t>
      </w:r>
    </w:p>
    <w:p w14:paraId="7F1B66CC" w14:textId="05554CBA" w:rsidR="00A2316A" w:rsidRPr="00FA4C3E" w:rsidRDefault="00A2316A" w:rsidP="00A2316A">
      <w:pPr>
        <w:pStyle w:val="Reservesbullet"/>
      </w:pPr>
      <w:r w:rsidRPr="00FA4C3E">
        <w:t>The general reserve also holds the financial risk of any potential industrial action requirements should they arise.</w:t>
      </w:r>
    </w:p>
    <w:p w14:paraId="52EE99FC" w14:textId="310394C6" w:rsidR="00F115BD" w:rsidRPr="00FA4C3E" w:rsidRDefault="00F115BD" w:rsidP="00C644FE">
      <w:pPr>
        <w:pStyle w:val="ReservesBody"/>
      </w:pPr>
      <w:r w:rsidRPr="00FA4C3E">
        <w:t xml:space="preserve">Given the above, it remains prudent to hold </w:t>
      </w:r>
      <w:r w:rsidR="0081263C" w:rsidRPr="00FA4C3E">
        <w:t>reserve</w:t>
      </w:r>
      <w:r w:rsidRPr="00FA4C3E">
        <w:t>s at a reasonable level to provide a realistic and comfortable buffer to meet any eventualities, and to mitigate against any unplanned in-year changes being required.</w:t>
      </w:r>
      <w:r w:rsidR="00C644FE" w:rsidRPr="00FA4C3E">
        <w:t xml:space="preserve"> </w:t>
      </w:r>
      <w:r w:rsidRPr="00FA4C3E">
        <w:t xml:space="preserve"> </w:t>
      </w:r>
    </w:p>
    <w:p w14:paraId="1B331522" w14:textId="2F0D35AA" w:rsidR="0016619A" w:rsidRPr="00FA4C3E" w:rsidRDefault="00F115BD" w:rsidP="00D54977">
      <w:pPr>
        <w:pStyle w:val="ReservesBody"/>
      </w:pPr>
      <w:bookmarkStart w:id="0" w:name="_Hlk62119739"/>
      <w:r w:rsidRPr="00FA4C3E">
        <w:t xml:space="preserve">The Chief Finance Officer advises that it would be prudent to maintain a sustainable and resilient level of </w:t>
      </w:r>
      <w:r w:rsidR="0081263C" w:rsidRPr="00FA4C3E">
        <w:t>general reserve</w:t>
      </w:r>
      <w:r w:rsidRPr="00FA4C3E">
        <w:t xml:space="preserve">s at £2.0m or 5% </w:t>
      </w:r>
      <w:r w:rsidR="00A2316A" w:rsidRPr="00FA4C3E">
        <w:t xml:space="preserve">of revenue budget </w:t>
      </w:r>
      <w:r w:rsidRPr="00FA4C3E">
        <w:t>(whichever is the higher).</w:t>
      </w:r>
    </w:p>
    <w:bookmarkEnd w:id="0"/>
    <w:p w14:paraId="3DB79A74" w14:textId="1B65DE9A" w:rsidR="0016619A" w:rsidRPr="00FA4C3E" w:rsidRDefault="00C644FE" w:rsidP="0016619A">
      <w:pPr>
        <w:pStyle w:val="ReservesBody"/>
      </w:pPr>
      <w:r w:rsidRPr="00FA4C3E">
        <w:t>At present, there are no plans to use the general reserve during the period of the MTFP</w:t>
      </w:r>
      <w:r w:rsidR="00A2316A" w:rsidRPr="00FA4C3E">
        <w:t xml:space="preserve"> or longer term</w:t>
      </w:r>
      <w:r w:rsidRPr="00FA4C3E">
        <w:t xml:space="preserve">.  </w:t>
      </w:r>
      <w:r w:rsidR="00524C96" w:rsidRPr="00FA4C3E">
        <w:t>An annual revenue budget contribution of £</w:t>
      </w:r>
      <w:r w:rsidR="005F5EE6" w:rsidRPr="00FA4C3E">
        <w:t>60</w:t>
      </w:r>
      <w:r w:rsidR="00524C96" w:rsidRPr="00FA4C3E">
        <w:t>k has been included across the MTFP to ensure funds are</w:t>
      </w:r>
      <w:r w:rsidR="00F115BD" w:rsidRPr="00FA4C3E">
        <w:t xml:space="preserve"> above 5% </w:t>
      </w:r>
      <w:r w:rsidRPr="00FA4C3E">
        <w:t xml:space="preserve">of revenue </w:t>
      </w:r>
      <w:r w:rsidR="00524C96" w:rsidRPr="00FA4C3E">
        <w:t>expenditure</w:t>
      </w:r>
      <w:r w:rsidRPr="00FA4C3E">
        <w:t xml:space="preserve"> in each year </w:t>
      </w:r>
      <w:r w:rsidR="00F115BD" w:rsidRPr="00FA4C3E">
        <w:t>as follows:</w:t>
      </w:r>
    </w:p>
    <w:tbl>
      <w:tblPr>
        <w:tblW w:w="4380" w:type="dxa"/>
        <w:tblInd w:w="562" w:type="dxa"/>
        <w:tblLook w:val="04A0" w:firstRow="1" w:lastRow="0" w:firstColumn="1" w:lastColumn="0" w:noHBand="0" w:noVBand="1"/>
      </w:tblPr>
      <w:tblGrid>
        <w:gridCol w:w="1460"/>
        <w:gridCol w:w="1460"/>
        <w:gridCol w:w="1460"/>
      </w:tblGrid>
      <w:tr w:rsidR="00711974" w:rsidRPr="00FA4C3E" w14:paraId="66AD1681" w14:textId="77777777" w:rsidTr="00711974">
        <w:trPr>
          <w:trHeight w:val="288"/>
        </w:trPr>
        <w:tc>
          <w:tcPr>
            <w:tcW w:w="1460" w:type="dxa"/>
            <w:tcBorders>
              <w:top w:val="single" w:sz="4" w:space="0" w:color="auto"/>
              <w:left w:val="single" w:sz="4" w:space="0" w:color="auto"/>
              <w:bottom w:val="nil"/>
              <w:right w:val="single" w:sz="4" w:space="0" w:color="auto"/>
            </w:tcBorders>
            <w:shd w:val="clear" w:color="000000" w:fill="C00000"/>
            <w:vAlign w:val="center"/>
            <w:hideMark/>
          </w:tcPr>
          <w:p w14:paraId="095660C6" w14:textId="77777777" w:rsidR="00711974" w:rsidRPr="00FA4C3E" w:rsidRDefault="00711974" w:rsidP="00711974">
            <w:pPr>
              <w:spacing w:line="240" w:lineRule="auto"/>
              <w:jc w:val="center"/>
              <w:rPr>
                <w:rFonts w:eastAsia="Times New Roman" w:cs="Calibri"/>
                <w:b/>
                <w:bCs/>
                <w:color w:val="FFFFFF"/>
                <w:sz w:val="20"/>
                <w:szCs w:val="20"/>
                <w:lang w:eastAsia="en-GB"/>
              </w:rPr>
            </w:pPr>
            <w:r w:rsidRPr="00FA4C3E">
              <w:rPr>
                <w:rFonts w:eastAsia="Times New Roman" w:cs="Calibri"/>
                <w:b/>
                <w:bCs/>
                <w:color w:val="FFFFFF"/>
                <w:sz w:val="20"/>
                <w:szCs w:val="20"/>
                <w:lang w:eastAsia="en-GB"/>
              </w:rPr>
              <w:t>Year</w:t>
            </w:r>
          </w:p>
        </w:tc>
        <w:tc>
          <w:tcPr>
            <w:tcW w:w="1460" w:type="dxa"/>
            <w:tcBorders>
              <w:top w:val="single" w:sz="4" w:space="0" w:color="auto"/>
              <w:left w:val="nil"/>
              <w:bottom w:val="nil"/>
              <w:right w:val="single" w:sz="4" w:space="0" w:color="auto"/>
            </w:tcBorders>
            <w:shd w:val="clear" w:color="000000" w:fill="C00000"/>
            <w:vAlign w:val="center"/>
            <w:hideMark/>
          </w:tcPr>
          <w:p w14:paraId="51CB4C71" w14:textId="77777777" w:rsidR="00711974" w:rsidRPr="00FA4C3E" w:rsidRDefault="00711974" w:rsidP="00711974">
            <w:pPr>
              <w:spacing w:line="240" w:lineRule="auto"/>
              <w:jc w:val="center"/>
              <w:rPr>
                <w:rFonts w:eastAsia="Times New Roman" w:cs="Calibri"/>
                <w:b/>
                <w:bCs/>
                <w:color w:val="FFFFFF"/>
                <w:sz w:val="20"/>
                <w:szCs w:val="20"/>
                <w:lang w:eastAsia="en-GB"/>
              </w:rPr>
            </w:pPr>
            <w:r w:rsidRPr="00FA4C3E">
              <w:rPr>
                <w:rFonts w:eastAsia="Times New Roman" w:cs="Calibri"/>
                <w:b/>
                <w:bCs/>
                <w:color w:val="FFFFFF"/>
                <w:sz w:val="20"/>
                <w:szCs w:val="20"/>
                <w:lang w:eastAsia="en-GB"/>
              </w:rPr>
              <w:t>£m</w:t>
            </w:r>
          </w:p>
        </w:tc>
        <w:tc>
          <w:tcPr>
            <w:tcW w:w="1460" w:type="dxa"/>
            <w:tcBorders>
              <w:top w:val="single" w:sz="4" w:space="0" w:color="auto"/>
              <w:left w:val="nil"/>
              <w:bottom w:val="nil"/>
              <w:right w:val="single" w:sz="4" w:space="0" w:color="auto"/>
            </w:tcBorders>
            <w:shd w:val="clear" w:color="000000" w:fill="C00000"/>
            <w:vAlign w:val="center"/>
            <w:hideMark/>
          </w:tcPr>
          <w:p w14:paraId="7F4073F2" w14:textId="77777777" w:rsidR="00711974" w:rsidRPr="00FA4C3E" w:rsidRDefault="00711974" w:rsidP="00711974">
            <w:pPr>
              <w:spacing w:line="240" w:lineRule="auto"/>
              <w:jc w:val="center"/>
              <w:rPr>
                <w:rFonts w:eastAsia="Times New Roman" w:cs="Calibri"/>
                <w:b/>
                <w:bCs/>
                <w:color w:val="FFFFFF"/>
                <w:sz w:val="20"/>
                <w:szCs w:val="20"/>
                <w:lang w:eastAsia="en-GB"/>
              </w:rPr>
            </w:pPr>
            <w:r w:rsidRPr="00FA4C3E">
              <w:rPr>
                <w:rFonts w:eastAsia="Times New Roman" w:cs="Calibri"/>
                <w:b/>
                <w:bCs/>
                <w:color w:val="FFFFFF"/>
                <w:sz w:val="20"/>
                <w:szCs w:val="20"/>
                <w:lang w:eastAsia="en-GB"/>
              </w:rPr>
              <w:t>% of Budget</w:t>
            </w:r>
          </w:p>
        </w:tc>
      </w:tr>
      <w:tr w:rsidR="00711974" w:rsidRPr="00FA4C3E" w14:paraId="489FA47B" w14:textId="77777777" w:rsidTr="00711974">
        <w:trPr>
          <w:trHeight w:val="288"/>
        </w:trPr>
        <w:tc>
          <w:tcPr>
            <w:tcW w:w="1460" w:type="dxa"/>
            <w:tcBorders>
              <w:top w:val="nil"/>
              <w:left w:val="single" w:sz="4" w:space="0" w:color="auto"/>
              <w:bottom w:val="nil"/>
              <w:right w:val="nil"/>
            </w:tcBorders>
            <w:shd w:val="clear" w:color="auto" w:fill="auto"/>
            <w:noWrap/>
            <w:vAlign w:val="bottom"/>
            <w:hideMark/>
          </w:tcPr>
          <w:p w14:paraId="19453BFE" w14:textId="77777777" w:rsidR="00711974" w:rsidRPr="00FA4C3E" w:rsidRDefault="00711974" w:rsidP="00711974">
            <w:pPr>
              <w:spacing w:line="240" w:lineRule="auto"/>
              <w:jc w:val="center"/>
              <w:rPr>
                <w:rFonts w:eastAsia="Times New Roman" w:cs="Calibri"/>
                <w:color w:val="000000"/>
                <w:lang w:eastAsia="en-GB"/>
              </w:rPr>
            </w:pPr>
            <w:r w:rsidRPr="00FA4C3E">
              <w:rPr>
                <w:rFonts w:eastAsia="Times New Roman" w:cs="Calibri"/>
                <w:color w:val="000000"/>
                <w:lang w:eastAsia="en-GB"/>
              </w:rPr>
              <w:t>2026/27</w:t>
            </w:r>
          </w:p>
        </w:tc>
        <w:tc>
          <w:tcPr>
            <w:tcW w:w="1460" w:type="dxa"/>
            <w:tcBorders>
              <w:top w:val="nil"/>
              <w:left w:val="single" w:sz="4" w:space="0" w:color="auto"/>
              <w:bottom w:val="nil"/>
              <w:right w:val="single" w:sz="4" w:space="0" w:color="auto"/>
            </w:tcBorders>
            <w:shd w:val="clear" w:color="auto" w:fill="auto"/>
            <w:noWrap/>
            <w:vAlign w:val="bottom"/>
            <w:hideMark/>
          </w:tcPr>
          <w:p w14:paraId="101B2CAF" w14:textId="77777777" w:rsidR="00711974" w:rsidRPr="00FA4C3E" w:rsidRDefault="00711974" w:rsidP="00711974">
            <w:pPr>
              <w:spacing w:line="240" w:lineRule="auto"/>
              <w:jc w:val="center"/>
              <w:rPr>
                <w:rFonts w:eastAsia="Times New Roman" w:cs="Calibri"/>
                <w:b/>
                <w:bCs/>
                <w:color w:val="000000"/>
                <w:lang w:eastAsia="en-GB"/>
              </w:rPr>
            </w:pPr>
            <w:r w:rsidRPr="00FA4C3E">
              <w:rPr>
                <w:rFonts w:eastAsia="Times New Roman" w:cs="Calibri"/>
                <w:b/>
                <w:bCs/>
                <w:color w:val="000000"/>
                <w:lang w:eastAsia="en-GB"/>
              </w:rPr>
              <w:t>2.000</w:t>
            </w:r>
          </w:p>
        </w:tc>
        <w:tc>
          <w:tcPr>
            <w:tcW w:w="1460" w:type="dxa"/>
            <w:tcBorders>
              <w:top w:val="nil"/>
              <w:left w:val="nil"/>
              <w:bottom w:val="nil"/>
              <w:right w:val="single" w:sz="4" w:space="0" w:color="auto"/>
            </w:tcBorders>
            <w:shd w:val="clear" w:color="auto" w:fill="auto"/>
            <w:noWrap/>
            <w:vAlign w:val="bottom"/>
            <w:hideMark/>
          </w:tcPr>
          <w:p w14:paraId="7D8DEBE5" w14:textId="77777777" w:rsidR="00711974" w:rsidRPr="00FA4C3E" w:rsidRDefault="00711974" w:rsidP="00711974">
            <w:pPr>
              <w:spacing w:line="240" w:lineRule="auto"/>
              <w:jc w:val="center"/>
              <w:rPr>
                <w:rFonts w:eastAsia="Times New Roman" w:cs="Calibri"/>
                <w:color w:val="000000"/>
                <w:lang w:eastAsia="en-GB"/>
              </w:rPr>
            </w:pPr>
            <w:r w:rsidRPr="00FA4C3E">
              <w:rPr>
                <w:rFonts w:eastAsia="Times New Roman" w:cs="Calibri"/>
                <w:color w:val="000000"/>
                <w:lang w:eastAsia="en-GB"/>
              </w:rPr>
              <w:t>5.2%</w:t>
            </w:r>
          </w:p>
        </w:tc>
      </w:tr>
      <w:tr w:rsidR="00711974" w:rsidRPr="00FA4C3E" w14:paraId="43E6307C" w14:textId="77777777" w:rsidTr="00711974">
        <w:trPr>
          <w:trHeight w:val="288"/>
        </w:trPr>
        <w:tc>
          <w:tcPr>
            <w:tcW w:w="1460" w:type="dxa"/>
            <w:tcBorders>
              <w:top w:val="nil"/>
              <w:left w:val="single" w:sz="4" w:space="0" w:color="auto"/>
              <w:bottom w:val="nil"/>
              <w:right w:val="nil"/>
            </w:tcBorders>
            <w:shd w:val="clear" w:color="auto" w:fill="auto"/>
            <w:noWrap/>
            <w:vAlign w:val="bottom"/>
            <w:hideMark/>
          </w:tcPr>
          <w:p w14:paraId="2F75D8ED" w14:textId="77777777" w:rsidR="00711974" w:rsidRPr="00FA4C3E" w:rsidRDefault="00711974" w:rsidP="00711974">
            <w:pPr>
              <w:spacing w:line="240" w:lineRule="auto"/>
              <w:jc w:val="center"/>
              <w:rPr>
                <w:rFonts w:eastAsia="Times New Roman" w:cs="Calibri"/>
                <w:color w:val="000000"/>
                <w:lang w:eastAsia="en-GB"/>
              </w:rPr>
            </w:pPr>
            <w:r w:rsidRPr="00FA4C3E">
              <w:rPr>
                <w:rFonts w:eastAsia="Times New Roman" w:cs="Calibri"/>
                <w:color w:val="000000"/>
                <w:lang w:eastAsia="en-GB"/>
              </w:rPr>
              <w:t>2027/28</w:t>
            </w:r>
          </w:p>
        </w:tc>
        <w:tc>
          <w:tcPr>
            <w:tcW w:w="1460" w:type="dxa"/>
            <w:tcBorders>
              <w:top w:val="nil"/>
              <w:left w:val="single" w:sz="4" w:space="0" w:color="auto"/>
              <w:bottom w:val="nil"/>
              <w:right w:val="single" w:sz="4" w:space="0" w:color="auto"/>
            </w:tcBorders>
            <w:shd w:val="clear" w:color="auto" w:fill="auto"/>
            <w:noWrap/>
            <w:vAlign w:val="bottom"/>
            <w:hideMark/>
          </w:tcPr>
          <w:p w14:paraId="570FD88F" w14:textId="77777777" w:rsidR="00711974" w:rsidRPr="00FA4C3E" w:rsidRDefault="00711974" w:rsidP="00711974">
            <w:pPr>
              <w:spacing w:line="240" w:lineRule="auto"/>
              <w:jc w:val="center"/>
              <w:rPr>
                <w:rFonts w:eastAsia="Times New Roman" w:cs="Calibri"/>
                <w:b/>
                <w:bCs/>
                <w:color w:val="000000"/>
                <w:lang w:eastAsia="en-GB"/>
              </w:rPr>
            </w:pPr>
            <w:r w:rsidRPr="00FA4C3E">
              <w:rPr>
                <w:rFonts w:eastAsia="Times New Roman" w:cs="Calibri"/>
                <w:b/>
                <w:bCs/>
                <w:color w:val="000000"/>
                <w:lang w:eastAsia="en-GB"/>
              </w:rPr>
              <w:t>2.000</w:t>
            </w:r>
          </w:p>
        </w:tc>
        <w:tc>
          <w:tcPr>
            <w:tcW w:w="1460" w:type="dxa"/>
            <w:tcBorders>
              <w:top w:val="nil"/>
              <w:left w:val="nil"/>
              <w:bottom w:val="nil"/>
              <w:right w:val="single" w:sz="4" w:space="0" w:color="auto"/>
            </w:tcBorders>
            <w:shd w:val="clear" w:color="auto" w:fill="auto"/>
            <w:noWrap/>
            <w:vAlign w:val="bottom"/>
            <w:hideMark/>
          </w:tcPr>
          <w:p w14:paraId="15F3C556" w14:textId="77777777" w:rsidR="00711974" w:rsidRPr="00FA4C3E" w:rsidRDefault="00711974" w:rsidP="00711974">
            <w:pPr>
              <w:spacing w:line="240" w:lineRule="auto"/>
              <w:jc w:val="center"/>
              <w:rPr>
                <w:rFonts w:eastAsia="Times New Roman" w:cs="Calibri"/>
                <w:color w:val="000000"/>
                <w:lang w:eastAsia="en-GB"/>
              </w:rPr>
            </w:pPr>
            <w:r w:rsidRPr="00FA4C3E">
              <w:rPr>
                <w:rFonts w:eastAsia="Times New Roman" w:cs="Calibri"/>
                <w:color w:val="000000"/>
                <w:lang w:eastAsia="en-GB"/>
              </w:rPr>
              <w:t>5.1%</w:t>
            </w:r>
          </w:p>
        </w:tc>
      </w:tr>
      <w:tr w:rsidR="00711974" w:rsidRPr="00FA4C3E" w14:paraId="43BDF1D5" w14:textId="77777777" w:rsidTr="00711974">
        <w:trPr>
          <w:trHeight w:val="288"/>
        </w:trPr>
        <w:tc>
          <w:tcPr>
            <w:tcW w:w="1460" w:type="dxa"/>
            <w:tcBorders>
              <w:top w:val="nil"/>
              <w:left w:val="single" w:sz="4" w:space="0" w:color="auto"/>
              <w:bottom w:val="nil"/>
              <w:right w:val="single" w:sz="4" w:space="0" w:color="auto"/>
            </w:tcBorders>
            <w:shd w:val="clear" w:color="auto" w:fill="auto"/>
            <w:noWrap/>
            <w:vAlign w:val="bottom"/>
            <w:hideMark/>
          </w:tcPr>
          <w:p w14:paraId="70DEE062" w14:textId="77777777" w:rsidR="00711974" w:rsidRPr="00FA4C3E" w:rsidRDefault="00711974" w:rsidP="00711974">
            <w:pPr>
              <w:spacing w:line="240" w:lineRule="auto"/>
              <w:jc w:val="center"/>
              <w:rPr>
                <w:rFonts w:eastAsia="Times New Roman" w:cs="Calibri"/>
                <w:color w:val="000000"/>
                <w:lang w:eastAsia="en-GB"/>
              </w:rPr>
            </w:pPr>
            <w:r w:rsidRPr="00FA4C3E">
              <w:rPr>
                <w:rFonts w:eastAsia="Times New Roman" w:cs="Calibri"/>
                <w:color w:val="000000"/>
                <w:lang w:eastAsia="en-GB"/>
              </w:rPr>
              <w:t>2028/29</w:t>
            </w:r>
          </w:p>
        </w:tc>
        <w:tc>
          <w:tcPr>
            <w:tcW w:w="1460" w:type="dxa"/>
            <w:tcBorders>
              <w:top w:val="nil"/>
              <w:left w:val="nil"/>
              <w:bottom w:val="nil"/>
              <w:right w:val="single" w:sz="4" w:space="0" w:color="auto"/>
            </w:tcBorders>
            <w:shd w:val="clear" w:color="auto" w:fill="auto"/>
            <w:noWrap/>
            <w:vAlign w:val="bottom"/>
            <w:hideMark/>
          </w:tcPr>
          <w:p w14:paraId="3152F98D" w14:textId="77777777" w:rsidR="00711974" w:rsidRPr="00FA4C3E" w:rsidRDefault="00711974" w:rsidP="00711974">
            <w:pPr>
              <w:spacing w:line="240" w:lineRule="auto"/>
              <w:jc w:val="center"/>
              <w:rPr>
                <w:rFonts w:eastAsia="Times New Roman" w:cs="Calibri"/>
                <w:b/>
                <w:bCs/>
                <w:color w:val="000000"/>
                <w:lang w:eastAsia="en-GB"/>
              </w:rPr>
            </w:pPr>
            <w:r w:rsidRPr="00FA4C3E">
              <w:rPr>
                <w:rFonts w:eastAsia="Times New Roman" w:cs="Calibri"/>
                <w:b/>
                <w:bCs/>
                <w:color w:val="000000"/>
                <w:lang w:eastAsia="en-GB"/>
              </w:rPr>
              <w:t>2.060</w:t>
            </w:r>
          </w:p>
        </w:tc>
        <w:tc>
          <w:tcPr>
            <w:tcW w:w="1460" w:type="dxa"/>
            <w:tcBorders>
              <w:top w:val="nil"/>
              <w:left w:val="nil"/>
              <w:bottom w:val="nil"/>
              <w:right w:val="single" w:sz="4" w:space="0" w:color="auto"/>
            </w:tcBorders>
            <w:shd w:val="clear" w:color="auto" w:fill="auto"/>
            <w:noWrap/>
            <w:vAlign w:val="bottom"/>
            <w:hideMark/>
          </w:tcPr>
          <w:p w14:paraId="573C6A11" w14:textId="77777777" w:rsidR="00711974" w:rsidRPr="00FA4C3E" w:rsidRDefault="00711974" w:rsidP="00711974">
            <w:pPr>
              <w:spacing w:line="240" w:lineRule="auto"/>
              <w:jc w:val="center"/>
              <w:rPr>
                <w:rFonts w:eastAsia="Times New Roman" w:cs="Calibri"/>
                <w:color w:val="000000"/>
                <w:lang w:eastAsia="en-GB"/>
              </w:rPr>
            </w:pPr>
            <w:r w:rsidRPr="00FA4C3E">
              <w:rPr>
                <w:rFonts w:eastAsia="Times New Roman" w:cs="Calibri"/>
                <w:color w:val="000000"/>
                <w:lang w:eastAsia="en-GB"/>
              </w:rPr>
              <w:t>5.0%</w:t>
            </w:r>
          </w:p>
        </w:tc>
      </w:tr>
      <w:tr w:rsidR="00711974" w:rsidRPr="00FA4C3E" w14:paraId="1D868B4E" w14:textId="77777777" w:rsidTr="00711974">
        <w:trPr>
          <w:trHeight w:val="288"/>
        </w:trPr>
        <w:tc>
          <w:tcPr>
            <w:tcW w:w="1460" w:type="dxa"/>
            <w:tcBorders>
              <w:top w:val="nil"/>
              <w:left w:val="single" w:sz="4" w:space="0" w:color="auto"/>
              <w:bottom w:val="nil"/>
              <w:right w:val="nil"/>
            </w:tcBorders>
            <w:shd w:val="clear" w:color="auto" w:fill="auto"/>
            <w:noWrap/>
            <w:vAlign w:val="bottom"/>
            <w:hideMark/>
          </w:tcPr>
          <w:p w14:paraId="68F3422E" w14:textId="77777777" w:rsidR="00711974" w:rsidRPr="00FA4C3E" w:rsidRDefault="00711974" w:rsidP="00711974">
            <w:pPr>
              <w:spacing w:line="240" w:lineRule="auto"/>
              <w:jc w:val="center"/>
              <w:rPr>
                <w:rFonts w:eastAsia="Times New Roman" w:cs="Calibri"/>
                <w:color w:val="000000"/>
                <w:lang w:eastAsia="en-GB"/>
              </w:rPr>
            </w:pPr>
            <w:r w:rsidRPr="00FA4C3E">
              <w:rPr>
                <w:rFonts w:eastAsia="Times New Roman" w:cs="Calibri"/>
                <w:color w:val="000000"/>
                <w:lang w:eastAsia="en-GB"/>
              </w:rPr>
              <w:t>2029/30</w:t>
            </w:r>
          </w:p>
        </w:tc>
        <w:tc>
          <w:tcPr>
            <w:tcW w:w="1460" w:type="dxa"/>
            <w:tcBorders>
              <w:top w:val="nil"/>
              <w:left w:val="single" w:sz="4" w:space="0" w:color="auto"/>
              <w:bottom w:val="nil"/>
              <w:right w:val="single" w:sz="4" w:space="0" w:color="auto"/>
            </w:tcBorders>
            <w:shd w:val="clear" w:color="auto" w:fill="auto"/>
            <w:noWrap/>
            <w:vAlign w:val="bottom"/>
            <w:hideMark/>
          </w:tcPr>
          <w:p w14:paraId="573EDBB1" w14:textId="77777777" w:rsidR="00711974" w:rsidRPr="00FA4C3E" w:rsidRDefault="00711974" w:rsidP="00711974">
            <w:pPr>
              <w:spacing w:line="240" w:lineRule="auto"/>
              <w:jc w:val="center"/>
              <w:rPr>
                <w:rFonts w:eastAsia="Times New Roman" w:cs="Calibri"/>
                <w:b/>
                <w:bCs/>
                <w:color w:val="000000"/>
                <w:lang w:eastAsia="en-GB"/>
              </w:rPr>
            </w:pPr>
            <w:r w:rsidRPr="00FA4C3E">
              <w:rPr>
                <w:rFonts w:eastAsia="Times New Roman" w:cs="Calibri"/>
                <w:b/>
                <w:bCs/>
                <w:color w:val="000000"/>
                <w:lang w:eastAsia="en-GB"/>
              </w:rPr>
              <w:t>2.120</w:t>
            </w:r>
          </w:p>
        </w:tc>
        <w:tc>
          <w:tcPr>
            <w:tcW w:w="1460" w:type="dxa"/>
            <w:tcBorders>
              <w:top w:val="nil"/>
              <w:left w:val="nil"/>
              <w:bottom w:val="nil"/>
              <w:right w:val="single" w:sz="4" w:space="0" w:color="auto"/>
            </w:tcBorders>
            <w:shd w:val="clear" w:color="auto" w:fill="auto"/>
            <w:noWrap/>
            <w:vAlign w:val="bottom"/>
            <w:hideMark/>
          </w:tcPr>
          <w:p w14:paraId="217EEE3E" w14:textId="77777777" w:rsidR="00711974" w:rsidRPr="00FA4C3E" w:rsidRDefault="00711974" w:rsidP="00711974">
            <w:pPr>
              <w:spacing w:line="240" w:lineRule="auto"/>
              <w:jc w:val="center"/>
              <w:rPr>
                <w:rFonts w:eastAsia="Times New Roman" w:cs="Calibri"/>
                <w:color w:val="000000"/>
                <w:lang w:eastAsia="en-GB"/>
              </w:rPr>
            </w:pPr>
            <w:r w:rsidRPr="00FA4C3E">
              <w:rPr>
                <w:rFonts w:eastAsia="Times New Roman" w:cs="Calibri"/>
                <w:color w:val="000000"/>
                <w:lang w:eastAsia="en-GB"/>
              </w:rPr>
              <w:t>5.0%</w:t>
            </w:r>
          </w:p>
        </w:tc>
      </w:tr>
      <w:tr w:rsidR="00711974" w:rsidRPr="00FA4C3E" w14:paraId="612AA674" w14:textId="77777777" w:rsidTr="00711974">
        <w:trPr>
          <w:trHeight w:val="288"/>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4D9AED73" w14:textId="77777777" w:rsidR="00711974" w:rsidRPr="00FA4C3E" w:rsidRDefault="00711974" w:rsidP="00711974">
            <w:pPr>
              <w:spacing w:line="240" w:lineRule="auto"/>
              <w:jc w:val="center"/>
              <w:rPr>
                <w:rFonts w:eastAsia="Times New Roman" w:cs="Calibri"/>
                <w:color w:val="000000"/>
                <w:lang w:eastAsia="en-GB"/>
              </w:rPr>
            </w:pPr>
            <w:r w:rsidRPr="00FA4C3E">
              <w:rPr>
                <w:rFonts w:eastAsia="Times New Roman" w:cs="Calibri"/>
                <w:color w:val="000000"/>
                <w:lang w:eastAsia="en-GB"/>
              </w:rPr>
              <w:t>2030/31</w:t>
            </w:r>
          </w:p>
        </w:tc>
        <w:tc>
          <w:tcPr>
            <w:tcW w:w="1460" w:type="dxa"/>
            <w:tcBorders>
              <w:top w:val="nil"/>
              <w:left w:val="nil"/>
              <w:bottom w:val="single" w:sz="4" w:space="0" w:color="auto"/>
              <w:right w:val="single" w:sz="4" w:space="0" w:color="auto"/>
            </w:tcBorders>
            <w:shd w:val="clear" w:color="auto" w:fill="auto"/>
            <w:noWrap/>
            <w:vAlign w:val="bottom"/>
            <w:hideMark/>
          </w:tcPr>
          <w:p w14:paraId="4B9444DF" w14:textId="77777777" w:rsidR="00711974" w:rsidRPr="00FA4C3E" w:rsidRDefault="00711974" w:rsidP="00711974">
            <w:pPr>
              <w:spacing w:line="240" w:lineRule="auto"/>
              <w:jc w:val="center"/>
              <w:rPr>
                <w:rFonts w:eastAsia="Times New Roman" w:cs="Calibri"/>
                <w:b/>
                <w:bCs/>
                <w:color w:val="000000"/>
                <w:lang w:eastAsia="en-GB"/>
              </w:rPr>
            </w:pPr>
            <w:r w:rsidRPr="00FA4C3E">
              <w:rPr>
                <w:rFonts w:eastAsia="Times New Roman" w:cs="Calibri"/>
                <w:b/>
                <w:bCs/>
                <w:color w:val="000000"/>
                <w:lang w:eastAsia="en-GB"/>
              </w:rPr>
              <w:t>2.180</w:t>
            </w:r>
          </w:p>
        </w:tc>
        <w:tc>
          <w:tcPr>
            <w:tcW w:w="1460" w:type="dxa"/>
            <w:tcBorders>
              <w:top w:val="nil"/>
              <w:left w:val="nil"/>
              <w:bottom w:val="single" w:sz="4" w:space="0" w:color="auto"/>
              <w:right w:val="single" w:sz="4" w:space="0" w:color="auto"/>
            </w:tcBorders>
            <w:shd w:val="clear" w:color="auto" w:fill="auto"/>
            <w:noWrap/>
            <w:vAlign w:val="bottom"/>
            <w:hideMark/>
          </w:tcPr>
          <w:p w14:paraId="1222EEAA" w14:textId="77777777" w:rsidR="00711974" w:rsidRPr="00FA4C3E" w:rsidRDefault="00711974" w:rsidP="00711974">
            <w:pPr>
              <w:spacing w:line="240" w:lineRule="auto"/>
              <w:jc w:val="center"/>
              <w:rPr>
                <w:rFonts w:eastAsia="Times New Roman" w:cs="Calibri"/>
                <w:color w:val="000000"/>
                <w:lang w:eastAsia="en-GB"/>
              </w:rPr>
            </w:pPr>
            <w:r w:rsidRPr="00FA4C3E">
              <w:rPr>
                <w:rFonts w:eastAsia="Times New Roman" w:cs="Calibri"/>
                <w:color w:val="000000"/>
                <w:lang w:eastAsia="en-GB"/>
              </w:rPr>
              <w:t>5.0%</w:t>
            </w:r>
          </w:p>
        </w:tc>
      </w:tr>
    </w:tbl>
    <w:p w14:paraId="1DAD806D" w14:textId="77777777" w:rsidR="00DE422B" w:rsidRPr="00FA4C3E" w:rsidRDefault="00DE422B" w:rsidP="00C644FE">
      <w:pPr>
        <w:pStyle w:val="NoSpacing"/>
      </w:pPr>
    </w:p>
    <w:p w14:paraId="2D50F5E1" w14:textId="5DE83944" w:rsidR="00C644FE" w:rsidRPr="00FA4C3E" w:rsidRDefault="00C644FE" w:rsidP="00C644FE">
      <w:pPr>
        <w:pStyle w:val="ReservesHeading"/>
      </w:pPr>
      <w:r w:rsidRPr="00FA4C3E">
        <w:t>Earmarked Reserves</w:t>
      </w:r>
    </w:p>
    <w:p w14:paraId="15F58398" w14:textId="77777777" w:rsidR="00C644FE" w:rsidRPr="00FA4C3E" w:rsidRDefault="00C644FE" w:rsidP="00C644FE">
      <w:pPr>
        <w:pStyle w:val="ReservesBody"/>
      </w:pPr>
      <w:r w:rsidRPr="00FA4C3E">
        <w:t xml:space="preserve">In addition to the general reserve, the PFCC holds </w:t>
      </w:r>
      <w:proofErr w:type="gramStart"/>
      <w:r w:rsidRPr="00FA4C3E">
        <w:t>a number of</w:t>
      </w:r>
      <w:proofErr w:type="gramEnd"/>
      <w:r w:rsidRPr="00FA4C3E">
        <w:t xml:space="preserve"> reserves which are earmarked for specific purposes.</w:t>
      </w:r>
    </w:p>
    <w:p w14:paraId="06C6234E" w14:textId="2885B6D5" w:rsidR="00C644FE" w:rsidRPr="00FA4C3E" w:rsidRDefault="000F4427" w:rsidP="00C644FE">
      <w:pPr>
        <w:pStyle w:val="ReservesBody"/>
      </w:pPr>
      <w:r w:rsidRPr="00FA4C3E">
        <w:lastRenderedPageBreak/>
        <w:t>At the 31/3/202</w:t>
      </w:r>
      <w:r w:rsidR="00FB714A" w:rsidRPr="00FA4C3E">
        <w:t>6</w:t>
      </w:r>
      <w:r w:rsidRPr="00FA4C3E">
        <w:t>, it is estimated that the PFCC will hold £</w:t>
      </w:r>
      <w:r w:rsidR="00BC1DA0" w:rsidRPr="00FA4C3E">
        <w:t>5.321</w:t>
      </w:r>
      <w:r w:rsidRPr="00FA4C3E">
        <w:t xml:space="preserve">m for Fire in earmarked reserves.  </w:t>
      </w:r>
      <w:r w:rsidR="00C644FE" w:rsidRPr="00FA4C3E">
        <w:t>The predicted position for each earmarked reserve as at 31/3/202</w:t>
      </w:r>
      <w:r w:rsidR="00FB714A" w:rsidRPr="00FA4C3E">
        <w:t>6</w:t>
      </w:r>
      <w:r w:rsidR="00C644FE" w:rsidRPr="00FA4C3E">
        <w:t xml:space="preserve">, together with </w:t>
      </w:r>
      <w:r w:rsidRPr="00FA4C3E">
        <w:t>further details</w:t>
      </w:r>
      <w:r w:rsidR="00C644FE" w:rsidRPr="00FA4C3E">
        <w:t xml:space="preserve"> is </w:t>
      </w:r>
      <w:r w:rsidRPr="00FA4C3E">
        <w:t>in</w:t>
      </w:r>
      <w:r w:rsidR="00C644FE" w:rsidRPr="00FA4C3E">
        <w:t xml:space="preserve"> Annexe 2</w:t>
      </w:r>
      <w:r w:rsidRPr="00FA4C3E">
        <w:t xml:space="preserve"> and 3</w:t>
      </w:r>
      <w:r w:rsidR="00C644FE" w:rsidRPr="00FA4C3E">
        <w:t xml:space="preserve">. </w:t>
      </w:r>
    </w:p>
    <w:p w14:paraId="7A452CF1" w14:textId="4A1AA574" w:rsidR="00C644FE" w:rsidRPr="00FA4C3E" w:rsidRDefault="000F4427" w:rsidP="00C644FE">
      <w:pPr>
        <w:pStyle w:val="ReservesBody"/>
      </w:pPr>
      <w:r w:rsidRPr="00FA4C3E">
        <w:t xml:space="preserve">The purposes of </w:t>
      </w:r>
      <w:r w:rsidR="009E2A52" w:rsidRPr="00FA4C3E">
        <w:t>each</w:t>
      </w:r>
      <w:r w:rsidRPr="00FA4C3E">
        <w:t xml:space="preserve"> earmarked reserve </w:t>
      </w:r>
      <w:r w:rsidR="00C644FE" w:rsidRPr="00FA4C3E">
        <w:t>are as follow</w:t>
      </w:r>
      <w:r w:rsidRPr="00FA4C3E">
        <w:t>s</w:t>
      </w:r>
      <w:r w:rsidR="00C644FE" w:rsidRPr="00FA4C3E">
        <w:t>:</w:t>
      </w:r>
    </w:p>
    <w:p w14:paraId="35EEEE53" w14:textId="2BA399AC" w:rsidR="000D033B" w:rsidRPr="00FA4C3E" w:rsidRDefault="000D033B" w:rsidP="000D033B">
      <w:pPr>
        <w:pStyle w:val="Reservesbullet"/>
      </w:pPr>
      <w:r w:rsidRPr="00FA4C3E">
        <w:rPr>
          <w:b/>
          <w:bCs/>
        </w:rPr>
        <w:t>Insurance</w:t>
      </w:r>
      <w:r w:rsidRPr="00FA4C3E">
        <w:t xml:space="preserve"> – To </w:t>
      </w:r>
      <w:r w:rsidR="00326B5E" w:rsidRPr="00FA4C3E">
        <w:t>set</w:t>
      </w:r>
      <w:r w:rsidRPr="00FA4C3E">
        <w:t xml:space="preserve"> funds aside </w:t>
      </w:r>
      <w:proofErr w:type="gramStart"/>
      <w:r w:rsidRPr="00FA4C3E">
        <w:t>where</w:t>
      </w:r>
      <w:proofErr w:type="gramEnd"/>
      <w:r w:rsidRPr="00FA4C3E">
        <w:t xml:space="preserve"> considered prudent for civil claims (Public and Employer liability) in line with professional advice.</w:t>
      </w:r>
    </w:p>
    <w:p w14:paraId="742CA890" w14:textId="08E9A474" w:rsidR="00F115BD" w:rsidRPr="00FA4C3E" w:rsidRDefault="00F115BD" w:rsidP="000D033B">
      <w:pPr>
        <w:pStyle w:val="Reservesbullet"/>
      </w:pPr>
      <w:r w:rsidRPr="00FA4C3E">
        <w:rPr>
          <w:b/>
        </w:rPr>
        <w:t xml:space="preserve">Operational Equipment </w:t>
      </w:r>
      <w:r w:rsidRPr="00FA4C3E">
        <w:t xml:space="preserve">– </w:t>
      </w:r>
      <w:r w:rsidR="000D033B" w:rsidRPr="00FA4C3E">
        <w:t>G</w:t>
      </w:r>
      <w:r w:rsidRPr="00FA4C3E">
        <w:t xml:space="preserve">iven the age and condition of equipment transferred as part of the governance transfer, an annual operational equipment </w:t>
      </w:r>
      <w:r w:rsidR="0081263C" w:rsidRPr="00FA4C3E">
        <w:t>reserve</w:t>
      </w:r>
      <w:r w:rsidRPr="00FA4C3E">
        <w:t xml:space="preserve"> contribution was established to smooth the impact and mitigate the costs of essential operational equipment replacement. </w:t>
      </w:r>
    </w:p>
    <w:p w14:paraId="47877A47" w14:textId="14926B68" w:rsidR="000D033B" w:rsidRPr="00FA4C3E" w:rsidRDefault="00F115BD" w:rsidP="000D033B">
      <w:pPr>
        <w:pStyle w:val="Reservesbullet"/>
        <w:rPr>
          <w:rFonts w:cs="Times New Roman"/>
          <w:sz w:val="22"/>
        </w:rPr>
      </w:pPr>
      <w:r w:rsidRPr="00FA4C3E">
        <w:rPr>
          <w:b/>
        </w:rPr>
        <w:t xml:space="preserve">Carry Forwards </w:t>
      </w:r>
      <w:r w:rsidRPr="00FA4C3E">
        <w:t xml:space="preserve">– </w:t>
      </w:r>
      <w:r w:rsidR="000D033B" w:rsidRPr="00FA4C3E">
        <w:t xml:space="preserve">To </w:t>
      </w:r>
      <w:r w:rsidR="00326B5E" w:rsidRPr="00FA4C3E">
        <w:t>ringfence</w:t>
      </w:r>
      <w:r w:rsidR="000D033B" w:rsidRPr="00FA4C3E">
        <w:t xml:space="preserve"> previous years</w:t>
      </w:r>
      <w:r w:rsidR="00326B5E" w:rsidRPr="00FA4C3E">
        <w:t>’</w:t>
      </w:r>
      <w:r w:rsidR="000D033B" w:rsidRPr="00FA4C3E">
        <w:t xml:space="preserve"> underspends for specific purposes in the medium term.</w:t>
      </w:r>
    </w:p>
    <w:p w14:paraId="2C30ADF6" w14:textId="76C9DB31" w:rsidR="000D033B" w:rsidRPr="00FA4C3E" w:rsidRDefault="000D033B" w:rsidP="000D033B">
      <w:pPr>
        <w:pStyle w:val="Reservesbullet"/>
      </w:pPr>
      <w:r w:rsidRPr="00FA4C3E">
        <w:rPr>
          <w:b/>
          <w:bCs/>
        </w:rPr>
        <w:t xml:space="preserve">Smoothing </w:t>
      </w:r>
      <w:r w:rsidRPr="00FA4C3E">
        <w:t xml:space="preserve">– To enable </w:t>
      </w:r>
      <w:r w:rsidR="00326B5E" w:rsidRPr="00FA4C3E">
        <w:t>any</w:t>
      </w:r>
      <w:r w:rsidRPr="00FA4C3E">
        <w:t xml:space="preserve"> savings generated to be earmarked and released over future years as needed, smoothing the impact of </w:t>
      </w:r>
      <w:r w:rsidR="00326B5E" w:rsidRPr="00FA4C3E">
        <w:t>funding</w:t>
      </w:r>
      <w:r w:rsidRPr="00FA4C3E">
        <w:t xml:space="preserve"> </w:t>
      </w:r>
      <w:r w:rsidR="00326B5E" w:rsidRPr="00FA4C3E">
        <w:t>fluctuations</w:t>
      </w:r>
      <w:r w:rsidRPr="00FA4C3E">
        <w:t xml:space="preserve"> and timing of savings programmes on the revenue budget. </w:t>
      </w:r>
    </w:p>
    <w:p w14:paraId="338E4586" w14:textId="78D49575" w:rsidR="000D033B" w:rsidRPr="00FA4C3E" w:rsidRDefault="000D033B" w:rsidP="000D033B">
      <w:pPr>
        <w:pStyle w:val="Reservesbullet"/>
      </w:pPr>
      <w:r w:rsidRPr="00FA4C3E">
        <w:rPr>
          <w:b/>
          <w:bCs/>
        </w:rPr>
        <w:t>Transformation</w:t>
      </w:r>
      <w:r w:rsidRPr="00FA4C3E">
        <w:t xml:space="preserve"> – To support initiatives and transformative activities such as investments in technology and other innovation, and in line with operational priorities.</w:t>
      </w:r>
      <w:r w:rsidR="00326B5E" w:rsidRPr="00FA4C3E">
        <w:t xml:space="preserve">  This includes funding of resources to deliver </w:t>
      </w:r>
      <w:r w:rsidR="00326B5E" w:rsidRPr="00FA4C3E">
        <w:rPr>
          <w:i/>
          <w:iCs/>
        </w:rPr>
        <w:t>Your Future Service</w:t>
      </w:r>
      <w:r w:rsidR="00326B5E" w:rsidRPr="00FA4C3E">
        <w:t>.</w:t>
      </w:r>
    </w:p>
    <w:p w14:paraId="31441D10" w14:textId="0F166C63" w:rsidR="000D033B" w:rsidRPr="00FA4C3E" w:rsidRDefault="00F115BD" w:rsidP="000D033B">
      <w:pPr>
        <w:pStyle w:val="Reservesbullet"/>
      </w:pPr>
      <w:r w:rsidRPr="00FA4C3E">
        <w:rPr>
          <w:b/>
        </w:rPr>
        <w:t xml:space="preserve">Capital </w:t>
      </w:r>
      <w:r w:rsidR="000D033B" w:rsidRPr="00FA4C3E">
        <w:rPr>
          <w:b/>
        </w:rPr>
        <w:t xml:space="preserve">Receipts </w:t>
      </w:r>
      <w:r w:rsidR="000D033B" w:rsidRPr="00FA4C3E">
        <w:rPr>
          <w:bCs/>
        </w:rPr>
        <w:t>– To earmark receipts for disposal of capital assets for use as deemed appropriate to minimise the cost of future capital financing.</w:t>
      </w:r>
    </w:p>
    <w:p w14:paraId="690CDC10" w14:textId="690ED919" w:rsidR="00F115BD" w:rsidRPr="00FA4C3E" w:rsidRDefault="000D033B" w:rsidP="000D033B">
      <w:pPr>
        <w:pStyle w:val="Reservesbullet"/>
      </w:pPr>
      <w:r w:rsidRPr="00FA4C3E">
        <w:rPr>
          <w:b/>
        </w:rPr>
        <w:t>Capital and ESN Reserve</w:t>
      </w:r>
      <w:r w:rsidR="00F115BD" w:rsidRPr="00FA4C3E">
        <w:rPr>
          <w:b/>
        </w:rPr>
        <w:t xml:space="preserve"> </w:t>
      </w:r>
      <w:r w:rsidR="00F115BD" w:rsidRPr="00FA4C3E">
        <w:t xml:space="preserve">– </w:t>
      </w:r>
      <w:r w:rsidRPr="00FA4C3E">
        <w:t>To hold amounts set aside for capital investment</w:t>
      </w:r>
      <w:r w:rsidR="00F115BD" w:rsidRPr="00FA4C3E">
        <w:t xml:space="preserve">, applied to the </w:t>
      </w:r>
      <w:r w:rsidR="008671C8" w:rsidRPr="00FA4C3E">
        <w:t xml:space="preserve">capital </w:t>
      </w:r>
      <w:r w:rsidR="00F671CE" w:rsidRPr="00FA4C3E">
        <w:t>programme</w:t>
      </w:r>
      <w:r w:rsidR="00F115BD" w:rsidRPr="00FA4C3E">
        <w:t xml:space="preserve"> </w:t>
      </w:r>
      <w:r w:rsidRPr="00FA4C3E">
        <w:rPr>
          <w:bCs/>
        </w:rPr>
        <w:t>as deemed appropriate to minimise the cost of future capital financing.</w:t>
      </w:r>
      <w:r w:rsidR="00326B5E" w:rsidRPr="00FA4C3E">
        <w:rPr>
          <w:bCs/>
        </w:rPr>
        <w:t xml:space="preserve">  This specifically includes funds ringfenced for work associated with preparedness for Emergency Services Network (ESN).</w:t>
      </w:r>
    </w:p>
    <w:p w14:paraId="28586DF8" w14:textId="605879FB" w:rsidR="000D033B" w:rsidRPr="00FA4C3E" w:rsidRDefault="000D033B" w:rsidP="000D033B">
      <w:pPr>
        <w:pStyle w:val="Reservesbullet"/>
      </w:pPr>
      <w:r w:rsidRPr="00FA4C3E">
        <w:rPr>
          <w:b/>
          <w:bCs/>
        </w:rPr>
        <w:t>Developer Contributions (</w:t>
      </w:r>
      <w:r w:rsidR="00D245EF" w:rsidRPr="00FA4C3E">
        <w:rPr>
          <w:b/>
          <w:bCs/>
        </w:rPr>
        <w:t>s</w:t>
      </w:r>
      <w:r w:rsidRPr="00FA4C3E">
        <w:rPr>
          <w:b/>
          <w:bCs/>
        </w:rPr>
        <w:t>106)</w:t>
      </w:r>
      <w:r w:rsidRPr="00FA4C3E">
        <w:t xml:space="preserve"> – To collect the drawn down developer contributions awarded to the PFCC in line with S106 planning arrangements.  These funds will be released in accordance with the terms of the agreements, usually to fund capital expenditure.  The reserve only accounts for funds once they have been drawn down.</w:t>
      </w:r>
    </w:p>
    <w:p w14:paraId="3F83B13E" w14:textId="3F373A3E" w:rsidR="000D033B" w:rsidRPr="00FA4C3E" w:rsidRDefault="000D033B" w:rsidP="000D033B">
      <w:pPr>
        <w:pStyle w:val="Reservesbullet"/>
      </w:pPr>
      <w:r w:rsidRPr="00FA4C3E">
        <w:rPr>
          <w:b/>
        </w:rPr>
        <w:t xml:space="preserve">Capital Grants Unapplied </w:t>
      </w:r>
      <w:r w:rsidRPr="00FA4C3E">
        <w:t xml:space="preserve">– To hold amounts grants received for specific capital investment, </w:t>
      </w:r>
      <w:r w:rsidR="000F4427" w:rsidRPr="00FA4C3E">
        <w:t xml:space="preserve">to be </w:t>
      </w:r>
      <w:r w:rsidRPr="00FA4C3E">
        <w:t xml:space="preserve">applied to the capital programme </w:t>
      </w:r>
      <w:r w:rsidR="000F4427" w:rsidRPr="00FA4C3E">
        <w:t xml:space="preserve">in line with the grant terms and </w:t>
      </w:r>
      <w:r w:rsidRPr="00FA4C3E">
        <w:rPr>
          <w:bCs/>
        </w:rPr>
        <w:t>as deemed appropriate to minimise the cost of future capital financing.</w:t>
      </w:r>
      <w:r w:rsidR="00326B5E" w:rsidRPr="00FA4C3E">
        <w:rPr>
          <w:bCs/>
        </w:rPr>
        <w:t xml:space="preserve">  </w:t>
      </w:r>
    </w:p>
    <w:p w14:paraId="68502AB5" w14:textId="5C06030F" w:rsidR="00F115BD" w:rsidRPr="00FA4C3E" w:rsidRDefault="00C644FE" w:rsidP="000F4427">
      <w:pPr>
        <w:pStyle w:val="ReservesBody"/>
      </w:pPr>
      <w:r w:rsidRPr="00FA4C3E">
        <w:t>The</w:t>
      </w:r>
      <w:r w:rsidR="000F4427" w:rsidRPr="00FA4C3E">
        <w:t>se</w:t>
      </w:r>
      <w:r w:rsidRPr="00FA4C3E">
        <w:t xml:space="preserve"> </w:t>
      </w:r>
      <w:r w:rsidR="000F4427" w:rsidRPr="00FA4C3E">
        <w:t>reserves</w:t>
      </w:r>
      <w:r w:rsidRPr="00FA4C3E">
        <w:t xml:space="preserve"> will be reviewed on a regular basis and </w:t>
      </w:r>
      <w:r w:rsidR="000F4427" w:rsidRPr="00FA4C3E">
        <w:t xml:space="preserve">any further </w:t>
      </w:r>
      <w:r w:rsidRPr="00FA4C3E">
        <w:t xml:space="preserve">opportunities to set aside earmarked reserves to support targeted </w:t>
      </w:r>
      <w:proofErr w:type="gramStart"/>
      <w:r w:rsidRPr="00FA4C3E">
        <w:t>expenditure</w:t>
      </w:r>
      <w:proofErr w:type="gramEnd"/>
      <w:r w:rsidRPr="00FA4C3E">
        <w:t xml:space="preserve"> and investment</w:t>
      </w:r>
      <w:r w:rsidR="000F4427" w:rsidRPr="00FA4C3E">
        <w:t xml:space="preserve"> will be</w:t>
      </w:r>
      <w:r w:rsidRPr="00FA4C3E">
        <w:t xml:space="preserve"> taken where appropriate.</w:t>
      </w:r>
    </w:p>
    <w:p w14:paraId="3102BAC3" w14:textId="77777777" w:rsidR="000F4427" w:rsidRPr="00FA4C3E" w:rsidRDefault="000F4427" w:rsidP="000F4427">
      <w:pPr>
        <w:pStyle w:val="ReservesHeading"/>
      </w:pPr>
      <w:r w:rsidRPr="00FA4C3E">
        <w:t>Provisions</w:t>
      </w:r>
    </w:p>
    <w:p w14:paraId="50C38B21" w14:textId="54A65795" w:rsidR="000F4427" w:rsidRPr="00FA4C3E" w:rsidRDefault="000F4427" w:rsidP="000F4427">
      <w:pPr>
        <w:pStyle w:val="ReservesBody"/>
      </w:pPr>
      <w:r w:rsidRPr="00FA4C3E">
        <w:t>The CIPFA Statement of Recommended Practice is prescriptive about when provisions are required (and when they are not permitted).  A provision must be established for any material liabilities of uncertain timings or amount, to be settled by the transfer of economic benefits.  In accordance with this statutory guidance, the</w:t>
      </w:r>
      <w:r w:rsidR="0061459D" w:rsidRPr="00FA4C3E">
        <w:t xml:space="preserve">re is </w:t>
      </w:r>
      <w:r w:rsidRPr="00FA4C3E">
        <w:t>an established ‘Insurance Provision’ which is reviewed as part of the closedown process for each year.</w:t>
      </w:r>
    </w:p>
    <w:p w14:paraId="36A90A7D" w14:textId="77777777" w:rsidR="00711974" w:rsidRPr="00FA4C3E" w:rsidRDefault="00711974" w:rsidP="00711974">
      <w:pPr>
        <w:pStyle w:val="ReservesBody"/>
        <w:numPr>
          <w:ilvl w:val="0"/>
          <w:numId w:val="0"/>
        </w:numPr>
        <w:ind w:left="567"/>
      </w:pPr>
    </w:p>
    <w:p w14:paraId="49AB53CB" w14:textId="2005BD84" w:rsidR="000F4427" w:rsidRPr="00FA4C3E" w:rsidRDefault="000F4427" w:rsidP="00935736">
      <w:pPr>
        <w:pStyle w:val="ReservesHeading"/>
      </w:pPr>
      <w:r w:rsidRPr="00FA4C3E">
        <w:lastRenderedPageBreak/>
        <w:t>Procedures for management and control</w:t>
      </w:r>
    </w:p>
    <w:p w14:paraId="4CBA7653" w14:textId="77777777" w:rsidR="000F4427" w:rsidRPr="00FA4C3E" w:rsidRDefault="000F4427" w:rsidP="000F4427">
      <w:pPr>
        <w:pStyle w:val="ReservesBody"/>
      </w:pPr>
      <w:r w:rsidRPr="00FA4C3E">
        <w:t xml:space="preserve">Any drawdown from reserves is subject to the approval of the PFCC, on advice from the PFCC’s Chief Finance Officer (OPFCC CFO); or under the delegated authority of the OPFCC CFO. </w:t>
      </w:r>
    </w:p>
    <w:p w14:paraId="285A375A" w14:textId="76983A2F" w:rsidR="000F4427" w:rsidRPr="00FA4C3E" w:rsidRDefault="000F4427" w:rsidP="000F4427">
      <w:pPr>
        <w:pStyle w:val="ReservesBody"/>
      </w:pPr>
      <w:r w:rsidRPr="00FA4C3E">
        <w:t xml:space="preserve">The Local Government Act 2003 requires the </w:t>
      </w:r>
      <w:r w:rsidR="002A67E1">
        <w:t xml:space="preserve">Section </w:t>
      </w:r>
      <w:r w:rsidRPr="00FA4C3E">
        <w:t xml:space="preserve">151 </w:t>
      </w:r>
      <w:r w:rsidR="002A67E1">
        <w:t>O</w:t>
      </w:r>
      <w:r w:rsidRPr="00FA4C3E">
        <w:t xml:space="preserve">fficer to report annually on the adequacy of the reserves and this is included within the statement on the robustness of the estimates used for the budget and the adequacy of the proposed financial reserves. </w:t>
      </w:r>
    </w:p>
    <w:p w14:paraId="280A526F" w14:textId="77777777" w:rsidR="000F4427" w:rsidRPr="00FA4C3E" w:rsidRDefault="000F4427" w:rsidP="000F4427">
      <w:pPr>
        <w:pStyle w:val="ReservesBody"/>
      </w:pPr>
      <w:r w:rsidRPr="00FA4C3E">
        <w:t xml:space="preserve">The Strategy will be reviewed annually by the OPFCC CFO as part of the Budget and Precept process. </w:t>
      </w:r>
      <w:r w:rsidRPr="00FA4C3E">
        <w:rPr>
          <w:bCs/>
          <w:color w:val="FF0000"/>
        </w:rPr>
        <w:t xml:space="preserve"> </w:t>
      </w:r>
    </w:p>
    <w:p w14:paraId="6E99B4A3" w14:textId="77777777" w:rsidR="00935736" w:rsidRPr="00FA4C3E" w:rsidRDefault="00935736">
      <w:pPr>
        <w:spacing w:line="240" w:lineRule="auto"/>
        <w:rPr>
          <w:rFonts w:cs="Arial"/>
          <w:b/>
          <w:sz w:val="24"/>
        </w:rPr>
      </w:pPr>
      <w:r w:rsidRPr="00FA4C3E">
        <w:rPr>
          <w:rFonts w:cs="Arial"/>
          <w:b/>
          <w:sz w:val="24"/>
        </w:rPr>
        <w:br w:type="page"/>
      </w:r>
    </w:p>
    <w:p w14:paraId="35AB0465" w14:textId="136A4304" w:rsidR="00F115BD" w:rsidRPr="00FA4C3E" w:rsidRDefault="00F115BD" w:rsidP="00935736">
      <w:pPr>
        <w:spacing w:line="240" w:lineRule="auto"/>
        <w:rPr>
          <w:rFonts w:cs="Arial"/>
          <w:b/>
          <w:sz w:val="24"/>
          <w:szCs w:val="24"/>
        </w:rPr>
      </w:pPr>
      <w:r w:rsidRPr="00FA4C3E">
        <w:rPr>
          <w:rFonts w:cs="Arial"/>
          <w:b/>
          <w:sz w:val="24"/>
          <w:szCs w:val="24"/>
        </w:rPr>
        <w:lastRenderedPageBreak/>
        <w:t>A</w:t>
      </w:r>
      <w:r w:rsidR="000F4427" w:rsidRPr="00FA4C3E">
        <w:rPr>
          <w:rFonts w:cs="Arial"/>
          <w:b/>
          <w:sz w:val="24"/>
          <w:szCs w:val="24"/>
        </w:rPr>
        <w:t>nnexe</w:t>
      </w:r>
      <w:r w:rsidRPr="00FA4C3E">
        <w:rPr>
          <w:rFonts w:cs="Arial"/>
          <w:b/>
          <w:sz w:val="24"/>
          <w:szCs w:val="24"/>
        </w:rPr>
        <w:t xml:space="preserve"> </w:t>
      </w:r>
      <w:r w:rsidR="000F4427" w:rsidRPr="00FA4C3E">
        <w:rPr>
          <w:rFonts w:cs="Arial"/>
          <w:b/>
          <w:sz w:val="24"/>
          <w:szCs w:val="24"/>
        </w:rPr>
        <w:t>1</w:t>
      </w:r>
    </w:p>
    <w:p w14:paraId="7A9DBDB7" w14:textId="421B5428" w:rsidR="00F115BD" w:rsidRPr="00FA4C3E" w:rsidRDefault="00935736" w:rsidP="00935736">
      <w:pPr>
        <w:rPr>
          <w:rFonts w:cs="Arial"/>
          <w:b/>
          <w:sz w:val="24"/>
          <w:szCs w:val="24"/>
        </w:rPr>
      </w:pPr>
      <w:r w:rsidRPr="00FA4C3E">
        <w:rPr>
          <w:rFonts w:cs="Arial"/>
          <w:b/>
          <w:sz w:val="24"/>
          <w:szCs w:val="24"/>
        </w:rPr>
        <w:t>NCFRA -</w:t>
      </w:r>
      <w:r w:rsidR="00F115BD" w:rsidRPr="00FA4C3E">
        <w:rPr>
          <w:rFonts w:cs="Arial"/>
          <w:b/>
          <w:sz w:val="24"/>
          <w:szCs w:val="24"/>
        </w:rPr>
        <w:t xml:space="preserve"> Compliance with the 7 Key CIPFA Principles to assess the adequacy of</w:t>
      </w:r>
      <w:r w:rsidRPr="00FA4C3E">
        <w:rPr>
          <w:rFonts w:cs="Arial"/>
          <w:b/>
          <w:sz w:val="24"/>
          <w:szCs w:val="24"/>
        </w:rPr>
        <w:t xml:space="preserve"> </w:t>
      </w:r>
      <w:r w:rsidR="00C65ED9" w:rsidRPr="00FA4C3E">
        <w:rPr>
          <w:rFonts w:cs="Arial"/>
          <w:b/>
          <w:sz w:val="24"/>
          <w:szCs w:val="24"/>
        </w:rPr>
        <w:t>reserves.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5"/>
        <w:gridCol w:w="5763"/>
      </w:tblGrid>
      <w:tr w:rsidR="00F115BD" w:rsidRPr="00FA4C3E" w14:paraId="21189614" w14:textId="77777777" w:rsidTr="006660EE">
        <w:tc>
          <w:tcPr>
            <w:tcW w:w="3865" w:type="dxa"/>
            <w:shd w:val="clear" w:color="auto" w:fill="auto"/>
          </w:tcPr>
          <w:p w14:paraId="36ED2490" w14:textId="77777777" w:rsidR="00F115BD" w:rsidRPr="00FA4C3E" w:rsidRDefault="00F115BD" w:rsidP="0062565E">
            <w:pPr>
              <w:jc w:val="center"/>
              <w:rPr>
                <w:rFonts w:cs="Arial"/>
                <w:b/>
                <w:sz w:val="24"/>
                <w:szCs w:val="24"/>
              </w:rPr>
            </w:pPr>
            <w:r w:rsidRPr="00FA4C3E">
              <w:rPr>
                <w:rFonts w:cs="Arial"/>
                <w:b/>
                <w:sz w:val="24"/>
                <w:szCs w:val="24"/>
              </w:rPr>
              <w:t>Budget Assumptions (CIPFA Principles)</w:t>
            </w:r>
          </w:p>
        </w:tc>
        <w:tc>
          <w:tcPr>
            <w:tcW w:w="5763" w:type="dxa"/>
            <w:shd w:val="clear" w:color="auto" w:fill="auto"/>
          </w:tcPr>
          <w:p w14:paraId="42A07796" w14:textId="6970C6A0" w:rsidR="00F115BD" w:rsidRPr="00FA4C3E" w:rsidRDefault="00935736" w:rsidP="0062565E">
            <w:pPr>
              <w:jc w:val="center"/>
              <w:rPr>
                <w:rFonts w:cs="Arial"/>
                <w:b/>
                <w:sz w:val="24"/>
                <w:szCs w:val="24"/>
              </w:rPr>
            </w:pPr>
            <w:r w:rsidRPr="00FA4C3E">
              <w:rPr>
                <w:rFonts w:eastAsia="Times New Roman" w:cs="Calibri"/>
                <w:b/>
                <w:sz w:val="24"/>
                <w:szCs w:val="24"/>
              </w:rPr>
              <w:t>202</w:t>
            </w:r>
            <w:r w:rsidR="00D11700" w:rsidRPr="00FA4C3E">
              <w:rPr>
                <w:rFonts w:eastAsia="Times New Roman" w:cs="Calibri"/>
                <w:b/>
                <w:sz w:val="24"/>
                <w:szCs w:val="24"/>
              </w:rPr>
              <w:t>6</w:t>
            </w:r>
            <w:r w:rsidRPr="00FA4C3E">
              <w:rPr>
                <w:rFonts w:eastAsia="Times New Roman" w:cs="Calibri"/>
                <w:b/>
                <w:sz w:val="24"/>
                <w:szCs w:val="24"/>
              </w:rPr>
              <w:t>/2</w:t>
            </w:r>
            <w:r w:rsidR="00D11700" w:rsidRPr="00FA4C3E">
              <w:rPr>
                <w:rFonts w:eastAsia="Times New Roman" w:cs="Calibri"/>
                <w:b/>
                <w:sz w:val="24"/>
                <w:szCs w:val="24"/>
              </w:rPr>
              <w:t>7</w:t>
            </w:r>
            <w:r w:rsidRPr="00FA4C3E">
              <w:rPr>
                <w:rFonts w:eastAsia="Times New Roman" w:cs="Calibri"/>
                <w:b/>
                <w:sz w:val="24"/>
                <w:szCs w:val="24"/>
              </w:rPr>
              <w:t xml:space="preserve"> Situation in Northamptonshire</w:t>
            </w:r>
          </w:p>
        </w:tc>
      </w:tr>
      <w:tr w:rsidR="00F115BD" w:rsidRPr="00FA4C3E" w14:paraId="2DAF5129" w14:textId="77777777" w:rsidTr="006660EE">
        <w:tc>
          <w:tcPr>
            <w:tcW w:w="3865" w:type="dxa"/>
            <w:shd w:val="clear" w:color="auto" w:fill="auto"/>
          </w:tcPr>
          <w:p w14:paraId="474235E9" w14:textId="77777777" w:rsidR="00F115BD" w:rsidRPr="00FA4C3E" w:rsidRDefault="00F115BD" w:rsidP="0062565E">
            <w:pPr>
              <w:rPr>
                <w:rFonts w:cs="Arial"/>
                <w:b/>
                <w:sz w:val="24"/>
                <w:szCs w:val="24"/>
              </w:rPr>
            </w:pPr>
            <w:r w:rsidRPr="00FA4C3E">
              <w:rPr>
                <w:rFonts w:cs="Arial"/>
                <w:b/>
                <w:sz w:val="24"/>
                <w:szCs w:val="24"/>
              </w:rPr>
              <w:t>The treatment of inflation and interest rates</w:t>
            </w:r>
          </w:p>
        </w:tc>
        <w:tc>
          <w:tcPr>
            <w:tcW w:w="5763" w:type="dxa"/>
            <w:shd w:val="clear" w:color="auto" w:fill="auto"/>
          </w:tcPr>
          <w:p w14:paraId="4A80DD8B" w14:textId="77777777" w:rsidR="00EF7D33" w:rsidRPr="00FA4C3E" w:rsidRDefault="00EF7D33" w:rsidP="00EF7D33">
            <w:pPr>
              <w:spacing w:line="240" w:lineRule="auto"/>
              <w:rPr>
                <w:rFonts w:eastAsia="Times New Roman" w:cs="Calibri"/>
                <w:sz w:val="24"/>
                <w:szCs w:val="24"/>
              </w:rPr>
            </w:pPr>
            <w:r w:rsidRPr="00FA4C3E">
              <w:rPr>
                <w:rFonts w:eastAsia="Times New Roman" w:cs="Calibri"/>
                <w:sz w:val="24"/>
                <w:szCs w:val="24"/>
              </w:rPr>
              <w:t>Northamptonshire makes full and appropriate provision for pay and price increases, informed by benchmarking with peers.</w:t>
            </w:r>
          </w:p>
          <w:p w14:paraId="4CC009FE" w14:textId="77777777" w:rsidR="00EF7D33" w:rsidRPr="00FA4C3E" w:rsidRDefault="00EF7D33" w:rsidP="00EF7D33">
            <w:pPr>
              <w:spacing w:line="240" w:lineRule="auto"/>
              <w:rPr>
                <w:rFonts w:eastAsia="Times New Roman" w:cs="Calibri"/>
                <w:sz w:val="24"/>
                <w:szCs w:val="24"/>
              </w:rPr>
            </w:pPr>
          </w:p>
          <w:p w14:paraId="7E4C2FB5" w14:textId="013FF69D" w:rsidR="00EF7D33" w:rsidRPr="00FA4C3E" w:rsidRDefault="00EF7D33" w:rsidP="00EF7D33">
            <w:pPr>
              <w:spacing w:line="240" w:lineRule="auto"/>
              <w:rPr>
                <w:rFonts w:eastAsia="Times New Roman" w:cs="Calibri"/>
                <w:sz w:val="24"/>
                <w:szCs w:val="24"/>
              </w:rPr>
            </w:pPr>
            <w:r w:rsidRPr="00FA4C3E">
              <w:rPr>
                <w:rFonts w:eastAsia="Times New Roman" w:cs="Calibri"/>
                <w:sz w:val="24"/>
                <w:szCs w:val="24"/>
              </w:rPr>
              <w:t>An informed assessment is made in the Treasury Management Strategy of interest rate movements</w:t>
            </w:r>
            <w:r w:rsidR="00D11700" w:rsidRPr="00FA4C3E">
              <w:rPr>
                <w:rFonts w:eastAsia="Times New Roman" w:cs="Calibri"/>
                <w:sz w:val="24"/>
                <w:szCs w:val="24"/>
              </w:rPr>
              <w:t>, backed up by professional independent advice.</w:t>
            </w:r>
          </w:p>
          <w:p w14:paraId="4BCF3C2C" w14:textId="77777777" w:rsidR="00EF7D33" w:rsidRPr="00FA4C3E" w:rsidRDefault="00EF7D33" w:rsidP="00EF7D33">
            <w:pPr>
              <w:spacing w:line="240" w:lineRule="auto"/>
              <w:rPr>
                <w:rFonts w:eastAsia="Times New Roman" w:cs="Calibri"/>
                <w:sz w:val="24"/>
                <w:szCs w:val="24"/>
              </w:rPr>
            </w:pPr>
          </w:p>
          <w:p w14:paraId="684442EB" w14:textId="77777777" w:rsidR="00EF7D33" w:rsidRPr="00FA4C3E" w:rsidRDefault="00EF7D33" w:rsidP="00EF7D33">
            <w:pPr>
              <w:spacing w:line="240" w:lineRule="auto"/>
              <w:rPr>
                <w:rFonts w:eastAsia="Times New Roman" w:cs="Calibri"/>
                <w:sz w:val="24"/>
                <w:szCs w:val="24"/>
              </w:rPr>
            </w:pPr>
            <w:r w:rsidRPr="00FA4C3E">
              <w:rPr>
                <w:rFonts w:eastAsia="Times New Roman" w:cs="Calibri"/>
                <w:sz w:val="24"/>
                <w:szCs w:val="24"/>
              </w:rPr>
              <w:t xml:space="preserve">All income and expenditure in the budget </w:t>
            </w:r>
            <w:proofErr w:type="gramStart"/>
            <w:r w:rsidRPr="00FA4C3E">
              <w:rPr>
                <w:rFonts w:eastAsia="Times New Roman" w:cs="Calibri"/>
                <w:sz w:val="24"/>
                <w:szCs w:val="24"/>
              </w:rPr>
              <w:t>is</w:t>
            </w:r>
            <w:proofErr w:type="gramEnd"/>
            <w:r w:rsidRPr="00FA4C3E">
              <w:rPr>
                <w:rFonts w:eastAsia="Times New Roman" w:cs="Calibri"/>
                <w:sz w:val="24"/>
                <w:szCs w:val="24"/>
              </w:rPr>
              <w:t xml:space="preserve"> prepared and published at outturn prices.</w:t>
            </w:r>
          </w:p>
          <w:p w14:paraId="1DC81088" w14:textId="77777777" w:rsidR="00EF7D33" w:rsidRPr="00FA4C3E" w:rsidRDefault="00EF7D33" w:rsidP="00EF7D33">
            <w:pPr>
              <w:spacing w:line="240" w:lineRule="auto"/>
              <w:rPr>
                <w:rFonts w:eastAsia="Times New Roman" w:cs="Calibri"/>
                <w:sz w:val="24"/>
                <w:szCs w:val="24"/>
              </w:rPr>
            </w:pPr>
          </w:p>
          <w:p w14:paraId="1F2EFF1C" w14:textId="77777777" w:rsidR="00EF7D33" w:rsidRPr="00FA4C3E" w:rsidRDefault="00EF7D33" w:rsidP="00EF7D33">
            <w:pPr>
              <w:spacing w:line="240" w:lineRule="auto"/>
              <w:rPr>
                <w:rFonts w:eastAsia="Times New Roman" w:cs="Calibri"/>
                <w:sz w:val="24"/>
                <w:szCs w:val="24"/>
              </w:rPr>
            </w:pPr>
            <w:r w:rsidRPr="00FA4C3E">
              <w:rPr>
                <w:rFonts w:eastAsia="Times New Roman" w:cs="Calibri"/>
                <w:sz w:val="24"/>
                <w:szCs w:val="24"/>
              </w:rPr>
              <w:t>Additionally, there are operational and inflation contingencies to mitigate any volatility during the year.</w:t>
            </w:r>
          </w:p>
          <w:p w14:paraId="23848356" w14:textId="5B14DD76" w:rsidR="00F115BD" w:rsidRPr="00FA4C3E" w:rsidRDefault="00F115BD" w:rsidP="006660EE">
            <w:pPr>
              <w:rPr>
                <w:rFonts w:cs="Arial"/>
                <w:sz w:val="24"/>
                <w:szCs w:val="24"/>
              </w:rPr>
            </w:pPr>
          </w:p>
        </w:tc>
      </w:tr>
      <w:tr w:rsidR="00F115BD" w:rsidRPr="00FA4C3E" w14:paraId="2F4C521C" w14:textId="77777777" w:rsidTr="006660EE">
        <w:tc>
          <w:tcPr>
            <w:tcW w:w="3865" w:type="dxa"/>
            <w:shd w:val="clear" w:color="auto" w:fill="auto"/>
          </w:tcPr>
          <w:p w14:paraId="39C96058" w14:textId="77777777" w:rsidR="00F115BD" w:rsidRPr="00FA4C3E" w:rsidRDefault="00F115BD" w:rsidP="0062565E">
            <w:pPr>
              <w:rPr>
                <w:rFonts w:cs="Arial"/>
                <w:b/>
                <w:sz w:val="24"/>
                <w:szCs w:val="24"/>
              </w:rPr>
            </w:pPr>
            <w:r w:rsidRPr="00FA4C3E">
              <w:rPr>
                <w:rFonts w:cs="Arial"/>
                <w:b/>
                <w:sz w:val="24"/>
                <w:szCs w:val="24"/>
              </w:rPr>
              <w:t>Estimates of the level and timing of capital receipts</w:t>
            </w:r>
          </w:p>
        </w:tc>
        <w:tc>
          <w:tcPr>
            <w:tcW w:w="5763" w:type="dxa"/>
            <w:shd w:val="clear" w:color="auto" w:fill="auto"/>
          </w:tcPr>
          <w:p w14:paraId="74FEC54D" w14:textId="4F44F591" w:rsidR="00EF7D33" w:rsidRPr="00FA4C3E" w:rsidRDefault="00EF7D33" w:rsidP="00EF7D33">
            <w:pPr>
              <w:spacing w:line="240" w:lineRule="auto"/>
              <w:rPr>
                <w:rFonts w:eastAsia="Times New Roman" w:cs="Calibri"/>
                <w:sz w:val="24"/>
                <w:szCs w:val="24"/>
              </w:rPr>
            </w:pPr>
            <w:r w:rsidRPr="00FA4C3E">
              <w:rPr>
                <w:rFonts w:eastAsia="Times New Roman" w:cs="Calibri"/>
                <w:sz w:val="24"/>
                <w:szCs w:val="24"/>
              </w:rPr>
              <w:t>Northamptonshire has reviewed its estates strategy as a fundamental part of the capital programme and has made a prudent assumption of future capital receipts across the programme which are being used to fund capital expenditure and minimise the impact of borrowing on the budget.</w:t>
            </w:r>
          </w:p>
          <w:p w14:paraId="5E20E70A" w14:textId="1BA0703E" w:rsidR="00F115BD" w:rsidRPr="00FA4C3E" w:rsidRDefault="00F115BD" w:rsidP="006660EE">
            <w:pPr>
              <w:rPr>
                <w:rFonts w:cs="Arial"/>
                <w:b/>
                <w:sz w:val="24"/>
                <w:szCs w:val="24"/>
              </w:rPr>
            </w:pPr>
          </w:p>
        </w:tc>
      </w:tr>
      <w:tr w:rsidR="00F115BD" w:rsidRPr="00FA4C3E" w14:paraId="2E61D819" w14:textId="77777777" w:rsidTr="006660EE">
        <w:tc>
          <w:tcPr>
            <w:tcW w:w="3865" w:type="dxa"/>
            <w:shd w:val="clear" w:color="auto" w:fill="auto"/>
          </w:tcPr>
          <w:p w14:paraId="1DF6D018" w14:textId="77777777" w:rsidR="00F115BD" w:rsidRPr="00FA4C3E" w:rsidRDefault="00F115BD" w:rsidP="0062565E">
            <w:pPr>
              <w:rPr>
                <w:rFonts w:cs="Arial"/>
                <w:b/>
                <w:sz w:val="24"/>
                <w:szCs w:val="24"/>
              </w:rPr>
            </w:pPr>
            <w:r w:rsidRPr="00FA4C3E">
              <w:rPr>
                <w:rFonts w:cs="Arial"/>
                <w:b/>
                <w:sz w:val="24"/>
                <w:szCs w:val="24"/>
              </w:rPr>
              <w:t>The treatment of demand led pressures</w:t>
            </w:r>
          </w:p>
        </w:tc>
        <w:tc>
          <w:tcPr>
            <w:tcW w:w="5763" w:type="dxa"/>
            <w:shd w:val="clear" w:color="auto" w:fill="auto"/>
          </w:tcPr>
          <w:p w14:paraId="2099ECFB" w14:textId="77777777" w:rsidR="00F115BD" w:rsidRPr="00FA4C3E" w:rsidRDefault="00F115BD" w:rsidP="0062565E">
            <w:pPr>
              <w:rPr>
                <w:rFonts w:cs="Arial"/>
                <w:sz w:val="24"/>
                <w:szCs w:val="24"/>
              </w:rPr>
            </w:pPr>
            <w:r w:rsidRPr="00FA4C3E">
              <w:rPr>
                <w:rFonts w:cs="Arial"/>
                <w:sz w:val="24"/>
                <w:szCs w:val="24"/>
              </w:rPr>
              <w:t>NCFRA is required to operate and manage within its annual budget allocation.</w:t>
            </w:r>
          </w:p>
          <w:p w14:paraId="3AC1725B" w14:textId="77777777" w:rsidR="00D245EF" w:rsidRPr="00FA4C3E" w:rsidRDefault="00D245EF" w:rsidP="0062565E">
            <w:pPr>
              <w:rPr>
                <w:rFonts w:cs="Arial"/>
                <w:sz w:val="24"/>
                <w:szCs w:val="24"/>
              </w:rPr>
            </w:pPr>
          </w:p>
          <w:p w14:paraId="471E01A4" w14:textId="5F3877F8" w:rsidR="00F115BD" w:rsidRPr="00FA4C3E" w:rsidRDefault="00F115BD" w:rsidP="0062565E">
            <w:pPr>
              <w:rPr>
                <w:rFonts w:cs="Arial"/>
                <w:sz w:val="24"/>
                <w:szCs w:val="24"/>
              </w:rPr>
            </w:pPr>
            <w:r w:rsidRPr="00FA4C3E">
              <w:rPr>
                <w:rFonts w:cs="Arial"/>
                <w:sz w:val="24"/>
                <w:szCs w:val="24"/>
              </w:rPr>
              <w:t xml:space="preserve">All budgets except </w:t>
            </w:r>
            <w:r w:rsidR="008671C8" w:rsidRPr="00FA4C3E">
              <w:rPr>
                <w:rFonts w:cs="Arial"/>
                <w:sz w:val="24"/>
                <w:szCs w:val="24"/>
              </w:rPr>
              <w:t xml:space="preserve">firefighters </w:t>
            </w:r>
            <w:r w:rsidRPr="00FA4C3E">
              <w:rPr>
                <w:rFonts w:cs="Arial"/>
                <w:sz w:val="24"/>
                <w:szCs w:val="24"/>
              </w:rPr>
              <w:t>are devolved and managed by trained budget holders.</w:t>
            </w:r>
          </w:p>
          <w:p w14:paraId="64372C3B" w14:textId="77777777" w:rsidR="00D245EF" w:rsidRPr="00FA4C3E" w:rsidRDefault="00D245EF" w:rsidP="0062565E">
            <w:pPr>
              <w:rPr>
                <w:rFonts w:cs="Arial"/>
                <w:sz w:val="24"/>
                <w:szCs w:val="24"/>
              </w:rPr>
            </w:pPr>
          </w:p>
          <w:p w14:paraId="4185A42C" w14:textId="77777777" w:rsidR="00F115BD" w:rsidRPr="00FA4C3E" w:rsidRDefault="00F115BD" w:rsidP="0062565E">
            <w:pPr>
              <w:rPr>
                <w:rFonts w:cs="Arial"/>
                <w:sz w:val="24"/>
                <w:szCs w:val="24"/>
              </w:rPr>
            </w:pPr>
            <w:r w:rsidRPr="00FA4C3E">
              <w:rPr>
                <w:rFonts w:cs="Arial"/>
                <w:sz w:val="24"/>
                <w:szCs w:val="24"/>
              </w:rPr>
              <w:t xml:space="preserve">On an exceptional basis, agreement of the PFCC is given to utilise carry forwards to meet one off demand led pressures. </w:t>
            </w:r>
          </w:p>
          <w:p w14:paraId="6DFA0F53" w14:textId="77777777" w:rsidR="00D245EF" w:rsidRPr="00FA4C3E" w:rsidRDefault="00D245EF" w:rsidP="0062565E">
            <w:pPr>
              <w:rPr>
                <w:rFonts w:cs="Arial"/>
                <w:sz w:val="24"/>
                <w:szCs w:val="24"/>
              </w:rPr>
            </w:pPr>
          </w:p>
          <w:p w14:paraId="4DE44BBA" w14:textId="38298757" w:rsidR="00F115BD" w:rsidRPr="00FA4C3E" w:rsidRDefault="00F115BD" w:rsidP="0062565E">
            <w:pPr>
              <w:rPr>
                <w:rFonts w:cs="Arial"/>
                <w:sz w:val="24"/>
                <w:szCs w:val="24"/>
              </w:rPr>
            </w:pPr>
            <w:r w:rsidRPr="00FA4C3E">
              <w:rPr>
                <w:rFonts w:cs="Arial"/>
                <w:sz w:val="24"/>
                <w:szCs w:val="24"/>
              </w:rPr>
              <w:t xml:space="preserve">Demand led pressures are scrutinised and built into the budget on zero based budget principles. </w:t>
            </w:r>
            <w:r w:rsidR="00935736" w:rsidRPr="00FA4C3E">
              <w:rPr>
                <w:rFonts w:cs="Arial"/>
                <w:sz w:val="24"/>
                <w:szCs w:val="24"/>
              </w:rPr>
              <w:t xml:space="preserve"> </w:t>
            </w:r>
            <w:r w:rsidRPr="00FA4C3E">
              <w:rPr>
                <w:rFonts w:cs="Arial"/>
                <w:sz w:val="24"/>
                <w:szCs w:val="24"/>
              </w:rPr>
              <w:t>An agreed budget for Fire is set by the PFCC.</w:t>
            </w:r>
          </w:p>
          <w:p w14:paraId="6066D6FB" w14:textId="77777777" w:rsidR="00D245EF" w:rsidRPr="00FA4C3E" w:rsidRDefault="00D245EF" w:rsidP="0062565E">
            <w:pPr>
              <w:rPr>
                <w:rFonts w:cs="Arial"/>
                <w:sz w:val="24"/>
                <w:szCs w:val="24"/>
              </w:rPr>
            </w:pPr>
          </w:p>
          <w:p w14:paraId="11F57396" w14:textId="38AA9293" w:rsidR="00F115BD" w:rsidRPr="00FA4C3E" w:rsidRDefault="00F115BD" w:rsidP="0062565E">
            <w:pPr>
              <w:rPr>
                <w:rFonts w:cs="Arial"/>
                <w:sz w:val="24"/>
                <w:szCs w:val="24"/>
              </w:rPr>
            </w:pPr>
            <w:r w:rsidRPr="00FA4C3E">
              <w:rPr>
                <w:rFonts w:cs="Arial"/>
                <w:sz w:val="24"/>
                <w:szCs w:val="24"/>
              </w:rPr>
              <w:t>The PFCC is keen to ensure that NCFRA continue to identify efficiencies where it makes sense to do so, and a</w:t>
            </w:r>
            <w:r w:rsidR="00935736" w:rsidRPr="00FA4C3E">
              <w:rPr>
                <w:rFonts w:cs="Arial"/>
                <w:sz w:val="24"/>
                <w:szCs w:val="24"/>
              </w:rPr>
              <w:t>n</w:t>
            </w:r>
            <w:r w:rsidRPr="00FA4C3E">
              <w:rPr>
                <w:rFonts w:cs="Arial"/>
                <w:sz w:val="24"/>
                <w:szCs w:val="24"/>
              </w:rPr>
              <w:t xml:space="preserve"> efficiency target is set as part of the budget and MTFP and detailed within the annual strategic outcomes agreed with the Chief Fire Officer. </w:t>
            </w:r>
          </w:p>
          <w:p w14:paraId="42B482BD" w14:textId="77777777" w:rsidR="00D245EF" w:rsidRPr="00FA4C3E" w:rsidRDefault="00D245EF" w:rsidP="0062565E">
            <w:pPr>
              <w:rPr>
                <w:rFonts w:cs="Arial"/>
                <w:sz w:val="24"/>
                <w:szCs w:val="24"/>
              </w:rPr>
            </w:pPr>
          </w:p>
          <w:p w14:paraId="105FF2B9" w14:textId="77777777" w:rsidR="00F115BD" w:rsidRPr="00FA4C3E" w:rsidRDefault="00F115BD" w:rsidP="0062565E">
            <w:pPr>
              <w:rPr>
                <w:rFonts w:cs="Arial"/>
                <w:sz w:val="24"/>
                <w:szCs w:val="24"/>
              </w:rPr>
            </w:pPr>
            <w:r w:rsidRPr="00FA4C3E">
              <w:rPr>
                <w:rFonts w:cs="Arial"/>
                <w:sz w:val="24"/>
                <w:szCs w:val="24"/>
              </w:rPr>
              <w:lastRenderedPageBreak/>
              <w:t>Depending on funding availability, the PFCC has and will continue to support investment in areas that reduce demand, or which increase efficiency/capacity to deal with demand.</w:t>
            </w:r>
          </w:p>
          <w:p w14:paraId="35208764" w14:textId="77777777" w:rsidR="00D245EF" w:rsidRPr="00FA4C3E" w:rsidRDefault="00D245EF" w:rsidP="0062565E">
            <w:pPr>
              <w:rPr>
                <w:rFonts w:cs="Arial"/>
                <w:sz w:val="24"/>
                <w:szCs w:val="24"/>
              </w:rPr>
            </w:pPr>
          </w:p>
          <w:p w14:paraId="08CA2490" w14:textId="77777777" w:rsidR="00F115BD" w:rsidRPr="00FA4C3E" w:rsidRDefault="0081263C" w:rsidP="006660EE">
            <w:pPr>
              <w:rPr>
                <w:rFonts w:cs="Arial"/>
                <w:sz w:val="24"/>
                <w:szCs w:val="24"/>
              </w:rPr>
            </w:pPr>
            <w:r w:rsidRPr="00FA4C3E">
              <w:rPr>
                <w:rFonts w:cs="Arial"/>
                <w:sz w:val="24"/>
                <w:szCs w:val="24"/>
              </w:rPr>
              <w:t>General reserve</w:t>
            </w:r>
            <w:r w:rsidR="00F115BD" w:rsidRPr="00FA4C3E">
              <w:rPr>
                <w:rFonts w:cs="Arial"/>
                <w:sz w:val="24"/>
                <w:szCs w:val="24"/>
              </w:rPr>
              <w:t>s are used as a last resort to manage and fund demand led pressures.</w:t>
            </w:r>
          </w:p>
          <w:p w14:paraId="44E55E5C" w14:textId="05376999" w:rsidR="00D245EF" w:rsidRPr="00FA4C3E" w:rsidRDefault="00D245EF" w:rsidP="006660EE">
            <w:pPr>
              <w:rPr>
                <w:rFonts w:cs="Arial"/>
                <w:sz w:val="24"/>
                <w:szCs w:val="24"/>
              </w:rPr>
            </w:pPr>
          </w:p>
        </w:tc>
      </w:tr>
      <w:tr w:rsidR="00F115BD" w:rsidRPr="00FA4C3E" w14:paraId="50E5DE70" w14:textId="77777777" w:rsidTr="006660EE">
        <w:tc>
          <w:tcPr>
            <w:tcW w:w="3865" w:type="dxa"/>
            <w:shd w:val="clear" w:color="auto" w:fill="auto"/>
          </w:tcPr>
          <w:p w14:paraId="7AAC0767" w14:textId="77777777" w:rsidR="00F115BD" w:rsidRPr="00FA4C3E" w:rsidRDefault="00F115BD" w:rsidP="0062565E">
            <w:pPr>
              <w:rPr>
                <w:rFonts w:cs="Arial"/>
                <w:b/>
                <w:sz w:val="24"/>
                <w:szCs w:val="24"/>
              </w:rPr>
            </w:pPr>
            <w:r w:rsidRPr="00FA4C3E">
              <w:rPr>
                <w:rFonts w:cs="Arial"/>
                <w:b/>
                <w:sz w:val="24"/>
                <w:szCs w:val="24"/>
              </w:rPr>
              <w:lastRenderedPageBreak/>
              <w:t>The treatment of Planned Efficiency Savings/Productivity Gains</w:t>
            </w:r>
          </w:p>
        </w:tc>
        <w:tc>
          <w:tcPr>
            <w:tcW w:w="5763" w:type="dxa"/>
            <w:shd w:val="clear" w:color="auto" w:fill="auto"/>
          </w:tcPr>
          <w:p w14:paraId="086D0655" w14:textId="52031C5C" w:rsidR="00F115BD" w:rsidRPr="00FA4C3E" w:rsidRDefault="00F115BD" w:rsidP="0062565E">
            <w:pPr>
              <w:rPr>
                <w:rFonts w:cs="Arial"/>
                <w:sz w:val="24"/>
                <w:szCs w:val="24"/>
              </w:rPr>
            </w:pPr>
            <w:r w:rsidRPr="00FA4C3E">
              <w:rPr>
                <w:rFonts w:cs="Arial"/>
                <w:sz w:val="24"/>
                <w:szCs w:val="24"/>
              </w:rPr>
              <w:t xml:space="preserve">In the </w:t>
            </w:r>
            <w:r w:rsidR="00711974" w:rsidRPr="00FA4C3E">
              <w:rPr>
                <w:rFonts w:cs="Arial"/>
                <w:sz w:val="24"/>
                <w:szCs w:val="24"/>
              </w:rPr>
              <w:t xml:space="preserve">first few </w:t>
            </w:r>
            <w:r w:rsidRPr="00FA4C3E">
              <w:rPr>
                <w:rFonts w:cs="Arial"/>
                <w:sz w:val="24"/>
                <w:szCs w:val="24"/>
              </w:rPr>
              <w:t xml:space="preserve">years post </w:t>
            </w:r>
            <w:r w:rsidR="00EF7D33" w:rsidRPr="00FA4C3E">
              <w:rPr>
                <w:rFonts w:cs="Arial"/>
                <w:sz w:val="24"/>
                <w:szCs w:val="24"/>
              </w:rPr>
              <w:t xml:space="preserve">governance </w:t>
            </w:r>
            <w:r w:rsidRPr="00FA4C3E">
              <w:rPr>
                <w:rFonts w:cs="Arial"/>
                <w:sz w:val="24"/>
                <w:szCs w:val="24"/>
              </w:rPr>
              <w:t xml:space="preserve">transfer, NCFRA has underspent each year and used the opportunity to increase </w:t>
            </w:r>
            <w:r w:rsidR="0081263C" w:rsidRPr="00FA4C3E">
              <w:rPr>
                <w:rFonts w:cs="Arial"/>
                <w:sz w:val="24"/>
                <w:szCs w:val="24"/>
              </w:rPr>
              <w:t>reserve</w:t>
            </w:r>
            <w:r w:rsidRPr="00FA4C3E">
              <w:rPr>
                <w:rFonts w:cs="Arial"/>
                <w:sz w:val="24"/>
                <w:szCs w:val="24"/>
              </w:rPr>
              <w:t xml:space="preserve">s as a result. </w:t>
            </w:r>
            <w:r w:rsidR="00EF7D33" w:rsidRPr="00FA4C3E">
              <w:rPr>
                <w:rFonts w:cs="Arial"/>
                <w:sz w:val="24"/>
                <w:szCs w:val="24"/>
              </w:rPr>
              <w:t xml:space="preserve"> </w:t>
            </w:r>
            <w:r w:rsidR="00935736" w:rsidRPr="00FA4C3E">
              <w:rPr>
                <w:rFonts w:cs="Arial"/>
                <w:sz w:val="24"/>
                <w:szCs w:val="24"/>
              </w:rPr>
              <w:t>Each</w:t>
            </w:r>
            <w:r w:rsidRPr="00FA4C3E">
              <w:rPr>
                <w:rFonts w:cs="Arial"/>
                <w:sz w:val="24"/>
                <w:szCs w:val="24"/>
              </w:rPr>
              <w:t xml:space="preserve"> financial year is more challenging, but it is forecast the budget will be balanced with a minimal use of </w:t>
            </w:r>
            <w:r w:rsidR="0081263C" w:rsidRPr="00FA4C3E">
              <w:rPr>
                <w:rFonts w:cs="Arial"/>
                <w:sz w:val="24"/>
                <w:szCs w:val="24"/>
              </w:rPr>
              <w:t>reserve</w:t>
            </w:r>
            <w:r w:rsidRPr="00FA4C3E">
              <w:rPr>
                <w:rFonts w:cs="Arial"/>
                <w:sz w:val="24"/>
                <w:szCs w:val="24"/>
              </w:rPr>
              <w:t>s.</w:t>
            </w:r>
          </w:p>
          <w:p w14:paraId="208D61A0" w14:textId="77777777" w:rsidR="00EF7D33" w:rsidRPr="00FA4C3E" w:rsidRDefault="00EF7D33" w:rsidP="0062565E">
            <w:pPr>
              <w:rPr>
                <w:rFonts w:cs="Arial"/>
                <w:sz w:val="24"/>
                <w:szCs w:val="24"/>
              </w:rPr>
            </w:pPr>
          </w:p>
          <w:p w14:paraId="3B383FC9" w14:textId="77777777" w:rsidR="00F115BD" w:rsidRPr="00FA4C3E" w:rsidRDefault="00F115BD" w:rsidP="006660EE">
            <w:pPr>
              <w:rPr>
                <w:rFonts w:cs="Arial"/>
                <w:sz w:val="24"/>
                <w:szCs w:val="24"/>
              </w:rPr>
            </w:pPr>
            <w:r w:rsidRPr="00FA4C3E">
              <w:rPr>
                <w:rFonts w:cs="Arial"/>
                <w:sz w:val="24"/>
                <w:szCs w:val="24"/>
              </w:rPr>
              <w:t>There is a savings plan aligned to the MTFP and any identified savings and efficiencies from service or governance transfers will be monitored and reviewed regularly by the service and are only included as achieved in budgets when confirmed and verified.</w:t>
            </w:r>
          </w:p>
          <w:p w14:paraId="4651F30C" w14:textId="65F1B26D" w:rsidR="00EF7D33" w:rsidRPr="00FA4C3E" w:rsidRDefault="00EF7D33" w:rsidP="006660EE">
            <w:pPr>
              <w:rPr>
                <w:rFonts w:cs="Arial"/>
                <w:sz w:val="24"/>
                <w:szCs w:val="24"/>
              </w:rPr>
            </w:pPr>
          </w:p>
        </w:tc>
      </w:tr>
      <w:tr w:rsidR="00F115BD" w:rsidRPr="00FA4C3E" w14:paraId="0B87C3CD" w14:textId="77777777" w:rsidTr="006660EE">
        <w:tc>
          <w:tcPr>
            <w:tcW w:w="3865" w:type="dxa"/>
            <w:shd w:val="clear" w:color="auto" w:fill="auto"/>
          </w:tcPr>
          <w:p w14:paraId="1D9348AE" w14:textId="77777777" w:rsidR="00F115BD" w:rsidRPr="00FA4C3E" w:rsidRDefault="00F115BD" w:rsidP="0062565E">
            <w:pPr>
              <w:rPr>
                <w:rFonts w:cs="Arial"/>
                <w:b/>
                <w:sz w:val="24"/>
                <w:szCs w:val="24"/>
              </w:rPr>
            </w:pPr>
            <w:r w:rsidRPr="00FA4C3E">
              <w:rPr>
                <w:rFonts w:cs="Arial"/>
                <w:b/>
                <w:sz w:val="24"/>
                <w:szCs w:val="24"/>
              </w:rPr>
              <w:t>The financial risks inherent in any significant new funding partnerships, collaboration, major outsourcing arrangements or major capital developments.</w:t>
            </w:r>
          </w:p>
        </w:tc>
        <w:tc>
          <w:tcPr>
            <w:tcW w:w="5763" w:type="dxa"/>
            <w:shd w:val="clear" w:color="auto" w:fill="auto"/>
          </w:tcPr>
          <w:p w14:paraId="3E882493" w14:textId="77777777" w:rsidR="00EF7D33" w:rsidRPr="00FA4C3E" w:rsidRDefault="00EF7D33" w:rsidP="00711974">
            <w:pPr>
              <w:rPr>
                <w:rFonts w:cs="Arial"/>
                <w:sz w:val="24"/>
                <w:szCs w:val="24"/>
              </w:rPr>
            </w:pPr>
            <w:r w:rsidRPr="00FA4C3E">
              <w:rPr>
                <w:rFonts w:cs="Arial"/>
                <w:sz w:val="24"/>
                <w:szCs w:val="24"/>
              </w:rPr>
              <w:t>The financial consequences of partnership collaboration working outsourcing arrangements or capital investment are reported to the PFCC as part of the medium-term planning process.  Where relevant, any additional costs are incorporated into the annual revenue budget and/or capital programme.</w:t>
            </w:r>
          </w:p>
          <w:p w14:paraId="07EFE80F" w14:textId="77777777" w:rsidR="00EF7D33" w:rsidRPr="00FA4C3E" w:rsidRDefault="00EF7D33" w:rsidP="00711974">
            <w:pPr>
              <w:rPr>
                <w:rFonts w:cs="Arial"/>
                <w:sz w:val="24"/>
                <w:szCs w:val="24"/>
              </w:rPr>
            </w:pPr>
          </w:p>
          <w:p w14:paraId="19A633F6" w14:textId="77777777" w:rsidR="00EF7D33" w:rsidRPr="00FA4C3E" w:rsidRDefault="00EF7D33" w:rsidP="00711974">
            <w:pPr>
              <w:rPr>
                <w:rFonts w:cs="Arial"/>
                <w:sz w:val="24"/>
                <w:szCs w:val="24"/>
              </w:rPr>
            </w:pPr>
            <w:r w:rsidRPr="00FA4C3E">
              <w:rPr>
                <w:rFonts w:cs="Arial"/>
                <w:sz w:val="24"/>
                <w:szCs w:val="24"/>
              </w:rPr>
              <w:t xml:space="preserve">There is a risk that partners will withdraw funding as their own budgets are squeezed, or that the continued viability of private sector commercial partners will be exposed to risk in the face of an economic recession. </w:t>
            </w:r>
          </w:p>
          <w:p w14:paraId="116284A7" w14:textId="172D5DD5" w:rsidR="00EF7D33" w:rsidRPr="00FA4C3E" w:rsidRDefault="00EF7D33" w:rsidP="006660EE">
            <w:pPr>
              <w:rPr>
                <w:rFonts w:cs="Arial"/>
                <w:sz w:val="24"/>
                <w:szCs w:val="24"/>
              </w:rPr>
            </w:pPr>
          </w:p>
        </w:tc>
      </w:tr>
      <w:tr w:rsidR="00F115BD" w:rsidRPr="00FA4C3E" w14:paraId="184962E0" w14:textId="77777777" w:rsidTr="006660EE">
        <w:tc>
          <w:tcPr>
            <w:tcW w:w="3865" w:type="dxa"/>
            <w:shd w:val="clear" w:color="auto" w:fill="auto"/>
          </w:tcPr>
          <w:p w14:paraId="726F4DBC" w14:textId="393DEC5E" w:rsidR="00F115BD" w:rsidRPr="00FA4C3E" w:rsidRDefault="00F115BD" w:rsidP="0062565E">
            <w:pPr>
              <w:rPr>
                <w:rFonts w:cs="Arial"/>
                <w:b/>
                <w:sz w:val="24"/>
                <w:szCs w:val="24"/>
              </w:rPr>
            </w:pPr>
            <w:r w:rsidRPr="00FA4C3E">
              <w:rPr>
                <w:rFonts w:cs="Arial"/>
                <w:b/>
                <w:sz w:val="24"/>
                <w:szCs w:val="24"/>
              </w:rPr>
              <w:t xml:space="preserve">The availability of </w:t>
            </w:r>
            <w:r w:rsidR="0081263C" w:rsidRPr="00FA4C3E">
              <w:rPr>
                <w:rFonts w:cs="Arial"/>
                <w:b/>
                <w:sz w:val="24"/>
                <w:szCs w:val="24"/>
              </w:rPr>
              <w:t>reserve</w:t>
            </w:r>
            <w:r w:rsidRPr="00FA4C3E">
              <w:rPr>
                <w:rFonts w:cs="Arial"/>
                <w:b/>
                <w:sz w:val="24"/>
                <w:szCs w:val="24"/>
              </w:rPr>
              <w:t>s, government grants and other funds to deal with major contingencies and the adequacy of provisions.</w:t>
            </w:r>
          </w:p>
        </w:tc>
        <w:tc>
          <w:tcPr>
            <w:tcW w:w="5763" w:type="dxa"/>
            <w:shd w:val="clear" w:color="auto" w:fill="auto"/>
          </w:tcPr>
          <w:p w14:paraId="0D861513" w14:textId="6D76F071" w:rsidR="00F115BD" w:rsidRPr="00FA4C3E" w:rsidRDefault="00F115BD" w:rsidP="0062565E">
            <w:pPr>
              <w:rPr>
                <w:rFonts w:cs="Arial"/>
                <w:sz w:val="24"/>
                <w:szCs w:val="24"/>
              </w:rPr>
            </w:pPr>
            <w:r w:rsidRPr="00FA4C3E">
              <w:rPr>
                <w:rFonts w:cs="Arial"/>
                <w:sz w:val="24"/>
                <w:szCs w:val="24"/>
              </w:rPr>
              <w:t xml:space="preserve">NCFRA have built up appropriate </w:t>
            </w:r>
            <w:r w:rsidR="0081263C" w:rsidRPr="00FA4C3E">
              <w:rPr>
                <w:rFonts w:cs="Arial"/>
                <w:sz w:val="24"/>
                <w:szCs w:val="24"/>
              </w:rPr>
              <w:t>reserve</w:t>
            </w:r>
            <w:r w:rsidRPr="00FA4C3E">
              <w:rPr>
                <w:rFonts w:cs="Arial"/>
                <w:sz w:val="24"/>
                <w:szCs w:val="24"/>
              </w:rPr>
              <w:t xml:space="preserve">s from a zero base to build a stable range </w:t>
            </w:r>
            <w:r w:rsidR="0081263C" w:rsidRPr="00FA4C3E">
              <w:rPr>
                <w:rFonts w:cs="Arial"/>
                <w:sz w:val="24"/>
                <w:szCs w:val="24"/>
              </w:rPr>
              <w:t>earmarked reserve</w:t>
            </w:r>
            <w:r w:rsidRPr="00FA4C3E">
              <w:rPr>
                <w:rFonts w:cs="Arial"/>
                <w:sz w:val="24"/>
                <w:szCs w:val="24"/>
              </w:rPr>
              <w:t xml:space="preserve">s and provisions to meet specific expenditure items. </w:t>
            </w:r>
            <w:r w:rsidR="00935736" w:rsidRPr="00FA4C3E">
              <w:rPr>
                <w:rFonts w:cs="Arial"/>
                <w:sz w:val="24"/>
                <w:szCs w:val="24"/>
              </w:rPr>
              <w:t xml:space="preserve"> </w:t>
            </w:r>
            <w:r w:rsidRPr="00FA4C3E">
              <w:rPr>
                <w:rFonts w:cs="Arial"/>
                <w:sz w:val="24"/>
                <w:szCs w:val="24"/>
              </w:rPr>
              <w:t>Their use and balances are detailed in the attached a</w:t>
            </w:r>
            <w:r w:rsidR="000F4427" w:rsidRPr="00FA4C3E">
              <w:rPr>
                <w:rFonts w:cs="Arial"/>
                <w:sz w:val="24"/>
                <w:szCs w:val="24"/>
              </w:rPr>
              <w:t>nne</w:t>
            </w:r>
            <w:r w:rsidRPr="00FA4C3E">
              <w:rPr>
                <w:rFonts w:cs="Arial"/>
                <w:sz w:val="24"/>
                <w:szCs w:val="24"/>
              </w:rPr>
              <w:t>x</w:t>
            </w:r>
            <w:r w:rsidR="000F4427" w:rsidRPr="00FA4C3E">
              <w:rPr>
                <w:rFonts w:cs="Arial"/>
                <w:sz w:val="24"/>
                <w:szCs w:val="24"/>
              </w:rPr>
              <w:t>e</w:t>
            </w:r>
            <w:r w:rsidRPr="00FA4C3E">
              <w:rPr>
                <w:rFonts w:cs="Arial"/>
                <w:sz w:val="24"/>
                <w:szCs w:val="24"/>
              </w:rPr>
              <w:t>.</w:t>
            </w:r>
          </w:p>
          <w:p w14:paraId="35C9ABF8" w14:textId="77777777" w:rsidR="00EF7D33" w:rsidRPr="00FA4C3E" w:rsidRDefault="00EF7D33" w:rsidP="0062565E">
            <w:pPr>
              <w:rPr>
                <w:rFonts w:cs="Arial"/>
                <w:sz w:val="24"/>
                <w:szCs w:val="24"/>
              </w:rPr>
            </w:pPr>
          </w:p>
          <w:p w14:paraId="6BE33F49" w14:textId="77777777" w:rsidR="00F115BD" w:rsidRPr="00FA4C3E" w:rsidRDefault="00F115BD" w:rsidP="0062565E">
            <w:pPr>
              <w:rPr>
                <w:rFonts w:cs="Arial"/>
                <w:sz w:val="24"/>
                <w:szCs w:val="24"/>
              </w:rPr>
            </w:pPr>
            <w:r w:rsidRPr="00FA4C3E">
              <w:rPr>
                <w:rFonts w:cs="Arial"/>
                <w:sz w:val="24"/>
                <w:szCs w:val="24"/>
              </w:rPr>
              <w:t>NCFRA maintain an insurance provision, the adequacy of which is reviewed and monitored in detail by the legal services insurance advisors.</w:t>
            </w:r>
          </w:p>
          <w:p w14:paraId="24E66FB3" w14:textId="77777777" w:rsidR="00711974" w:rsidRPr="00FA4C3E" w:rsidRDefault="00711974" w:rsidP="0062565E">
            <w:pPr>
              <w:rPr>
                <w:rFonts w:cs="Arial"/>
                <w:sz w:val="24"/>
                <w:szCs w:val="24"/>
              </w:rPr>
            </w:pPr>
          </w:p>
          <w:p w14:paraId="1405DF42" w14:textId="77777777" w:rsidR="00F115BD" w:rsidRPr="00FA4C3E" w:rsidRDefault="00F115BD" w:rsidP="006660EE">
            <w:pPr>
              <w:rPr>
                <w:rFonts w:cs="Arial"/>
                <w:sz w:val="24"/>
                <w:szCs w:val="24"/>
              </w:rPr>
            </w:pPr>
            <w:r w:rsidRPr="00FA4C3E">
              <w:rPr>
                <w:rFonts w:cs="Arial"/>
                <w:sz w:val="24"/>
                <w:szCs w:val="24"/>
              </w:rPr>
              <w:t xml:space="preserve">NCFRA continue to </w:t>
            </w:r>
            <w:r w:rsidR="00EF7D33" w:rsidRPr="00FA4C3E">
              <w:rPr>
                <w:rFonts w:cs="Arial"/>
                <w:sz w:val="24"/>
                <w:szCs w:val="24"/>
              </w:rPr>
              <w:t>maintain</w:t>
            </w:r>
            <w:r w:rsidRPr="00FA4C3E">
              <w:rPr>
                <w:rFonts w:cs="Arial"/>
                <w:sz w:val="24"/>
                <w:szCs w:val="24"/>
              </w:rPr>
              <w:t xml:space="preserve"> a </w:t>
            </w:r>
            <w:r w:rsidR="00935736" w:rsidRPr="00FA4C3E">
              <w:rPr>
                <w:rFonts w:cs="Arial"/>
                <w:sz w:val="24"/>
                <w:szCs w:val="24"/>
              </w:rPr>
              <w:t>g</w:t>
            </w:r>
            <w:r w:rsidR="0081263C" w:rsidRPr="00FA4C3E">
              <w:rPr>
                <w:rFonts w:cs="Arial"/>
                <w:sz w:val="24"/>
                <w:szCs w:val="24"/>
              </w:rPr>
              <w:t>eneral reserve</w:t>
            </w:r>
            <w:r w:rsidRPr="00FA4C3E">
              <w:rPr>
                <w:rFonts w:cs="Arial"/>
                <w:sz w:val="24"/>
                <w:szCs w:val="24"/>
              </w:rPr>
              <w:t xml:space="preserve"> to cover any major unforeseen circumstances, supported by </w:t>
            </w:r>
            <w:r w:rsidR="0081263C" w:rsidRPr="00FA4C3E">
              <w:rPr>
                <w:rFonts w:cs="Arial"/>
                <w:sz w:val="24"/>
                <w:szCs w:val="24"/>
              </w:rPr>
              <w:lastRenderedPageBreak/>
              <w:t>earmarked reserve</w:t>
            </w:r>
            <w:r w:rsidRPr="00FA4C3E">
              <w:rPr>
                <w:rFonts w:cs="Arial"/>
                <w:sz w:val="24"/>
                <w:szCs w:val="24"/>
              </w:rPr>
              <w:t xml:space="preserve">s where appropriate to meet targeted investment in a planned manner which does not disproportionately impact on the revenue budget each year.  </w:t>
            </w:r>
          </w:p>
          <w:p w14:paraId="27B2FAB9" w14:textId="58353D0D" w:rsidR="00DE422B" w:rsidRPr="00FA4C3E" w:rsidRDefault="00DE422B" w:rsidP="006660EE">
            <w:pPr>
              <w:rPr>
                <w:rFonts w:cs="Arial"/>
                <w:sz w:val="24"/>
                <w:szCs w:val="24"/>
              </w:rPr>
            </w:pPr>
          </w:p>
        </w:tc>
      </w:tr>
      <w:tr w:rsidR="00F115BD" w:rsidRPr="00FA4C3E" w14:paraId="032F3BCC" w14:textId="77777777" w:rsidTr="006660EE">
        <w:tc>
          <w:tcPr>
            <w:tcW w:w="3865" w:type="dxa"/>
            <w:shd w:val="clear" w:color="auto" w:fill="auto"/>
          </w:tcPr>
          <w:p w14:paraId="5262F2C8" w14:textId="77777777" w:rsidR="00F115BD" w:rsidRPr="00FA4C3E" w:rsidRDefault="00F115BD" w:rsidP="0062565E">
            <w:pPr>
              <w:rPr>
                <w:rFonts w:cs="Arial"/>
                <w:b/>
                <w:sz w:val="24"/>
                <w:szCs w:val="24"/>
              </w:rPr>
            </w:pPr>
            <w:r w:rsidRPr="00FA4C3E">
              <w:rPr>
                <w:rFonts w:cs="Arial"/>
                <w:b/>
                <w:sz w:val="24"/>
                <w:szCs w:val="24"/>
              </w:rPr>
              <w:lastRenderedPageBreak/>
              <w:t>The general financial climate to which the Authority is subject</w:t>
            </w:r>
          </w:p>
        </w:tc>
        <w:tc>
          <w:tcPr>
            <w:tcW w:w="5763" w:type="dxa"/>
            <w:shd w:val="clear" w:color="auto" w:fill="auto"/>
          </w:tcPr>
          <w:p w14:paraId="2F5AA674" w14:textId="7AA7900C" w:rsidR="00935736" w:rsidRPr="00FA4C3E" w:rsidRDefault="00935736" w:rsidP="00935736">
            <w:pPr>
              <w:spacing w:line="240" w:lineRule="auto"/>
              <w:rPr>
                <w:rFonts w:eastAsia="Times New Roman" w:cs="Calibri"/>
                <w:sz w:val="24"/>
                <w:szCs w:val="24"/>
              </w:rPr>
            </w:pPr>
            <w:r w:rsidRPr="00FA4C3E">
              <w:rPr>
                <w:rFonts w:eastAsia="Times New Roman" w:cs="Calibri"/>
                <w:sz w:val="24"/>
                <w:szCs w:val="24"/>
              </w:rPr>
              <w:t xml:space="preserve">It is anticipated that the financial climate will continue to be </w:t>
            </w:r>
            <w:r w:rsidR="00711974" w:rsidRPr="00FA4C3E">
              <w:rPr>
                <w:rFonts w:eastAsia="Times New Roman" w:cs="Calibri"/>
                <w:sz w:val="24"/>
                <w:szCs w:val="24"/>
              </w:rPr>
              <w:t>challenging,</w:t>
            </w:r>
            <w:r w:rsidRPr="00FA4C3E">
              <w:rPr>
                <w:rFonts w:eastAsia="Times New Roman" w:cs="Calibri"/>
                <w:sz w:val="24"/>
                <w:szCs w:val="24"/>
              </w:rPr>
              <w:t xml:space="preserve"> and the medium-term financial plan reflects the “best estimate” of future inflation rates and increases in government grants and contributions.</w:t>
            </w:r>
          </w:p>
          <w:p w14:paraId="43B08376" w14:textId="77777777" w:rsidR="00935736" w:rsidRPr="00FA4C3E" w:rsidRDefault="00935736" w:rsidP="00935736">
            <w:pPr>
              <w:spacing w:line="240" w:lineRule="auto"/>
              <w:rPr>
                <w:rFonts w:eastAsia="Times New Roman" w:cs="Calibri"/>
                <w:sz w:val="24"/>
                <w:szCs w:val="24"/>
              </w:rPr>
            </w:pPr>
          </w:p>
          <w:p w14:paraId="65B01F1B" w14:textId="77777777" w:rsidR="00935736" w:rsidRPr="00FA4C3E" w:rsidRDefault="00935736" w:rsidP="00935736">
            <w:pPr>
              <w:spacing w:line="240" w:lineRule="auto"/>
              <w:rPr>
                <w:rFonts w:eastAsia="Times New Roman" w:cs="Calibri"/>
                <w:sz w:val="24"/>
                <w:szCs w:val="24"/>
              </w:rPr>
            </w:pPr>
            <w:r w:rsidRPr="00FA4C3E">
              <w:rPr>
                <w:rFonts w:eastAsia="Times New Roman" w:cs="Calibri"/>
                <w:sz w:val="24"/>
                <w:szCs w:val="24"/>
              </w:rPr>
              <w:t>The Commercial team keep the authority updated on matters/risks affecting large contracts and supply chain.</w:t>
            </w:r>
          </w:p>
          <w:p w14:paraId="30A63576" w14:textId="77777777" w:rsidR="00935736" w:rsidRPr="00FA4C3E" w:rsidRDefault="00935736" w:rsidP="00935736">
            <w:pPr>
              <w:spacing w:line="240" w:lineRule="auto"/>
              <w:rPr>
                <w:rFonts w:eastAsia="Times New Roman" w:cs="Calibri"/>
                <w:sz w:val="24"/>
                <w:szCs w:val="24"/>
              </w:rPr>
            </w:pPr>
          </w:p>
          <w:p w14:paraId="735DC3DC" w14:textId="77777777" w:rsidR="00935736" w:rsidRPr="00FA4C3E" w:rsidRDefault="00935736" w:rsidP="00935736">
            <w:pPr>
              <w:spacing w:line="240" w:lineRule="auto"/>
              <w:rPr>
                <w:rFonts w:eastAsia="Times New Roman" w:cs="Calibri"/>
                <w:sz w:val="24"/>
                <w:szCs w:val="24"/>
              </w:rPr>
            </w:pPr>
            <w:r w:rsidRPr="00FA4C3E">
              <w:rPr>
                <w:rFonts w:eastAsia="Times New Roman" w:cs="Calibri"/>
                <w:sz w:val="24"/>
                <w:szCs w:val="24"/>
              </w:rPr>
              <w:t>The MTFP will be regularly reviewed and updated to support operational decision making.</w:t>
            </w:r>
          </w:p>
          <w:p w14:paraId="1FCC7EF5" w14:textId="5AB00FCA" w:rsidR="00F115BD" w:rsidRPr="00FA4C3E" w:rsidRDefault="00F115BD" w:rsidP="006660EE">
            <w:pPr>
              <w:rPr>
                <w:rFonts w:cs="Arial"/>
                <w:b/>
                <w:sz w:val="24"/>
                <w:szCs w:val="24"/>
              </w:rPr>
            </w:pPr>
          </w:p>
        </w:tc>
      </w:tr>
    </w:tbl>
    <w:p w14:paraId="4615BCD4" w14:textId="77777777" w:rsidR="00F115BD" w:rsidRPr="00FA4C3E" w:rsidRDefault="00F115BD" w:rsidP="00F115BD">
      <w:pPr>
        <w:jc w:val="center"/>
        <w:rPr>
          <w:b/>
        </w:rPr>
        <w:sectPr w:rsidR="00F115BD" w:rsidRPr="00FA4C3E" w:rsidSect="009B2B7B">
          <w:footerReference w:type="even" r:id="rId9"/>
          <w:footerReference w:type="default" r:id="rId10"/>
          <w:pgSz w:w="11906" w:h="16838" w:code="9"/>
          <w:pgMar w:top="1134" w:right="1134" w:bottom="1134" w:left="1134" w:header="709" w:footer="709" w:gutter="0"/>
          <w:cols w:space="708"/>
          <w:docGrid w:linePitch="360"/>
        </w:sectPr>
      </w:pPr>
    </w:p>
    <w:p w14:paraId="4AF9E1F1" w14:textId="6C3FAECE" w:rsidR="00F115BD" w:rsidRPr="00FA4C3E" w:rsidRDefault="000F4427" w:rsidP="00935736">
      <w:pPr>
        <w:rPr>
          <w:b/>
        </w:rPr>
      </w:pPr>
      <w:r w:rsidRPr="00FA4C3E">
        <w:rPr>
          <w:b/>
        </w:rPr>
        <w:lastRenderedPageBreak/>
        <w:t>Annexe</w:t>
      </w:r>
      <w:r w:rsidR="00F115BD" w:rsidRPr="00FA4C3E">
        <w:rPr>
          <w:b/>
        </w:rPr>
        <w:t xml:space="preserve"> </w:t>
      </w:r>
      <w:r w:rsidRPr="00FA4C3E">
        <w:rPr>
          <w:b/>
        </w:rPr>
        <w:t>2</w:t>
      </w:r>
      <w:r w:rsidR="00F115BD" w:rsidRPr="00FA4C3E">
        <w:rPr>
          <w:b/>
        </w:rPr>
        <w:t xml:space="preserve">        </w:t>
      </w:r>
    </w:p>
    <w:p w14:paraId="778DE121" w14:textId="66F8915A" w:rsidR="00F115BD" w:rsidRPr="00FA4C3E" w:rsidRDefault="0081263C" w:rsidP="00EF3054">
      <w:pPr>
        <w:jc w:val="center"/>
        <w:rPr>
          <w:b/>
          <w:bCs/>
        </w:rPr>
      </w:pPr>
      <w:r w:rsidRPr="00FA4C3E">
        <w:rPr>
          <w:b/>
          <w:bCs/>
        </w:rPr>
        <w:t>RESERVE</w:t>
      </w:r>
      <w:r w:rsidR="00F115BD" w:rsidRPr="00FA4C3E">
        <w:rPr>
          <w:b/>
          <w:bCs/>
        </w:rPr>
        <w:t>S OF THE NORTHAMPTONSHIRE COMMISSIONER FIRE AND RESCUE AUTHORITY</w:t>
      </w:r>
    </w:p>
    <w:p w14:paraId="40D509C0" w14:textId="56671BA8" w:rsidR="00DE422B" w:rsidRPr="00FA4C3E" w:rsidRDefault="00DE422B" w:rsidP="00DE422B">
      <w:pPr>
        <w:spacing w:line="240" w:lineRule="auto"/>
        <w:jc w:val="center"/>
        <w:rPr>
          <w:rFonts w:asciiTheme="minorHAnsi" w:eastAsia="Times New Roman" w:hAnsiTheme="minorHAnsi" w:cstheme="minorHAnsi"/>
          <w:b/>
        </w:rPr>
      </w:pPr>
      <w:r w:rsidRPr="00FA4C3E">
        <w:rPr>
          <w:rFonts w:asciiTheme="minorHAnsi" w:eastAsia="Times New Roman" w:hAnsiTheme="minorHAnsi" w:cstheme="minorHAnsi"/>
          <w:b/>
        </w:rPr>
        <w:t>202</w:t>
      </w:r>
      <w:r w:rsidR="00711974" w:rsidRPr="00FA4C3E">
        <w:rPr>
          <w:rFonts w:asciiTheme="minorHAnsi" w:eastAsia="Times New Roman" w:hAnsiTheme="minorHAnsi" w:cstheme="minorHAnsi"/>
          <w:b/>
        </w:rPr>
        <w:t>6</w:t>
      </w:r>
      <w:r w:rsidRPr="00FA4C3E">
        <w:rPr>
          <w:rFonts w:asciiTheme="minorHAnsi" w:eastAsia="Times New Roman" w:hAnsiTheme="minorHAnsi" w:cstheme="minorHAnsi"/>
          <w:b/>
        </w:rPr>
        <w:t>/2</w:t>
      </w:r>
      <w:r w:rsidR="00711974" w:rsidRPr="00FA4C3E">
        <w:rPr>
          <w:rFonts w:asciiTheme="minorHAnsi" w:eastAsia="Times New Roman" w:hAnsiTheme="minorHAnsi" w:cstheme="minorHAnsi"/>
          <w:b/>
        </w:rPr>
        <w:t>7</w:t>
      </w:r>
      <w:r w:rsidRPr="00FA4C3E">
        <w:rPr>
          <w:rFonts w:asciiTheme="minorHAnsi" w:eastAsia="Times New Roman" w:hAnsiTheme="minorHAnsi" w:cstheme="minorHAnsi"/>
          <w:b/>
        </w:rPr>
        <w:t xml:space="preserve"> to 20</w:t>
      </w:r>
      <w:r w:rsidR="00711974" w:rsidRPr="00FA4C3E">
        <w:rPr>
          <w:rFonts w:asciiTheme="minorHAnsi" w:eastAsia="Times New Roman" w:hAnsiTheme="minorHAnsi" w:cstheme="minorHAnsi"/>
          <w:b/>
        </w:rPr>
        <w:t>30</w:t>
      </w:r>
      <w:r w:rsidRPr="00FA4C3E">
        <w:rPr>
          <w:rFonts w:asciiTheme="minorHAnsi" w:eastAsia="Times New Roman" w:hAnsiTheme="minorHAnsi" w:cstheme="minorHAnsi"/>
          <w:b/>
        </w:rPr>
        <w:t>/3</w:t>
      </w:r>
      <w:r w:rsidR="00711974" w:rsidRPr="00FA4C3E">
        <w:rPr>
          <w:rFonts w:asciiTheme="minorHAnsi" w:eastAsia="Times New Roman" w:hAnsiTheme="minorHAnsi" w:cstheme="minorHAnsi"/>
          <w:b/>
        </w:rPr>
        <w:t>1</w:t>
      </w:r>
    </w:p>
    <w:p w14:paraId="2784EF2C" w14:textId="77777777" w:rsidR="00AF1642" w:rsidRPr="00FA4C3E" w:rsidRDefault="00AF1642" w:rsidP="00EF3054">
      <w:pPr>
        <w:jc w:val="center"/>
        <w:rPr>
          <w:b/>
          <w:bCs/>
        </w:rPr>
      </w:pPr>
    </w:p>
    <w:tbl>
      <w:tblPr>
        <w:tblW w:w="15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7"/>
        <w:gridCol w:w="3261"/>
        <w:gridCol w:w="2410"/>
        <w:gridCol w:w="1745"/>
        <w:gridCol w:w="3691"/>
        <w:gridCol w:w="1332"/>
        <w:gridCol w:w="973"/>
      </w:tblGrid>
      <w:tr w:rsidR="00935736" w:rsidRPr="00FA4C3E" w14:paraId="41A339D4" w14:textId="77777777" w:rsidTr="00935736">
        <w:trPr>
          <w:cantSplit/>
          <w:tblHeader/>
          <w:jc w:val="center"/>
        </w:trPr>
        <w:tc>
          <w:tcPr>
            <w:tcW w:w="1837" w:type="dxa"/>
          </w:tcPr>
          <w:p w14:paraId="44AFABED" w14:textId="77777777" w:rsidR="00935736" w:rsidRPr="00FA4C3E" w:rsidRDefault="00935736" w:rsidP="00935736">
            <w:pPr>
              <w:jc w:val="center"/>
              <w:rPr>
                <w:rFonts w:asciiTheme="minorHAnsi" w:hAnsiTheme="minorHAnsi" w:cstheme="minorHAnsi"/>
                <w:b/>
                <w:bCs/>
                <w:sz w:val="20"/>
                <w:szCs w:val="20"/>
              </w:rPr>
            </w:pPr>
          </w:p>
        </w:tc>
        <w:tc>
          <w:tcPr>
            <w:tcW w:w="3261" w:type="dxa"/>
          </w:tcPr>
          <w:p w14:paraId="22638BA0" w14:textId="77777777" w:rsidR="00935736" w:rsidRPr="00FA4C3E" w:rsidRDefault="00935736" w:rsidP="00935736">
            <w:pPr>
              <w:jc w:val="center"/>
              <w:rPr>
                <w:rFonts w:asciiTheme="minorHAnsi" w:hAnsiTheme="minorHAnsi" w:cstheme="minorHAnsi"/>
                <w:b/>
                <w:bCs/>
                <w:sz w:val="20"/>
                <w:szCs w:val="20"/>
              </w:rPr>
            </w:pPr>
            <w:r w:rsidRPr="00FA4C3E">
              <w:rPr>
                <w:rFonts w:asciiTheme="minorHAnsi" w:hAnsiTheme="minorHAnsi" w:cstheme="minorHAnsi"/>
                <w:b/>
                <w:bCs/>
                <w:sz w:val="20"/>
                <w:szCs w:val="20"/>
              </w:rPr>
              <w:t>Rationale</w:t>
            </w:r>
          </w:p>
        </w:tc>
        <w:tc>
          <w:tcPr>
            <w:tcW w:w="2410" w:type="dxa"/>
          </w:tcPr>
          <w:p w14:paraId="5FF03B83" w14:textId="77777777" w:rsidR="00935736" w:rsidRPr="00FA4C3E" w:rsidRDefault="00935736" w:rsidP="00935736">
            <w:pPr>
              <w:jc w:val="center"/>
              <w:rPr>
                <w:rFonts w:asciiTheme="minorHAnsi" w:hAnsiTheme="minorHAnsi" w:cstheme="minorHAnsi"/>
                <w:b/>
                <w:bCs/>
                <w:sz w:val="20"/>
                <w:szCs w:val="20"/>
              </w:rPr>
            </w:pPr>
            <w:r w:rsidRPr="00FA4C3E">
              <w:rPr>
                <w:rFonts w:asciiTheme="minorHAnsi" w:hAnsiTheme="minorHAnsi" w:cstheme="minorHAnsi"/>
                <w:b/>
                <w:bCs/>
                <w:sz w:val="20"/>
                <w:szCs w:val="20"/>
              </w:rPr>
              <w:t>How and when used</w:t>
            </w:r>
          </w:p>
        </w:tc>
        <w:tc>
          <w:tcPr>
            <w:tcW w:w="1745" w:type="dxa"/>
          </w:tcPr>
          <w:p w14:paraId="1E27E7E2" w14:textId="77777777" w:rsidR="00935736" w:rsidRPr="00FA4C3E" w:rsidRDefault="00935736" w:rsidP="00935736">
            <w:pPr>
              <w:jc w:val="center"/>
              <w:rPr>
                <w:rFonts w:asciiTheme="minorHAnsi" w:hAnsiTheme="minorHAnsi" w:cstheme="minorHAnsi"/>
                <w:b/>
                <w:bCs/>
                <w:sz w:val="20"/>
                <w:szCs w:val="20"/>
              </w:rPr>
            </w:pPr>
            <w:r w:rsidRPr="00FA4C3E">
              <w:rPr>
                <w:rFonts w:asciiTheme="minorHAnsi" w:hAnsiTheme="minorHAnsi" w:cstheme="minorHAnsi"/>
                <w:b/>
                <w:bCs/>
                <w:sz w:val="20"/>
                <w:szCs w:val="20"/>
              </w:rPr>
              <w:t>Level</w:t>
            </w:r>
          </w:p>
        </w:tc>
        <w:tc>
          <w:tcPr>
            <w:tcW w:w="3691" w:type="dxa"/>
          </w:tcPr>
          <w:p w14:paraId="0C7BFC9E" w14:textId="16DEBC6E" w:rsidR="00935736" w:rsidRPr="00FA4C3E" w:rsidRDefault="00935736" w:rsidP="00935736">
            <w:pPr>
              <w:jc w:val="center"/>
              <w:rPr>
                <w:rFonts w:asciiTheme="minorHAnsi" w:hAnsiTheme="minorHAnsi" w:cstheme="minorHAnsi"/>
                <w:b/>
                <w:bCs/>
                <w:sz w:val="20"/>
                <w:szCs w:val="20"/>
              </w:rPr>
            </w:pPr>
            <w:r w:rsidRPr="00FA4C3E">
              <w:rPr>
                <w:rFonts w:asciiTheme="minorHAnsi" w:hAnsiTheme="minorHAnsi" w:cstheme="minorHAnsi"/>
                <w:b/>
                <w:bCs/>
                <w:sz w:val="20"/>
                <w:szCs w:val="20"/>
              </w:rPr>
              <w:t>Risk If Reserve Not Held</w:t>
            </w:r>
          </w:p>
        </w:tc>
        <w:tc>
          <w:tcPr>
            <w:tcW w:w="1332" w:type="dxa"/>
          </w:tcPr>
          <w:p w14:paraId="7BF79407" w14:textId="09D005D2" w:rsidR="00935736" w:rsidRPr="00FA4C3E" w:rsidRDefault="00935736" w:rsidP="00935736">
            <w:pPr>
              <w:jc w:val="center"/>
              <w:rPr>
                <w:rFonts w:asciiTheme="minorHAnsi" w:hAnsiTheme="minorHAnsi" w:cstheme="minorHAnsi"/>
                <w:b/>
                <w:bCs/>
                <w:sz w:val="20"/>
                <w:szCs w:val="20"/>
              </w:rPr>
            </w:pPr>
            <w:r w:rsidRPr="00FA4C3E">
              <w:rPr>
                <w:rFonts w:asciiTheme="minorHAnsi" w:hAnsiTheme="minorHAnsi" w:cstheme="minorHAnsi"/>
                <w:b/>
                <w:bCs/>
                <w:sz w:val="20"/>
                <w:szCs w:val="20"/>
              </w:rPr>
              <w:t>Management and control</w:t>
            </w:r>
          </w:p>
        </w:tc>
        <w:tc>
          <w:tcPr>
            <w:tcW w:w="973" w:type="dxa"/>
          </w:tcPr>
          <w:p w14:paraId="0CA218EF" w14:textId="77777777" w:rsidR="00935736" w:rsidRPr="00FA4C3E" w:rsidRDefault="00935736" w:rsidP="00935736">
            <w:pPr>
              <w:jc w:val="center"/>
              <w:rPr>
                <w:rFonts w:asciiTheme="minorHAnsi" w:hAnsiTheme="minorHAnsi" w:cstheme="minorHAnsi"/>
                <w:b/>
                <w:bCs/>
                <w:sz w:val="20"/>
                <w:szCs w:val="20"/>
              </w:rPr>
            </w:pPr>
            <w:r w:rsidRPr="00FA4C3E">
              <w:rPr>
                <w:rFonts w:asciiTheme="minorHAnsi" w:hAnsiTheme="minorHAnsi" w:cstheme="minorHAnsi"/>
                <w:b/>
                <w:bCs/>
                <w:sz w:val="20"/>
                <w:szCs w:val="20"/>
              </w:rPr>
              <w:t>Review</w:t>
            </w:r>
          </w:p>
        </w:tc>
      </w:tr>
      <w:tr w:rsidR="00935736" w:rsidRPr="00FA4C3E" w14:paraId="3D54A807" w14:textId="77777777" w:rsidTr="00935736">
        <w:trPr>
          <w:cantSplit/>
          <w:jc w:val="center"/>
        </w:trPr>
        <w:tc>
          <w:tcPr>
            <w:tcW w:w="1837" w:type="dxa"/>
          </w:tcPr>
          <w:p w14:paraId="2DEE4BEA" w14:textId="77777777" w:rsidR="00935736" w:rsidRPr="00FA4C3E" w:rsidRDefault="00935736" w:rsidP="00EF3054">
            <w:pPr>
              <w:spacing w:line="240" w:lineRule="auto"/>
              <w:rPr>
                <w:rFonts w:asciiTheme="minorHAnsi" w:eastAsia="Times New Roman" w:hAnsiTheme="minorHAnsi" w:cstheme="minorHAnsi"/>
                <w:b/>
                <w:bCs/>
                <w:sz w:val="20"/>
                <w:szCs w:val="20"/>
              </w:rPr>
            </w:pPr>
          </w:p>
          <w:p w14:paraId="29E317F1" w14:textId="6B42672F" w:rsidR="00935736" w:rsidRPr="00FA4C3E" w:rsidRDefault="00935736" w:rsidP="00EF3054">
            <w:pPr>
              <w:spacing w:line="240" w:lineRule="auto"/>
              <w:rPr>
                <w:rFonts w:asciiTheme="minorHAnsi" w:eastAsia="Times New Roman" w:hAnsiTheme="minorHAnsi" w:cstheme="minorHAnsi"/>
                <w:b/>
                <w:bCs/>
                <w:sz w:val="20"/>
                <w:szCs w:val="20"/>
              </w:rPr>
            </w:pPr>
            <w:r w:rsidRPr="00FA4C3E">
              <w:rPr>
                <w:rFonts w:asciiTheme="minorHAnsi" w:eastAsia="Times New Roman" w:hAnsiTheme="minorHAnsi" w:cstheme="minorHAnsi"/>
                <w:b/>
                <w:bCs/>
                <w:sz w:val="20"/>
                <w:szCs w:val="20"/>
              </w:rPr>
              <w:t>GENERAL RESERVE</w:t>
            </w:r>
          </w:p>
          <w:p w14:paraId="081A3A6B" w14:textId="77777777" w:rsidR="00935736" w:rsidRPr="00FA4C3E" w:rsidRDefault="00935736" w:rsidP="00EF3054">
            <w:pPr>
              <w:spacing w:line="240" w:lineRule="auto"/>
              <w:rPr>
                <w:rFonts w:asciiTheme="minorHAnsi" w:eastAsia="Times New Roman" w:hAnsiTheme="minorHAnsi" w:cstheme="minorHAnsi"/>
                <w:b/>
                <w:bCs/>
                <w:sz w:val="20"/>
                <w:szCs w:val="20"/>
              </w:rPr>
            </w:pPr>
          </w:p>
          <w:p w14:paraId="713FC162" w14:textId="77777777" w:rsidR="00935736" w:rsidRPr="00FA4C3E" w:rsidRDefault="00935736" w:rsidP="00EF3054">
            <w:pPr>
              <w:spacing w:line="240" w:lineRule="auto"/>
              <w:rPr>
                <w:rFonts w:asciiTheme="minorHAnsi" w:eastAsia="Times New Roman" w:hAnsiTheme="minorHAnsi" w:cstheme="minorHAnsi"/>
                <w:b/>
                <w:bCs/>
                <w:sz w:val="20"/>
                <w:szCs w:val="20"/>
              </w:rPr>
            </w:pPr>
          </w:p>
          <w:p w14:paraId="35EAB461" w14:textId="77777777" w:rsidR="00935736" w:rsidRPr="00FA4C3E" w:rsidRDefault="00935736" w:rsidP="00EF3054">
            <w:pPr>
              <w:spacing w:line="240" w:lineRule="auto"/>
              <w:rPr>
                <w:rFonts w:asciiTheme="minorHAnsi" w:eastAsia="Times New Roman" w:hAnsiTheme="minorHAnsi" w:cstheme="minorHAnsi"/>
                <w:b/>
                <w:bCs/>
                <w:sz w:val="20"/>
                <w:szCs w:val="20"/>
              </w:rPr>
            </w:pPr>
          </w:p>
        </w:tc>
        <w:tc>
          <w:tcPr>
            <w:tcW w:w="3261" w:type="dxa"/>
          </w:tcPr>
          <w:p w14:paraId="0816B6BF" w14:textId="77777777" w:rsidR="00935736" w:rsidRPr="00FA4C3E" w:rsidRDefault="00935736" w:rsidP="00EF3054">
            <w:pPr>
              <w:spacing w:line="240" w:lineRule="auto"/>
              <w:rPr>
                <w:rFonts w:asciiTheme="minorHAnsi" w:eastAsia="Times New Roman" w:hAnsiTheme="minorHAnsi" w:cstheme="minorHAnsi"/>
                <w:sz w:val="20"/>
                <w:szCs w:val="20"/>
              </w:rPr>
            </w:pPr>
          </w:p>
          <w:p w14:paraId="6A6D7821" w14:textId="78259EF0"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To maintain a degree of in-year financial flexibility</w:t>
            </w:r>
          </w:p>
          <w:p w14:paraId="564F622F" w14:textId="77777777" w:rsidR="00EF3054" w:rsidRPr="00FA4C3E" w:rsidRDefault="00EF3054" w:rsidP="00EF3054">
            <w:pPr>
              <w:spacing w:line="240" w:lineRule="auto"/>
              <w:rPr>
                <w:rFonts w:asciiTheme="minorHAnsi" w:eastAsia="Times New Roman" w:hAnsiTheme="minorHAnsi" w:cstheme="minorHAnsi"/>
                <w:sz w:val="20"/>
                <w:szCs w:val="20"/>
              </w:rPr>
            </w:pPr>
          </w:p>
          <w:p w14:paraId="00A672CB" w14:textId="1C50CBAA"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To enable NCFRA to deal with unforeseen circumstances and incidents</w:t>
            </w:r>
            <w:r w:rsidR="00EF3054" w:rsidRPr="00FA4C3E">
              <w:rPr>
                <w:rFonts w:asciiTheme="minorHAnsi" w:eastAsia="Times New Roman" w:hAnsiTheme="minorHAnsi" w:cstheme="minorHAnsi"/>
                <w:sz w:val="20"/>
                <w:szCs w:val="20"/>
              </w:rPr>
              <w:t>.</w:t>
            </w:r>
          </w:p>
          <w:p w14:paraId="7176A56B" w14:textId="77777777" w:rsidR="00EF3054" w:rsidRPr="00FA4C3E" w:rsidRDefault="00EF3054" w:rsidP="00EF3054">
            <w:pPr>
              <w:spacing w:line="240" w:lineRule="auto"/>
              <w:rPr>
                <w:rFonts w:asciiTheme="minorHAnsi" w:eastAsia="Times New Roman" w:hAnsiTheme="minorHAnsi" w:cstheme="minorHAnsi"/>
                <w:sz w:val="20"/>
                <w:szCs w:val="20"/>
              </w:rPr>
            </w:pPr>
          </w:p>
          <w:p w14:paraId="05852308" w14:textId="62A1FDC4"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To manage and meet financial risks of any industrial action requirements</w:t>
            </w:r>
            <w:r w:rsidR="00EF3054" w:rsidRPr="00FA4C3E">
              <w:rPr>
                <w:rFonts w:asciiTheme="minorHAnsi" w:eastAsia="Times New Roman" w:hAnsiTheme="minorHAnsi" w:cstheme="minorHAnsi"/>
                <w:sz w:val="20"/>
                <w:szCs w:val="20"/>
              </w:rPr>
              <w:t>.</w:t>
            </w:r>
          </w:p>
          <w:p w14:paraId="57FEB3E0" w14:textId="77777777" w:rsidR="00EF3054" w:rsidRPr="00FA4C3E" w:rsidRDefault="00EF3054" w:rsidP="00EF3054">
            <w:pPr>
              <w:spacing w:line="240" w:lineRule="auto"/>
              <w:rPr>
                <w:rFonts w:asciiTheme="minorHAnsi" w:eastAsia="Times New Roman" w:hAnsiTheme="minorHAnsi" w:cstheme="minorHAnsi"/>
                <w:sz w:val="20"/>
                <w:szCs w:val="20"/>
              </w:rPr>
            </w:pPr>
          </w:p>
          <w:p w14:paraId="5F9DA8FF" w14:textId="7B912D34"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To set aside sums for known and potential liabilities</w:t>
            </w:r>
            <w:r w:rsidR="00EF3054" w:rsidRPr="00FA4C3E">
              <w:rPr>
                <w:rFonts w:asciiTheme="minorHAnsi" w:eastAsia="Times New Roman" w:hAnsiTheme="minorHAnsi" w:cstheme="minorHAnsi"/>
                <w:sz w:val="20"/>
                <w:szCs w:val="20"/>
              </w:rPr>
              <w:t>.</w:t>
            </w:r>
          </w:p>
          <w:p w14:paraId="26306DF2" w14:textId="7F896916" w:rsidR="00EF3054" w:rsidRPr="00FA4C3E" w:rsidRDefault="00EF3054" w:rsidP="00EF3054">
            <w:pPr>
              <w:spacing w:line="240" w:lineRule="auto"/>
              <w:rPr>
                <w:rFonts w:asciiTheme="minorHAnsi" w:eastAsia="Times New Roman" w:hAnsiTheme="minorHAnsi" w:cstheme="minorHAnsi"/>
                <w:sz w:val="20"/>
                <w:szCs w:val="20"/>
              </w:rPr>
            </w:pPr>
          </w:p>
        </w:tc>
        <w:tc>
          <w:tcPr>
            <w:tcW w:w="2410" w:type="dxa"/>
          </w:tcPr>
          <w:p w14:paraId="2AF69FE7" w14:textId="77777777" w:rsidR="00935736" w:rsidRPr="00FA4C3E" w:rsidRDefault="00935736" w:rsidP="00EF3054">
            <w:pPr>
              <w:spacing w:line="240" w:lineRule="auto"/>
              <w:rPr>
                <w:rFonts w:asciiTheme="minorHAnsi" w:eastAsia="Times New Roman" w:hAnsiTheme="minorHAnsi" w:cstheme="minorHAnsi"/>
                <w:sz w:val="20"/>
                <w:szCs w:val="20"/>
              </w:rPr>
            </w:pPr>
          </w:p>
          <w:p w14:paraId="5261233B" w14:textId="77777777"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 xml:space="preserve">To meet exceptional spending needs or overspends which are unable to be otherwise financed at the year end. </w:t>
            </w:r>
          </w:p>
          <w:p w14:paraId="55F2180B" w14:textId="77777777" w:rsidR="00EF3054" w:rsidRPr="00FA4C3E" w:rsidRDefault="00EF3054" w:rsidP="00EF3054">
            <w:pPr>
              <w:spacing w:line="240" w:lineRule="auto"/>
              <w:rPr>
                <w:rFonts w:asciiTheme="minorHAnsi" w:eastAsia="Times New Roman" w:hAnsiTheme="minorHAnsi" w:cstheme="minorHAnsi"/>
                <w:sz w:val="20"/>
                <w:szCs w:val="20"/>
              </w:rPr>
            </w:pPr>
          </w:p>
          <w:p w14:paraId="2AED0787" w14:textId="6D03CE73"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To smooth the profile of revenue over a medium term financial period</w:t>
            </w:r>
            <w:r w:rsidR="00EF3054" w:rsidRPr="00FA4C3E">
              <w:rPr>
                <w:rFonts w:asciiTheme="minorHAnsi" w:eastAsia="Times New Roman" w:hAnsiTheme="minorHAnsi" w:cstheme="minorHAnsi"/>
                <w:sz w:val="20"/>
                <w:szCs w:val="20"/>
              </w:rPr>
              <w:t>.</w:t>
            </w:r>
          </w:p>
          <w:p w14:paraId="363D1139" w14:textId="77777777" w:rsidR="00EF3054" w:rsidRPr="00FA4C3E" w:rsidRDefault="00EF3054" w:rsidP="00EF3054">
            <w:pPr>
              <w:spacing w:line="240" w:lineRule="auto"/>
              <w:rPr>
                <w:rFonts w:asciiTheme="minorHAnsi" w:eastAsia="Times New Roman" w:hAnsiTheme="minorHAnsi" w:cstheme="minorHAnsi"/>
                <w:sz w:val="20"/>
                <w:szCs w:val="20"/>
              </w:rPr>
            </w:pPr>
          </w:p>
          <w:p w14:paraId="48540B16" w14:textId="7F474A8C"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To allow higher spending without raising council tax on a one-off basis</w:t>
            </w:r>
            <w:r w:rsidR="00EF3054" w:rsidRPr="00FA4C3E">
              <w:rPr>
                <w:rFonts w:asciiTheme="minorHAnsi" w:eastAsia="Times New Roman" w:hAnsiTheme="minorHAnsi" w:cstheme="minorHAnsi"/>
                <w:sz w:val="20"/>
                <w:szCs w:val="20"/>
              </w:rPr>
              <w:t>.</w:t>
            </w:r>
          </w:p>
          <w:p w14:paraId="61B204E4" w14:textId="77777777" w:rsidR="00935736" w:rsidRPr="00FA4C3E" w:rsidRDefault="00935736" w:rsidP="00EF3054">
            <w:pPr>
              <w:spacing w:line="240" w:lineRule="auto"/>
              <w:rPr>
                <w:rFonts w:asciiTheme="minorHAnsi" w:eastAsia="Times New Roman" w:hAnsiTheme="minorHAnsi" w:cstheme="minorHAnsi"/>
                <w:sz w:val="20"/>
                <w:szCs w:val="20"/>
              </w:rPr>
            </w:pPr>
          </w:p>
        </w:tc>
        <w:tc>
          <w:tcPr>
            <w:tcW w:w="1745" w:type="dxa"/>
          </w:tcPr>
          <w:p w14:paraId="18AACED3" w14:textId="77777777" w:rsidR="00935736" w:rsidRPr="00FA4C3E" w:rsidRDefault="00935736" w:rsidP="00EF3054">
            <w:pPr>
              <w:spacing w:line="240" w:lineRule="auto"/>
              <w:rPr>
                <w:rFonts w:asciiTheme="minorHAnsi" w:eastAsia="Times New Roman" w:hAnsiTheme="minorHAnsi" w:cstheme="minorHAnsi"/>
                <w:sz w:val="20"/>
                <w:szCs w:val="20"/>
              </w:rPr>
            </w:pPr>
          </w:p>
          <w:p w14:paraId="6BCD2847" w14:textId="77777777"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To maintain a sustainable level of £2.0m of 5% (whichever is the higher)</w:t>
            </w:r>
          </w:p>
          <w:p w14:paraId="388F0B67" w14:textId="77777777" w:rsidR="00935736" w:rsidRPr="00FA4C3E" w:rsidRDefault="00935736" w:rsidP="00EF3054">
            <w:pPr>
              <w:spacing w:line="240" w:lineRule="auto"/>
              <w:rPr>
                <w:rFonts w:asciiTheme="minorHAnsi" w:eastAsia="Times New Roman" w:hAnsiTheme="minorHAnsi" w:cstheme="minorHAnsi"/>
                <w:sz w:val="20"/>
                <w:szCs w:val="20"/>
              </w:rPr>
            </w:pPr>
          </w:p>
        </w:tc>
        <w:tc>
          <w:tcPr>
            <w:tcW w:w="3691" w:type="dxa"/>
          </w:tcPr>
          <w:p w14:paraId="79EF7B49" w14:textId="77777777" w:rsidR="00935736" w:rsidRPr="00FA4C3E" w:rsidRDefault="00935736" w:rsidP="00EF3054">
            <w:pPr>
              <w:spacing w:line="240" w:lineRule="auto"/>
              <w:rPr>
                <w:rFonts w:asciiTheme="minorHAnsi" w:eastAsia="Times New Roman" w:hAnsiTheme="minorHAnsi" w:cstheme="minorHAnsi"/>
                <w:sz w:val="20"/>
                <w:szCs w:val="20"/>
              </w:rPr>
            </w:pPr>
          </w:p>
          <w:p w14:paraId="7359899D" w14:textId="77777777"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The general reserve is held at a level which reflects risk, uncertainties and volatility.</w:t>
            </w:r>
          </w:p>
          <w:p w14:paraId="796C7775" w14:textId="77777777" w:rsidR="00EF3054" w:rsidRPr="00FA4C3E" w:rsidRDefault="00EF3054" w:rsidP="00EF3054">
            <w:pPr>
              <w:spacing w:line="240" w:lineRule="auto"/>
              <w:rPr>
                <w:rFonts w:asciiTheme="minorHAnsi" w:eastAsia="Times New Roman" w:hAnsiTheme="minorHAnsi" w:cstheme="minorHAnsi"/>
                <w:sz w:val="20"/>
                <w:szCs w:val="20"/>
              </w:rPr>
            </w:pPr>
          </w:p>
          <w:p w14:paraId="4D015408" w14:textId="5FCA92BE"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If no reserve is held there may be insufficient resources available for major catastrophe, which could jeopardise financial status and reputation of NCFRA.</w:t>
            </w:r>
          </w:p>
          <w:p w14:paraId="320076A8" w14:textId="77777777" w:rsidR="00EF3054" w:rsidRPr="00FA4C3E" w:rsidRDefault="00EF3054" w:rsidP="00EF3054">
            <w:pPr>
              <w:spacing w:line="240" w:lineRule="auto"/>
              <w:rPr>
                <w:rFonts w:asciiTheme="minorHAnsi" w:eastAsia="Times New Roman" w:hAnsiTheme="minorHAnsi" w:cstheme="minorHAnsi"/>
                <w:sz w:val="20"/>
                <w:szCs w:val="20"/>
              </w:rPr>
            </w:pPr>
          </w:p>
          <w:p w14:paraId="3A79E2FC" w14:textId="0D740B5F" w:rsidR="00935736" w:rsidRPr="00FA4C3E" w:rsidRDefault="00935736" w:rsidP="00EF3054">
            <w:pPr>
              <w:spacing w:line="240" w:lineRule="auto"/>
              <w:rPr>
                <w:rFonts w:asciiTheme="minorHAnsi" w:eastAsia="Times New Roman" w:hAnsiTheme="minorHAnsi" w:cstheme="minorHAnsi"/>
                <w:sz w:val="20"/>
                <w:szCs w:val="20"/>
              </w:rPr>
            </w:pPr>
          </w:p>
        </w:tc>
        <w:tc>
          <w:tcPr>
            <w:tcW w:w="1332" w:type="dxa"/>
          </w:tcPr>
          <w:p w14:paraId="62B53F90" w14:textId="0B96FD23" w:rsidR="00935736" w:rsidRPr="00FA4C3E" w:rsidRDefault="00935736" w:rsidP="00EF3054">
            <w:pPr>
              <w:spacing w:line="240" w:lineRule="auto"/>
              <w:rPr>
                <w:rFonts w:asciiTheme="minorHAnsi" w:eastAsia="Times New Roman" w:hAnsiTheme="minorHAnsi" w:cstheme="minorHAnsi"/>
                <w:sz w:val="20"/>
                <w:szCs w:val="20"/>
              </w:rPr>
            </w:pPr>
          </w:p>
          <w:p w14:paraId="5E546CA6" w14:textId="77777777"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 xml:space="preserve">PFCC, on advice from PFCC CFO </w:t>
            </w:r>
          </w:p>
        </w:tc>
        <w:tc>
          <w:tcPr>
            <w:tcW w:w="973" w:type="dxa"/>
          </w:tcPr>
          <w:p w14:paraId="666E791C" w14:textId="77777777" w:rsidR="00935736" w:rsidRPr="00FA4C3E" w:rsidRDefault="00935736" w:rsidP="00EF3054">
            <w:pPr>
              <w:spacing w:line="240" w:lineRule="auto"/>
              <w:rPr>
                <w:rFonts w:asciiTheme="minorHAnsi" w:eastAsia="Times New Roman" w:hAnsiTheme="minorHAnsi" w:cstheme="minorHAnsi"/>
                <w:sz w:val="20"/>
                <w:szCs w:val="20"/>
              </w:rPr>
            </w:pPr>
          </w:p>
          <w:p w14:paraId="37290FEC" w14:textId="77777777"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Annual</w:t>
            </w:r>
          </w:p>
        </w:tc>
      </w:tr>
      <w:tr w:rsidR="00935736" w:rsidRPr="00FA4C3E" w14:paraId="08CC6F6E" w14:textId="77777777" w:rsidTr="00935736">
        <w:trPr>
          <w:cantSplit/>
          <w:jc w:val="center"/>
        </w:trPr>
        <w:tc>
          <w:tcPr>
            <w:tcW w:w="1837" w:type="dxa"/>
          </w:tcPr>
          <w:p w14:paraId="73BEDF78" w14:textId="77777777" w:rsidR="00935736" w:rsidRPr="00FA4C3E" w:rsidRDefault="00935736" w:rsidP="00EF3054">
            <w:pPr>
              <w:spacing w:line="240" w:lineRule="auto"/>
              <w:rPr>
                <w:rFonts w:asciiTheme="minorHAnsi" w:eastAsia="Times New Roman" w:hAnsiTheme="minorHAnsi" w:cstheme="minorHAnsi"/>
                <w:b/>
                <w:bCs/>
                <w:sz w:val="20"/>
                <w:szCs w:val="20"/>
              </w:rPr>
            </w:pPr>
          </w:p>
          <w:p w14:paraId="7C8FF102" w14:textId="77777777" w:rsidR="00935736" w:rsidRPr="00FA4C3E" w:rsidRDefault="00935736" w:rsidP="00EF3054">
            <w:pPr>
              <w:spacing w:line="240" w:lineRule="auto"/>
              <w:rPr>
                <w:rFonts w:asciiTheme="minorHAnsi" w:eastAsia="Times New Roman" w:hAnsiTheme="minorHAnsi" w:cstheme="minorHAnsi"/>
                <w:b/>
                <w:bCs/>
                <w:sz w:val="20"/>
                <w:szCs w:val="20"/>
              </w:rPr>
            </w:pPr>
            <w:r w:rsidRPr="00FA4C3E">
              <w:rPr>
                <w:rFonts w:asciiTheme="minorHAnsi" w:eastAsia="Times New Roman" w:hAnsiTheme="minorHAnsi" w:cstheme="minorHAnsi"/>
                <w:b/>
                <w:bCs/>
                <w:sz w:val="20"/>
                <w:szCs w:val="20"/>
              </w:rPr>
              <w:t xml:space="preserve">EARMARKED - INSURANCE </w:t>
            </w:r>
          </w:p>
          <w:p w14:paraId="391DC1A7" w14:textId="77777777" w:rsidR="00935736" w:rsidRPr="00FA4C3E" w:rsidRDefault="00935736" w:rsidP="00EF3054">
            <w:pPr>
              <w:spacing w:line="240" w:lineRule="auto"/>
              <w:rPr>
                <w:rFonts w:asciiTheme="minorHAnsi" w:eastAsia="Times New Roman" w:hAnsiTheme="minorHAnsi" w:cstheme="minorHAnsi"/>
                <w:b/>
                <w:bCs/>
                <w:sz w:val="20"/>
                <w:szCs w:val="20"/>
              </w:rPr>
            </w:pPr>
          </w:p>
          <w:p w14:paraId="459AFB1C" w14:textId="77777777" w:rsidR="00935736" w:rsidRPr="00FA4C3E" w:rsidRDefault="00935736" w:rsidP="00EF3054">
            <w:pPr>
              <w:spacing w:line="240" w:lineRule="auto"/>
              <w:rPr>
                <w:rFonts w:asciiTheme="minorHAnsi" w:eastAsia="Times New Roman" w:hAnsiTheme="minorHAnsi" w:cstheme="minorHAnsi"/>
                <w:b/>
                <w:bCs/>
                <w:sz w:val="20"/>
                <w:szCs w:val="20"/>
              </w:rPr>
            </w:pPr>
          </w:p>
        </w:tc>
        <w:tc>
          <w:tcPr>
            <w:tcW w:w="3261" w:type="dxa"/>
          </w:tcPr>
          <w:p w14:paraId="65A03A09" w14:textId="77777777" w:rsidR="00935736" w:rsidRPr="00FA4C3E" w:rsidRDefault="00935736" w:rsidP="00EF3054">
            <w:pPr>
              <w:spacing w:line="240" w:lineRule="auto"/>
              <w:rPr>
                <w:rFonts w:asciiTheme="minorHAnsi" w:eastAsia="Times New Roman" w:hAnsiTheme="minorHAnsi" w:cstheme="minorHAnsi"/>
                <w:sz w:val="20"/>
                <w:szCs w:val="20"/>
              </w:rPr>
            </w:pPr>
          </w:p>
          <w:p w14:paraId="4EDF5571" w14:textId="77777777"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To cover the potential and contingent liabilities of uninsured risks as assessed annually by our insurers based on claims outstanding.</w:t>
            </w:r>
          </w:p>
        </w:tc>
        <w:tc>
          <w:tcPr>
            <w:tcW w:w="2410" w:type="dxa"/>
          </w:tcPr>
          <w:p w14:paraId="68DDB8A6" w14:textId="77777777" w:rsidR="00935736" w:rsidRPr="00FA4C3E" w:rsidRDefault="00935736" w:rsidP="00EF3054">
            <w:pPr>
              <w:spacing w:line="240" w:lineRule="auto"/>
              <w:rPr>
                <w:rFonts w:asciiTheme="minorHAnsi" w:eastAsia="Times New Roman" w:hAnsiTheme="minorHAnsi" w:cstheme="minorHAnsi"/>
                <w:sz w:val="20"/>
                <w:szCs w:val="20"/>
              </w:rPr>
            </w:pPr>
          </w:p>
          <w:p w14:paraId="1D01A806" w14:textId="2E6F4994" w:rsidR="00935736" w:rsidRPr="00FA4C3E" w:rsidRDefault="00EF7D33"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The b</w:t>
            </w:r>
            <w:r w:rsidR="00935736" w:rsidRPr="00FA4C3E">
              <w:rPr>
                <w:rFonts w:asciiTheme="minorHAnsi" w:eastAsia="Times New Roman" w:hAnsiTheme="minorHAnsi" w:cstheme="minorHAnsi"/>
                <w:sz w:val="20"/>
                <w:szCs w:val="20"/>
              </w:rPr>
              <w:t xml:space="preserve">alance </w:t>
            </w:r>
            <w:r w:rsidRPr="00FA4C3E">
              <w:rPr>
                <w:rFonts w:asciiTheme="minorHAnsi" w:eastAsia="Times New Roman" w:hAnsiTheme="minorHAnsi" w:cstheme="minorHAnsi"/>
                <w:sz w:val="20"/>
                <w:szCs w:val="20"/>
              </w:rPr>
              <w:t>may</w:t>
            </w:r>
            <w:r w:rsidR="00935736" w:rsidRPr="00FA4C3E">
              <w:rPr>
                <w:rFonts w:asciiTheme="minorHAnsi" w:eastAsia="Times New Roman" w:hAnsiTheme="minorHAnsi" w:cstheme="minorHAnsi"/>
                <w:sz w:val="20"/>
                <w:szCs w:val="20"/>
              </w:rPr>
              <w:t xml:space="preserve"> increase or reduce annually dependent on the NCFRA outstanding claims record.</w:t>
            </w:r>
          </w:p>
          <w:p w14:paraId="14EC7989" w14:textId="79523A51"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 xml:space="preserve">Established in 2018/19 following advice from legal service advisors. </w:t>
            </w:r>
          </w:p>
          <w:p w14:paraId="1A8C882C" w14:textId="77777777"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Level of reserve reviewed annually with the legal services advisers.</w:t>
            </w:r>
          </w:p>
          <w:p w14:paraId="4EFF29A7" w14:textId="094AEDAC" w:rsidR="00EF3054" w:rsidRPr="00FA4C3E" w:rsidRDefault="00EF3054" w:rsidP="00EF3054">
            <w:pPr>
              <w:spacing w:line="240" w:lineRule="auto"/>
              <w:rPr>
                <w:rFonts w:asciiTheme="minorHAnsi" w:eastAsia="Times New Roman" w:hAnsiTheme="minorHAnsi" w:cstheme="minorHAnsi"/>
                <w:sz w:val="20"/>
                <w:szCs w:val="20"/>
              </w:rPr>
            </w:pPr>
          </w:p>
        </w:tc>
        <w:tc>
          <w:tcPr>
            <w:tcW w:w="1745" w:type="dxa"/>
          </w:tcPr>
          <w:p w14:paraId="2DEDBDF1" w14:textId="77777777" w:rsidR="00935736" w:rsidRPr="00FA4C3E" w:rsidRDefault="00935736" w:rsidP="00EF3054">
            <w:pPr>
              <w:spacing w:line="240" w:lineRule="auto"/>
              <w:rPr>
                <w:rFonts w:asciiTheme="minorHAnsi" w:eastAsia="Times New Roman" w:hAnsiTheme="minorHAnsi" w:cstheme="minorHAnsi"/>
                <w:sz w:val="20"/>
                <w:szCs w:val="20"/>
              </w:rPr>
            </w:pPr>
          </w:p>
          <w:p w14:paraId="149C8AF7" w14:textId="633ADD14" w:rsidR="00935736" w:rsidRPr="00FA4C3E" w:rsidRDefault="00EF7D33"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Variable</w:t>
            </w:r>
            <w:r w:rsidR="00935736" w:rsidRPr="00FA4C3E">
              <w:rPr>
                <w:rFonts w:asciiTheme="minorHAnsi" w:eastAsia="Times New Roman" w:hAnsiTheme="minorHAnsi" w:cstheme="minorHAnsi"/>
                <w:sz w:val="20"/>
                <w:szCs w:val="20"/>
              </w:rPr>
              <w:t xml:space="preserve"> according to annual risk assessment</w:t>
            </w:r>
            <w:r w:rsidR="00EF3054" w:rsidRPr="00FA4C3E">
              <w:rPr>
                <w:rFonts w:asciiTheme="minorHAnsi" w:eastAsia="Times New Roman" w:hAnsiTheme="minorHAnsi" w:cstheme="minorHAnsi"/>
                <w:sz w:val="20"/>
                <w:szCs w:val="20"/>
              </w:rPr>
              <w:t>.</w:t>
            </w:r>
          </w:p>
          <w:p w14:paraId="548BD2FC" w14:textId="77777777" w:rsidR="00935736" w:rsidRPr="00FA4C3E" w:rsidRDefault="00935736" w:rsidP="00EF3054">
            <w:pPr>
              <w:spacing w:line="240" w:lineRule="auto"/>
              <w:rPr>
                <w:rFonts w:asciiTheme="minorHAnsi" w:eastAsia="Times New Roman" w:hAnsiTheme="minorHAnsi" w:cstheme="minorHAnsi"/>
                <w:sz w:val="20"/>
                <w:szCs w:val="20"/>
              </w:rPr>
            </w:pPr>
          </w:p>
          <w:p w14:paraId="132A02AA" w14:textId="77777777" w:rsidR="00935736" w:rsidRPr="00FA4C3E" w:rsidRDefault="00935736" w:rsidP="00EF3054">
            <w:pPr>
              <w:spacing w:line="240" w:lineRule="auto"/>
              <w:rPr>
                <w:rFonts w:asciiTheme="minorHAnsi" w:eastAsia="Times New Roman" w:hAnsiTheme="minorHAnsi" w:cstheme="minorHAnsi"/>
                <w:sz w:val="20"/>
                <w:szCs w:val="20"/>
              </w:rPr>
            </w:pPr>
          </w:p>
        </w:tc>
        <w:tc>
          <w:tcPr>
            <w:tcW w:w="3691" w:type="dxa"/>
          </w:tcPr>
          <w:p w14:paraId="20435645" w14:textId="77777777" w:rsidR="00935736" w:rsidRPr="00FA4C3E" w:rsidRDefault="00935736" w:rsidP="00EF3054">
            <w:pPr>
              <w:spacing w:line="240" w:lineRule="auto"/>
              <w:rPr>
                <w:rFonts w:asciiTheme="minorHAnsi" w:eastAsia="Times New Roman" w:hAnsiTheme="minorHAnsi" w:cstheme="minorHAnsi"/>
                <w:sz w:val="20"/>
                <w:szCs w:val="20"/>
              </w:rPr>
            </w:pPr>
          </w:p>
          <w:p w14:paraId="4DE01C76" w14:textId="77777777" w:rsidR="00EF7D33"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The reserve is held to cover potential uninsured risks.</w:t>
            </w:r>
            <w:r w:rsidR="00EF7D33" w:rsidRPr="00FA4C3E">
              <w:rPr>
                <w:rFonts w:asciiTheme="minorHAnsi" w:eastAsia="Times New Roman" w:hAnsiTheme="minorHAnsi" w:cstheme="minorHAnsi"/>
                <w:sz w:val="20"/>
                <w:szCs w:val="20"/>
              </w:rPr>
              <w:t xml:space="preserve"> </w:t>
            </w:r>
          </w:p>
          <w:p w14:paraId="27E76741" w14:textId="77777777" w:rsidR="00EF7D33" w:rsidRPr="00FA4C3E" w:rsidRDefault="00EF7D33" w:rsidP="00EF3054">
            <w:pPr>
              <w:spacing w:line="240" w:lineRule="auto"/>
              <w:rPr>
                <w:rFonts w:asciiTheme="minorHAnsi" w:eastAsia="Times New Roman" w:hAnsiTheme="minorHAnsi" w:cstheme="minorHAnsi"/>
                <w:sz w:val="20"/>
                <w:szCs w:val="20"/>
              </w:rPr>
            </w:pPr>
          </w:p>
          <w:p w14:paraId="16D3E614" w14:textId="29B0B695"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 xml:space="preserve">If no reserve is held the NCFRA is potentially open to significant excess and claims payments in year beyond available revenue budgets which would fall on the general reserve. </w:t>
            </w:r>
          </w:p>
          <w:p w14:paraId="5127716F" w14:textId="77777777" w:rsidR="00EF7D33" w:rsidRPr="00FA4C3E" w:rsidRDefault="00EF7D33" w:rsidP="00EF3054">
            <w:pPr>
              <w:spacing w:line="240" w:lineRule="auto"/>
              <w:rPr>
                <w:rFonts w:asciiTheme="minorHAnsi" w:eastAsia="Times New Roman" w:hAnsiTheme="minorHAnsi" w:cstheme="minorHAnsi"/>
                <w:sz w:val="20"/>
                <w:szCs w:val="20"/>
              </w:rPr>
            </w:pPr>
          </w:p>
          <w:p w14:paraId="017ED7FB" w14:textId="5A2E5B1D"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Assessment by insurers needs to be realistic not unduly pessimistic.</w:t>
            </w:r>
          </w:p>
        </w:tc>
        <w:tc>
          <w:tcPr>
            <w:tcW w:w="1332" w:type="dxa"/>
          </w:tcPr>
          <w:p w14:paraId="4DB4E390" w14:textId="7105AB05" w:rsidR="00935736" w:rsidRPr="00FA4C3E" w:rsidRDefault="00935736" w:rsidP="00EF3054">
            <w:pPr>
              <w:spacing w:line="240" w:lineRule="auto"/>
              <w:rPr>
                <w:rFonts w:asciiTheme="minorHAnsi" w:eastAsia="Times New Roman" w:hAnsiTheme="minorHAnsi" w:cstheme="minorHAnsi"/>
                <w:sz w:val="20"/>
                <w:szCs w:val="20"/>
              </w:rPr>
            </w:pPr>
          </w:p>
          <w:p w14:paraId="2F8AE0CF" w14:textId="62943AB9"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PFCC, on advice from PFCC CFO</w:t>
            </w:r>
          </w:p>
        </w:tc>
        <w:tc>
          <w:tcPr>
            <w:tcW w:w="973" w:type="dxa"/>
          </w:tcPr>
          <w:p w14:paraId="3347D3F4" w14:textId="77777777" w:rsidR="00935736" w:rsidRPr="00FA4C3E" w:rsidRDefault="00935736" w:rsidP="00EF3054">
            <w:pPr>
              <w:spacing w:line="240" w:lineRule="auto"/>
              <w:rPr>
                <w:rFonts w:asciiTheme="minorHAnsi" w:eastAsia="Times New Roman" w:hAnsiTheme="minorHAnsi" w:cstheme="minorHAnsi"/>
                <w:sz w:val="20"/>
                <w:szCs w:val="20"/>
              </w:rPr>
            </w:pPr>
          </w:p>
          <w:p w14:paraId="659B1047" w14:textId="77777777"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Annual</w:t>
            </w:r>
          </w:p>
        </w:tc>
      </w:tr>
      <w:tr w:rsidR="00EF3054" w:rsidRPr="00FA4C3E" w14:paraId="278A1005" w14:textId="77777777" w:rsidTr="00935736">
        <w:trPr>
          <w:cantSplit/>
          <w:jc w:val="center"/>
        </w:trPr>
        <w:tc>
          <w:tcPr>
            <w:tcW w:w="1837" w:type="dxa"/>
          </w:tcPr>
          <w:p w14:paraId="4A52A553" w14:textId="77777777" w:rsidR="00EF3054" w:rsidRPr="00FA4C3E" w:rsidRDefault="00EF3054" w:rsidP="00EF3054">
            <w:pPr>
              <w:spacing w:line="240" w:lineRule="auto"/>
              <w:rPr>
                <w:rFonts w:asciiTheme="minorHAnsi" w:eastAsia="Times New Roman" w:hAnsiTheme="minorHAnsi" w:cstheme="minorHAnsi"/>
                <w:b/>
                <w:bCs/>
                <w:sz w:val="20"/>
                <w:szCs w:val="20"/>
              </w:rPr>
            </w:pPr>
          </w:p>
          <w:p w14:paraId="6F78A7C1" w14:textId="5F9D331F" w:rsidR="00EF3054" w:rsidRPr="00FA4C3E" w:rsidRDefault="00EF3054" w:rsidP="00EF3054">
            <w:pPr>
              <w:rPr>
                <w:rFonts w:asciiTheme="minorHAnsi" w:hAnsiTheme="minorHAnsi" w:cstheme="minorHAnsi"/>
                <w:b/>
                <w:bCs/>
                <w:sz w:val="20"/>
                <w:szCs w:val="20"/>
              </w:rPr>
            </w:pPr>
            <w:r w:rsidRPr="00FA4C3E">
              <w:rPr>
                <w:rFonts w:asciiTheme="minorHAnsi" w:eastAsia="Times New Roman" w:hAnsiTheme="minorHAnsi" w:cstheme="minorHAnsi"/>
                <w:b/>
                <w:bCs/>
                <w:sz w:val="20"/>
                <w:szCs w:val="20"/>
              </w:rPr>
              <w:t>EARMARKED - OPERATIONAL EQUIPMENT</w:t>
            </w:r>
          </w:p>
        </w:tc>
        <w:tc>
          <w:tcPr>
            <w:tcW w:w="3261" w:type="dxa"/>
          </w:tcPr>
          <w:p w14:paraId="7B113232" w14:textId="77777777" w:rsidR="00EF3054" w:rsidRPr="00FA4C3E" w:rsidRDefault="00EF3054" w:rsidP="00EF3054">
            <w:pPr>
              <w:spacing w:line="240" w:lineRule="auto"/>
              <w:rPr>
                <w:rFonts w:asciiTheme="minorHAnsi" w:eastAsia="Times New Roman" w:hAnsiTheme="minorHAnsi" w:cstheme="minorHAnsi"/>
                <w:sz w:val="20"/>
                <w:szCs w:val="20"/>
              </w:rPr>
            </w:pPr>
          </w:p>
          <w:p w14:paraId="64F74972" w14:textId="5DBF939C" w:rsidR="00EF3054" w:rsidRPr="00FA4C3E" w:rsidRDefault="00EF3054" w:rsidP="00EF3054">
            <w:pPr>
              <w:rPr>
                <w:rFonts w:asciiTheme="minorHAnsi" w:hAnsiTheme="minorHAnsi" w:cstheme="minorHAnsi"/>
                <w:sz w:val="20"/>
                <w:szCs w:val="20"/>
              </w:rPr>
            </w:pPr>
            <w:r w:rsidRPr="00FA4C3E">
              <w:rPr>
                <w:rFonts w:asciiTheme="minorHAnsi" w:eastAsia="Times New Roman" w:hAnsiTheme="minorHAnsi" w:cstheme="minorHAnsi"/>
                <w:sz w:val="20"/>
                <w:szCs w:val="20"/>
              </w:rPr>
              <w:t>To smooth the impact of operational equipment purchases on the revenue budget</w:t>
            </w:r>
          </w:p>
        </w:tc>
        <w:tc>
          <w:tcPr>
            <w:tcW w:w="2410" w:type="dxa"/>
          </w:tcPr>
          <w:p w14:paraId="198EB3CC" w14:textId="77777777" w:rsidR="00EF3054" w:rsidRPr="00FA4C3E" w:rsidRDefault="00EF3054" w:rsidP="00EF3054">
            <w:pPr>
              <w:spacing w:line="240" w:lineRule="auto"/>
              <w:rPr>
                <w:rFonts w:asciiTheme="minorHAnsi" w:eastAsia="Times New Roman" w:hAnsiTheme="minorHAnsi" w:cstheme="minorHAnsi"/>
                <w:sz w:val="20"/>
                <w:szCs w:val="20"/>
              </w:rPr>
            </w:pPr>
          </w:p>
          <w:p w14:paraId="2414F1EF" w14:textId="129450B6" w:rsidR="00EF3054" w:rsidRPr="00FA4C3E" w:rsidRDefault="00EF3054" w:rsidP="00EF3054">
            <w:pPr>
              <w:rPr>
                <w:rFonts w:asciiTheme="minorHAnsi" w:hAnsiTheme="minorHAnsi" w:cstheme="minorHAnsi"/>
                <w:sz w:val="20"/>
                <w:szCs w:val="20"/>
              </w:rPr>
            </w:pPr>
            <w:r w:rsidRPr="00FA4C3E">
              <w:rPr>
                <w:rFonts w:asciiTheme="minorHAnsi" w:eastAsia="Times New Roman" w:hAnsiTheme="minorHAnsi" w:cstheme="minorHAnsi"/>
                <w:sz w:val="20"/>
                <w:szCs w:val="20"/>
              </w:rPr>
              <w:t xml:space="preserve">To access the funds a costed request </w:t>
            </w:r>
            <w:proofErr w:type="gramStart"/>
            <w:r w:rsidRPr="00FA4C3E">
              <w:rPr>
                <w:rFonts w:asciiTheme="minorHAnsi" w:eastAsia="Times New Roman" w:hAnsiTheme="minorHAnsi" w:cstheme="minorHAnsi"/>
                <w:sz w:val="20"/>
                <w:szCs w:val="20"/>
              </w:rPr>
              <w:t>has to</w:t>
            </w:r>
            <w:proofErr w:type="gramEnd"/>
            <w:r w:rsidRPr="00FA4C3E">
              <w:rPr>
                <w:rFonts w:asciiTheme="minorHAnsi" w:eastAsia="Times New Roman" w:hAnsiTheme="minorHAnsi" w:cstheme="minorHAnsi"/>
                <w:sz w:val="20"/>
                <w:szCs w:val="20"/>
              </w:rPr>
              <w:t xml:space="preserve"> be provided.</w:t>
            </w:r>
          </w:p>
        </w:tc>
        <w:tc>
          <w:tcPr>
            <w:tcW w:w="1745" w:type="dxa"/>
          </w:tcPr>
          <w:p w14:paraId="5EE9010D" w14:textId="77777777" w:rsidR="00EF3054" w:rsidRPr="00FA4C3E" w:rsidRDefault="00EF3054" w:rsidP="00EF3054">
            <w:pPr>
              <w:spacing w:line="240" w:lineRule="auto"/>
              <w:rPr>
                <w:rFonts w:asciiTheme="minorHAnsi" w:eastAsia="Times New Roman" w:hAnsiTheme="minorHAnsi" w:cstheme="minorHAnsi"/>
                <w:sz w:val="20"/>
                <w:szCs w:val="20"/>
              </w:rPr>
            </w:pPr>
          </w:p>
          <w:p w14:paraId="2BDA2CA3" w14:textId="7728AC70" w:rsidR="00EF3054" w:rsidRPr="00FA4C3E" w:rsidRDefault="00EF7D33"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Variable</w:t>
            </w:r>
            <w:r w:rsidR="00EF3054" w:rsidRPr="00FA4C3E">
              <w:rPr>
                <w:rFonts w:asciiTheme="minorHAnsi" w:eastAsia="Times New Roman" w:hAnsiTheme="minorHAnsi" w:cstheme="minorHAnsi"/>
                <w:sz w:val="20"/>
                <w:szCs w:val="20"/>
              </w:rPr>
              <w:t xml:space="preserve"> according to usage and annual risk assessment.</w:t>
            </w:r>
          </w:p>
          <w:p w14:paraId="25082D2B" w14:textId="77777777" w:rsidR="00EF3054" w:rsidRPr="00FA4C3E" w:rsidRDefault="00EF3054" w:rsidP="00EF3054">
            <w:pPr>
              <w:rPr>
                <w:rFonts w:asciiTheme="minorHAnsi" w:hAnsiTheme="minorHAnsi" w:cstheme="minorHAnsi"/>
                <w:sz w:val="20"/>
                <w:szCs w:val="20"/>
              </w:rPr>
            </w:pPr>
          </w:p>
        </w:tc>
        <w:tc>
          <w:tcPr>
            <w:tcW w:w="3691" w:type="dxa"/>
          </w:tcPr>
          <w:p w14:paraId="50857474" w14:textId="77777777" w:rsidR="00EF3054" w:rsidRPr="00FA4C3E" w:rsidRDefault="00EF3054" w:rsidP="00EF3054">
            <w:pPr>
              <w:spacing w:line="240" w:lineRule="auto"/>
              <w:rPr>
                <w:rFonts w:asciiTheme="minorHAnsi" w:eastAsia="Times New Roman" w:hAnsiTheme="minorHAnsi" w:cstheme="minorHAnsi"/>
                <w:sz w:val="20"/>
                <w:szCs w:val="20"/>
              </w:rPr>
            </w:pPr>
          </w:p>
          <w:p w14:paraId="2AD163E1" w14:textId="77777777" w:rsidR="00EF3054" w:rsidRPr="00FA4C3E" w:rsidRDefault="00EF3054"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The reserve is held to smooth the impact of operational equipment replacement rather than have significant variations in the budget.</w:t>
            </w:r>
          </w:p>
          <w:p w14:paraId="3DF16B22" w14:textId="77777777" w:rsidR="00EF3054" w:rsidRPr="00FA4C3E" w:rsidRDefault="00EF3054" w:rsidP="00EF3054">
            <w:pPr>
              <w:spacing w:line="240" w:lineRule="auto"/>
              <w:rPr>
                <w:rFonts w:asciiTheme="minorHAnsi" w:eastAsia="Times New Roman" w:hAnsiTheme="minorHAnsi" w:cstheme="minorHAnsi"/>
                <w:sz w:val="20"/>
                <w:szCs w:val="20"/>
              </w:rPr>
            </w:pPr>
          </w:p>
          <w:p w14:paraId="7F315197" w14:textId="77777777" w:rsidR="00EF3054" w:rsidRPr="00FA4C3E" w:rsidRDefault="00EF3054"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If no reserve is held, the risk is that equipment would have to be replaced from the current year’s budget or capital programme.</w:t>
            </w:r>
          </w:p>
          <w:p w14:paraId="2CFB56F3" w14:textId="3C9A1C02" w:rsidR="00EF3054" w:rsidRPr="00FA4C3E" w:rsidRDefault="00EF3054" w:rsidP="00EF3054">
            <w:pPr>
              <w:spacing w:line="240" w:lineRule="auto"/>
              <w:rPr>
                <w:rFonts w:asciiTheme="minorHAnsi" w:eastAsia="Times New Roman" w:hAnsiTheme="minorHAnsi" w:cstheme="minorHAnsi"/>
                <w:sz w:val="20"/>
                <w:szCs w:val="20"/>
              </w:rPr>
            </w:pPr>
          </w:p>
        </w:tc>
        <w:tc>
          <w:tcPr>
            <w:tcW w:w="1332" w:type="dxa"/>
          </w:tcPr>
          <w:p w14:paraId="306D66CE" w14:textId="77777777" w:rsidR="00EF3054" w:rsidRPr="00FA4C3E" w:rsidRDefault="00EF3054" w:rsidP="00EF3054">
            <w:pPr>
              <w:spacing w:line="240" w:lineRule="auto"/>
              <w:rPr>
                <w:rFonts w:asciiTheme="minorHAnsi" w:eastAsia="Times New Roman" w:hAnsiTheme="minorHAnsi" w:cstheme="minorHAnsi"/>
                <w:sz w:val="20"/>
                <w:szCs w:val="20"/>
              </w:rPr>
            </w:pPr>
          </w:p>
          <w:p w14:paraId="782D167E" w14:textId="700DBB82" w:rsidR="00EF3054" w:rsidRPr="00FA4C3E" w:rsidRDefault="00EF3054" w:rsidP="00EF3054">
            <w:pPr>
              <w:rPr>
                <w:rFonts w:asciiTheme="minorHAnsi" w:hAnsiTheme="minorHAnsi" w:cstheme="minorHAnsi"/>
                <w:sz w:val="20"/>
                <w:szCs w:val="20"/>
              </w:rPr>
            </w:pPr>
            <w:r w:rsidRPr="00FA4C3E">
              <w:rPr>
                <w:rFonts w:asciiTheme="minorHAnsi" w:eastAsia="Times New Roman" w:hAnsiTheme="minorHAnsi" w:cstheme="minorHAnsi"/>
                <w:sz w:val="20"/>
                <w:szCs w:val="20"/>
              </w:rPr>
              <w:t>PFCC, on advice from PFCC CFO</w:t>
            </w:r>
          </w:p>
        </w:tc>
        <w:tc>
          <w:tcPr>
            <w:tcW w:w="973" w:type="dxa"/>
          </w:tcPr>
          <w:p w14:paraId="696AA212" w14:textId="77777777" w:rsidR="00EF3054" w:rsidRPr="00FA4C3E" w:rsidRDefault="00EF3054" w:rsidP="00EF3054">
            <w:pPr>
              <w:spacing w:line="240" w:lineRule="auto"/>
              <w:rPr>
                <w:rFonts w:asciiTheme="minorHAnsi" w:eastAsia="Times New Roman" w:hAnsiTheme="minorHAnsi" w:cstheme="minorHAnsi"/>
                <w:sz w:val="20"/>
                <w:szCs w:val="20"/>
              </w:rPr>
            </w:pPr>
          </w:p>
          <w:p w14:paraId="7D9DBDDF" w14:textId="3AD876A3" w:rsidR="00EF3054" w:rsidRPr="00FA4C3E" w:rsidRDefault="00EF3054" w:rsidP="00EF3054">
            <w:pPr>
              <w:rPr>
                <w:rFonts w:asciiTheme="minorHAnsi" w:hAnsiTheme="minorHAnsi" w:cstheme="minorHAnsi"/>
                <w:sz w:val="20"/>
                <w:szCs w:val="20"/>
              </w:rPr>
            </w:pPr>
            <w:r w:rsidRPr="00FA4C3E">
              <w:rPr>
                <w:rFonts w:asciiTheme="minorHAnsi" w:eastAsia="Times New Roman" w:hAnsiTheme="minorHAnsi" w:cstheme="minorHAnsi"/>
                <w:sz w:val="20"/>
                <w:szCs w:val="20"/>
              </w:rPr>
              <w:t>Annual</w:t>
            </w:r>
          </w:p>
        </w:tc>
      </w:tr>
      <w:tr w:rsidR="00935736" w:rsidRPr="00FA4C3E" w14:paraId="524BC5F5" w14:textId="77777777" w:rsidTr="00935736">
        <w:trPr>
          <w:cantSplit/>
          <w:jc w:val="center"/>
        </w:trPr>
        <w:tc>
          <w:tcPr>
            <w:tcW w:w="1837" w:type="dxa"/>
          </w:tcPr>
          <w:p w14:paraId="76955AF7" w14:textId="77777777" w:rsidR="00935736" w:rsidRPr="00FA4C3E" w:rsidRDefault="00935736" w:rsidP="00EF3054">
            <w:pPr>
              <w:spacing w:line="240" w:lineRule="auto"/>
              <w:rPr>
                <w:rFonts w:asciiTheme="minorHAnsi" w:eastAsia="Times New Roman" w:hAnsiTheme="minorHAnsi" w:cstheme="minorHAnsi"/>
                <w:b/>
                <w:bCs/>
                <w:sz w:val="20"/>
                <w:szCs w:val="20"/>
              </w:rPr>
            </w:pPr>
          </w:p>
          <w:p w14:paraId="5ACFBD0D" w14:textId="77777777" w:rsidR="00935736" w:rsidRPr="00FA4C3E" w:rsidRDefault="00935736" w:rsidP="00EF3054">
            <w:pPr>
              <w:spacing w:line="240" w:lineRule="auto"/>
              <w:rPr>
                <w:rFonts w:asciiTheme="minorHAnsi" w:eastAsia="Times New Roman" w:hAnsiTheme="minorHAnsi" w:cstheme="minorHAnsi"/>
                <w:b/>
                <w:bCs/>
                <w:sz w:val="20"/>
                <w:szCs w:val="20"/>
              </w:rPr>
            </w:pPr>
            <w:r w:rsidRPr="00FA4C3E">
              <w:rPr>
                <w:rFonts w:asciiTheme="minorHAnsi" w:eastAsia="Times New Roman" w:hAnsiTheme="minorHAnsi" w:cstheme="minorHAnsi"/>
                <w:b/>
                <w:bCs/>
                <w:sz w:val="20"/>
                <w:szCs w:val="20"/>
              </w:rPr>
              <w:t>EARMARKED – CARRY FORWARDS</w:t>
            </w:r>
          </w:p>
          <w:p w14:paraId="6E94775C" w14:textId="77777777" w:rsidR="00935736" w:rsidRPr="00FA4C3E" w:rsidRDefault="00935736" w:rsidP="00EF3054">
            <w:pPr>
              <w:spacing w:line="240" w:lineRule="auto"/>
              <w:rPr>
                <w:rFonts w:asciiTheme="minorHAnsi" w:eastAsia="Times New Roman" w:hAnsiTheme="minorHAnsi" w:cstheme="minorHAnsi"/>
                <w:b/>
                <w:bCs/>
                <w:sz w:val="20"/>
                <w:szCs w:val="20"/>
              </w:rPr>
            </w:pPr>
          </w:p>
        </w:tc>
        <w:tc>
          <w:tcPr>
            <w:tcW w:w="3261" w:type="dxa"/>
          </w:tcPr>
          <w:p w14:paraId="50B3E3E1" w14:textId="77777777" w:rsidR="00935736" w:rsidRPr="00FA4C3E" w:rsidRDefault="00935736" w:rsidP="00EF3054">
            <w:pPr>
              <w:spacing w:line="240" w:lineRule="auto"/>
              <w:rPr>
                <w:rFonts w:asciiTheme="minorHAnsi" w:eastAsia="Times New Roman" w:hAnsiTheme="minorHAnsi" w:cstheme="minorHAnsi"/>
                <w:sz w:val="20"/>
                <w:szCs w:val="20"/>
              </w:rPr>
            </w:pPr>
          </w:p>
          <w:p w14:paraId="63094100" w14:textId="48AED0AF" w:rsidR="00EF7D33" w:rsidRPr="00FA4C3E" w:rsidRDefault="00EF7D33" w:rsidP="00EF7D33">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To fund specific expenditure requested by the service from previous year underspends or earmarked funding received.</w:t>
            </w:r>
          </w:p>
          <w:p w14:paraId="203A1877" w14:textId="7A95E1ED" w:rsidR="00935736" w:rsidRPr="00FA4C3E" w:rsidRDefault="00935736" w:rsidP="00EF3054">
            <w:pPr>
              <w:spacing w:line="240" w:lineRule="auto"/>
              <w:rPr>
                <w:rFonts w:asciiTheme="minorHAnsi" w:eastAsia="Times New Roman" w:hAnsiTheme="minorHAnsi" w:cstheme="minorHAnsi"/>
                <w:sz w:val="20"/>
                <w:szCs w:val="20"/>
              </w:rPr>
            </w:pPr>
          </w:p>
        </w:tc>
        <w:tc>
          <w:tcPr>
            <w:tcW w:w="2410" w:type="dxa"/>
          </w:tcPr>
          <w:p w14:paraId="6FC94C05" w14:textId="77777777" w:rsidR="00935736" w:rsidRPr="00FA4C3E" w:rsidRDefault="00935736" w:rsidP="00EF3054">
            <w:pPr>
              <w:spacing w:line="240" w:lineRule="auto"/>
              <w:rPr>
                <w:rFonts w:asciiTheme="minorHAnsi" w:eastAsia="Times New Roman" w:hAnsiTheme="minorHAnsi" w:cstheme="minorHAnsi"/>
                <w:sz w:val="20"/>
                <w:szCs w:val="20"/>
              </w:rPr>
            </w:pPr>
          </w:p>
          <w:p w14:paraId="0B31718E" w14:textId="1908679E" w:rsidR="00935736" w:rsidRPr="00FA4C3E" w:rsidRDefault="00EF7D33"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Business cases provided as part of the outturn report or specific funding conditions.</w:t>
            </w:r>
          </w:p>
        </w:tc>
        <w:tc>
          <w:tcPr>
            <w:tcW w:w="1745" w:type="dxa"/>
          </w:tcPr>
          <w:p w14:paraId="02DE15A1" w14:textId="77777777" w:rsidR="00935736" w:rsidRPr="00FA4C3E" w:rsidRDefault="00935736" w:rsidP="00EF3054">
            <w:pPr>
              <w:spacing w:line="240" w:lineRule="auto"/>
              <w:rPr>
                <w:rFonts w:asciiTheme="minorHAnsi" w:eastAsia="Times New Roman" w:hAnsiTheme="minorHAnsi" w:cstheme="minorHAnsi"/>
                <w:sz w:val="20"/>
                <w:szCs w:val="20"/>
              </w:rPr>
            </w:pPr>
          </w:p>
          <w:p w14:paraId="1CF06814" w14:textId="5D2CC8BC" w:rsidR="00935736" w:rsidRPr="00FA4C3E" w:rsidRDefault="00EF7D33"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Variable</w:t>
            </w:r>
            <w:r w:rsidR="00935736" w:rsidRPr="00FA4C3E">
              <w:rPr>
                <w:rFonts w:asciiTheme="minorHAnsi" w:eastAsia="Times New Roman" w:hAnsiTheme="minorHAnsi" w:cstheme="minorHAnsi"/>
                <w:sz w:val="20"/>
                <w:szCs w:val="20"/>
              </w:rPr>
              <w:t xml:space="preserve"> according to year end outturn and usage.</w:t>
            </w:r>
          </w:p>
        </w:tc>
        <w:tc>
          <w:tcPr>
            <w:tcW w:w="3691" w:type="dxa"/>
          </w:tcPr>
          <w:p w14:paraId="400BBDB4" w14:textId="77777777" w:rsidR="00935736" w:rsidRPr="00FA4C3E" w:rsidRDefault="00935736" w:rsidP="00EF3054">
            <w:pPr>
              <w:spacing w:line="240" w:lineRule="auto"/>
              <w:rPr>
                <w:rFonts w:asciiTheme="minorHAnsi" w:eastAsia="Times New Roman" w:hAnsiTheme="minorHAnsi" w:cstheme="minorHAnsi"/>
                <w:sz w:val="20"/>
                <w:szCs w:val="20"/>
              </w:rPr>
            </w:pPr>
          </w:p>
          <w:p w14:paraId="731F0D37" w14:textId="77777777"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Establishing a reserve enables an incentive and opportunity to utilise year end underspends in a manner which will provide additionality or benefit for the service in future years, rather than finding resources from in-year or reserves.</w:t>
            </w:r>
          </w:p>
          <w:p w14:paraId="55BB4C61" w14:textId="2213F808" w:rsidR="00EF3054" w:rsidRPr="00FA4C3E" w:rsidRDefault="00EF3054" w:rsidP="00EF3054">
            <w:pPr>
              <w:spacing w:line="240" w:lineRule="auto"/>
              <w:rPr>
                <w:rFonts w:asciiTheme="minorHAnsi" w:eastAsia="Times New Roman" w:hAnsiTheme="minorHAnsi" w:cstheme="minorHAnsi"/>
                <w:sz w:val="20"/>
                <w:szCs w:val="20"/>
              </w:rPr>
            </w:pPr>
          </w:p>
        </w:tc>
        <w:tc>
          <w:tcPr>
            <w:tcW w:w="1332" w:type="dxa"/>
          </w:tcPr>
          <w:p w14:paraId="4DD58FA6" w14:textId="41438111" w:rsidR="00935736" w:rsidRPr="00FA4C3E" w:rsidRDefault="00935736" w:rsidP="00EF3054">
            <w:pPr>
              <w:spacing w:line="240" w:lineRule="auto"/>
              <w:rPr>
                <w:rFonts w:asciiTheme="minorHAnsi" w:eastAsia="Times New Roman" w:hAnsiTheme="minorHAnsi" w:cstheme="minorHAnsi"/>
                <w:sz w:val="20"/>
                <w:szCs w:val="20"/>
              </w:rPr>
            </w:pPr>
          </w:p>
          <w:p w14:paraId="14F4AF9F" w14:textId="77777777"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PFCC, on advice from PFCC CFO</w:t>
            </w:r>
          </w:p>
        </w:tc>
        <w:tc>
          <w:tcPr>
            <w:tcW w:w="973" w:type="dxa"/>
          </w:tcPr>
          <w:p w14:paraId="379B5015" w14:textId="77777777" w:rsidR="00935736" w:rsidRPr="00FA4C3E" w:rsidRDefault="00935736" w:rsidP="00EF3054">
            <w:pPr>
              <w:spacing w:line="240" w:lineRule="auto"/>
              <w:rPr>
                <w:rFonts w:asciiTheme="minorHAnsi" w:eastAsia="Times New Roman" w:hAnsiTheme="minorHAnsi" w:cstheme="minorHAnsi"/>
                <w:sz w:val="20"/>
                <w:szCs w:val="20"/>
              </w:rPr>
            </w:pPr>
          </w:p>
          <w:p w14:paraId="5C5C0C2B" w14:textId="77777777"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Annual</w:t>
            </w:r>
          </w:p>
        </w:tc>
      </w:tr>
      <w:tr w:rsidR="00935736" w:rsidRPr="00FA4C3E" w14:paraId="1028C62B" w14:textId="77777777" w:rsidTr="00935736">
        <w:trPr>
          <w:cantSplit/>
          <w:jc w:val="center"/>
        </w:trPr>
        <w:tc>
          <w:tcPr>
            <w:tcW w:w="1837" w:type="dxa"/>
          </w:tcPr>
          <w:p w14:paraId="523C5C98" w14:textId="77777777" w:rsidR="00EF3054" w:rsidRPr="00FA4C3E" w:rsidRDefault="00EF3054" w:rsidP="00EF3054">
            <w:pPr>
              <w:spacing w:line="240" w:lineRule="auto"/>
              <w:rPr>
                <w:rFonts w:asciiTheme="minorHAnsi" w:eastAsia="Times New Roman" w:hAnsiTheme="minorHAnsi" w:cstheme="minorHAnsi"/>
                <w:b/>
                <w:bCs/>
                <w:sz w:val="20"/>
                <w:szCs w:val="20"/>
              </w:rPr>
            </w:pPr>
          </w:p>
          <w:p w14:paraId="5ED98005" w14:textId="1BD4EAB2" w:rsidR="00935736" w:rsidRPr="00FA4C3E" w:rsidRDefault="00935736" w:rsidP="00EF3054">
            <w:pPr>
              <w:spacing w:line="240" w:lineRule="auto"/>
              <w:rPr>
                <w:rFonts w:asciiTheme="minorHAnsi" w:eastAsia="Times New Roman" w:hAnsiTheme="minorHAnsi" w:cstheme="minorHAnsi"/>
                <w:b/>
                <w:bCs/>
                <w:sz w:val="20"/>
                <w:szCs w:val="20"/>
              </w:rPr>
            </w:pPr>
            <w:r w:rsidRPr="00FA4C3E">
              <w:rPr>
                <w:rFonts w:asciiTheme="minorHAnsi" w:eastAsia="Times New Roman" w:hAnsiTheme="minorHAnsi" w:cstheme="minorHAnsi"/>
                <w:b/>
                <w:bCs/>
                <w:sz w:val="20"/>
                <w:szCs w:val="20"/>
              </w:rPr>
              <w:t>EARMARKED – SMOOTHING</w:t>
            </w:r>
          </w:p>
          <w:p w14:paraId="5911336E" w14:textId="77777777" w:rsidR="00935736" w:rsidRPr="00FA4C3E" w:rsidRDefault="00935736" w:rsidP="00EF3054">
            <w:pPr>
              <w:spacing w:line="240" w:lineRule="auto"/>
              <w:rPr>
                <w:rFonts w:asciiTheme="minorHAnsi" w:eastAsia="Times New Roman" w:hAnsiTheme="minorHAnsi" w:cstheme="minorHAnsi"/>
                <w:b/>
                <w:bCs/>
                <w:sz w:val="20"/>
                <w:szCs w:val="20"/>
              </w:rPr>
            </w:pPr>
          </w:p>
        </w:tc>
        <w:tc>
          <w:tcPr>
            <w:tcW w:w="3261" w:type="dxa"/>
          </w:tcPr>
          <w:p w14:paraId="03EEE738" w14:textId="77777777" w:rsidR="00935736" w:rsidRPr="00FA4C3E" w:rsidRDefault="00935736" w:rsidP="00EF3054">
            <w:pPr>
              <w:spacing w:line="240" w:lineRule="auto"/>
              <w:rPr>
                <w:rFonts w:asciiTheme="minorHAnsi" w:eastAsia="Times New Roman" w:hAnsiTheme="minorHAnsi" w:cstheme="minorHAnsi"/>
                <w:sz w:val="20"/>
                <w:szCs w:val="20"/>
              </w:rPr>
            </w:pPr>
          </w:p>
          <w:p w14:paraId="38386A02" w14:textId="77777777" w:rsidR="00EF7D33" w:rsidRPr="00FA4C3E" w:rsidRDefault="00EF7D33" w:rsidP="00EF7D33">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 xml:space="preserve">The reserve is held to receive any efficiencies and funding </w:t>
            </w:r>
            <w:proofErr w:type="gramStart"/>
            <w:r w:rsidRPr="00FA4C3E">
              <w:rPr>
                <w:rFonts w:asciiTheme="minorHAnsi" w:eastAsia="Times New Roman" w:hAnsiTheme="minorHAnsi" w:cstheme="minorHAnsi"/>
                <w:sz w:val="20"/>
                <w:szCs w:val="20"/>
              </w:rPr>
              <w:t>in excess of</w:t>
            </w:r>
            <w:proofErr w:type="gramEnd"/>
            <w:r w:rsidRPr="00FA4C3E">
              <w:rPr>
                <w:rFonts w:asciiTheme="minorHAnsi" w:eastAsia="Times New Roman" w:hAnsiTheme="minorHAnsi" w:cstheme="minorHAnsi"/>
                <w:sz w:val="20"/>
                <w:szCs w:val="20"/>
              </w:rPr>
              <w:t xml:space="preserve"> the budget set and to utilise to ensure any future variations are smoothed where appropriate.</w:t>
            </w:r>
          </w:p>
          <w:p w14:paraId="6747AC3C" w14:textId="77777777" w:rsidR="00EF7D33" w:rsidRPr="00FA4C3E" w:rsidRDefault="00EF7D33" w:rsidP="00EF7D33">
            <w:pPr>
              <w:spacing w:line="240" w:lineRule="auto"/>
              <w:rPr>
                <w:rFonts w:asciiTheme="minorHAnsi" w:eastAsia="Times New Roman" w:hAnsiTheme="minorHAnsi" w:cstheme="minorHAnsi"/>
                <w:sz w:val="20"/>
                <w:szCs w:val="20"/>
              </w:rPr>
            </w:pPr>
          </w:p>
          <w:p w14:paraId="43A76E03" w14:textId="77777777" w:rsidR="00EF7D33" w:rsidRPr="00FA4C3E" w:rsidRDefault="00EF7D33" w:rsidP="00EF7D33">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This includes the impact of fluctuations in funding receipts from the collection fund if provided after the budget has been set.</w:t>
            </w:r>
          </w:p>
          <w:p w14:paraId="69BE3FC9" w14:textId="60D3CBA5" w:rsidR="00935736" w:rsidRPr="00FA4C3E" w:rsidRDefault="00935736" w:rsidP="00EF3054">
            <w:pPr>
              <w:spacing w:line="240" w:lineRule="auto"/>
              <w:rPr>
                <w:rFonts w:asciiTheme="minorHAnsi" w:eastAsia="Times New Roman" w:hAnsiTheme="minorHAnsi" w:cstheme="minorHAnsi"/>
                <w:sz w:val="20"/>
                <w:szCs w:val="20"/>
              </w:rPr>
            </w:pPr>
          </w:p>
        </w:tc>
        <w:tc>
          <w:tcPr>
            <w:tcW w:w="2410" w:type="dxa"/>
          </w:tcPr>
          <w:p w14:paraId="42A1FD5A" w14:textId="77777777" w:rsidR="00935736" w:rsidRPr="00FA4C3E" w:rsidRDefault="00935736" w:rsidP="00EF3054">
            <w:pPr>
              <w:spacing w:line="240" w:lineRule="auto"/>
              <w:rPr>
                <w:rFonts w:asciiTheme="minorHAnsi" w:eastAsia="Times New Roman" w:hAnsiTheme="minorHAnsi" w:cstheme="minorHAnsi"/>
                <w:sz w:val="20"/>
                <w:szCs w:val="20"/>
              </w:rPr>
            </w:pPr>
          </w:p>
          <w:p w14:paraId="5B813EC9" w14:textId="05EC176F" w:rsidR="00935736" w:rsidRPr="00FA4C3E" w:rsidRDefault="00EF7D33"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The balance will increase or reduce annually dependent on budget levels and the savings programme.</w:t>
            </w:r>
          </w:p>
        </w:tc>
        <w:tc>
          <w:tcPr>
            <w:tcW w:w="1745" w:type="dxa"/>
          </w:tcPr>
          <w:p w14:paraId="08527DBD" w14:textId="77777777" w:rsidR="00935736" w:rsidRPr="00FA4C3E" w:rsidRDefault="00935736" w:rsidP="00EF3054">
            <w:pPr>
              <w:spacing w:line="240" w:lineRule="auto"/>
              <w:rPr>
                <w:rFonts w:asciiTheme="minorHAnsi" w:eastAsia="Times New Roman" w:hAnsiTheme="minorHAnsi" w:cstheme="minorHAnsi"/>
                <w:sz w:val="20"/>
                <w:szCs w:val="20"/>
              </w:rPr>
            </w:pPr>
          </w:p>
          <w:p w14:paraId="279CC930" w14:textId="77777777" w:rsidR="00EF7D33" w:rsidRPr="00FA4C3E" w:rsidRDefault="00EF7D33" w:rsidP="00EF7D33">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Variable according to usage and annual risk assessment.</w:t>
            </w:r>
          </w:p>
          <w:p w14:paraId="5FAE7188" w14:textId="244C8BD2" w:rsidR="00935736" w:rsidRPr="00FA4C3E" w:rsidRDefault="00935736" w:rsidP="00EF3054">
            <w:pPr>
              <w:spacing w:line="240" w:lineRule="auto"/>
              <w:rPr>
                <w:rFonts w:asciiTheme="minorHAnsi" w:eastAsia="Times New Roman" w:hAnsiTheme="minorHAnsi" w:cstheme="minorHAnsi"/>
                <w:sz w:val="20"/>
                <w:szCs w:val="20"/>
              </w:rPr>
            </w:pPr>
          </w:p>
        </w:tc>
        <w:tc>
          <w:tcPr>
            <w:tcW w:w="3691" w:type="dxa"/>
          </w:tcPr>
          <w:p w14:paraId="562FF12B" w14:textId="77777777" w:rsidR="00935736" w:rsidRPr="00FA4C3E" w:rsidRDefault="00935736" w:rsidP="00EF3054">
            <w:pPr>
              <w:spacing w:line="240" w:lineRule="auto"/>
              <w:rPr>
                <w:rFonts w:asciiTheme="minorHAnsi" w:eastAsia="Times New Roman" w:hAnsiTheme="minorHAnsi" w:cstheme="minorHAnsi"/>
                <w:sz w:val="20"/>
                <w:szCs w:val="20"/>
              </w:rPr>
            </w:pPr>
          </w:p>
          <w:p w14:paraId="17704429" w14:textId="4790C857" w:rsidR="00EF7D33" w:rsidRPr="00FA4C3E" w:rsidRDefault="00EF7D33" w:rsidP="00EF7D33">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If funds were not maintained the PFCC and the Service could be required to balance the budget or funding shortfalls by in-year savings.</w:t>
            </w:r>
          </w:p>
          <w:p w14:paraId="48F3924A" w14:textId="77777777" w:rsidR="00EF7D33" w:rsidRPr="00FA4C3E" w:rsidRDefault="00EF7D33" w:rsidP="00EF7D33">
            <w:pPr>
              <w:spacing w:line="240" w:lineRule="auto"/>
              <w:rPr>
                <w:rFonts w:asciiTheme="minorHAnsi" w:eastAsia="Times New Roman" w:hAnsiTheme="minorHAnsi" w:cstheme="minorHAnsi"/>
                <w:sz w:val="20"/>
                <w:szCs w:val="20"/>
              </w:rPr>
            </w:pPr>
          </w:p>
          <w:p w14:paraId="433FFFF8" w14:textId="77777777" w:rsidR="00EF7D33" w:rsidRPr="00FA4C3E" w:rsidRDefault="00EF7D33" w:rsidP="00EF7D33">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There can be significant variations each year in the revenue budget whilst the timing of efficiency savings occur – this smoothing reserve will assist in mitigating that.</w:t>
            </w:r>
          </w:p>
          <w:p w14:paraId="52B3D359" w14:textId="15C9A36A" w:rsidR="00EF3054" w:rsidRPr="00FA4C3E" w:rsidRDefault="00EF3054" w:rsidP="00EF3054">
            <w:pPr>
              <w:spacing w:line="240" w:lineRule="auto"/>
              <w:rPr>
                <w:rFonts w:asciiTheme="minorHAnsi" w:eastAsia="Times New Roman" w:hAnsiTheme="minorHAnsi" w:cstheme="minorHAnsi"/>
                <w:sz w:val="20"/>
                <w:szCs w:val="20"/>
              </w:rPr>
            </w:pPr>
          </w:p>
        </w:tc>
        <w:tc>
          <w:tcPr>
            <w:tcW w:w="1332" w:type="dxa"/>
          </w:tcPr>
          <w:p w14:paraId="42465F40" w14:textId="0D6E11F6" w:rsidR="00935736" w:rsidRPr="00FA4C3E" w:rsidRDefault="00935736" w:rsidP="00EF3054">
            <w:pPr>
              <w:spacing w:line="240" w:lineRule="auto"/>
              <w:rPr>
                <w:rFonts w:asciiTheme="minorHAnsi" w:eastAsia="Times New Roman" w:hAnsiTheme="minorHAnsi" w:cstheme="minorHAnsi"/>
                <w:sz w:val="20"/>
                <w:szCs w:val="20"/>
              </w:rPr>
            </w:pPr>
          </w:p>
          <w:p w14:paraId="20C0E2DC" w14:textId="77777777"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PFCC, on advice from PFCC CFO</w:t>
            </w:r>
          </w:p>
        </w:tc>
        <w:tc>
          <w:tcPr>
            <w:tcW w:w="973" w:type="dxa"/>
          </w:tcPr>
          <w:p w14:paraId="2421E821" w14:textId="77777777" w:rsidR="00935736" w:rsidRPr="00FA4C3E" w:rsidRDefault="00935736" w:rsidP="00EF3054">
            <w:pPr>
              <w:spacing w:line="240" w:lineRule="auto"/>
              <w:rPr>
                <w:rFonts w:asciiTheme="minorHAnsi" w:eastAsia="Times New Roman" w:hAnsiTheme="minorHAnsi" w:cstheme="minorHAnsi"/>
                <w:sz w:val="20"/>
                <w:szCs w:val="20"/>
              </w:rPr>
            </w:pPr>
          </w:p>
          <w:p w14:paraId="43D2FC60" w14:textId="77777777"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Annual</w:t>
            </w:r>
          </w:p>
        </w:tc>
      </w:tr>
      <w:tr w:rsidR="00935736" w:rsidRPr="00FA4C3E" w14:paraId="7FF6FD8F" w14:textId="77777777" w:rsidTr="00935736">
        <w:trPr>
          <w:cantSplit/>
          <w:jc w:val="center"/>
        </w:trPr>
        <w:tc>
          <w:tcPr>
            <w:tcW w:w="1837" w:type="dxa"/>
          </w:tcPr>
          <w:p w14:paraId="07472A8E" w14:textId="77777777" w:rsidR="00935736" w:rsidRPr="00FA4C3E" w:rsidRDefault="00935736" w:rsidP="00EF3054">
            <w:pPr>
              <w:spacing w:line="240" w:lineRule="auto"/>
              <w:rPr>
                <w:rFonts w:asciiTheme="minorHAnsi" w:eastAsia="Times New Roman" w:hAnsiTheme="minorHAnsi" w:cstheme="minorHAnsi"/>
                <w:b/>
                <w:bCs/>
                <w:sz w:val="20"/>
                <w:szCs w:val="20"/>
              </w:rPr>
            </w:pPr>
          </w:p>
          <w:p w14:paraId="50382F46" w14:textId="68B21BFD" w:rsidR="00935736" w:rsidRPr="00FA4C3E" w:rsidRDefault="00935736" w:rsidP="00EF3054">
            <w:pPr>
              <w:spacing w:line="240" w:lineRule="auto"/>
              <w:rPr>
                <w:rFonts w:asciiTheme="minorHAnsi" w:eastAsia="Times New Roman" w:hAnsiTheme="minorHAnsi" w:cstheme="minorHAnsi"/>
                <w:b/>
                <w:bCs/>
                <w:sz w:val="20"/>
                <w:szCs w:val="20"/>
              </w:rPr>
            </w:pPr>
            <w:r w:rsidRPr="00FA4C3E">
              <w:rPr>
                <w:rFonts w:asciiTheme="minorHAnsi" w:eastAsia="Times New Roman" w:hAnsiTheme="minorHAnsi" w:cstheme="minorHAnsi"/>
                <w:b/>
                <w:bCs/>
                <w:sz w:val="20"/>
                <w:szCs w:val="20"/>
              </w:rPr>
              <w:t xml:space="preserve">EARMARKED </w:t>
            </w:r>
            <w:r w:rsidR="00EF3054" w:rsidRPr="00FA4C3E">
              <w:rPr>
                <w:rFonts w:asciiTheme="minorHAnsi" w:eastAsia="Times New Roman" w:hAnsiTheme="minorHAnsi" w:cstheme="minorHAnsi"/>
                <w:b/>
                <w:bCs/>
                <w:sz w:val="20"/>
                <w:szCs w:val="20"/>
              </w:rPr>
              <w:t>-</w:t>
            </w:r>
            <w:r w:rsidRPr="00FA4C3E">
              <w:rPr>
                <w:rFonts w:asciiTheme="minorHAnsi" w:eastAsia="Times New Roman" w:hAnsiTheme="minorHAnsi" w:cstheme="minorHAnsi"/>
                <w:b/>
                <w:bCs/>
                <w:sz w:val="20"/>
                <w:szCs w:val="20"/>
              </w:rPr>
              <w:t>TRANSFORMATION</w:t>
            </w:r>
          </w:p>
        </w:tc>
        <w:tc>
          <w:tcPr>
            <w:tcW w:w="3261" w:type="dxa"/>
          </w:tcPr>
          <w:p w14:paraId="167A7848" w14:textId="77777777" w:rsidR="00935736" w:rsidRPr="00FA4C3E" w:rsidRDefault="00935736" w:rsidP="00EF3054">
            <w:pPr>
              <w:spacing w:line="240" w:lineRule="auto"/>
              <w:rPr>
                <w:rFonts w:asciiTheme="minorHAnsi" w:eastAsia="Times New Roman" w:hAnsiTheme="minorHAnsi" w:cstheme="minorHAnsi"/>
                <w:sz w:val="20"/>
                <w:szCs w:val="20"/>
              </w:rPr>
            </w:pPr>
          </w:p>
          <w:p w14:paraId="475C36C4" w14:textId="77777777" w:rsidR="00EF7D33" w:rsidRPr="00FA4C3E" w:rsidRDefault="00EF7D33" w:rsidP="00EF7D33">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 xml:space="preserve">To fund transformative activities and opportunities and meet initial and upfront costs of approved projects.  </w:t>
            </w:r>
          </w:p>
          <w:p w14:paraId="7365328D" w14:textId="6B661C65" w:rsidR="00935736" w:rsidRPr="00FA4C3E" w:rsidRDefault="00935736" w:rsidP="00EF3054">
            <w:pPr>
              <w:spacing w:line="240" w:lineRule="auto"/>
              <w:rPr>
                <w:rFonts w:asciiTheme="minorHAnsi" w:eastAsia="Times New Roman" w:hAnsiTheme="minorHAnsi" w:cstheme="minorHAnsi"/>
                <w:sz w:val="20"/>
                <w:szCs w:val="20"/>
              </w:rPr>
            </w:pPr>
          </w:p>
        </w:tc>
        <w:tc>
          <w:tcPr>
            <w:tcW w:w="2410" w:type="dxa"/>
          </w:tcPr>
          <w:p w14:paraId="0C51479B" w14:textId="77777777" w:rsidR="00935736" w:rsidRPr="00FA4C3E" w:rsidRDefault="00935736" w:rsidP="00EF3054">
            <w:pPr>
              <w:spacing w:line="240" w:lineRule="auto"/>
              <w:rPr>
                <w:rFonts w:asciiTheme="minorHAnsi" w:eastAsia="Times New Roman" w:hAnsiTheme="minorHAnsi" w:cstheme="minorHAnsi"/>
                <w:sz w:val="20"/>
                <w:szCs w:val="20"/>
              </w:rPr>
            </w:pPr>
          </w:p>
          <w:p w14:paraId="2534CCDE" w14:textId="0561F88B" w:rsidR="00935736" w:rsidRPr="00FA4C3E" w:rsidRDefault="00A24D53"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 xml:space="preserve">To access the funds a costed request or business case </w:t>
            </w:r>
            <w:proofErr w:type="gramStart"/>
            <w:r w:rsidRPr="00FA4C3E">
              <w:rPr>
                <w:rFonts w:asciiTheme="minorHAnsi" w:eastAsia="Times New Roman" w:hAnsiTheme="minorHAnsi" w:cstheme="minorHAnsi"/>
                <w:sz w:val="20"/>
                <w:szCs w:val="20"/>
              </w:rPr>
              <w:t>has to</w:t>
            </w:r>
            <w:proofErr w:type="gramEnd"/>
            <w:r w:rsidRPr="00FA4C3E">
              <w:rPr>
                <w:rFonts w:asciiTheme="minorHAnsi" w:eastAsia="Times New Roman" w:hAnsiTheme="minorHAnsi" w:cstheme="minorHAnsi"/>
                <w:sz w:val="20"/>
                <w:szCs w:val="20"/>
              </w:rPr>
              <w:t xml:space="preserve"> be provided.</w:t>
            </w:r>
          </w:p>
        </w:tc>
        <w:tc>
          <w:tcPr>
            <w:tcW w:w="1745" w:type="dxa"/>
          </w:tcPr>
          <w:p w14:paraId="75A42607" w14:textId="77777777" w:rsidR="00935736" w:rsidRPr="00FA4C3E" w:rsidRDefault="00935736" w:rsidP="00EF3054">
            <w:pPr>
              <w:spacing w:line="240" w:lineRule="auto"/>
              <w:rPr>
                <w:rFonts w:asciiTheme="minorHAnsi" w:eastAsia="Times New Roman" w:hAnsiTheme="minorHAnsi" w:cstheme="minorHAnsi"/>
                <w:sz w:val="20"/>
                <w:szCs w:val="20"/>
              </w:rPr>
            </w:pPr>
          </w:p>
          <w:p w14:paraId="679F3E70" w14:textId="6D5FF309" w:rsidR="00A24D53" w:rsidRPr="00FA4C3E" w:rsidRDefault="00A24D53" w:rsidP="00A24D53">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Variable according to outturn and change programme.</w:t>
            </w:r>
          </w:p>
          <w:p w14:paraId="6E20D5F1" w14:textId="77777777" w:rsidR="00935736" w:rsidRPr="00FA4C3E" w:rsidRDefault="00935736" w:rsidP="00EF3054">
            <w:pPr>
              <w:spacing w:line="240" w:lineRule="auto"/>
              <w:rPr>
                <w:rFonts w:asciiTheme="minorHAnsi" w:eastAsia="Times New Roman" w:hAnsiTheme="minorHAnsi" w:cstheme="minorHAnsi"/>
                <w:sz w:val="20"/>
                <w:szCs w:val="20"/>
              </w:rPr>
            </w:pPr>
          </w:p>
          <w:p w14:paraId="7CBC608E" w14:textId="77777777" w:rsidR="00935736" w:rsidRPr="00FA4C3E" w:rsidRDefault="00935736" w:rsidP="00EF3054">
            <w:pPr>
              <w:spacing w:line="240" w:lineRule="auto"/>
              <w:rPr>
                <w:rFonts w:asciiTheme="minorHAnsi" w:eastAsia="Times New Roman" w:hAnsiTheme="minorHAnsi" w:cstheme="minorHAnsi"/>
                <w:sz w:val="20"/>
                <w:szCs w:val="20"/>
              </w:rPr>
            </w:pPr>
          </w:p>
        </w:tc>
        <w:tc>
          <w:tcPr>
            <w:tcW w:w="3691" w:type="dxa"/>
          </w:tcPr>
          <w:p w14:paraId="6A7A94ED" w14:textId="77777777" w:rsidR="00935736" w:rsidRPr="00FA4C3E" w:rsidRDefault="00935736" w:rsidP="00EF3054">
            <w:pPr>
              <w:spacing w:line="240" w:lineRule="auto"/>
              <w:rPr>
                <w:rFonts w:asciiTheme="minorHAnsi" w:eastAsia="Times New Roman" w:hAnsiTheme="minorHAnsi" w:cstheme="minorHAnsi"/>
                <w:sz w:val="20"/>
                <w:szCs w:val="20"/>
              </w:rPr>
            </w:pPr>
          </w:p>
          <w:p w14:paraId="512135A2" w14:textId="77777777" w:rsidR="00A24D53" w:rsidRPr="00FA4C3E" w:rsidRDefault="00A24D53" w:rsidP="00A24D53">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If funds were not provided, the risk is that equipment or services and resources required to implement transformative projects would have to be replaced from the current year’s budget or other reserves.</w:t>
            </w:r>
          </w:p>
          <w:p w14:paraId="02136B23" w14:textId="77777777" w:rsidR="00A24D53" w:rsidRPr="00FA4C3E" w:rsidRDefault="00A24D53" w:rsidP="00A24D53">
            <w:pPr>
              <w:spacing w:line="240" w:lineRule="auto"/>
              <w:rPr>
                <w:rFonts w:asciiTheme="minorHAnsi" w:eastAsia="Times New Roman" w:hAnsiTheme="minorHAnsi" w:cstheme="minorHAnsi"/>
                <w:sz w:val="20"/>
                <w:szCs w:val="20"/>
              </w:rPr>
            </w:pPr>
          </w:p>
          <w:p w14:paraId="3E01C4AE" w14:textId="77777777" w:rsidR="00A24D53" w:rsidRPr="00FA4C3E" w:rsidRDefault="00A24D53" w:rsidP="00A24D53">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If no funds were available, it may be that innovative activity is hindered.</w:t>
            </w:r>
          </w:p>
          <w:p w14:paraId="7535CA16" w14:textId="54F26156" w:rsidR="00EF3054" w:rsidRPr="00FA4C3E" w:rsidRDefault="00EF3054" w:rsidP="00EF3054">
            <w:pPr>
              <w:spacing w:line="240" w:lineRule="auto"/>
              <w:rPr>
                <w:rFonts w:asciiTheme="minorHAnsi" w:eastAsia="Times New Roman" w:hAnsiTheme="minorHAnsi" w:cstheme="minorHAnsi"/>
                <w:sz w:val="20"/>
                <w:szCs w:val="20"/>
              </w:rPr>
            </w:pPr>
          </w:p>
        </w:tc>
        <w:tc>
          <w:tcPr>
            <w:tcW w:w="1332" w:type="dxa"/>
          </w:tcPr>
          <w:p w14:paraId="61D117E7" w14:textId="57BFD406" w:rsidR="00935736" w:rsidRPr="00FA4C3E" w:rsidRDefault="00935736" w:rsidP="00EF3054">
            <w:pPr>
              <w:spacing w:line="240" w:lineRule="auto"/>
              <w:rPr>
                <w:rFonts w:asciiTheme="minorHAnsi" w:eastAsia="Times New Roman" w:hAnsiTheme="minorHAnsi" w:cstheme="minorHAnsi"/>
                <w:sz w:val="20"/>
                <w:szCs w:val="20"/>
              </w:rPr>
            </w:pPr>
          </w:p>
          <w:p w14:paraId="2D8EDD8C" w14:textId="77777777"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PFCC, on advice from PFCC CFO</w:t>
            </w:r>
          </w:p>
        </w:tc>
        <w:tc>
          <w:tcPr>
            <w:tcW w:w="973" w:type="dxa"/>
          </w:tcPr>
          <w:p w14:paraId="7C7C3360" w14:textId="77777777" w:rsidR="00935736" w:rsidRPr="00FA4C3E" w:rsidRDefault="00935736" w:rsidP="00EF3054">
            <w:pPr>
              <w:spacing w:line="240" w:lineRule="auto"/>
              <w:rPr>
                <w:rFonts w:asciiTheme="minorHAnsi" w:eastAsia="Times New Roman" w:hAnsiTheme="minorHAnsi" w:cstheme="minorHAnsi"/>
                <w:sz w:val="20"/>
                <w:szCs w:val="20"/>
              </w:rPr>
            </w:pPr>
          </w:p>
          <w:p w14:paraId="43CBE402" w14:textId="77777777"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Annual</w:t>
            </w:r>
          </w:p>
        </w:tc>
      </w:tr>
      <w:tr w:rsidR="00935736" w:rsidRPr="00FA4C3E" w14:paraId="619D5D7A" w14:textId="77777777" w:rsidTr="00935736">
        <w:trPr>
          <w:cantSplit/>
          <w:jc w:val="center"/>
        </w:trPr>
        <w:tc>
          <w:tcPr>
            <w:tcW w:w="1837" w:type="dxa"/>
          </w:tcPr>
          <w:p w14:paraId="416A592D" w14:textId="77777777" w:rsidR="00935736" w:rsidRPr="00FA4C3E" w:rsidRDefault="00935736" w:rsidP="00EF3054">
            <w:pPr>
              <w:spacing w:line="240" w:lineRule="auto"/>
              <w:rPr>
                <w:rFonts w:asciiTheme="minorHAnsi" w:eastAsia="Times New Roman" w:hAnsiTheme="minorHAnsi" w:cstheme="minorHAnsi"/>
                <w:b/>
                <w:bCs/>
                <w:sz w:val="20"/>
                <w:szCs w:val="20"/>
              </w:rPr>
            </w:pPr>
          </w:p>
          <w:p w14:paraId="27EBE180" w14:textId="77777777" w:rsidR="00935736" w:rsidRPr="00FA4C3E" w:rsidRDefault="00935736" w:rsidP="00EF3054">
            <w:pPr>
              <w:spacing w:line="240" w:lineRule="auto"/>
              <w:rPr>
                <w:rFonts w:asciiTheme="minorHAnsi" w:eastAsia="Times New Roman" w:hAnsiTheme="minorHAnsi" w:cstheme="minorHAnsi"/>
                <w:b/>
                <w:bCs/>
                <w:sz w:val="20"/>
                <w:szCs w:val="20"/>
              </w:rPr>
            </w:pPr>
            <w:r w:rsidRPr="00FA4C3E">
              <w:rPr>
                <w:rFonts w:asciiTheme="minorHAnsi" w:eastAsia="Times New Roman" w:hAnsiTheme="minorHAnsi" w:cstheme="minorHAnsi"/>
                <w:b/>
                <w:bCs/>
                <w:sz w:val="20"/>
                <w:szCs w:val="20"/>
              </w:rPr>
              <w:t>EARMARKED - CAPITAL RECEIPTS</w:t>
            </w:r>
          </w:p>
        </w:tc>
        <w:tc>
          <w:tcPr>
            <w:tcW w:w="3261" w:type="dxa"/>
          </w:tcPr>
          <w:p w14:paraId="1F36B049" w14:textId="77777777" w:rsidR="00935736" w:rsidRPr="00FA4C3E" w:rsidRDefault="00935736" w:rsidP="00EF3054">
            <w:pPr>
              <w:spacing w:line="240" w:lineRule="auto"/>
              <w:rPr>
                <w:rFonts w:asciiTheme="minorHAnsi" w:eastAsia="Times New Roman" w:hAnsiTheme="minorHAnsi" w:cstheme="minorHAnsi"/>
                <w:sz w:val="20"/>
                <w:szCs w:val="20"/>
              </w:rPr>
            </w:pPr>
          </w:p>
          <w:p w14:paraId="755D4EBC" w14:textId="77777777" w:rsidR="00A24D53" w:rsidRPr="00FA4C3E" w:rsidRDefault="00A24D53" w:rsidP="00A24D53">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To hold capital financing underspends or disposal proceeds.  These are to be used to fund the capital programme and minimise borrowing.</w:t>
            </w:r>
          </w:p>
          <w:p w14:paraId="1015B09F" w14:textId="59F05E44" w:rsidR="00935736" w:rsidRPr="00FA4C3E" w:rsidRDefault="00935736" w:rsidP="00EF3054">
            <w:pPr>
              <w:spacing w:line="240" w:lineRule="auto"/>
              <w:rPr>
                <w:rFonts w:asciiTheme="minorHAnsi" w:eastAsia="Times New Roman" w:hAnsiTheme="minorHAnsi" w:cstheme="minorHAnsi"/>
                <w:sz w:val="20"/>
                <w:szCs w:val="20"/>
              </w:rPr>
            </w:pPr>
          </w:p>
        </w:tc>
        <w:tc>
          <w:tcPr>
            <w:tcW w:w="2410" w:type="dxa"/>
          </w:tcPr>
          <w:p w14:paraId="2B257DE8" w14:textId="77777777" w:rsidR="00935736" w:rsidRPr="00FA4C3E" w:rsidRDefault="00935736" w:rsidP="00EF3054">
            <w:pPr>
              <w:spacing w:line="240" w:lineRule="auto"/>
              <w:rPr>
                <w:rFonts w:asciiTheme="minorHAnsi" w:eastAsia="Times New Roman" w:hAnsiTheme="minorHAnsi" w:cstheme="minorHAnsi"/>
                <w:sz w:val="20"/>
                <w:szCs w:val="20"/>
              </w:rPr>
            </w:pPr>
          </w:p>
          <w:p w14:paraId="585C0552" w14:textId="690FBAA9" w:rsidR="00935736" w:rsidRPr="00FA4C3E" w:rsidRDefault="00A24D53"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Released to fund capital projects where deemed the most cost efficient way to do so, in line with the Treasury Management Strategy.</w:t>
            </w:r>
          </w:p>
        </w:tc>
        <w:tc>
          <w:tcPr>
            <w:tcW w:w="1745" w:type="dxa"/>
          </w:tcPr>
          <w:p w14:paraId="5D450509" w14:textId="77777777" w:rsidR="00935736" w:rsidRPr="00FA4C3E" w:rsidRDefault="00935736" w:rsidP="00EF3054">
            <w:pPr>
              <w:spacing w:line="240" w:lineRule="auto"/>
              <w:rPr>
                <w:rFonts w:asciiTheme="minorHAnsi" w:eastAsia="Times New Roman" w:hAnsiTheme="minorHAnsi" w:cstheme="minorHAnsi"/>
                <w:sz w:val="20"/>
                <w:szCs w:val="20"/>
              </w:rPr>
            </w:pPr>
          </w:p>
          <w:p w14:paraId="276BA5E5" w14:textId="77777777" w:rsidR="00A24D53" w:rsidRPr="00FA4C3E" w:rsidRDefault="00A24D53" w:rsidP="00A24D53">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Variable according to outturn, usage and annual risk assessment.</w:t>
            </w:r>
          </w:p>
          <w:p w14:paraId="78EF1256" w14:textId="77777777" w:rsidR="00935736" w:rsidRPr="00FA4C3E" w:rsidRDefault="00935736" w:rsidP="00EF3054">
            <w:pPr>
              <w:spacing w:line="240" w:lineRule="auto"/>
              <w:rPr>
                <w:rFonts w:asciiTheme="minorHAnsi" w:eastAsia="Times New Roman" w:hAnsiTheme="minorHAnsi" w:cstheme="minorHAnsi"/>
                <w:sz w:val="20"/>
                <w:szCs w:val="20"/>
              </w:rPr>
            </w:pPr>
          </w:p>
          <w:p w14:paraId="069F6728" w14:textId="77777777" w:rsidR="00935736" w:rsidRPr="00FA4C3E" w:rsidRDefault="00935736" w:rsidP="00EF3054">
            <w:pPr>
              <w:spacing w:line="240" w:lineRule="auto"/>
              <w:rPr>
                <w:rFonts w:asciiTheme="minorHAnsi" w:eastAsia="Times New Roman" w:hAnsiTheme="minorHAnsi" w:cstheme="minorHAnsi"/>
                <w:sz w:val="20"/>
                <w:szCs w:val="20"/>
              </w:rPr>
            </w:pPr>
          </w:p>
        </w:tc>
        <w:tc>
          <w:tcPr>
            <w:tcW w:w="3691" w:type="dxa"/>
          </w:tcPr>
          <w:p w14:paraId="2707E37A" w14:textId="77777777" w:rsidR="00935736" w:rsidRPr="00FA4C3E" w:rsidRDefault="00935736" w:rsidP="00EF3054">
            <w:pPr>
              <w:spacing w:line="240" w:lineRule="auto"/>
              <w:rPr>
                <w:rFonts w:asciiTheme="minorHAnsi" w:eastAsia="Times New Roman" w:hAnsiTheme="minorHAnsi" w:cstheme="minorHAnsi"/>
                <w:sz w:val="20"/>
                <w:szCs w:val="20"/>
              </w:rPr>
            </w:pPr>
          </w:p>
          <w:p w14:paraId="56EE4E9B" w14:textId="77777777" w:rsidR="00A24D53" w:rsidRPr="00FA4C3E" w:rsidRDefault="00A24D53" w:rsidP="00A24D53">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If unavailable, the cost of financing capital expenditure could adversely impact revenue budgets into the future.</w:t>
            </w:r>
          </w:p>
          <w:p w14:paraId="0F4A6592" w14:textId="77777777" w:rsidR="00A24D53" w:rsidRPr="00FA4C3E" w:rsidRDefault="00A24D53" w:rsidP="00A24D53">
            <w:pPr>
              <w:spacing w:line="240" w:lineRule="auto"/>
              <w:rPr>
                <w:rFonts w:asciiTheme="minorHAnsi" w:eastAsia="Times New Roman" w:hAnsiTheme="minorHAnsi" w:cstheme="minorHAnsi"/>
                <w:sz w:val="20"/>
                <w:szCs w:val="20"/>
              </w:rPr>
            </w:pPr>
          </w:p>
          <w:p w14:paraId="4541E1AB" w14:textId="77777777" w:rsidR="00EF3054" w:rsidRPr="00FA4C3E" w:rsidRDefault="00A24D53" w:rsidP="00A24D53">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Capital projects may be deemed unaffordable.</w:t>
            </w:r>
          </w:p>
          <w:p w14:paraId="4BC5A705" w14:textId="3427515B" w:rsidR="00A24D53" w:rsidRPr="00FA4C3E" w:rsidRDefault="00A24D53" w:rsidP="00A24D53">
            <w:pPr>
              <w:spacing w:line="240" w:lineRule="auto"/>
              <w:rPr>
                <w:rFonts w:asciiTheme="minorHAnsi" w:eastAsia="Times New Roman" w:hAnsiTheme="minorHAnsi" w:cstheme="minorHAnsi"/>
                <w:sz w:val="20"/>
                <w:szCs w:val="20"/>
              </w:rPr>
            </w:pPr>
          </w:p>
        </w:tc>
        <w:tc>
          <w:tcPr>
            <w:tcW w:w="1332" w:type="dxa"/>
          </w:tcPr>
          <w:p w14:paraId="2C450B07" w14:textId="2B969B04" w:rsidR="00935736" w:rsidRPr="00FA4C3E" w:rsidRDefault="00935736" w:rsidP="00EF3054">
            <w:pPr>
              <w:spacing w:line="240" w:lineRule="auto"/>
              <w:rPr>
                <w:rFonts w:asciiTheme="minorHAnsi" w:eastAsia="Times New Roman" w:hAnsiTheme="minorHAnsi" w:cstheme="minorHAnsi"/>
                <w:sz w:val="20"/>
                <w:szCs w:val="20"/>
              </w:rPr>
            </w:pPr>
          </w:p>
          <w:p w14:paraId="6FC4C66F" w14:textId="77777777"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PFCC, on advice from PFCC CFO</w:t>
            </w:r>
          </w:p>
        </w:tc>
        <w:tc>
          <w:tcPr>
            <w:tcW w:w="973" w:type="dxa"/>
          </w:tcPr>
          <w:p w14:paraId="5E4D1277" w14:textId="77777777" w:rsidR="00935736" w:rsidRPr="00FA4C3E" w:rsidRDefault="00935736" w:rsidP="00EF3054">
            <w:pPr>
              <w:spacing w:line="240" w:lineRule="auto"/>
              <w:rPr>
                <w:rFonts w:asciiTheme="minorHAnsi" w:eastAsia="Times New Roman" w:hAnsiTheme="minorHAnsi" w:cstheme="minorHAnsi"/>
                <w:sz w:val="20"/>
                <w:szCs w:val="20"/>
              </w:rPr>
            </w:pPr>
          </w:p>
          <w:p w14:paraId="4DCA3699" w14:textId="77777777"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Annual</w:t>
            </w:r>
          </w:p>
        </w:tc>
      </w:tr>
      <w:tr w:rsidR="00935736" w:rsidRPr="00FA4C3E" w14:paraId="68F378D1" w14:textId="77777777" w:rsidTr="00935736">
        <w:trPr>
          <w:cantSplit/>
          <w:jc w:val="center"/>
        </w:trPr>
        <w:tc>
          <w:tcPr>
            <w:tcW w:w="1837" w:type="dxa"/>
          </w:tcPr>
          <w:p w14:paraId="6D17FF9D" w14:textId="77777777" w:rsidR="00935736" w:rsidRPr="00FA4C3E" w:rsidRDefault="00935736" w:rsidP="00EF3054">
            <w:pPr>
              <w:spacing w:line="240" w:lineRule="auto"/>
              <w:rPr>
                <w:rFonts w:asciiTheme="minorHAnsi" w:eastAsia="Times New Roman" w:hAnsiTheme="minorHAnsi" w:cstheme="minorHAnsi"/>
                <w:b/>
                <w:bCs/>
                <w:sz w:val="20"/>
                <w:szCs w:val="20"/>
              </w:rPr>
            </w:pPr>
          </w:p>
          <w:p w14:paraId="4CB61243" w14:textId="63D258CA" w:rsidR="00935736" w:rsidRPr="00FA4C3E" w:rsidRDefault="00935736" w:rsidP="00EF3054">
            <w:pPr>
              <w:spacing w:line="240" w:lineRule="auto"/>
              <w:rPr>
                <w:rFonts w:asciiTheme="minorHAnsi" w:eastAsia="Times New Roman" w:hAnsiTheme="minorHAnsi" w:cstheme="minorHAnsi"/>
                <w:b/>
                <w:bCs/>
                <w:sz w:val="20"/>
                <w:szCs w:val="20"/>
              </w:rPr>
            </w:pPr>
            <w:r w:rsidRPr="00FA4C3E">
              <w:rPr>
                <w:rFonts w:asciiTheme="minorHAnsi" w:eastAsia="Times New Roman" w:hAnsiTheme="minorHAnsi" w:cstheme="minorHAnsi"/>
                <w:b/>
                <w:bCs/>
                <w:sz w:val="20"/>
                <w:szCs w:val="20"/>
              </w:rPr>
              <w:t xml:space="preserve">EARMARKED </w:t>
            </w:r>
            <w:r w:rsidR="00EF3054" w:rsidRPr="00FA4C3E">
              <w:rPr>
                <w:rFonts w:asciiTheme="minorHAnsi" w:eastAsia="Times New Roman" w:hAnsiTheme="minorHAnsi" w:cstheme="minorHAnsi"/>
                <w:b/>
                <w:bCs/>
                <w:sz w:val="20"/>
                <w:szCs w:val="20"/>
              </w:rPr>
              <w:t>-</w:t>
            </w:r>
            <w:r w:rsidRPr="00FA4C3E">
              <w:rPr>
                <w:rFonts w:asciiTheme="minorHAnsi" w:eastAsia="Times New Roman" w:hAnsiTheme="minorHAnsi" w:cstheme="minorHAnsi"/>
                <w:b/>
                <w:bCs/>
                <w:sz w:val="20"/>
                <w:szCs w:val="20"/>
              </w:rPr>
              <w:t xml:space="preserve"> CAPITAL </w:t>
            </w:r>
            <w:r w:rsidR="00A24D53" w:rsidRPr="00FA4C3E">
              <w:rPr>
                <w:rFonts w:asciiTheme="minorHAnsi" w:eastAsia="Times New Roman" w:hAnsiTheme="minorHAnsi" w:cstheme="minorHAnsi"/>
                <w:b/>
                <w:bCs/>
                <w:sz w:val="20"/>
                <w:szCs w:val="20"/>
              </w:rPr>
              <w:t xml:space="preserve">AND ESN </w:t>
            </w:r>
            <w:r w:rsidRPr="00FA4C3E">
              <w:rPr>
                <w:rFonts w:asciiTheme="minorHAnsi" w:eastAsia="Times New Roman" w:hAnsiTheme="minorHAnsi" w:cstheme="minorHAnsi"/>
                <w:b/>
                <w:bCs/>
                <w:sz w:val="20"/>
                <w:szCs w:val="20"/>
              </w:rPr>
              <w:t>RESERVE</w:t>
            </w:r>
          </w:p>
          <w:p w14:paraId="7FE7614A" w14:textId="77777777" w:rsidR="00935736" w:rsidRPr="00FA4C3E" w:rsidRDefault="00935736" w:rsidP="00EF3054">
            <w:pPr>
              <w:spacing w:line="240" w:lineRule="auto"/>
              <w:rPr>
                <w:rFonts w:asciiTheme="minorHAnsi" w:eastAsia="Times New Roman" w:hAnsiTheme="minorHAnsi" w:cstheme="minorHAnsi"/>
                <w:b/>
                <w:bCs/>
                <w:sz w:val="20"/>
                <w:szCs w:val="20"/>
              </w:rPr>
            </w:pPr>
          </w:p>
        </w:tc>
        <w:tc>
          <w:tcPr>
            <w:tcW w:w="3261" w:type="dxa"/>
          </w:tcPr>
          <w:p w14:paraId="6A8C42A0" w14:textId="77777777" w:rsidR="00935736" w:rsidRPr="00FA4C3E" w:rsidRDefault="00935736" w:rsidP="00EF3054">
            <w:pPr>
              <w:spacing w:line="240" w:lineRule="auto"/>
              <w:rPr>
                <w:rFonts w:asciiTheme="minorHAnsi" w:eastAsia="Times New Roman" w:hAnsiTheme="minorHAnsi" w:cstheme="minorHAnsi"/>
                <w:sz w:val="20"/>
                <w:szCs w:val="20"/>
              </w:rPr>
            </w:pPr>
          </w:p>
          <w:p w14:paraId="21E4DFF3" w14:textId="785E9A5F"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To meet the costs of ESN and other capital requirements to support the funding of the capital programme.</w:t>
            </w:r>
          </w:p>
          <w:p w14:paraId="64702F5D" w14:textId="77777777" w:rsidR="00935736" w:rsidRPr="00FA4C3E" w:rsidRDefault="00935736" w:rsidP="00EF3054">
            <w:pPr>
              <w:spacing w:line="240" w:lineRule="auto"/>
              <w:rPr>
                <w:rFonts w:asciiTheme="minorHAnsi" w:eastAsia="Times New Roman" w:hAnsiTheme="minorHAnsi" w:cstheme="minorHAnsi"/>
                <w:sz w:val="20"/>
                <w:szCs w:val="20"/>
              </w:rPr>
            </w:pPr>
          </w:p>
        </w:tc>
        <w:tc>
          <w:tcPr>
            <w:tcW w:w="2410" w:type="dxa"/>
          </w:tcPr>
          <w:p w14:paraId="3ED5E491" w14:textId="77777777" w:rsidR="00935736" w:rsidRPr="00FA4C3E" w:rsidRDefault="00935736" w:rsidP="00EF3054">
            <w:pPr>
              <w:spacing w:line="240" w:lineRule="auto"/>
              <w:rPr>
                <w:rFonts w:asciiTheme="minorHAnsi" w:eastAsia="Times New Roman" w:hAnsiTheme="minorHAnsi" w:cstheme="minorHAnsi"/>
                <w:sz w:val="20"/>
                <w:szCs w:val="20"/>
              </w:rPr>
            </w:pPr>
          </w:p>
          <w:p w14:paraId="2EAE6A17" w14:textId="3B225FF1"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Used to support funding the capital programme to minimise the cost of external borrowing on NCFRA and the taxpayer.</w:t>
            </w:r>
          </w:p>
        </w:tc>
        <w:tc>
          <w:tcPr>
            <w:tcW w:w="1745" w:type="dxa"/>
          </w:tcPr>
          <w:p w14:paraId="7428BEE8" w14:textId="77777777" w:rsidR="00935736" w:rsidRPr="00FA4C3E" w:rsidRDefault="00935736" w:rsidP="00EF3054">
            <w:pPr>
              <w:spacing w:line="240" w:lineRule="auto"/>
              <w:rPr>
                <w:rFonts w:asciiTheme="minorHAnsi" w:eastAsia="Times New Roman" w:hAnsiTheme="minorHAnsi" w:cstheme="minorHAnsi"/>
                <w:sz w:val="20"/>
                <w:szCs w:val="20"/>
              </w:rPr>
            </w:pPr>
          </w:p>
          <w:p w14:paraId="5A30C038" w14:textId="6E192105" w:rsidR="00935736" w:rsidRPr="00FA4C3E" w:rsidRDefault="00A24D53"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Variable</w:t>
            </w:r>
            <w:r w:rsidR="00935736" w:rsidRPr="00FA4C3E">
              <w:rPr>
                <w:rFonts w:asciiTheme="minorHAnsi" w:eastAsia="Times New Roman" w:hAnsiTheme="minorHAnsi" w:cstheme="minorHAnsi"/>
                <w:sz w:val="20"/>
                <w:szCs w:val="20"/>
              </w:rPr>
              <w:t xml:space="preserve"> according to activities.</w:t>
            </w:r>
          </w:p>
          <w:p w14:paraId="1B4AFA97" w14:textId="77777777" w:rsidR="00935736" w:rsidRPr="00FA4C3E" w:rsidRDefault="00935736" w:rsidP="00EF3054">
            <w:pPr>
              <w:spacing w:line="240" w:lineRule="auto"/>
              <w:rPr>
                <w:rFonts w:asciiTheme="minorHAnsi" w:eastAsia="Times New Roman" w:hAnsiTheme="minorHAnsi" w:cstheme="minorHAnsi"/>
                <w:sz w:val="20"/>
                <w:szCs w:val="20"/>
              </w:rPr>
            </w:pPr>
          </w:p>
          <w:p w14:paraId="267C28F5" w14:textId="77777777" w:rsidR="00935736" w:rsidRPr="00FA4C3E" w:rsidRDefault="00935736" w:rsidP="00EF3054">
            <w:pPr>
              <w:spacing w:line="240" w:lineRule="auto"/>
              <w:rPr>
                <w:rFonts w:asciiTheme="minorHAnsi" w:eastAsia="Times New Roman" w:hAnsiTheme="minorHAnsi" w:cstheme="minorHAnsi"/>
                <w:sz w:val="20"/>
                <w:szCs w:val="20"/>
              </w:rPr>
            </w:pPr>
          </w:p>
        </w:tc>
        <w:tc>
          <w:tcPr>
            <w:tcW w:w="3691" w:type="dxa"/>
          </w:tcPr>
          <w:p w14:paraId="5D009B4F" w14:textId="77777777" w:rsidR="00935736" w:rsidRPr="00FA4C3E" w:rsidRDefault="00935736" w:rsidP="00EF3054">
            <w:pPr>
              <w:spacing w:line="240" w:lineRule="auto"/>
              <w:rPr>
                <w:rFonts w:asciiTheme="minorHAnsi" w:eastAsia="Times New Roman" w:hAnsiTheme="minorHAnsi" w:cstheme="minorHAnsi"/>
                <w:sz w:val="20"/>
                <w:szCs w:val="20"/>
              </w:rPr>
            </w:pPr>
          </w:p>
          <w:p w14:paraId="1876AA51" w14:textId="77777777" w:rsidR="00A24D53" w:rsidRPr="00FA4C3E" w:rsidRDefault="00A24D53" w:rsidP="00A24D53">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 xml:space="preserve">If funds were not provided, the risk is that the additional costs would have to be factored into the capital programme. </w:t>
            </w:r>
          </w:p>
          <w:p w14:paraId="7561E88E" w14:textId="4730268C" w:rsidR="00EF3054" w:rsidRPr="00FA4C3E" w:rsidRDefault="00EF3054" w:rsidP="00EF3054">
            <w:pPr>
              <w:spacing w:line="240" w:lineRule="auto"/>
              <w:rPr>
                <w:rFonts w:asciiTheme="minorHAnsi" w:eastAsia="Times New Roman" w:hAnsiTheme="minorHAnsi" w:cstheme="minorHAnsi"/>
                <w:sz w:val="20"/>
                <w:szCs w:val="20"/>
              </w:rPr>
            </w:pPr>
          </w:p>
        </w:tc>
        <w:tc>
          <w:tcPr>
            <w:tcW w:w="1332" w:type="dxa"/>
          </w:tcPr>
          <w:p w14:paraId="043BF807" w14:textId="78A537FD" w:rsidR="00935736" w:rsidRPr="00FA4C3E" w:rsidRDefault="00935736" w:rsidP="00EF3054">
            <w:pPr>
              <w:spacing w:line="240" w:lineRule="auto"/>
              <w:rPr>
                <w:rFonts w:asciiTheme="minorHAnsi" w:eastAsia="Times New Roman" w:hAnsiTheme="minorHAnsi" w:cstheme="minorHAnsi"/>
                <w:sz w:val="20"/>
                <w:szCs w:val="20"/>
              </w:rPr>
            </w:pPr>
          </w:p>
          <w:p w14:paraId="0BA6E0CA" w14:textId="77777777"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PFCC, on advice from PFCC CFO</w:t>
            </w:r>
          </w:p>
        </w:tc>
        <w:tc>
          <w:tcPr>
            <w:tcW w:w="973" w:type="dxa"/>
          </w:tcPr>
          <w:p w14:paraId="5C9831B0" w14:textId="77777777" w:rsidR="00935736" w:rsidRPr="00FA4C3E" w:rsidRDefault="00935736" w:rsidP="00EF3054">
            <w:pPr>
              <w:spacing w:line="240" w:lineRule="auto"/>
              <w:rPr>
                <w:rFonts w:asciiTheme="minorHAnsi" w:eastAsia="Times New Roman" w:hAnsiTheme="minorHAnsi" w:cstheme="minorHAnsi"/>
                <w:sz w:val="20"/>
                <w:szCs w:val="20"/>
              </w:rPr>
            </w:pPr>
          </w:p>
          <w:p w14:paraId="55B702CE" w14:textId="77777777"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Annual</w:t>
            </w:r>
          </w:p>
        </w:tc>
      </w:tr>
      <w:tr w:rsidR="00935736" w:rsidRPr="00FA4C3E" w14:paraId="43918D05" w14:textId="77777777" w:rsidTr="00935736">
        <w:trPr>
          <w:cantSplit/>
          <w:jc w:val="center"/>
        </w:trPr>
        <w:tc>
          <w:tcPr>
            <w:tcW w:w="1837" w:type="dxa"/>
          </w:tcPr>
          <w:p w14:paraId="5F6EDDEA" w14:textId="77777777" w:rsidR="00935736" w:rsidRPr="00FA4C3E" w:rsidRDefault="00935736" w:rsidP="00EF3054">
            <w:pPr>
              <w:spacing w:line="240" w:lineRule="auto"/>
              <w:rPr>
                <w:rFonts w:asciiTheme="minorHAnsi" w:eastAsia="Times New Roman" w:hAnsiTheme="minorHAnsi" w:cstheme="minorHAnsi"/>
                <w:b/>
                <w:bCs/>
                <w:sz w:val="20"/>
                <w:szCs w:val="20"/>
              </w:rPr>
            </w:pPr>
          </w:p>
          <w:p w14:paraId="3B443ABE" w14:textId="590117DB" w:rsidR="00935736" w:rsidRPr="00FA4C3E" w:rsidRDefault="00935736" w:rsidP="00EF3054">
            <w:pPr>
              <w:spacing w:line="240" w:lineRule="auto"/>
              <w:rPr>
                <w:rFonts w:asciiTheme="minorHAnsi" w:eastAsia="Times New Roman" w:hAnsiTheme="minorHAnsi" w:cstheme="minorHAnsi"/>
                <w:b/>
                <w:bCs/>
                <w:sz w:val="20"/>
                <w:szCs w:val="20"/>
              </w:rPr>
            </w:pPr>
            <w:r w:rsidRPr="00FA4C3E">
              <w:rPr>
                <w:rFonts w:asciiTheme="minorHAnsi" w:eastAsia="Times New Roman" w:hAnsiTheme="minorHAnsi" w:cstheme="minorHAnsi"/>
                <w:b/>
                <w:bCs/>
                <w:sz w:val="20"/>
                <w:szCs w:val="20"/>
              </w:rPr>
              <w:t xml:space="preserve">EARMARKED </w:t>
            </w:r>
            <w:r w:rsidR="00EF3054" w:rsidRPr="00FA4C3E">
              <w:rPr>
                <w:rFonts w:asciiTheme="minorHAnsi" w:eastAsia="Times New Roman" w:hAnsiTheme="minorHAnsi" w:cstheme="minorHAnsi"/>
                <w:b/>
                <w:bCs/>
                <w:sz w:val="20"/>
                <w:szCs w:val="20"/>
              </w:rPr>
              <w:t>- DEVELOPER CONTRIBUTIONS (</w:t>
            </w:r>
            <w:r w:rsidRPr="00FA4C3E">
              <w:rPr>
                <w:rFonts w:asciiTheme="minorHAnsi" w:eastAsia="Times New Roman" w:hAnsiTheme="minorHAnsi" w:cstheme="minorHAnsi"/>
                <w:b/>
                <w:bCs/>
                <w:sz w:val="20"/>
                <w:szCs w:val="20"/>
              </w:rPr>
              <w:t>S106</w:t>
            </w:r>
            <w:r w:rsidR="00EF3054" w:rsidRPr="00FA4C3E">
              <w:rPr>
                <w:rFonts w:asciiTheme="minorHAnsi" w:eastAsia="Times New Roman" w:hAnsiTheme="minorHAnsi" w:cstheme="minorHAnsi"/>
                <w:b/>
                <w:bCs/>
                <w:sz w:val="20"/>
                <w:szCs w:val="20"/>
              </w:rPr>
              <w:t>)</w:t>
            </w:r>
          </w:p>
        </w:tc>
        <w:tc>
          <w:tcPr>
            <w:tcW w:w="3261" w:type="dxa"/>
          </w:tcPr>
          <w:p w14:paraId="438E519B" w14:textId="77777777" w:rsidR="00935736" w:rsidRPr="00FA4C3E" w:rsidRDefault="00935736" w:rsidP="00EF3054">
            <w:pPr>
              <w:spacing w:line="240" w:lineRule="auto"/>
              <w:rPr>
                <w:rFonts w:asciiTheme="minorHAnsi" w:eastAsia="Times New Roman" w:hAnsiTheme="minorHAnsi" w:cstheme="minorHAnsi"/>
                <w:sz w:val="20"/>
                <w:szCs w:val="20"/>
              </w:rPr>
            </w:pPr>
          </w:p>
          <w:p w14:paraId="7D1CED2A" w14:textId="77777777" w:rsidR="00A24D53" w:rsidRPr="00FA4C3E" w:rsidRDefault="00A24D53" w:rsidP="00A24D53">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The reserve is held for funds allocated to the PFCC from developers towards the cost of infrastructure developments for Policing.</w:t>
            </w:r>
          </w:p>
          <w:p w14:paraId="59C35CAB" w14:textId="77777777" w:rsidR="00A24D53" w:rsidRPr="00FA4C3E" w:rsidRDefault="00A24D53" w:rsidP="00A24D53">
            <w:pPr>
              <w:spacing w:line="240" w:lineRule="auto"/>
              <w:rPr>
                <w:rFonts w:asciiTheme="minorHAnsi" w:eastAsia="Times New Roman" w:hAnsiTheme="minorHAnsi" w:cstheme="minorHAnsi"/>
                <w:sz w:val="20"/>
                <w:szCs w:val="20"/>
              </w:rPr>
            </w:pPr>
          </w:p>
          <w:p w14:paraId="45DD8532" w14:textId="36C6E211" w:rsidR="00935736" w:rsidRPr="00FA4C3E" w:rsidRDefault="00A24D53" w:rsidP="00A24D53">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To meet the additional cost of operational requirements</w:t>
            </w:r>
          </w:p>
        </w:tc>
        <w:tc>
          <w:tcPr>
            <w:tcW w:w="2410" w:type="dxa"/>
          </w:tcPr>
          <w:p w14:paraId="5E4B997E" w14:textId="77777777" w:rsidR="00935736" w:rsidRPr="00FA4C3E" w:rsidRDefault="00935736" w:rsidP="00EF3054">
            <w:pPr>
              <w:spacing w:line="240" w:lineRule="auto"/>
              <w:rPr>
                <w:rFonts w:asciiTheme="minorHAnsi" w:eastAsia="Times New Roman" w:hAnsiTheme="minorHAnsi" w:cstheme="minorHAnsi"/>
                <w:sz w:val="20"/>
                <w:szCs w:val="20"/>
              </w:rPr>
            </w:pPr>
          </w:p>
          <w:p w14:paraId="154C57CF" w14:textId="34E77B55" w:rsidR="00935736" w:rsidRPr="00FA4C3E" w:rsidRDefault="00A24D53"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 xml:space="preserve">To access the funds a costed request </w:t>
            </w:r>
            <w:proofErr w:type="gramStart"/>
            <w:r w:rsidRPr="00FA4C3E">
              <w:rPr>
                <w:rFonts w:asciiTheme="minorHAnsi" w:eastAsia="Times New Roman" w:hAnsiTheme="minorHAnsi" w:cstheme="minorHAnsi"/>
                <w:sz w:val="20"/>
                <w:szCs w:val="20"/>
              </w:rPr>
              <w:t>has to</w:t>
            </w:r>
            <w:proofErr w:type="gramEnd"/>
            <w:r w:rsidRPr="00FA4C3E">
              <w:rPr>
                <w:rFonts w:asciiTheme="minorHAnsi" w:eastAsia="Times New Roman" w:hAnsiTheme="minorHAnsi" w:cstheme="minorHAnsi"/>
                <w:sz w:val="20"/>
                <w:szCs w:val="20"/>
              </w:rPr>
              <w:t xml:space="preserve"> be provided which is consistent with the conditions of the developer contribution.</w:t>
            </w:r>
          </w:p>
        </w:tc>
        <w:tc>
          <w:tcPr>
            <w:tcW w:w="1745" w:type="dxa"/>
          </w:tcPr>
          <w:p w14:paraId="2CD15C4B" w14:textId="77777777" w:rsidR="00935736" w:rsidRPr="00FA4C3E" w:rsidRDefault="00935736" w:rsidP="00EF3054">
            <w:pPr>
              <w:spacing w:line="240" w:lineRule="auto"/>
              <w:rPr>
                <w:rFonts w:asciiTheme="minorHAnsi" w:eastAsia="Times New Roman" w:hAnsiTheme="minorHAnsi" w:cstheme="minorHAnsi"/>
                <w:sz w:val="20"/>
                <w:szCs w:val="20"/>
              </w:rPr>
            </w:pPr>
          </w:p>
          <w:p w14:paraId="71167CF5" w14:textId="77777777" w:rsidR="00A24D53" w:rsidRPr="00FA4C3E" w:rsidRDefault="00A24D53" w:rsidP="00A24D53">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Variable according to usage.</w:t>
            </w:r>
          </w:p>
          <w:p w14:paraId="69AA8A21" w14:textId="77777777" w:rsidR="00935736" w:rsidRPr="00FA4C3E" w:rsidRDefault="00935736" w:rsidP="00EF3054">
            <w:pPr>
              <w:spacing w:line="240" w:lineRule="auto"/>
              <w:rPr>
                <w:rFonts w:asciiTheme="minorHAnsi" w:eastAsia="Times New Roman" w:hAnsiTheme="minorHAnsi" w:cstheme="minorHAnsi"/>
                <w:sz w:val="20"/>
                <w:szCs w:val="20"/>
              </w:rPr>
            </w:pPr>
          </w:p>
          <w:p w14:paraId="4E820D4C" w14:textId="77777777" w:rsidR="00935736" w:rsidRPr="00FA4C3E" w:rsidRDefault="00935736" w:rsidP="00EF3054">
            <w:pPr>
              <w:spacing w:line="240" w:lineRule="auto"/>
              <w:rPr>
                <w:rFonts w:asciiTheme="minorHAnsi" w:eastAsia="Times New Roman" w:hAnsiTheme="minorHAnsi" w:cstheme="minorHAnsi"/>
                <w:sz w:val="20"/>
                <w:szCs w:val="20"/>
              </w:rPr>
            </w:pPr>
          </w:p>
        </w:tc>
        <w:tc>
          <w:tcPr>
            <w:tcW w:w="3691" w:type="dxa"/>
          </w:tcPr>
          <w:p w14:paraId="547DDDF0" w14:textId="77777777" w:rsidR="00935736" w:rsidRPr="00FA4C3E" w:rsidRDefault="00935736" w:rsidP="00EF3054">
            <w:pPr>
              <w:spacing w:line="240" w:lineRule="auto"/>
              <w:rPr>
                <w:rFonts w:asciiTheme="minorHAnsi" w:eastAsia="Times New Roman" w:hAnsiTheme="minorHAnsi" w:cstheme="minorHAnsi"/>
                <w:sz w:val="20"/>
                <w:szCs w:val="20"/>
              </w:rPr>
            </w:pPr>
          </w:p>
          <w:p w14:paraId="2E679C61" w14:textId="77777777" w:rsidR="006A4F31" w:rsidRPr="00FA4C3E" w:rsidRDefault="006A4F31" w:rsidP="006A4F31">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If unavailable, the cost of financing capital expenditure could adversely impact revenue budgets into the future.</w:t>
            </w:r>
          </w:p>
          <w:p w14:paraId="57E6FCDE" w14:textId="77777777" w:rsidR="006A4F31" w:rsidRPr="00FA4C3E" w:rsidRDefault="006A4F31" w:rsidP="006A4F31">
            <w:pPr>
              <w:spacing w:line="240" w:lineRule="auto"/>
              <w:rPr>
                <w:rFonts w:asciiTheme="minorHAnsi" w:eastAsia="Times New Roman" w:hAnsiTheme="minorHAnsi" w:cstheme="minorHAnsi"/>
                <w:sz w:val="20"/>
                <w:szCs w:val="20"/>
              </w:rPr>
            </w:pPr>
          </w:p>
          <w:p w14:paraId="1824C090" w14:textId="537FC35D" w:rsidR="00EF3054" w:rsidRPr="00FA4C3E" w:rsidRDefault="006A4F31" w:rsidP="006A4F31">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Capital projects may be deemed unaffordable.</w:t>
            </w:r>
          </w:p>
        </w:tc>
        <w:tc>
          <w:tcPr>
            <w:tcW w:w="1332" w:type="dxa"/>
          </w:tcPr>
          <w:p w14:paraId="6E44F95E" w14:textId="48239555" w:rsidR="00935736" w:rsidRPr="00FA4C3E" w:rsidRDefault="00935736" w:rsidP="00EF3054">
            <w:pPr>
              <w:spacing w:line="240" w:lineRule="auto"/>
              <w:rPr>
                <w:rFonts w:asciiTheme="minorHAnsi" w:eastAsia="Times New Roman" w:hAnsiTheme="minorHAnsi" w:cstheme="minorHAnsi"/>
                <w:sz w:val="20"/>
                <w:szCs w:val="20"/>
              </w:rPr>
            </w:pPr>
          </w:p>
          <w:p w14:paraId="671F8667" w14:textId="77777777"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PFCC, on advice from PFCC CFO</w:t>
            </w:r>
          </w:p>
        </w:tc>
        <w:tc>
          <w:tcPr>
            <w:tcW w:w="973" w:type="dxa"/>
          </w:tcPr>
          <w:p w14:paraId="6D55A6DE" w14:textId="77777777" w:rsidR="00935736" w:rsidRPr="00FA4C3E" w:rsidRDefault="00935736" w:rsidP="00EF3054">
            <w:pPr>
              <w:spacing w:line="240" w:lineRule="auto"/>
              <w:rPr>
                <w:rFonts w:asciiTheme="minorHAnsi" w:eastAsia="Times New Roman" w:hAnsiTheme="minorHAnsi" w:cstheme="minorHAnsi"/>
                <w:sz w:val="20"/>
                <w:szCs w:val="20"/>
              </w:rPr>
            </w:pPr>
          </w:p>
          <w:p w14:paraId="09EF7CC0" w14:textId="77777777"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Annual</w:t>
            </w:r>
          </w:p>
        </w:tc>
      </w:tr>
      <w:tr w:rsidR="00935736" w:rsidRPr="00FA4C3E" w14:paraId="0704E96E" w14:textId="77777777" w:rsidTr="00935736">
        <w:trPr>
          <w:cantSplit/>
          <w:jc w:val="center"/>
        </w:trPr>
        <w:tc>
          <w:tcPr>
            <w:tcW w:w="1837" w:type="dxa"/>
          </w:tcPr>
          <w:p w14:paraId="41DBC64B" w14:textId="77777777" w:rsidR="00935736" w:rsidRPr="00FA4C3E" w:rsidRDefault="00935736" w:rsidP="00EF3054">
            <w:pPr>
              <w:spacing w:line="240" w:lineRule="auto"/>
              <w:rPr>
                <w:rFonts w:asciiTheme="minorHAnsi" w:eastAsia="Times New Roman" w:hAnsiTheme="minorHAnsi" w:cstheme="minorHAnsi"/>
                <w:b/>
                <w:bCs/>
                <w:sz w:val="20"/>
                <w:szCs w:val="20"/>
              </w:rPr>
            </w:pPr>
          </w:p>
          <w:p w14:paraId="2752FE0B" w14:textId="77777777" w:rsidR="00935736" w:rsidRPr="00FA4C3E" w:rsidRDefault="00935736" w:rsidP="00EF3054">
            <w:pPr>
              <w:spacing w:line="240" w:lineRule="auto"/>
              <w:rPr>
                <w:rFonts w:asciiTheme="minorHAnsi" w:eastAsia="Times New Roman" w:hAnsiTheme="minorHAnsi" w:cstheme="minorHAnsi"/>
                <w:b/>
                <w:bCs/>
                <w:sz w:val="20"/>
                <w:szCs w:val="20"/>
              </w:rPr>
            </w:pPr>
            <w:r w:rsidRPr="00FA4C3E">
              <w:rPr>
                <w:rFonts w:asciiTheme="minorHAnsi" w:eastAsia="Times New Roman" w:hAnsiTheme="minorHAnsi" w:cstheme="minorHAnsi"/>
                <w:b/>
                <w:bCs/>
                <w:sz w:val="20"/>
                <w:szCs w:val="20"/>
              </w:rPr>
              <w:t>EARMARKED - CAPITAL GRANTS UNAPPLIED</w:t>
            </w:r>
          </w:p>
        </w:tc>
        <w:tc>
          <w:tcPr>
            <w:tcW w:w="3261" w:type="dxa"/>
          </w:tcPr>
          <w:p w14:paraId="35E8BAD2" w14:textId="77777777" w:rsidR="00935736" w:rsidRPr="00FA4C3E" w:rsidRDefault="00935736" w:rsidP="00EF3054">
            <w:pPr>
              <w:spacing w:line="240" w:lineRule="auto"/>
              <w:rPr>
                <w:rFonts w:asciiTheme="minorHAnsi" w:eastAsia="Times New Roman" w:hAnsiTheme="minorHAnsi" w:cstheme="minorHAnsi"/>
                <w:sz w:val="20"/>
                <w:szCs w:val="20"/>
              </w:rPr>
            </w:pPr>
          </w:p>
          <w:p w14:paraId="3C53E76D" w14:textId="0405A248" w:rsidR="00935736" w:rsidRPr="00FA4C3E" w:rsidRDefault="006A4F31"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Used to earmark u</w:t>
            </w:r>
            <w:r w:rsidR="00935736" w:rsidRPr="00FA4C3E">
              <w:rPr>
                <w:rFonts w:asciiTheme="minorHAnsi" w:eastAsia="Times New Roman" w:hAnsiTheme="minorHAnsi" w:cstheme="minorHAnsi"/>
                <w:sz w:val="20"/>
                <w:szCs w:val="20"/>
              </w:rPr>
              <w:t>napplied grants brought forward from the Governance Transfer with Northamptonshire County Council and</w:t>
            </w:r>
            <w:r w:rsidRPr="00FA4C3E">
              <w:rPr>
                <w:rFonts w:asciiTheme="minorHAnsi" w:eastAsia="Times New Roman" w:hAnsiTheme="minorHAnsi" w:cstheme="minorHAnsi"/>
                <w:sz w:val="20"/>
                <w:szCs w:val="20"/>
              </w:rPr>
              <w:t xml:space="preserve"> any</w:t>
            </w:r>
            <w:r w:rsidR="00935736" w:rsidRPr="00FA4C3E">
              <w:rPr>
                <w:rFonts w:asciiTheme="minorHAnsi" w:eastAsia="Times New Roman" w:hAnsiTheme="minorHAnsi" w:cstheme="minorHAnsi"/>
                <w:sz w:val="20"/>
                <w:szCs w:val="20"/>
              </w:rPr>
              <w:t xml:space="preserve"> additional one off grant received from the Home Office.</w:t>
            </w:r>
          </w:p>
        </w:tc>
        <w:tc>
          <w:tcPr>
            <w:tcW w:w="2410" w:type="dxa"/>
          </w:tcPr>
          <w:p w14:paraId="79E211F7" w14:textId="77777777" w:rsidR="00935736" w:rsidRPr="00FA4C3E" w:rsidRDefault="00935736" w:rsidP="00EF3054">
            <w:pPr>
              <w:spacing w:line="240" w:lineRule="auto"/>
              <w:rPr>
                <w:rFonts w:asciiTheme="minorHAnsi" w:eastAsia="Times New Roman" w:hAnsiTheme="minorHAnsi" w:cstheme="minorHAnsi"/>
                <w:sz w:val="20"/>
                <w:szCs w:val="20"/>
              </w:rPr>
            </w:pPr>
          </w:p>
          <w:p w14:paraId="70D83AF8" w14:textId="77777777"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 xml:space="preserve">Used to support funding in accordance with the grant requirements to minimise the cost of external borrowing on NCFRA and the taxpayer if purchased from capital. </w:t>
            </w:r>
          </w:p>
        </w:tc>
        <w:tc>
          <w:tcPr>
            <w:tcW w:w="1745" w:type="dxa"/>
          </w:tcPr>
          <w:p w14:paraId="325B413E" w14:textId="77777777" w:rsidR="00935736" w:rsidRPr="00FA4C3E" w:rsidRDefault="00935736" w:rsidP="00EF3054">
            <w:pPr>
              <w:spacing w:line="240" w:lineRule="auto"/>
              <w:rPr>
                <w:rFonts w:asciiTheme="minorHAnsi" w:eastAsia="Times New Roman" w:hAnsiTheme="minorHAnsi" w:cstheme="minorHAnsi"/>
                <w:sz w:val="20"/>
                <w:szCs w:val="20"/>
              </w:rPr>
            </w:pPr>
          </w:p>
          <w:p w14:paraId="71E2B8D1" w14:textId="642BB1DA" w:rsidR="00935736" w:rsidRPr="00FA4C3E" w:rsidRDefault="006A4F31"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Variable</w:t>
            </w:r>
            <w:r w:rsidR="00935736" w:rsidRPr="00FA4C3E">
              <w:rPr>
                <w:rFonts w:asciiTheme="minorHAnsi" w:eastAsia="Times New Roman" w:hAnsiTheme="minorHAnsi" w:cstheme="minorHAnsi"/>
                <w:sz w:val="20"/>
                <w:szCs w:val="20"/>
              </w:rPr>
              <w:t xml:space="preserve"> according to activities.</w:t>
            </w:r>
          </w:p>
          <w:p w14:paraId="21D92D34" w14:textId="77777777" w:rsidR="00935736" w:rsidRPr="00FA4C3E" w:rsidRDefault="00935736" w:rsidP="00EF3054">
            <w:pPr>
              <w:spacing w:line="240" w:lineRule="auto"/>
              <w:rPr>
                <w:rFonts w:asciiTheme="minorHAnsi" w:eastAsia="Times New Roman" w:hAnsiTheme="minorHAnsi" w:cstheme="minorHAnsi"/>
                <w:sz w:val="20"/>
                <w:szCs w:val="20"/>
              </w:rPr>
            </w:pPr>
          </w:p>
          <w:p w14:paraId="23A7E05C" w14:textId="77777777" w:rsidR="00935736" w:rsidRPr="00FA4C3E" w:rsidRDefault="00935736" w:rsidP="00EF3054">
            <w:pPr>
              <w:spacing w:line="240" w:lineRule="auto"/>
              <w:rPr>
                <w:rFonts w:asciiTheme="minorHAnsi" w:eastAsia="Times New Roman" w:hAnsiTheme="minorHAnsi" w:cstheme="minorHAnsi"/>
                <w:sz w:val="20"/>
                <w:szCs w:val="20"/>
              </w:rPr>
            </w:pPr>
          </w:p>
        </w:tc>
        <w:tc>
          <w:tcPr>
            <w:tcW w:w="3691" w:type="dxa"/>
          </w:tcPr>
          <w:p w14:paraId="7BF64471" w14:textId="77777777" w:rsidR="00935736" w:rsidRPr="00FA4C3E" w:rsidRDefault="00935736" w:rsidP="00EF3054">
            <w:pPr>
              <w:spacing w:line="240" w:lineRule="auto"/>
              <w:rPr>
                <w:rFonts w:asciiTheme="minorHAnsi" w:eastAsia="Times New Roman" w:hAnsiTheme="minorHAnsi" w:cstheme="minorHAnsi"/>
                <w:sz w:val="20"/>
                <w:szCs w:val="20"/>
              </w:rPr>
            </w:pPr>
          </w:p>
          <w:p w14:paraId="31AC91A5" w14:textId="63F9007F"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The reserve is held for grants awarded for a specific capital purpose.</w:t>
            </w:r>
          </w:p>
          <w:p w14:paraId="6294F023" w14:textId="77777777" w:rsidR="00EF3054" w:rsidRPr="00FA4C3E" w:rsidRDefault="00EF3054" w:rsidP="00EF3054">
            <w:pPr>
              <w:spacing w:line="240" w:lineRule="auto"/>
              <w:rPr>
                <w:rFonts w:asciiTheme="minorHAnsi" w:eastAsia="Times New Roman" w:hAnsiTheme="minorHAnsi" w:cstheme="minorHAnsi"/>
                <w:sz w:val="20"/>
                <w:szCs w:val="20"/>
              </w:rPr>
            </w:pPr>
          </w:p>
          <w:p w14:paraId="7C062BCD" w14:textId="77777777"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This enables funds to b</w:t>
            </w:r>
            <w:r w:rsidR="00EF3054" w:rsidRPr="00FA4C3E">
              <w:rPr>
                <w:rFonts w:asciiTheme="minorHAnsi" w:eastAsia="Times New Roman" w:hAnsiTheme="minorHAnsi" w:cstheme="minorHAnsi"/>
                <w:sz w:val="20"/>
                <w:szCs w:val="20"/>
              </w:rPr>
              <w:t>e</w:t>
            </w:r>
            <w:r w:rsidRPr="00FA4C3E">
              <w:rPr>
                <w:rFonts w:asciiTheme="minorHAnsi" w:eastAsia="Times New Roman" w:hAnsiTheme="minorHAnsi" w:cstheme="minorHAnsi"/>
                <w:sz w:val="20"/>
                <w:szCs w:val="20"/>
              </w:rPr>
              <w:t xml:space="preserve"> used in the most appropriate manner to meet capital expenditure and minimise the cost of borrowing. </w:t>
            </w:r>
          </w:p>
          <w:p w14:paraId="65087370" w14:textId="0D11B980" w:rsidR="00EF3054" w:rsidRPr="00FA4C3E" w:rsidRDefault="00EF3054" w:rsidP="00EF3054">
            <w:pPr>
              <w:spacing w:line="240" w:lineRule="auto"/>
              <w:rPr>
                <w:rFonts w:asciiTheme="minorHAnsi" w:eastAsia="Times New Roman" w:hAnsiTheme="minorHAnsi" w:cstheme="minorHAnsi"/>
                <w:sz w:val="20"/>
                <w:szCs w:val="20"/>
              </w:rPr>
            </w:pPr>
          </w:p>
        </w:tc>
        <w:tc>
          <w:tcPr>
            <w:tcW w:w="1332" w:type="dxa"/>
          </w:tcPr>
          <w:p w14:paraId="7A56F34C" w14:textId="54FC1041" w:rsidR="00935736" w:rsidRPr="00FA4C3E" w:rsidRDefault="00935736" w:rsidP="00EF3054">
            <w:pPr>
              <w:spacing w:line="240" w:lineRule="auto"/>
              <w:rPr>
                <w:rFonts w:asciiTheme="minorHAnsi" w:eastAsia="Times New Roman" w:hAnsiTheme="minorHAnsi" w:cstheme="minorHAnsi"/>
                <w:sz w:val="20"/>
                <w:szCs w:val="20"/>
              </w:rPr>
            </w:pPr>
          </w:p>
          <w:p w14:paraId="74C0AE8E" w14:textId="77777777"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PFCC, on advice from PFCC CFO</w:t>
            </w:r>
          </w:p>
        </w:tc>
        <w:tc>
          <w:tcPr>
            <w:tcW w:w="973" w:type="dxa"/>
          </w:tcPr>
          <w:p w14:paraId="08711077" w14:textId="77777777" w:rsidR="00935736" w:rsidRPr="00FA4C3E" w:rsidRDefault="00935736" w:rsidP="00EF3054">
            <w:pPr>
              <w:spacing w:line="240" w:lineRule="auto"/>
              <w:rPr>
                <w:rFonts w:asciiTheme="minorHAnsi" w:eastAsia="Times New Roman" w:hAnsiTheme="minorHAnsi" w:cstheme="minorHAnsi"/>
                <w:sz w:val="20"/>
                <w:szCs w:val="20"/>
              </w:rPr>
            </w:pPr>
          </w:p>
          <w:p w14:paraId="749158B4" w14:textId="77777777" w:rsidR="00935736" w:rsidRPr="00FA4C3E" w:rsidRDefault="00935736" w:rsidP="00EF3054">
            <w:pPr>
              <w:spacing w:line="240" w:lineRule="auto"/>
              <w:rPr>
                <w:rFonts w:asciiTheme="minorHAnsi" w:eastAsia="Times New Roman" w:hAnsiTheme="minorHAnsi" w:cstheme="minorHAnsi"/>
                <w:sz w:val="20"/>
                <w:szCs w:val="20"/>
              </w:rPr>
            </w:pPr>
            <w:r w:rsidRPr="00FA4C3E">
              <w:rPr>
                <w:rFonts w:asciiTheme="minorHAnsi" w:eastAsia="Times New Roman" w:hAnsiTheme="minorHAnsi" w:cstheme="minorHAnsi"/>
                <w:sz w:val="20"/>
                <w:szCs w:val="20"/>
              </w:rPr>
              <w:t>Annual</w:t>
            </w:r>
          </w:p>
        </w:tc>
      </w:tr>
    </w:tbl>
    <w:p w14:paraId="627BD423" w14:textId="77777777" w:rsidR="00F115BD" w:rsidRPr="00FA4C3E" w:rsidRDefault="00F115BD" w:rsidP="00F115BD">
      <w:pPr>
        <w:rPr>
          <w:rFonts w:asciiTheme="minorHAnsi" w:hAnsiTheme="minorHAnsi" w:cstheme="minorHAnsi"/>
          <w:sz w:val="20"/>
          <w:szCs w:val="20"/>
        </w:rPr>
      </w:pPr>
      <w:r w:rsidRPr="00FA4C3E">
        <w:rPr>
          <w:rFonts w:asciiTheme="minorHAnsi" w:hAnsiTheme="minorHAnsi" w:cstheme="minorHAnsi"/>
          <w:sz w:val="20"/>
          <w:szCs w:val="20"/>
        </w:rPr>
        <w:br w:type="page"/>
      </w:r>
    </w:p>
    <w:p w14:paraId="33913F32" w14:textId="77777777" w:rsidR="00E02D66" w:rsidRPr="00FA4C3E" w:rsidRDefault="00E02D66" w:rsidP="00EF3054">
      <w:pPr>
        <w:rPr>
          <w:b/>
        </w:rPr>
        <w:sectPr w:rsidR="00E02D66" w:rsidRPr="00FA4C3E" w:rsidSect="00F115BD">
          <w:headerReference w:type="even" r:id="rId11"/>
          <w:headerReference w:type="default" r:id="rId12"/>
          <w:footerReference w:type="even" r:id="rId13"/>
          <w:footerReference w:type="default" r:id="rId14"/>
          <w:headerReference w:type="first" r:id="rId15"/>
          <w:footerReference w:type="first" r:id="rId16"/>
          <w:pgSz w:w="16838" w:h="11906" w:orient="landscape"/>
          <w:pgMar w:top="1440" w:right="1440" w:bottom="1440" w:left="1440" w:header="709" w:footer="709" w:gutter="0"/>
          <w:cols w:space="708"/>
          <w:docGrid w:linePitch="360"/>
        </w:sectPr>
      </w:pPr>
    </w:p>
    <w:p w14:paraId="43861EE0" w14:textId="4611E29A" w:rsidR="00F115BD" w:rsidRPr="00FA4C3E" w:rsidRDefault="000F4427" w:rsidP="00EF3054">
      <w:pPr>
        <w:rPr>
          <w:b/>
        </w:rPr>
      </w:pPr>
      <w:r w:rsidRPr="00FA4C3E">
        <w:rPr>
          <w:b/>
        </w:rPr>
        <w:lastRenderedPageBreak/>
        <w:t>Annexe 3</w:t>
      </w:r>
    </w:p>
    <w:p w14:paraId="4BAEA0FA" w14:textId="13498078" w:rsidR="00F115BD" w:rsidRPr="00FA4C3E" w:rsidRDefault="00F115BD" w:rsidP="00EF3054">
      <w:pPr>
        <w:jc w:val="center"/>
        <w:rPr>
          <w:b/>
        </w:rPr>
      </w:pPr>
      <w:r w:rsidRPr="00FA4C3E">
        <w:rPr>
          <w:b/>
        </w:rPr>
        <w:t xml:space="preserve">Summary of </w:t>
      </w:r>
      <w:r w:rsidR="0081263C" w:rsidRPr="00FA4C3E">
        <w:rPr>
          <w:b/>
        </w:rPr>
        <w:t>Reserve</w:t>
      </w:r>
      <w:r w:rsidRPr="00FA4C3E">
        <w:rPr>
          <w:b/>
        </w:rPr>
        <w:t>s 202</w:t>
      </w:r>
      <w:r w:rsidR="00524C96" w:rsidRPr="00FA4C3E">
        <w:rPr>
          <w:b/>
        </w:rPr>
        <w:t>5</w:t>
      </w:r>
      <w:r w:rsidRPr="00FA4C3E">
        <w:rPr>
          <w:b/>
        </w:rPr>
        <w:t>/2</w:t>
      </w:r>
      <w:r w:rsidR="00524C96" w:rsidRPr="00FA4C3E">
        <w:rPr>
          <w:b/>
        </w:rPr>
        <w:t>6</w:t>
      </w:r>
      <w:r w:rsidRPr="00FA4C3E">
        <w:rPr>
          <w:b/>
        </w:rPr>
        <w:t xml:space="preserve"> to 20</w:t>
      </w:r>
      <w:r w:rsidR="00524C96" w:rsidRPr="00FA4C3E">
        <w:rPr>
          <w:b/>
        </w:rPr>
        <w:t>30</w:t>
      </w:r>
      <w:r w:rsidRPr="00FA4C3E">
        <w:rPr>
          <w:b/>
        </w:rPr>
        <w:t>/20</w:t>
      </w:r>
      <w:r w:rsidR="004C6107" w:rsidRPr="00FA4C3E">
        <w:rPr>
          <w:b/>
        </w:rPr>
        <w:t>3</w:t>
      </w:r>
      <w:r w:rsidR="00524C96" w:rsidRPr="00FA4C3E">
        <w:rPr>
          <w:b/>
        </w:rPr>
        <w:t>1</w:t>
      </w:r>
    </w:p>
    <w:tbl>
      <w:tblPr>
        <w:tblW w:w="10080" w:type="dxa"/>
        <w:tblLook w:val="04A0" w:firstRow="1" w:lastRow="0" w:firstColumn="1" w:lastColumn="0" w:noHBand="0" w:noVBand="1"/>
      </w:tblPr>
      <w:tblGrid>
        <w:gridCol w:w="3720"/>
        <w:gridCol w:w="1060"/>
        <w:gridCol w:w="1060"/>
        <w:gridCol w:w="1060"/>
        <w:gridCol w:w="1060"/>
        <w:gridCol w:w="1060"/>
        <w:gridCol w:w="1060"/>
      </w:tblGrid>
      <w:tr w:rsidR="005F5EE6" w:rsidRPr="005F5EE6" w14:paraId="5962FEDC" w14:textId="77777777" w:rsidTr="005F5EE6">
        <w:trPr>
          <w:trHeight w:val="1308"/>
        </w:trPr>
        <w:tc>
          <w:tcPr>
            <w:tcW w:w="3720" w:type="dxa"/>
            <w:tcBorders>
              <w:top w:val="single" w:sz="4" w:space="0" w:color="auto"/>
              <w:left w:val="single" w:sz="4" w:space="0" w:color="auto"/>
              <w:bottom w:val="nil"/>
              <w:right w:val="single" w:sz="4" w:space="0" w:color="auto"/>
            </w:tcBorders>
            <w:shd w:val="clear" w:color="000000" w:fill="C00000"/>
            <w:vAlign w:val="center"/>
            <w:hideMark/>
          </w:tcPr>
          <w:p w14:paraId="682A6B36" w14:textId="77777777" w:rsidR="005F5EE6" w:rsidRPr="005F5EE6" w:rsidRDefault="005F5EE6" w:rsidP="005F5EE6">
            <w:pPr>
              <w:spacing w:line="240" w:lineRule="auto"/>
              <w:jc w:val="center"/>
              <w:rPr>
                <w:rFonts w:eastAsia="Times New Roman" w:cs="Calibri"/>
                <w:b/>
                <w:bCs/>
                <w:color w:val="FFFFFF"/>
                <w:sz w:val="20"/>
                <w:szCs w:val="20"/>
                <w:lang w:eastAsia="en-GB"/>
              </w:rPr>
            </w:pPr>
            <w:r w:rsidRPr="005F5EE6">
              <w:rPr>
                <w:rFonts w:eastAsia="Times New Roman" w:cs="Calibri"/>
                <w:b/>
                <w:bCs/>
                <w:color w:val="FFFFFF"/>
                <w:sz w:val="20"/>
                <w:szCs w:val="20"/>
                <w:lang w:eastAsia="en-GB"/>
              </w:rPr>
              <w:t> </w:t>
            </w:r>
          </w:p>
        </w:tc>
        <w:tc>
          <w:tcPr>
            <w:tcW w:w="1060" w:type="dxa"/>
            <w:tcBorders>
              <w:top w:val="single" w:sz="4" w:space="0" w:color="auto"/>
              <w:left w:val="nil"/>
              <w:bottom w:val="nil"/>
              <w:right w:val="single" w:sz="4" w:space="0" w:color="auto"/>
            </w:tcBorders>
            <w:shd w:val="clear" w:color="000000" w:fill="C00000"/>
            <w:vAlign w:val="center"/>
            <w:hideMark/>
          </w:tcPr>
          <w:p w14:paraId="3E5FE536" w14:textId="77777777" w:rsidR="005F5EE6" w:rsidRPr="005F5EE6" w:rsidRDefault="005F5EE6" w:rsidP="005F5EE6">
            <w:pPr>
              <w:spacing w:line="240" w:lineRule="auto"/>
              <w:jc w:val="center"/>
              <w:rPr>
                <w:rFonts w:eastAsia="Times New Roman" w:cs="Calibri"/>
                <w:b/>
                <w:bCs/>
                <w:color w:val="FFFFFF"/>
                <w:sz w:val="20"/>
                <w:szCs w:val="20"/>
                <w:lang w:eastAsia="en-GB"/>
              </w:rPr>
            </w:pPr>
            <w:r w:rsidRPr="005F5EE6">
              <w:rPr>
                <w:rFonts w:eastAsia="Times New Roman" w:cs="Calibri"/>
                <w:b/>
                <w:bCs/>
                <w:color w:val="FFFFFF"/>
                <w:sz w:val="20"/>
                <w:szCs w:val="20"/>
                <w:lang w:eastAsia="en-GB"/>
              </w:rPr>
              <w:t xml:space="preserve">Forecast Balance at </w:t>
            </w:r>
            <w:r w:rsidRPr="005F5EE6">
              <w:rPr>
                <w:rFonts w:eastAsia="Times New Roman" w:cs="Calibri"/>
                <w:b/>
                <w:bCs/>
                <w:color w:val="FFFFFF"/>
                <w:sz w:val="20"/>
                <w:szCs w:val="20"/>
                <w:lang w:eastAsia="en-GB"/>
              </w:rPr>
              <w:br/>
              <w:t>31 March 2026</w:t>
            </w:r>
          </w:p>
        </w:tc>
        <w:tc>
          <w:tcPr>
            <w:tcW w:w="1060" w:type="dxa"/>
            <w:tcBorders>
              <w:top w:val="single" w:sz="4" w:space="0" w:color="auto"/>
              <w:left w:val="nil"/>
              <w:bottom w:val="nil"/>
              <w:right w:val="single" w:sz="4" w:space="0" w:color="auto"/>
            </w:tcBorders>
            <w:shd w:val="clear" w:color="000000" w:fill="C00000"/>
            <w:vAlign w:val="center"/>
            <w:hideMark/>
          </w:tcPr>
          <w:p w14:paraId="7FE92659" w14:textId="77777777" w:rsidR="005F5EE6" w:rsidRPr="005F5EE6" w:rsidRDefault="005F5EE6" w:rsidP="005F5EE6">
            <w:pPr>
              <w:spacing w:line="240" w:lineRule="auto"/>
              <w:jc w:val="center"/>
              <w:rPr>
                <w:rFonts w:eastAsia="Times New Roman" w:cs="Calibri"/>
                <w:b/>
                <w:bCs/>
                <w:color w:val="FFFFFF"/>
                <w:sz w:val="20"/>
                <w:szCs w:val="20"/>
                <w:lang w:eastAsia="en-GB"/>
              </w:rPr>
            </w:pPr>
            <w:r w:rsidRPr="005F5EE6">
              <w:rPr>
                <w:rFonts w:eastAsia="Times New Roman" w:cs="Calibri"/>
                <w:b/>
                <w:bCs/>
                <w:color w:val="FFFFFF"/>
                <w:sz w:val="20"/>
                <w:szCs w:val="20"/>
                <w:lang w:eastAsia="en-GB"/>
              </w:rPr>
              <w:t xml:space="preserve">Forecast Balance at </w:t>
            </w:r>
            <w:r w:rsidRPr="005F5EE6">
              <w:rPr>
                <w:rFonts w:eastAsia="Times New Roman" w:cs="Calibri"/>
                <w:b/>
                <w:bCs/>
                <w:color w:val="FFFFFF"/>
                <w:sz w:val="20"/>
                <w:szCs w:val="20"/>
                <w:lang w:eastAsia="en-GB"/>
              </w:rPr>
              <w:br/>
              <w:t>31 March 2027</w:t>
            </w:r>
          </w:p>
        </w:tc>
        <w:tc>
          <w:tcPr>
            <w:tcW w:w="1060" w:type="dxa"/>
            <w:tcBorders>
              <w:top w:val="single" w:sz="4" w:space="0" w:color="auto"/>
              <w:left w:val="nil"/>
              <w:bottom w:val="nil"/>
              <w:right w:val="single" w:sz="4" w:space="0" w:color="auto"/>
            </w:tcBorders>
            <w:shd w:val="clear" w:color="000000" w:fill="C00000"/>
            <w:vAlign w:val="center"/>
            <w:hideMark/>
          </w:tcPr>
          <w:p w14:paraId="2E712D74" w14:textId="77777777" w:rsidR="005F5EE6" w:rsidRPr="005F5EE6" w:rsidRDefault="005F5EE6" w:rsidP="005F5EE6">
            <w:pPr>
              <w:spacing w:line="240" w:lineRule="auto"/>
              <w:jc w:val="center"/>
              <w:rPr>
                <w:rFonts w:eastAsia="Times New Roman" w:cs="Calibri"/>
                <w:b/>
                <w:bCs/>
                <w:color w:val="FFFFFF"/>
                <w:sz w:val="20"/>
                <w:szCs w:val="20"/>
                <w:lang w:eastAsia="en-GB"/>
              </w:rPr>
            </w:pPr>
            <w:r w:rsidRPr="005F5EE6">
              <w:rPr>
                <w:rFonts w:eastAsia="Times New Roman" w:cs="Calibri"/>
                <w:b/>
                <w:bCs/>
                <w:color w:val="FFFFFF"/>
                <w:sz w:val="20"/>
                <w:szCs w:val="20"/>
                <w:lang w:eastAsia="en-GB"/>
              </w:rPr>
              <w:t xml:space="preserve">Forecast Balance at </w:t>
            </w:r>
            <w:r w:rsidRPr="005F5EE6">
              <w:rPr>
                <w:rFonts w:eastAsia="Times New Roman" w:cs="Calibri"/>
                <w:b/>
                <w:bCs/>
                <w:color w:val="FFFFFF"/>
                <w:sz w:val="20"/>
                <w:szCs w:val="20"/>
                <w:lang w:eastAsia="en-GB"/>
              </w:rPr>
              <w:br/>
              <w:t>31 March 2028</w:t>
            </w:r>
          </w:p>
        </w:tc>
        <w:tc>
          <w:tcPr>
            <w:tcW w:w="1060" w:type="dxa"/>
            <w:tcBorders>
              <w:top w:val="single" w:sz="4" w:space="0" w:color="auto"/>
              <w:left w:val="nil"/>
              <w:bottom w:val="nil"/>
              <w:right w:val="single" w:sz="4" w:space="0" w:color="auto"/>
            </w:tcBorders>
            <w:shd w:val="clear" w:color="000000" w:fill="C00000"/>
            <w:vAlign w:val="center"/>
            <w:hideMark/>
          </w:tcPr>
          <w:p w14:paraId="46E97E34" w14:textId="77777777" w:rsidR="005F5EE6" w:rsidRPr="005F5EE6" w:rsidRDefault="005F5EE6" w:rsidP="005F5EE6">
            <w:pPr>
              <w:spacing w:line="240" w:lineRule="auto"/>
              <w:jc w:val="center"/>
              <w:rPr>
                <w:rFonts w:eastAsia="Times New Roman" w:cs="Calibri"/>
                <w:b/>
                <w:bCs/>
                <w:color w:val="FFFFFF"/>
                <w:sz w:val="20"/>
                <w:szCs w:val="20"/>
                <w:lang w:eastAsia="en-GB"/>
              </w:rPr>
            </w:pPr>
            <w:r w:rsidRPr="005F5EE6">
              <w:rPr>
                <w:rFonts w:eastAsia="Times New Roman" w:cs="Calibri"/>
                <w:b/>
                <w:bCs/>
                <w:color w:val="FFFFFF"/>
                <w:sz w:val="20"/>
                <w:szCs w:val="20"/>
                <w:lang w:eastAsia="en-GB"/>
              </w:rPr>
              <w:t xml:space="preserve">Forecast Balance at </w:t>
            </w:r>
            <w:r w:rsidRPr="005F5EE6">
              <w:rPr>
                <w:rFonts w:eastAsia="Times New Roman" w:cs="Calibri"/>
                <w:b/>
                <w:bCs/>
                <w:color w:val="FFFFFF"/>
                <w:sz w:val="20"/>
                <w:szCs w:val="20"/>
                <w:lang w:eastAsia="en-GB"/>
              </w:rPr>
              <w:br/>
              <w:t>31 March 2029</w:t>
            </w:r>
          </w:p>
        </w:tc>
        <w:tc>
          <w:tcPr>
            <w:tcW w:w="1060" w:type="dxa"/>
            <w:tcBorders>
              <w:top w:val="single" w:sz="4" w:space="0" w:color="auto"/>
              <w:left w:val="nil"/>
              <w:bottom w:val="nil"/>
              <w:right w:val="single" w:sz="4" w:space="0" w:color="auto"/>
            </w:tcBorders>
            <w:shd w:val="clear" w:color="000000" w:fill="C00000"/>
            <w:vAlign w:val="center"/>
            <w:hideMark/>
          </w:tcPr>
          <w:p w14:paraId="069B5A2D" w14:textId="77777777" w:rsidR="005F5EE6" w:rsidRPr="005F5EE6" w:rsidRDefault="005F5EE6" w:rsidP="005F5EE6">
            <w:pPr>
              <w:spacing w:line="240" w:lineRule="auto"/>
              <w:jc w:val="center"/>
              <w:rPr>
                <w:rFonts w:eastAsia="Times New Roman" w:cs="Calibri"/>
                <w:b/>
                <w:bCs/>
                <w:color w:val="FFFFFF"/>
                <w:sz w:val="20"/>
                <w:szCs w:val="20"/>
                <w:lang w:eastAsia="en-GB"/>
              </w:rPr>
            </w:pPr>
            <w:r w:rsidRPr="005F5EE6">
              <w:rPr>
                <w:rFonts w:eastAsia="Times New Roman" w:cs="Calibri"/>
                <w:b/>
                <w:bCs/>
                <w:color w:val="FFFFFF"/>
                <w:sz w:val="20"/>
                <w:szCs w:val="20"/>
                <w:lang w:eastAsia="en-GB"/>
              </w:rPr>
              <w:t xml:space="preserve">Forecast Balance at </w:t>
            </w:r>
            <w:r w:rsidRPr="005F5EE6">
              <w:rPr>
                <w:rFonts w:eastAsia="Times New Roman" w:cs="Calibri"/>
                <w:b/>
                <w:bCs/>
                <w:color w:val="FFFFFF"/>
                <w:sz w:val="20"/>
                <w:szCs w:val="20"/>
                <w:lang w:eastAsia="en-GB"/>
              </w:rPr>
              <w:br/>
              <w:t>31 March 2030</w:t>
            </w:r>
          </w:p>
        </w:tc>
        <w:tc>
          <w:tcPr>
            <w:tcW w:w="1060" w:type="dxa"/>
            <w:tcBorders>
              <w:top w:val="single" w:sz="4" w:space="0" w:color="auto"/>
              <w:left w:val="nil"/>
              <w:bottom w:val="nil"/>
              <w:right w:val="single" w:sz="4" w:space="0" w:color="auto"/>
            </w:tcBorders>
            <w:shd w:val="clear" w:color="000000" w:fill="C00000"/>
            <w:vAlign w:val="center"/>
            <w:hideMark/>
          </w:tcPr>
          <w:p w14:paraId="10DF1631" w14:textId="77777777" w:rsidR="005F5EE6" w:rsidRPr="005F5EE6" w:rsidRDefault="005F5EE6" w:rsidP="005F5EE6">
            <w:pPr>
              <w:spacing w:line="240" w:lineRule="auto"/>
              <w:jc w:val="center"/>
              <w:rPr>
                <w:rFonts w:eastAsia="Times New Roman" w:cs="Calibri"/>
                <w:b/>
                <w:bCs/>
                <w:color w:val="FFFFFF"/>
                <w:sz w:val="20"/>
                <w:szCs w:val="20"/>
                <w:lang w:eastAsia="en-GB"/>
              </w:rPr>
            </w:pPr>
            <w:r w:rsidRPr="005F5EE6">
              <w:rPr>
                <w:rFonts w:eastAsia="Times New Roman" w:cs="Calibri"/>
                <w:b/>
                <w:bCs/>
                <w:color w:val="FFFFFF"/>
                <w:sz w:val="20"/>
                <w:szCs w:val="20"/>
                <w:lang w:eastAsia="en-GB"/>
              </w:rPr>
              <w:t xml:space="preserve">Forecast Balance at </w:t>
            </w:r>
            <w:r w:rsidRPr="005F5EE6">
              <w:rPr>
                <w:rFonts w:eastAsia="Times New Roman" w:cs="Calibri"/>
                <w:b/>
                <w:bCs/>
                <w:color w:val="FFFFFF"/>
                <w:sz w:val="20"/>
                <w:szCs w:val="20"/>
                <w:lang w:eastAsia="en-GB"/>
              </w:rPr>
              <w:br/>
              <w:t>31 March 2031</w:t>
            </w:r>
          </w:p>
        </w:tc>
      </w:tr>
      <w:tr w:rsidR="005F5EE6" w:rsidRPr="005F5EE6" w14:paraId="4D65BC41" w14:textId="77777777" w:rsidTr="005F5EE6">
        <w:trPr>
          <w:trHeight w:val="288"/>
        </w:trPr>
        <w:tc>
          <w:tcPr>
            <w:tcW w:w="3720" w:type="dxa"/>
            <w:tcBorders>
              <w:top w:val="nil"/>
              <w:left w:val="single" w:sz="4" w:space="0" w:color="auto"/>
              <w:bottom w:val="single" w:sz="4" w:space="0" w:color="auto"/>
              <w:right w:val="single" w:sz="4" w:space="0" w:color="auto"/>
            </w:tcBorders>
            <w:shd w:val="clear" w:color="000000" w:fill="C00000"/>
            <w:vAlign w:val="center"/>
            <w:hideMark/>
          </w:tcPr>
          <w:p w14:paraId="45D82C71" w14:textId="77777777" w:rsidR="005F5EE6" w:rsidRPr="005F5EE6" w:rsidRDefault="005F5EE6" w:rsidP="005F5EE6">
            <w:pPr>
              <w:spacing w:line="240" w:lineRule="auto"/>
              <w:jc w:val="center"/>
              <w:rPr>
                <w:rFonts w:eastAsia="Times New Roman" w:cs="Calibri"/>
                <w:b/>
                <w:bCs/>
                <w:color w:val="FFFFFF"/>
                <w:sz w:val="20"/>
                <w:szCs w:val="20"/>
                <w:lang w:eastAsia="en-GB"/>
              </w:rPr>
            </w:pPr>
            <w:r w:rsidRPr="005F5EE6">
              <w:rPr>
                <w:rFonts w:eastAsia="Times New Roman" w:cs="Calibri"/>
                <w:b/>
                <w:bCs/>
                <w:color w:val="FFFFFF"/>
                <w:sz w:val="20"/>
                <w:szCs w:val="20"/>
                <w:lang w:eastAsia="en-GB"/>
              </w:rPr>
              <w:t> </w:t>
            </w:r>
          </w:p>
        </w:tc>
        <w:tc>
          <w:tcPr>
            <w:tcW w:w="1060" w:type="dxa"/>
            <w:tcBorders>
              <w:top w:val="nil"/>
              <w:left w:val="nil"/>
              <w:bottom w:val="single" w:sz="4" w:space="0" w:color="auto"/>
              <w:right w:val="single" w:sz="4" w:space="0" w:color="auto"/>
            </w:tcBorders>
            <w:shd w:val="clear" w:color="000000" w:fill="C00000"/>
            <w:vAlign w:val="center"/>
            <w:hideMark/>
          </w:tcPr>
          <w:p w14:paraId="112DC1D2" w14:textId="77777777" w:rsidR="005F5EE6" w:rsidRPr="005F5EE6" w:rsidRDefault="005F5EE6" w:rsidP="005F5EE6">
            <w:pPr>
              <w:spacing w:line="240" w:lineRule="auto"/>
              <w:jc w:val="center"/>
              <w:rPr>
                <w:rFonts w:eastAsia="Times New Roman" w:cs="Calibri"/>
                <w:b/>
                <w:bCs/>
                <w:color w:val="FFFFFF"/>
                <w:sz w:val="20"/>
                <w:szCs w:val="20"/>
                <w:lang w:eastAsia="en-GB"/>
              </w:rPr>
            </w:pPr>
            <w:r w:rsidRPr="005F5EE6">
              <w:rPr>
                <w:rFonts w:eastAsia="Times New Roman" w:cs="Calibri"/>
                <w:b/>
                <w:bCs/>
                <w:color w:val="FFFFFF"/>
                <w:sz w:val="20"/>
                <w:szCs w:val="20"/>
                <w:lang w:eastAsia="en-GB"/>
              </w:rPr>
              <w:t>£m</w:t>
            </w:r>
          </w:p>
        </w:tc>
        <w:tc>
          <w:tcPr>
            <w:tcW w:w="1060" w:type="dxa"/>
            <w:tcBorders>
              <w:top w:val="nil"/>
              <w:left w:val="nil"/>
              <w:bottom w:val="single" w:sz="4" w:space="0" w:color="auto"/>
              <w:right w:val="single" w:sz="4" w:space="0" w:color="auto"/>
            </w:tcBorders>
            <w:shd w:val="clear" w:color="000000" w:fill="C00000"/>
            <w:vAlign w:val="center"/>
            <w:hideMark/>
          </w:tcPr>
          <w:p w14:paraId="237155CE" w14:textId="77777777" w:rsidR="005F5EE6" w:rsidRPr="005F5EE6" w:rsidRDefault="005F5EE6" w:rsidP="005F5EE6">
            <w:pPr>
              <w:spacing w:line="240" w:lineRule="auto"/>
              <w:jc w:val="center"/>
              <w:rPr>
                <w:rFonts w:eastAsia="Times New Roman" w:cs="Calibri"/>
                <w:b/>
                <w:bCs/>
                <w:color w:val="FFFFFF"/>
                <w:sz w:val="20"/>
                <w:szCs w:val="20"/>
                <w:lang w:eastAsia="en-GB"/>
              </w:rPr>
            </w:pPr>
            <w:r w:rsidRPr="005F5EE6">
              <w:rPr>
                <w:rFonts w:eastAsia="Times New Roman" w:cs="Calibri"/>
                <w:b/>
                <w:bCs/>
                <w:color w:val="FFFFFF"/>
                <w:sz w:val="20"/>
                <w:szCs w:val="20"/>
                <w:lang w:eastAsia="en-GB"/>
              </w:rPr>
              <w:t>£m</w:t>
            </w:r>
          </w:p>
        </w:tc>
        <w:tc>
          <w:tcPr>
            <w:tcW w:w="1060" w:type="dxa"/>
            <w:tcBorders>
              <w:top w:val="nil"/>
              <w:left w:val="nil"/>
              <w:bottom w:val="single" w:sz="4" w:space="0" w:color="auto"/>
              <w:right w:val="single" w:sz="4" w:space="0" w:color="auto"/>
            </w:tcBorders>
            <w:shd w:val="clear" w:color="000000" w:fill="C00000"/>
            <w:vAlign w:val="center"/>
            <w:hideMark/>
          </w:tcPr>
          <w:p w14:paraId="4DF5825F" w14:textId="77777777" w:rsidR="005F5EE6" w:rsidRPr="005F5EE6" w:rsidRDefault="005F5EE6" w:rsidP="005F5EE6">
            <w:pPr>
              <w:spacing w:line="240" w:lineRule="auto"/>
              <w:jc w:val="center"/>
              <w:rPr>
                <w:rFonts w:eastAsia="Times New Roman" w:cs="Calibri"/>
                <w:b/>
                <w:bCs/>
                <w:color w:val="FFFFFF"/>
                <w:sz w:val="20"/>
                <w:szCs w:val="20"/>
                <w:lang w:eastAsia="en-GB"/>
              </w:rPr>
            </w:pPr>
            <w:r w:rsidRPr="005F5EE6">
              <w:rPr>
                <w:rFonts w:eastAsia="Times New Roman" w:cs="Calibri"/>
                <w:b/>
                <w:bCs/>
                <w:color w:val="FFFFFF"/>
                <w:sz w:val="20"/>
                <w:szCs w:val="20"/>
                <w:lang w:eastAsia="en-GB"/>
              </w:rPr>
              <w:t>£m</w:t>
            </w:r>
          </w:p>
        </w:tc>
        <w:tc>
          <w:tcPr>
            <w:tcW w:w="1060" w:type="dxa"/>
            <w:tcBorders>
              <w:top w:val="nil"/>
              <w:left w:val="nil"/>
              <w:bottom w:val="single" w:sz="4" w:space="0" w:color="auto"/>
              <w:right w:val="single" w:sz="4" w:space="0" w:color="auto"/>
            </w:tcBorders>
            <w:shd w:val="clear" w:color="000000" w:fill="C00000"/>
            <w:vAlign w:val="center"/>
            <w:hideMark/>
          </w:tcPr>
          <w:p w14:paraId="5E975BBD" w14:textId="77777777" w:rsidR="005F5EE6" w:rsidRPr="005F5EE6" w:rsidRDefault="005F5EE6" w:rsidP="005F5EE6">
            <w:pPr>
              <w:spacing w:line="240" w:lineRule="auto"/>
              <w:jc w:val="center"/>
              <w:rPr>
                <w:rFonts w:eastAsia="Times New Roman" w:cs="Calibri"/>
                <w:b/>
                <w:bCs/>
                <w:color w:val="FFFFFF"/>
                <w:sz w:val="20"/>
                <w:szCs w:val="20"/>
                <w:lang w:eastAsia="en-GB"/>
              </w:rPr>
            </w:pPr>
            <w:r w:rsidRPr="005F5EE6">
              <w:rPr>
                <w:rFonts w:eastAsia="Times New Roman" w:cs="Calibri"/>
                <w:b/>
                <w:bCs/>
                <w:color w:val="FFFFFF"/>
                <w:sz w:val="20"/>
                <w:szCs w:val="20"/>
                <w:lang w:eastAsia="en-GB"/>
              </w:rPr>
              <w:t>£m</w:t>
            </w:r>
          </w:p>
        </w:tc>
        <w:tc>
          <w:tcPr>
            <w:tcW w:w="1060" w:type="dxa"/>
            <w:tcBorders>
              <w:top w:val="nil"/>
              <w:left w:val="nil"/>
              <w:bottom w:val="single" w:sz="4" w:space="0" w:color="auto"/>
              <w:right w:val="single" w:sz="4" w:space="0" w:color="auto"/>
            </w:tcBorders>
            <w:shd w:val="clear" w:color="000000" w:fill="C00000"/>
            <w:vAlign w:val="center"/>
            <w:hideMark/>
          </w:tcPr>
          <w:p w14:paraId="6FA74AB5" w14:textId="77777777" w:rsidR="005F5EE6" w:rsidRPr="005F5EE6" w:rsidRDefault="005F5EE6" w:rsidP="005F5EE6">
            <w:pPr>
              <w:spacing w:line="240" w:lineRule="auto"/>
              <w:jc w:val="center"/>
              <w:rPr>
                <w:rFonts w:eastAsia="Times New Roman" w:cs="Calibri"/>
                <w:b/>
                <w:bCs/>
                <w:color w:val="FFFFFF"/>
                <w:sz w:val="20"/>
                <w:szCs w:val="20"/>
                <w:lang w:eastAsia="en-GB"/>
              </w:rPr>
            </w:pPr>
            <w:r w:rsidRPr="005F5EE6">
              <w:rPr>
                <w:rFonts w:eastAsia="Times New Roman" w:cs="Calibri"/>
                <w:b/>
                <w:bCs/>
                <w:color w:val="FFFFFF"/>
                <w:sz w:val="20"/>
                <w:szCs w:val="20"/>
                <w:lang w:eastAsia="en-GB"/>
              </w:rPr>
              <w:t>£m</w:t>
            </w:r>
          </w:p>
        </w:tc>
        <w:tc>
          <w:tcPr>
            <w:tcW w:w="1060" w:type="dxa"/>
            <w:tcBorders>
              <w:top w:val="nil"/>
              <w:left w:val="nil"/>
              <w:bottom w:val="single" w:sz="4" w:space="0" w:color="auto"/>
              <w:right w:val="single" w:sz="4" w:space="0" w:color="auto"/>
            </w:tcBorders>
            <w:shd w:val="clear" w:color="000000" w:fill="C00000"/>
            <w:vAlign w:val="center"/>
            <w:hideMark/>
          </w:tcPr>
          <w:p w14:paraId="7FE9F4EA" w14:textId="77777777" w:rsidR="005F5EE6" w:rsidRPr="005F5EE6" w:rsidRDefault="005F5EE6" w:rsidP="005F5EE6">
            <w:pPr>
              <w:spacing w:line="240" w:lineRule="auto"/>
              <w:jc w:val="center"/>
              <w:rPr>
                <w:rFonts w:eastAsia="Times New Roman" w:cs="Calibri"/>
                <w:b/>
                <w:bCs/>
                <w:color w:val="FFFFFF"/>
                <w:sz w:val="20"/>
                <w:szCs w:val="20"/>
                <w:lang w:eastAsia="en-GB"/>
              </w:rPr>
            </w:pPr>
            <w:r w:rsidRPr="005F5EE6">
              <w:rPr>
                <w:rFonts w:eastAsia="Times New Roman" w:cs="Calibri"/>
                <w:b/>
                <w:bCs/>
                <w:color w:val="FFFFFF"/>
                <w:sz w:val="20"/>
                <w:szCs w:val="20"/>
                <w:lang w:eastAsia="en-GB"/>
              </w:rPr>
              <w:t>£m</w:t>
            </w:r>
          </w:p>
        </w:tc>
      </w:tr>
      <w:tr w:rsidR="005F5EE6" w:rsidRPr="005F5EE6" w14:paraId="3BA217D8" w14:textId="77777777" w:rsidTr="005F5EE6">
        <w:trPr>
          <w:trHeight w:val="288"/>
        </w:trPr>
        <w:tc>
          <w:tcPr>
            <w:tcW w:w="3720" w:type="dxa"/>
            <w:tcBorders>
              <w:top w:val="nil"/>
              <w:left w:val="single" w:sz="4" w:space="0" w:color="auto"/>
              <w:bottom w:val="nil"/>
              <w:right w:val="single" w:sz="4" w:space="0" w:color="auto"/>
            </w:tcBorders>
            <w:shd w:val="clear" w:color="auto" w:fill="auto"/>
            <w:noWrap/>
            <w:vAlign w:val="center"/>
            <w:hideMark/>
          </w:tcPr>
          <w:p w14:paraId="52F3DE35" w14:textId="77777777" w:rsidR="005F5EE6" w:rsidRPr="005F5EE6" w:rsidRDefault="005F5EE6" w:rsidP="005F5EE6">
            <w:pPr>
              <w:spacing w:line="240" w:lineRule="auto"/>
              <w:rPr>
                <w:rFonts w:eastAsia="Times New Roman" w:cs="Calibri"/>
                <w:b/>
                <w:bCs/>
                <w:color w:val="000000"/>
                <w:sz w:val="20"/>
                <w:szCs w:val="20"/>
                <w:u w:val="single"/>
                <w:lang w:eastAsia="en-GB"/>
              </w:rPr>
            </w:pPr>
            <w:r w:rsidRPr="005F5EE6">
              <w:rPr>
                <w:rFonts w:eastAsia="Times New Roman" w:cs="Calibri"/>
                <w:b/>
                <w:bCs/>
                <w:color w:val="000000"/>
                <w:sz w:val="20"/>
                <w:szCs w:val="20"/>
                <w:u w:val="single"/>
                <w:lang w:eastAsia="en-GB"/>
              </w:rPr>
              <w:t>Held to meet budgetary risks</w:t>
            </w:r>
          </w:p>
        </w:tc>
        <w:tc>
          <w:tcPr>
            <w:tcW w:w="1060" w:type="dxa"/>
            <w:tcBorders>
              <w:top w:val="nil"/>
              <w:left w:val="nil"/>
              <w:bottom w:val="nil"/>
              <w:right w:val="nil"/>
            </w:tcBorders>
            <w:shd w:val="clear" w:color="auto" w:fill="auto"/>
            <w:vAlign w:val="center"/>
            <w:hideMark/>
          </w:tcPr>
          <w:p w14:paraId="70A073DD" w14:textId="77777777" w:rsidR="005F5EE6" w:rsidRPr="005F5EE6" w:rsidRDefault="005F5EE6" w:rsidP="005F5EE6">
            <w:pPr>
              <w:spacing w:line="240" w:lineRule="auto"/>
              <w:rPr>
                <w:rFonts w:eastAsia="Times New Roman" w:cs="Calibri"/>
                <w:b/>
                <w:bCs/>
                <w:color w:val="000000"/>
                <w:sz w:val="20"/>
                <w:szCs w:val="20"/>
                <w:u w:val="single"/>
                <w:lang w:eastAsia="en-GB"/>
              </w:rPr>
            </w:pPr>
          </w:p>
        </w:tc>
        <w:tc>
          <w:tcPr>
            <w:tcW w:w="1060" w:type="dxa"/>
            <w:tcBorders>
              <w:top w:val="nil"/>
              <w:left w:val="single" w:sz="4" w:space="0" w:color="auto"/>
              <w:bottom w:val="nil"/>
              <w:right w:val="single" w:sz="4" w:space="0" w:color="auto"/>
            </w:tcBorders>
            <w:shd w:val="clear" w:color="auto" w:fill="auto"/>
            <w:vAlign w:val="center"/>
            <w:hideMark/>
          </w:tcPr>
          <w:p w14:paraId="5689D29B" w14:textId="77777777" w:rsidR="005F5EE6" w:rsidRPr="005F5EE6" w:rsidRDefault="005F5EE6" w:rsidP="005F5EE6">
            <w:pPr>
              <w:spacing w:line="240" w:lineRule="auto"/>
              <w:jc w:val="center"/>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c>
          <w:tcPr>
            <w:tcW w:w="1060" w:type="dxa"/>
            <w:tcBorders>
              <w:top w:val="nil"/>
              <w:left w:val="nil"/>
              <w:bottom w:val="nil"/>
              <w:right w:val="nil"/>
            </w:tcBorders>
            <w:shd w:val="clear" w:color="auto" w:fill="auto"/>
            <w:vAlign w:val="center"/>
            <w:hideMark/>
          </w:tcPr>
          <w:p w14:paraId="00615EC0" w14:textId="77777777" w:rsidR="005F5EE6" w:rsidRPr="005F5EE6" w:rsidRDefault="005F5EE6" w:rsidP="005F5EE6">
            <w:pPr>
              <w:spacing w:line="240" w:lineRule="auto"/>
              <w:jc w:val="center"/>
              <w:rPr>
                <w:rFonts w:eastAsia="Times New Roman" w:cs="Calibri"/>
                <w:b/>
                <w:bCs/>
                <w:color w:val="000000"/>
                <w:sz w:val="20"/>
                <w:szCs w:val="20"/>
                <w:lang w:eastAsia="en-GB"/>
              </w:rPr>
            </w:pPr>
          </w:p>
        </w:tc>
        <w:tc>
          <w:tcPr>
            <w:tcW w:w="1060" w:type="dxa"/>
            <w:tcBorders>
              <w:top w:val="nil"/>
              <w:left w:val="single" w:sz="4" w:space="0" w:color="auto"/>
              <w:bottom w:val="nil"/>
              <w:right w:val="single" w:sz="4" w:space="0" w:color="auto"/>
            </w:tcBorders>
            <w:shd w:val="clear" w:color="auto" w:fill="auto"/>
            <w:vAlign w:val="center"/>
            <w:hideMark/>
          </w:tcPr>
          <w:p w14:paraId="327CA871" w14:textId="77777777" w:rsidR="005F5EE6" w:rsidRPr="005F5EE6" w:rsidRDefault="005F5EE6" w:rsidP="005F5EE6">
            <w:pPr>
              <w:spacing w:line="240" w:lineRule="auto"/>
              <w:jc w:val="center"/>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c>
          <w:tcPr>
            <w:tcW w:w="1060" w:type="dxa"/>
            <w:tcBorders>
              <w:top w:val="nil"/>
              <w:left w:val="nil"/>
              <w:bottom w:val="nil"/>
              <w:right w:val="single" w:sz="4" w:space="0" w:color="auto"/>
            </w:tcBorders>
            <w:shd w:val="clear" w:color="auto" w:fill="auto"/>
            <w:vAlign w:val="center"/>
            <w:hideMark/>
          </w:tcPr>
          <w:p w14:paraId="7356D5D5" w14:textId="77777777" w:rsidR="005F5EE6" w:rsidRPr="005F5EE6" w:rsidRDefault="005F5EE6" w:rsidP="005F5EE6">
            <w:pPr>
              <w:spacing w:line="240" w:lineRule="auto"/>
              <w:jc w:val="center"/>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c>
          <w:tcPr>
            <w:tcW w:w="1060" w:type="dxa"/>
            <w:tcBorders>
              <w:top w:val="nil"/>
              <w:left w:val="nil"/>
              <w:bottom w:val="nil"/>
              <w:right w:val="single" w:sz="4" w:space="0" w:color="auto"/>
            </w:tcBorders>
            <w:shd w:val="clear" w:color="auto" w:fill="auto"/>
            <w:vAlign w:val="center"/>
            <w:hideMark/>
          </w:tcPr>
          <w:p w14:paraId="65565259" w14:textId="77777777" w:rsidR="005F5EE6" w:rsidRPr="005F5EE6" w:rsidRDefault="005F5EE6" w:rsidP="005F5EE6">
            <w:pPr>
              <w:spacing w:line="240" w:lineRule="auto"/>
              <w:jc w:val="center"/>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r>
      <w:tr w:rsidR="005F5EE6" w:rsidRPr="005F5EE6" w14:paraId="16FDB20A" w14:textId="77777777" w:rsidTr="005F5EE6">
        <w:trPr>
          <w:trHeight w:val="288"/>
        </w:trPr>
        <w:tc>
          <w:tcPr>
            <w:tcW w:w="3720" w:type="dxa"/>
            <w:tcBorders>
              <w:top w:val="nil"/>
              <w:left w:val="single" w:sz="4" w:space="0" w:color="auto"/>
              <w:bottom w:val="nil"/>
              <w:right w:val="single" w:sz="4" w:space="0" w:color="auto"/>
            </w:tcBorders>
            <w:shd w:val="clear" w:color="auto" w:fill="auto"/>
            <w:noWrap/>
            <w:vAlign w:val="center"/>
            <w:hideMark/>
          </w:tcPr>
          <w:p w14:paraId="54798871" w14:textId="77777777" w:rsidR="005F5EE6" w:rsidRPr="005F5EE6" w:rsidRDefault="005F5EE6" w:rsidP="005F5EE6">
            <w:pPr>
              <w:spacing w:line="240" w:lineRule="auto"/>
              <w:rPr>
                <w:rFonts w:eastAsia="Times New Roman" w:cs="Calibri"/>
                <w:color w:val="000000"/>
                <w:sz w:val="20"/>
                <w:szCs w:val="20"/>
                <w:lang w:eastAsia="en-GB"/>
              </w:rPr>
            </w:pPr>
            <w:r w:rsidRPr="005F5EE6">
              <w:rPr>
                <w:rFonts w:eastAsia="Times New Roman" w:cs="Calibri"/>
                <w:color w:val="000000"/>
                <w:sz w:val="20"/>
                <w:szCs w:val="20"/>
                <w:lang w:eastAsia="en-GB"/>
              </w:rPr>
              <w:t>Insurance</w:t>
            </w:r>
          </w:p>
        </w:tc>
        <w:tc>
          <w:tcPr>
            <w:tcW w:w="1060" w:type="dxa"/>
            <w:tcBorders>
              <w:top w:val="nil"/>
              <w:left w:val="nil"/>
              <w:bottom w:val="nil"/>
              <w:right w:val="single" w:sz="4" w:space="0" w:color="auto"/>
            </w:tcBorders>
            <w:shd w:val="clear" w:color="auto" w:fill="auto"/>
            <w:noWrap/>
            <w:vAlign w:val="center"/>
            <w:hideMark/>
          </w:tcPr>
          <w:p w14:paraId="5574421F"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0.250</w:t>
            </w:r>
          </w:p>
        </w:tc>
        <w:tc>
          <w:tcPr>
            <w:tcW w:w="1060" w:type="dxa"/>
            <w:tcBorders>
              <w:top w:val="nil"/>
              <w:left w:val="nil"/>
              <w:bottom w:val="nil"/>
              <w:right w:val="single" w:sz="4" w:space="0" w:color="auto"/>
            </w:tcBorders>
            <w:shd w:val="clear" w:color="auto" w:fill="auto"/>
            <w:noWrap/>
            <w:vAlign w:val="center"/>
            <w:hideMark/>
          </w:tcPr>
          <w:p w14:paraId="68198EC1"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0.250</w:t>
            </w:r>
          </w:p>
        </w:tc>
        <w:tc>
          <w:tcPr>
            <w:tcW w:w="1060" w:type="dxa"/>
            <w:tcBorders>
              <w:top w:val="nil"/>
              <w:left w:val="nil"/>
              <w:bottom w:val="nil"/>
              <w:right w:val="single" w:sz="4" w:space="0" w:color="auto"/>
            </w:tcBorders>
            <w:shd w:val="clear" w:color="auto" w:fill="auto"/>
            <w:noWrap/>
            <w:vAlign w:val="center"/>
            <w:hideMark/>
          </w:tcPr>
          <w:p w14:paraId="378666BE"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0.250</w:t>
            </w:r>
          </w:p>
        </w:tc>
        <w:tc>
          <w:tcPr>
            <w:tcW w:w="1060" w:type="dxa"/>
            <w:tcBorders>
              <w:top w:val="nil"/>
              <w:left w:val="nil"/>
              <w:bottom w:val="nil"/>
              <w:right w:val="single" w:sz="4" w:space="0" w:color="auto"/>
            </w:tcBorders>
            <w:shd w:val="clear" w:color="auto" w:fill="auto"/>
            <w:noWrap/>
            <w:vAlign w:val="center"/>
            <w:hideMark/>
          </w:tcPr>
          <w:p w14:paraId="3A205EB1"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0.250</w:t>
            </w:r>
          </w:p>
        </w:tc>
        <w:tc>
          <w:tcPr>
            <w:tcW w:w="1060" w:type="dxa"/>
            <w:tcBorders>
              <w:top w:val="nil"/>
              <w:left w:val="nil"/>
              <w:bottom w:val="nil"/>
              <w:right w:val="single" w:sz="4" w:space="0" w:color="auto"/>
            </w:tcBorders>
            <w:shd w:val="clear" w:color="auto" w:fill="auto"/>
            <w:noWrap/>
            <w:vAlign w:val="center"/>
            <w:hideMark/>
          </w:tcPr>
          <w:p w14:paraId="06DD73B6"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0.250</w:t>
            </w:r>
          </w:p>
        </w:tc>
        <w:tc>
          <w:tcPr>
            <w:tcW w:w="1060" w:type="dxa"/>
            <w:tcBorders>
              <w:top w:val="nil"/>
              <w:left w:val="nil"/>
              <w:bottom w:val="nil"/>
              <w:right w:val="single" w:sz="4" w:space="0" w:color="auto"/>
            </w:tcBorders>
            <w:shd w:val="clear" w:color="auto" w:fill="auto"/>
            <w:noWrap/>
            <w:vAlign w:val="center"/>
            <w:hideMark/>
          </w:tcPr>
          <w:p w14:paraId="78ACC490"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0.250</w:t>
            </w:r>
          </w:p>
        </w:tc>
      </w:tr>
      <w:tr w:rsidR="005F5EE6" w:rsidRPr="005F5EE6" w14:paraId="633221E6" w14:textId="77777777" w:rsidTr="005F5EE6">
        <w:trPr>
          <w:trHeight w:val="288"/>
        </w:trPr>
        <w:tc>
          <w:tcPr>
            <w:tcW w:w="3720" w:type="dxa"/>
            <w:tcBorders>
              <w:top w:val="nil"/>
              <w:left w:val="single" w:sz="4" w:space="0" w:color="auto"/>
              <w:bottom w:val="nil"/>
              <w:right w:val="single" w:sz="4" w:space="0" w:color="auto"/>
            </w:tcBorders>
            <w:shd w:val="clear" w:color="auto" w:fill="auto"/>
            <w:noWrap/>
            <w:vAlign w:val="center"/>
            <w:hideMark/>
          </w:tcPr>
          <w:p w14:paraId="1DA3E880" w14:textId="77777777" w:rsidR="005F5EE6" w:rsidRPr="005F5EE6" w:rsidRDefault="005F5EE6" w:rsidP="005F5EE6">
            <w:pPr>
              <w:spacing w:line="240" w:lineRule="auto"/>
              <w:rPr>
                <w:rFonts w:eastAsia="Times New Roman" w:cs="Calibri"/>
                <w:color w:val="000000"/>
                <w:sz w:val="20"/>
                <w:szCs w:val="20"/>
                <w:lang w:eastAsia="en-GB"/>
              </w:rPr>
            </w:pPr>
            <w:r w:rsidRPr="005F5EE6">
              <w:rPr>
                <w:rFonts w:eastAsia="Times New Roman" w:cs="Calibri"/>
                <w:color w:val="000000"/>
                <w:sz w:val="20"/>
                <w:szCs w:val="20"/>
                <w:lang w:eastAsia="en-GB"/>
              </w:rPr>
              <w:t>Operational Equipment</w:t>
            </w:r>
          </w:p>
        </w:tc>
        <w:tc>
          <w:tcPr>
            <w:tcW w:w="1060" w:type="dxa"/>
            <w:tcBorders>
              <w:top w:val="nil"/>
              <w:left w:val="nil"/>
              <w:bottom w:val="nil"/>
              <w:right w:val="single" w:sz="4" w:space="0" w:color="auto"/>
            </w:tcBorders>
            <w:shd w:val="clear" w:color="auto" w:fill="auto"/>
            <w:noWrap/>
            <w:vAlign w:val="center"/>
            <w:hideMark/>
          </w:tcPr>
          <w:p w14:paraId="341B3930"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0.096</w:t>
            </w:r>
          </w:p>
        </w:tc>
        <w:tc>
          <w:tcPr>
            <w:tcW w:w="1060" w:type="dxa"/>
            <w:tcBorders>
              <w:top w:val="nil"/>
              <w:left w:val="nil"/>
              <w:bottom w:val="nil"/>
              <w:right w:val="single" w:sz="4" w:space="0" w:color="auto"/>
            </w:tcBorders>
            <w:shd w:val="clear" w:color="auto" w:fill="auto"/>
            <w:noWrap/>
            <w:vAlign w:val="center"/>
            <w:hideMark/>
          </w:tcPr>
          <w:p w14:paraId="136DB33E"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0.167</w:t>
            </w:r>
          </w:p>
        </w:tc>
        <w:tc>
          <w:tcPr>
            <w:tcW w:w="1060" w:type="dxa"/>
            <w:tcBorders>
              <w:top w:val="nil"/>
              <w:left w:val="nil"/>
              <w:bottom w:val="nil"/>
              <w:right w:val="single" w:sz="4" w:space="0" w:color="auto"/>
            </w:tcBorders>
            <w:shd w:val="clear" w:color="auto" w:fill="auto"/>
            <w:noWrap/>
            <w:vAlign w:val="center"/>
            <w:hideMark/>
          </w:tcPr>
          <w:p w14:paraId="72820BF7"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0.238</w:t>
            </w:r>
          </w:p>
        </w:tc>
        <w:tc>
          <w:tcPr>
            <w:tcW w:w="1060" w:type="dxa"/>
            <w:tcBorders>
              <w:top w:val="nil"/>
              <w:left w:val="nil"/>
              <w:bottom w:val="nil"/>
              <w:right w:val="single" w:sz="4" w:space="0" w:color="auto"/>
            </w:tcBorders>
            <w:shd w:val="clear" w:color="auto" w:fill="auto"/>
            <w:noWrap/>
            <w:vAlign w:val="center"/>
            <w:hideMark/>
          </w:tcPr>
          <w:p w14:paraId="0211F6A6"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0.309</w:t>
            </w:r>
          </w:p>
        </w:tc>
        <w:tc>
          <w:tcPr>
            <w:tcW w:w="1060" w:type="dxa"/>
            <w:tcBorders>
              <w:top w:val="nil"/>
              <w:left w:val="nil"/>
              <w:bottom w:val="nil"/>
              <w:right w:val="single" w:sz="4" w:space="0" w:color="auto"/>
            </w:tcBorders>
            <w:shd w:val="clear" w:color="auto" w:fill="auto"/>
            <w:noWrap/>
            <w:vAlign w:val="center"/>
            <w:hideMark/>
          </w:tcPr>
          <w:p w14:paraId="062FF1C9"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0.380</w:t>
            </w:r>
          </w:p>
        </w:tc>
        <w:tc>
          <w:tcPr>
            <w:tcW w:w="1060" w:type="dxa"/>
            <w:tcBorders>
              <w:top w:val="nil"/>
              <w:left w:val="nil"/>
              <w:bottom w:val="nil"/>
              <w:right w:val="single" w:sz="4" w:space="0" w:color="auto"/>
            </w:tcBorders>
            <w:shd w:val="clear" w:color="auto" w:fill="auto"/>
            <w:noWrap/>
            <w:vAlign w:val="center"/>
            <w:hideMark/>
          </w:tcPr>
          <w:p w14:paraId="785B5754"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0.451</w:t>
            </w:r>
          </w:p>
        </w:tc>
      </w:tr>
      <w:tr w:rsidR="005F5EE6" w:rsidRPr="005F5EE6" w14:paraId="2DE3BE27" w14:textId="77777777" w:rsidTr="005F5EE6">
        <w:trPr>
          <w:trHeight w:val="288"/>
        </w:trPr>
        <w:tc>
          <w:tcPr>
            <w:tcW w:w="3720" w:type="dxa"/>
            <w:tcBorders>
              <w:top w:val="nil"/>
              <w:left w:val="single" w:sz="4" w:space="0" w:color="auto"/>
              <w:bottom w:val="nil"/>
              <w:right w:val="single" w:sz="4" w:space="0" w:color="auto"/>
            </w:tcBorders>
            <w:shd w:val="clear" w:color="auto" w:fill="auto"/>
            <w:noWrap/>
            <w:vAlign w:val="center"/>
            <w:hideMark/>
          </w:tcPr>
          <w:p w14:paraId="154B50F2" w14:textId="77777777" w:rsidR="005F5EE6" w:rsidRPr="005F5EE6" w:rsidRDefault="005F5EE6" w:rsidP="005F5EE6">
            <w:pPr>
              <w:spacing w:line="240" w:lineRule="auto"/>
              <w:rPr>
                <w:rFonts w:eastAsia="Times New Roman" w:cs="Calibri"/>
                <w:color w:val="000000"/>
                <w:sz w:val="20"/>
                <w:szCs w:val="20"/>
                <w:lang w:eastAsia="en-GB"/>
              </w:rPr>
            </w:pPr>
            <w:r w:rsidRPr="005F5EE6">
              <w:rPr>
                <w:rFonts w:eastAsia="Times New Roman" w:cs="Calibri"/>
                <w:color w:val="000000"/>
                <w:sz w:val="20"/>
                <w:szCs w:val="20"/>
                <w:lang w:eastAsia="en-GB"/>
              </w:rPr>
              <w:t> </w:t>
            </w:r>
          </w:p>
        </w:tc>
        <w:tc>
          <w:tcPr>
            <w:tcW w:w="1060" w:type="dxa"/>
            <w:tcBorders>
              <w:top w:val="single" w:sz="4" w:space="0" w:color="auto"/>
              <w:left w:val="nil"/>
              <w:bottom w:val="nil"/>
              <w:right w:val="single" w:sz="4" w:space="0" w:color="auto"/>
            </w:tcBorders>
            <w:shd w:val="clear" w:color="auto" w:fill="auto"/>
            <w:noWrap/>
            <w:vAlign w:val="center"/>
            <w:hideMark/>
          </w:tcPr>
          <w:p w14:paraId="056D05F8" w14:textId="77777777" w:rsidR="005F5EE6" w:rsidRPr="005F5EE6" w:rsidRDefault="005F5EE6" w:rsidP="005F5EE6">
            <w:pPr>
              <w:spacing w:line="240" w:lineRule="auto"/>
              <w:jc w:val="right"/>
              <w:rPr>
                <w:rFonts w:eastAsia="Times New Roman" w:cs="Calibri"/>
                <w:b/>
                <w:bCs/>
                <w:color w:val="000000"/>
                <w:sz w:val="20"/>
                <w:szCs w:val="20"/>
                <w:lang w:eastAsia="en-GB"/>
              </w:rPr>
            </w:pPr>
            <w:r w:rsidRPr="005F5EE6">
              <w:rPr>
                <w:rFonts w:eastAsia="Times New Roman" w:cs="Calibri"/>
                <w:b/>
                <w:bCs/>
                <w:color w:val="000000"/>
                <w:sz w:val="20"/>
                <w:szCs w:val="20"/>
                <w:lang w:eastAsia="en-GB"/>
              </w:rPr>
              <w:t>0.346</w:t>
            </w:r>
          </w:p>
        </w:tc>
        <w:tc>
          <w:tcPr>
            <w:tcW w:w="1060" w:type="dxa"/>
            <w:tcBorders>
              <w:top w:val="single" w:sz="4" w:space="0" w:color="auto"/>
              <w:left w:val="nil"/>
              <w:bottom w:val="nil"/>
              <w:right w:val="single" w:sz="4" w:space="0" w:color="auto"/>
            </w:tcBorders>
            <w:shd w:val="clear" w:color="auto" w:fill="auto"/>
            <w:noWrap/>
            <w:vAlign w:val="center"/>
            <w:hideMark/>
          </w:tcPr>
          <w:p w14:paraId="428ABB75" w14:textId="77777777" w:rsidR="005F5EE6" w:rsidRPr="005F5EE6" w:rsidRDefault="005F5EE6" w:rsidP="005F5EE6">
            <w:pPr>
              <w:spacing w:line="240" w:lineRule="auto"/>
              <w:jc w:val="right"/>
              <w:rPr>
                <w:rFonts w:eastAsia="Times New Roman" w:cs="Calibri"/>
                <w:b/>
                <w:bCs/>
                <w:color w:val="000000"/>
                <w:sz w:val="20"/>
                <w:szCs w:val="20"/>
                <w:lang w:eastAsia="en-GB"/>
              </w:rPr>
            </w:pPr>
            <w:r w:rsidRPr="005F5EE6">
              <w:rPr>
                <w:rFonts w:eastAsia="Times New Roman" w:cs="Calibri"/>
                <w:b/>
                <w:bCs/>
                <w:color w:val="000000"/>
                <w:sz w:val="20"/>
                <w:szCs w:val="20"/>
                <w:lang w:eastAsia="en-GB"/>
              </w:rPr>
              <w:t>0.417</w:t>
            </w:r>
          </w:p>
        </w:tc>
        <w:tc>
          <w:tcPr>
            <w:tcW w:w="1060" w:type="dxa"/>
            <w:tcBorders>
              <w:top w:val="single" w:sz="4" w:space="0" w:color="auto"/>
              <w:left w:val="nil"/>
              <w:bottom w:val="nil"/>
              <w:right w:val="single" w:sz="4" w:space="0" w:color="auto"/>
            </w:tcBorders>
            <w:shd w:val="clear" w:color="auto" w:fill="auto"/>
            <w:noWrap/>
            <w:vAlign w:val="center"/>
            <w:hideMark/>
          </w:tcPr>
          <w:p w14:paraId="5F465277" w14:textId="77777777" w:rsidR="005F5EE6" w:rsidRPr="005F5EE6" w:rsidRDefault="005F5EE6" w:rsidP="005F5EE6">
            <w:pPr>
              <w:spacing w:line="240" w:lineRule="auto"/>
              <w:jc w:val="right"/>
              <w:rPr>
                <w:rFonts w:eastAsia="Times New Roman" w:cs="Calibri"/>
                <w:b/>
                <w:bCs/>
                <w:color w:val="000000"/>
                <w:sz w:val="20"/>
                <w:szCs w:val="20"/>
                <w:lang w:eastAsia="en-GB"/>
              </w:rPr>
            </w:pPr>
            <w:r w:rsidRPr="005F5EE6">
              <w:rPr>
                <w:rFonts w:eastAsia="Times New Roman" w:cs="Calibri"/>
                <w:b/>
                <w:bCs/>
                <w:color w:val="000000"/>
                <w:sz w:val="20"/>
                <w:szCs w:val="20"/>
                <w:lang w:eastAsia="en-GB"/>
              </w:rPr>
              <w:t>0.488</w:t>
            </w:r>
          </w:p>
        </w:tc>
        <w:tc>
          <w:tcPr>
            <w:tcW w:w="1060" w:type="dxa"/>
            <w:tcBorders>
              <w:top w:val="single" w:sz="4" w:space="0" w:color="auto"/>
              <w:left w:val="nil"/>
              <w:bottom w:val="nil"/>
              <w:right w:val="single" w:sz="4" w:space="0" w:color="auto"/>
            </w:tcBorders>
            <w:shd w:val="clear" w:color="auto" w:fill="auto"/>
            <w:noWrap/>
            <w:vAlign w:val="center"/>
            <w:hideMark/>
          </w:tcPr>
          <w:p w14:paraId="27D68CB4" w14:textId="77777777" w:rsidR="005F5EE6" w:rsidRPr="005F5EE6" w:rsidRDefault="005F5EE6" w:rsidP="005F5EE6">
            <w:pPr>
              <w:spacing w:line="240" w:lineRule="auto"/>
              <w:jc w:val="right"/>
              <w:rPr>
                <w:rFonts w:eastAsia="Times New Roman" w:cs="Calibri"/>
                <w:b/>
                <w:bCs/>
                <w:color w:val="000000"/>
                <w:sz w:val="20"/>
                <w:szCs w:val="20"/>
                <w:lang w:eastAsia="en-GB"/>
              </w:rPr>
            </w:pPr>
            <w:r w:rsidRPr="005F5EE6">
              <w:rPr>
                <w:rFonts w:eastAsia="Times New Roman" w:cs="Calibri"/>
                <w:b/>
                <w:bCs/>
                <w:color w:val="000000"/>
                <w:sz w:val="20"/>
                <w:szCs w:val="20"/>
                <w:lang w:eastAsia="en-GB"/>
              </w:rPr>
              <w:t>0.559</w:t>
            </w:r>
          </w:p>
        </w:tc>
        <w:tc>
          <w:tcPr>
            <w:tcW w:w="1060" w:type="dxa"/>
            <w:tcBorders>
              <w:top w:val="single" w:sz="4" w:space="0" w:color="auto"/>
              <w:left w:val="nil"/>
              <w:bottom w:val="nil"/>
              <w:right w:val="single" w:sz="4" w:space="0" w:color="auto"/>
            </w:tcBorders>
            <w:shd w:val="clear" w:color="auto" w:fill="auto"/>
            <w:noWrap/>
            <w:vAlign w:val="center"/>
            <w:hideMark/>
          </w:tcPr>
          <w:p w14:paraId="6CE09753" w14:textId="77777777" w:rsidR="005F5EE6" w:rsidRPr="005F5EE6" w:rsidRDefault="005F5EE6" w:rsidP="005F5EE6">
            <w:pPr>
              <w:spacing w:line="240" w:lineRule="auto"/>
              <w:jc w:val="right"/>
              <w:rPr>
                <w:rFonts w:eastAsia="Times New Roman" w:cs="Calibri"/>
                <w:b/>
                <w:bCs/>
                <w:color w:val="000000"/>
                <w:sz w:val="20"/>
                <w:szCs w:val="20"/>
                <w:lang w:eastAsia="en-GB"/>
              </w:rPr>
            </w:pPr>
            <w:r w:rsidRPr="005F5EE6">
              <w:rPr>
                <w:rFonts w:eastAsia="Times New Roman" w:cs="Calibri"/>
                <w:b/>
                <w:bCs/>
                <w:color w:val="000000"/>
                <w:sz w:val="20"/>
                <w:szCs w:val="20"/>
                <w:lang w:eastAsia="en-GB"/>
              </w:rPr>
              <w:t>0.630</w:t>
            </w:r>
          </w:p>
        </w:tc>
        <w:tc>
          <w:tcPr>
            <w:tcW w:w="1060" w:type="dxa"/>
            <w:tcBorders>
              <w:top w:val="single" w:sz="4" w:space="0" w:color="auto"/>
              <w:left w:val="nil"/>
              <w:bottom w:val="nil"/>
              <w:right w:val="single" w:sz="4" w:space="0" w:color="auto"/>
            </w:tcBorders>
            <w:shd w:val="clear" w:color="auto" w:fill="auto"/>
            <w:noWrap/>
            <w:vAlign w:val="center"/>
            <w:hideMark/>
          </w:tcPr>
          <w:p w14:paraId="7F1A455B" w14:textId="77777777" w:rsidR="005F5EE6" w:rsidRPr="005F5EE6" w:rsidRDefault="005F5EE6" w:rsidP="005F5EE6">
            <w:pPr>
              <w:spacing w:line="240" w:lineRule="auto"/>
              <w:jc w:val="right"/>
              <w:rPr>
                <w:rFonts w:eastAsia="Times New Roman" w:cs="Calibri"/>
                <w:b/>
                <w:bCs/>
                <w:color w:val="000000"/>
                <w:sz w:val="20"/>
                <w:szCs w:val="20"/>
                <w:lang w:eastAsia="en-GB"/>
              </w:rPr>
            </w:pPr>
            <w:r w:rsidRPr="005F5EE6">
              <w:rPr>
                <w:rFonts w:eastAsia="Times New Roman" w:cs="Calibri"/>
                <w:b/>
                <w:bCs/>
                <w:color w:val="000000"/>
                <w:sz w:val="20"/>
                <w:szCs w:val="20"/>
                <w:lang w:eastAsia="en-GB"/>
              </w:rPr>
              <w:t>0.701</w:t>
            </w:r>
          </w:p>
        </w:tc>
      </w:tr>
      <w:tr w:rsidR="005F5EE6" w:rsidRPr="005F5EE6" w14:paraId="0D9E949E" w14:textId="77777777" w:rsidTr="005F5EE6">
        <w:trPr>
          <w:trHeight w:val="288"/>
        </w:trPr>
        <w:tc>
          <w:tcPr>
            <w:tcW w:w="3720" w:type="dxa"/>
            <w:tcBorders>
              <w:top w:val="nil"/>
              <w:left w:val="single" w:sz="4" w:space="0" w:color="auto"/>
              <w:bottom w:val="nil"/>
              <w:right w:val="single" w:sz="4" w:space="0" w:color="auto"/>
            </w:tcBorders>
            <w:shd w:val="clear" w:color="auto" w:fill="auto"/>
            <w:noWrap/>
            <w:vAlign w:val="center"/>
            <w:hideMark/>
          </w:tcPr>
          <w:p w14:paraId="1502AF05" w14:textId="77777777" w:rsidR="005F5EE6" w:rsidRPr="005F5EE6" w:rsidRDefault="005F5EE6" w:rsidP="005F5EE6">
            <w:pPr>
              <w:spacing w:line="240" w:lineRule="auto"/>
              <w:rPr>
                <w:rFonts w:eastAsia="Times New Roman" w:cs="Calibri"/>
                <w:b/>
                <w:bCs/>
                <w:color w:val="000000"/>
                <w:sz w:val="20"/>
                <w:szCs w:val="20"/>
                <w:u w:val="single"/>
                <w:lang w:eastAsia="en-GB"/>
              </w:rPr>
            </w:pPr>
            <w:r w:rsidRPr="005F5EE6">
              <w:rPr>
                <w:rFonts w:eastAsia="Times New Roman" w:cs="Calibri"/>
                <w:b/>
                <w:bCs/>
                <w:color w:val="000000"/>
                <w:sz w:val="20"/>
                <w:szCs w:val="20"/>
                <w:u w:val="single"/>
                <w:lang w:eastAsia="en-GB"/>
              </w:rPr>
              <w:t>Held to support the medium term budget</w:t>
            </w:r>
          </w:p>
        </w:tc>
        <w:tc>
          <w:tcPr>
            <w:tcW w:w="1060" w:type="dxa"/>
            <w:tcBorders>
              <w:top w:val="nil"/>
              <w:left w:val="nil"/>
              <w:bottom w:val="nil"/>
              <w:right w:val="single" w:sz="4" w:space="0" w:color="auto"/>
            </w:tcBorders>
            <w:shd w:val="clear" w:color="auto" w:fill="auto"/>
            <w:noWrap/>
            <w:vAlign w:val="center"/>
            <w:hideMark/>
          </w:tcPr>
          <w:p w14:paraId="230105EB" w14:textId="77777777" w:rsidR="005F5EE6" w:rsidRPr="005F5EE6" w:rsidRDefault="005F5EE6" w:rsidP="005F5EE6">
            <w:pPr>
              <w:spacing w:line="240" w:lineRule="auto"/>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c>
          <w:tcPr>
            <w:tcW w:w="1060" w:type="dxa"/>
            <w:tcBorders>
              <w:top w:val="nil"/>
              <w:left w:val="nil"/>
              <w:bottom w:val="nil"/>
              <w:right w:val="single" w:sz="4" w:space="0" w:color="auto"/>
            </w:tcBorders>
            <w:shd w:val="clear" w:color="auto" w:fill="auto"/>
            <w:noWrap/>
            <w:vAlign w:val="center"/>
            <w:hideMark/>
          </w:tcPr>
          <w:p w14:paraId="794CDD90" w14:textId="77777777" w:rsidR="005F5EE6" w:rsidRPr="005F5EE6" w:rsidRDefault="005F5EE6" w:rsidP="005F5EE6">
            <w:pPr>
              <w:spacing w:line="240" w:lineRule="auto"/>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c>
          <w:tcPr>
            <w:tcW w:w="1060" w:type="dxa"/>
            <w:tcBorders>
              <w:top w:val="nil"/>
              <w:left w:val="nil"/>
              <w:bottom w:val="nil"/>
              <w:right w:val="single" w:sz="4" w:space="0" w:color="auto"/>
            </w:tcBorders>
            <w:shd w:val="clear" w:color="auto" w:fill="auto"/>
            <w:noWrap/>
            <w:vAlign w:val="center"/>
            <w:hideMark/>
          </w:tcPr>
          <w:p w14:paraId="14DCCB4F" w14:textId="77777777" w:rsidR="005F5EE6" w:rsidRPr="005F5EE6" w:rsidRDefault="005F5EE6" w:rsidP="005F5EE6">
            <w:pPr>
              <w:spacing w:line="240" w:lineRule="auto"/>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c>
          <w:tcPr>
            <w:tcW w:w="1060" w:type="dxa"/>
            <w:tcBorders>
              <w:top w:val="nil"/>
              <w:left w:val="nil"/>
              <w:bottom w:val="nil"/>
              <w:right w:val="single" w:sz="4" w:space="0" w:color="auto"/>
            </w:tcBorders>
            <w:shd w:val="clear" w:color="auto" w:fill="auto"/>
            <w:noWrap/>
            <w:vAlign w:val="center"/>
            <w:hideMark/>
          </w:tcPr>
          <w:p w14:paraId="7570620C" w14:textId="77777777" w:rsidR="005F5EE6" w:rsidRPr="005F5EE6" w:rsidRDefault="005F5EE6" w:rsidP="005F5EE6">
            <w:pPr>
              <w:spacing w:line="240" w:lineRule="auto"/>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c>
          <w:tcPr>
            <w:tcW w:w="1060" w:type="dxa"/>
            <w:tcBorders>
              <w:top w:val="nil"/>
              <w:left w:val="nil"/>
              <w:bottom w:val="nil"/>
              <w:right w:val="single" w:sz="4" w:space="0" w:color="auto"/>
            </w:tcBorders>
            <w:shd w:val="clear" w:color="auto" w:fill="auto"/>
            <w:noWrap/>
            <w:vAlign w:val="center"/>
            <w:hideMark/>
          </w:tcPr>
          <w:p w14:paraId="736E6A15" w14:textId="77777777" w:rsidR="005F5EE6" w:rsidRPr="005F5EE6" w:rsidRDefault="005F5EE6" w:rsidP="005F5EE6">
            <w:pPr>
              <w:spacing w:line="240" w:lineRule="auto"/>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c>
          <w:tcPr>
            <w:tcW w:w="1060" w:type="dxa"/>
            <w:tcBorders>
              <w:top w:val="nil"/>
              <w:left w:val="nil"/>
              <w:bottom w:val="nil"/>
              <w:right w:val="single" w:sz="4" w:space="0" w:color="auto"/>
            </w:tcBorders>
            <w:shd w:val="clear" w:color="auto" w:fill="auto"/>
            <w:noWrap/>
            <w:vAlign w:val="center"/>
            <w:hideMark/>
          </w:tcPr>
          <w:p w14:paraId="6DE88E0E" w14:textId="77777777" w:rsidR="005F5EE6" w:rsidRPr="005F5EE6" w:rsidRDefault="005F5EE6" w:rsidP="005F5EE6">
            <w:pPr>
              <w:spacing w:line="240" w:lineRule="auto"/>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r>
      <w:tr w:rsidR="005F5EE6" w:rsidRPr="005F5EE6" w14:paraId="33578EDC" w14:textId="77777777" w:rsidTr="005F5EE6">
        <w:trPr>
          <w:trHeight w:val="288"/>
        </w:trPr>
        <w:tc>
          <w:tcPr>
            <w:tcW w:w="3720" w:type="dxa"/>
            <w:tcBorders>
              <w:top w:val="nil"/>
              <w:left w:val="single" w:sz="4" w:space="0" w:color="auto"/>
              <w:bottom w:val="nil"/>
              <w:right w:val="single" w:sz="4" w:space="0" w:color="auto"/>
            </w:tcBorders>
            <w:shd w:val="clear" w:color="auto" w:fill="auto"/>
            <w:noWrap/>
            <w:vAlign w:val="center"/>
            <w:hideMark/>
          </w:tcPr>
          <w:p w14:paraId="17B829AC" w14:textId="77777777" w:rsidR="005F5EE6" w:rsidRPr="005F5EE6" w:rsidRDefault="005F5EE6" w:rsidP="005F5EE6">
            <w:pPr>
              <w:spacing w:line="240" w:lineRule="auto"/>
              <w:rPr>
                <w:rFonts w:eastAsia="Times New Roman" w:cs="Calibri"/>
                <w:color w:val="000000"/>
                <w:sz w:val="20"/>
                <w:szCs w:val="20"/>
                <w:lang w:eastAsia="en-GB"/>
              </w:rPr>
            </w:pPr>
            <w:r w:rsidRPr="005F5EE6">
              <w:rPr>
                <w:rFonts w:eastAsia="Times New Roman" w:cs="Calibri"/>
                <w:color w:val="000000"/>
                <w:sz w:val="20"/>
                <w:szCs w:val="20"/>
                <w:lang w:eastAsia="en-GB"/>
              </w:rPr>
              <w:t>Smoothing Reserve</w:t>
            </w:r>
          </w:p>
        </w:tc>
        <w:tc>
          <w:tcPr>
            <w:tcW w:w="1060" w:type="dxa"/>
            <w:tcBorders>
              <w:top w:val="nil"/>
              <w:left w:val="nil"/>
              <w:bottom w:val="nil"/>
              <w:right w:val="single" w:sz="4" w:space="0" w:color="auto"/>
            </w:tcBorders>
            <w:shd w:val="clear" w:color="auto" w:fill="auto"/>
            <w:noWrap/>
            <w:vAlign w:val="center"/>
            <w:hideMark/>
          </w:tcPr>
          <w:p w14:paraId="0F236EC6"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0.033</w:t>
            </w:r>
          </w:p>
        </w:tc>
        <w:tc>
          <w:tcPr>
            <w:tcW w:w="1060" w:type="dxa"/>
            <w:tcBorders>
              <w:top w:val="nil"/>
              <w:left w:val="nil"/>
              <w:bottom w:val="nil"/>
              <w:right w:val="single" w:sz="4" w:space="0" w:color="auto"/>
            </w:tcBorders>
            <w:shd w:val="clear" w:color="auto" w:fill="auto"/>
            <w:noWrap/>
            <w:vAlign w:val="center"/>
            <w:hideMark/>
          </w:tcPr>
          <w:p w14:paraId="5D5D59C0"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0.153</w:t>
            </w:r>
          </w:p>
        </w:tc>
        <w:tc>
          <w:tcPr>
            <w:tcW w:w="1060" w:type="dxa"/>
            <w:tcBorders>
              <w:top w:val="nil"/>
              <w:left w:val="nil"/>
              <w:bottom w:val="nil"/>
              <w:right w:val="single" w:sz="4" w:space="0" w:color="auto"/>
            </w:tcBorders>
            <w:shd w:val="clear" w:color="auto" w:fill="auto"/>
            <w:noWrap/>
            <w:vAlign w:val="center"/>
            <w:hideMark/>
          </w:tcPr>
          <w:p w14:paraId="614900F3"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0.273</w:t>
            </w:r>
          </w:p>
        </w:tc>
        <w:tc>
          <w:tcPr>
            <w:tcW w:w="1060" w:type="dxa"/>
            <w:tcBorders>
              <w:top w:val="nil"/>
              <w:left w:val="nil"/>
              <w:bottom w:val="nil"/>
              <w:right w:val="single" w:sz="4" w:space="0" w:color="auto"/>
            </w:tcBorders>
            <w:shd w:val="clear" w:color="auto" w:fill="auto"/>
            <w:noWrap/>
            <w:vAlign w:val="center"/>
            <w:hideMark/>
          </w:tcPr>
          <w:p w14:paraId="48B66130"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0.333</w:t>
            </w:r>
          </w:p>
        </w:tc>
        <w:tc>
          <w:tcPr>
            <w:tcW w:w="1060" w:type="dxa"/>
            <w:tcBorders>
              <w:top w:val="nil"/>
              <w:left w:val="nil"/>
              <w:bottom w:val="nil"/>
              <w:right w:val="single" w:sz="4" w:space="0" w:color="auto"/>
            </w:tcBorders>
            <w:shd w:val="clear" w:color="auto" w:fill="auto"/>
            <w:noWrap/>
            <w:vAlign w:val="center"/>
            <w:hideMark/>
          </w:tcPr>
          <w:p w14:paraId="17BB5265"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0.393</w:t>
            </w:r>
          </w:p>
        </w:tc>
        <w:tc>
          <w:tcPr>
            <w:tcW w:w="1060" w:type="dxa"/>
            <w:tcBorders>
              <w:top w:val="nil"/>
              <w:left w:val="nil"/>
              <w:bottom w:val="nil"/>
              <w:right w:val="single" w:sz="4" w:space="0" w:color="auto"/>
            </w:tcBorders>
            <w:shd w:val="clear" w:color="auto" w:fill="auto"/>
            <w:noWrap/>
            <w:vAlign w:val="center"/>
            <w:hideMark/>
          </w:tcPr>
          <w:p w14:paraId="0854AC02"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0.453</w:t>
            </w:r>
          </w:p>
        </w:tc>
      </w:tr>
      <w:tr w:rsidR="005F5EE6" w:rsidRPr="005F5EE6" w14:paraId="354B44DD" w14:textId="77777777" w:rsidTr="005F5EE6">
        <w:trPr>
          <w:trHeight w:val="288"/>
        </w:trPr>
        <w:tc>
          <w:tcPr>
            <w:tcW w:w="3720" w:type="dxa"/>
            <w:tcBorders>
              <w:top w:val="nil"/>
              <w:left w:val="single" w:sz="4" w:space="0" w:color="auto"/>
              <w:bottom w:val="nil"/>
              <w:right w:val="single" w:sz="4" w:space="0" w:color="auto"/>
            </w:tcBorders>
            <w:shd w:val="clear" w:color="auto" w:fill="auto"/>
            <w:noWrap/>
            <w:vAlign w:val="center"/>
            <w:hideMark/>
          </w:tcPr>
          <w:p w14:paraId="4110685C" w14:textId="77777777" w:rsidR="005F5EE6" w:rsidRPr="005F5EE6" w:rsidRDefault="005F5EE6" w:rsidP="005F5EE6">
            <w:pPr>
              <w:spacing w:line="240" w:lineRule="auto"/>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c>
          <w:tcPr>
            <w:tcW w:w="1060" w:type="dxa"/>
            <w:tcBorders>
              <w:top w:val="single" w:sz="4" w:space="0" w:color="auto"/>
              <w:left w:val="nil"/>
              <w:bottom w:val="nil"/>
              <w:right w:val="single" w:sz="4" w:space="0" w:color="auto"/>
            </w:tcBorders>
            <w:shd w:val="clear" w:color="auto" w:fill="auto"/>
            <w:noWrap/>
            <w:vAlign w:val="center"/>
            <w:hideMark/>
          </w:tcPr>
          <w:p w14:paraId="2D80747B" w14:textId="77777777" w:rsidR="005F5EE6" w:rsidRPr="005F5EE6" w:rsidRDefault="005F5EE6" w:rsidP="005F5EE6">
            <w:pPr>
              <w:spacing w:line="240" w:lineRule="auto"/>
              <w:jc w:val="right"/>
              <w:rPr>
                <w:rFonts w:eastAsia="Times New Roman" w:cs="Calibri"/>
                <w:b/>
                <w:bCs/>
                <w:color w:val="000000"/>
                <w:sz w:val="20"/>
                <w:szCs w:val="20"/>
                <w:lang w:eastAsia="en-GB"/>
              </w:rPr>
            </w:pPr>
            <w:r w:rsidRPr="005F5EE6">
              <w:rPr>
                <w:rFonts w:eastAsia="Times New Roman" w:cs="Calibri"/>
                <w:b/>
                <w:bCs/>
                <w:color w:val="000000"/>
                <w:sz w:val="20"/>
                <w:szCs w:val="20"/>
                <w:lang w:eastAsia="en-GB"/>
              </w:rPr>
              <w:t>0.033</w:t>
            </w:r>
          </w:p>
        </w:tc>
        <w:tc>
          <w:tcPr>
            <w:tcW w:w="1060" w:type="dxa"/>
            <w:tcBorders>
              <w:top w:val="single" w:sz="4" w:space="0" w:color="auto"/>
              <w:left w:val="nil"/>
              <w:bottom w:val="nil"/>
              <w:right w:val="single" w:sz="4" w:space="0" w:color="auto"/>
            </w:tcBorders>
            <w:shd w:val="clear" w:color="auto" w:fill="auto"/>
            <w:noWrap/>
            <w:vAlign w:val="center"/>
            <w:hideMark/>
          </w:tcPr>
          <w:p w14:paraId="34014B1B" w14:textId="77777777" w:rsidR="005F5EE6" w:rsidRPr="005F5EE6" w:rsidRDefault="005F5EE6" w:rsidP="005F5EE6">
            <w:pPr>
              <w:spacing w:line="240" w:lineRule="auto"/>
              <w:jc w:val="right"/>
              <w:rPr>
                <w:rFonts w:eastAsia="Times New Roman" w:cs="Calibri"/>
                <w:b/>
                <w:bCs/>
                <w:color w:val="000000"/>
                <w:sz w:val="20"/>
                <w:szCs w:val="20"/>
                <w:lang w:eastAsia="en-GB"/>
              </w:rPr>
            </w:pPr>
            <w:r w:rsidRPr="005F5EE6">
              <w:rPr>
                <w:rFonts w:eastAsia="Times New Roman" w:cs="Calibri"/>
                <w:b/>
                <w:bCs/>
                <w:color w:val="000000"/>
                <w:sz w:val="20"/>
                <w:szCs w:val="20"/>
                <w:lang w:eastAsia="en-GB"/>
              </w:rPr>
              <w:t>0.153</w:t>
            </w:r>
          </w:p>
        </w:tc>
        <w:tc>
          <w:tcPr>
            <w:tcW w:w="1060" w:type="dxa"/>
            <w:tcBorders>
              <w:top w:val="single" w:sz="4" w:space="0" w:color="auto"/>
              <w:left w:val="nil"/>
              <w:bottom w:val="nil"/>
              <w:right w:val="single" w:sz="4" w:space="0" w:color="auto"/>
            </w:tcBorders>
            <w:shd w:val="clear" w:color="auto" w:fill="auto"/>
            <w:noWrap/>
            <w:vAlign w:val="center"/>
            <w:hideMark/>
          </w:tcPr>
          <w:p w14:paraId="30AB1C08" w14:textId="77777777" w:rsidR="005F5EE6" w:rsidRPr="005F5EE6" w:rsidRDefault="005F5EE6" w:rsidP="005F5EE6">
            <w:pPr>
              <w:spacing w:line="240" w:lineRule="auto"/>
              <w:jc w:val="right"/>
              <w:rPr>
                <w:rFonts w:eastAsia="Times New Roman" w:cs="Calibri"/>
                <w:b/>
                <w:bCs/>
                <w:color w:val="000000"/>
                <w:sz w:val="20"/>
                <w:szCs w:val="20"/>
                <w:lang w:eastAsia="en-GB"/>
              </w:rPr>
            </w:pPr>
            <w:r w:rsidRPr="005F5EE6">
              <w:rPr>
                <w:rFonts w:eastAsia="Times New Roman" w:cs="Calibri"/>
                <w:b/>
                <w:bCs/>
                <w:color w:val="000000"/>
                <w:sz w:val="20"/>
                <w:szCs w:val="20"/>
                <w:lang w:eastAsia="en-GB"/>
              </w:rPr>
              <w:t>0.273</w:t>
            </w:r>
          </w:p>
        </w:tc>
        <w:tc>
          <w:tcPr>
            <w:tcW w:w="1060" w:type="dxa"/>
            <w:tcBorders>
              <w:top w:val="single" w:sz="4" w:space="0" w:color="auto"/>
              <w:left w:val="nil"/>
              <w:bottom w:val="nil"/>
              <w:right w:val="single" w:sz="4" w:space="0" w:color="auto"/>
            </w:tcBorders>
            <w:shd w:val="clear" w:color="auto" w:fill="auto"/>
            <w:noWrap/>
            <w:vAlign w:val="center"/>
            <w:hideMark/>
          </w:tcPr>
          <w:p w14:paraId="2F5F34DA" w14:textId="77777777" w:rsidR="005F5EE6" w:rsidRPr="005F5EE6" w:rsidRDefault="005F5EE6" w:rsidP="005F5EE6">
            <w:pPr>
              <w:spacing w:line="240" w:lineRule="auto"/>
              <w:jc w:val="right"/>
              <w:rPr>
                <w:rFonts w:eastAsia="Times New Roman" w:cs="Calibri"/>
                <w:b/>
                <w:bCs/>
                <w:color w:val="000000"/>
                <w:sz w:val="20"/>
                <w:szCs w:val="20"/>
                <w:lang w:eastAsia="en-GB"/>
              </w:rPr>
            </w:pPr>
            <w:r w:rsidRPr="005F5EE6">
              <w:rPr>
                <w:rFonts w:eastAsia="Times New Roman" w:cs="Calibri"/>
                <w:b/>
                <w:bCs/>
                <w:color w:val="000000"/>
                <w:sz w:val="20"/>
                <w:szCs w:val="20"/>
                <w:lang w:eastAsia="en-GB"/>
              </w:rPr>
              <w:t>0.333</w:t>
            </w:r>
          </w:p>
        </w:tc>
        <w:tc>
          <w:tcPr>
            <w:tcW w:w="1060" w:type="dxa"/>
            <w:tcBorders>
              <w:top w:val="single" w:sz="4" w:space="0" w:color="auto"/>
              <w:left w:val="nil"/>
              <w:bottom w:val="nil"/>
              <w:right w:val="single" w:sz="4" w:space="0" w:color="auto"/>
            </w:tcBorders>
            <w:shd w:val="clear" w:color="auto" w:fill="auto"/>
            <w:noWrap/>
            <w:vAlign w:val="center"/>
            <w:hideMark/>
          </w:tcPr>
          <w:p w14:paraId="727B4FC8" w14:textId="77777777" w:rsidR="005F5EE6" w:rsidRPr="005F5EE6" w:rsidRDefault="005F5EE6" w:rsidP="005F5EE6">
            <w:pPr>
              <w:spacing w:line="240" w:lineRule="auto"/>
              <w:jc w:val="right"/>
              <w:rPr>
                <w:rFonts w:eastAsia="Times New Roman" w:cs="Calibri"/>
                <w:b/>
                <w:bCs/>
                <w:color w:val="000000"/>
                <w:sz w:val="20"/>
                <w:szCs w:val="20"/>
                <w:lang w:eastAsia="en-GB"/>
              </w:rPr>
            </w:pPr>
            <w:r w:rsidRPr="005F5EE6">
              <w:rPr>
                <w:rFonts w:eastAsia="Times New Roman" w:cs="Calibri"/>
                <w:b/>
                <w:bCs/>
                <w:color w:val="000000"/>
                <w:sz w:val="20"/>
                <w:szCs w:val="20"/>
                <w:lang w:eastAsia="en-GB"/>
              </w:rPr>
              <w:t>0.393</w:t>
            </w:r>
          </w:p>
        </w:tc>
        <w:tc>
          <w:tcPr>
            <w:tcW w:w="1060" w:type="dxa"/>
            <w:tcBorders>
              <w:top w:val="single" w:sz="4" w:space="0" w:color="auto"/>
              <w:left w:val="nil"/>
              <w:bottom w:val="nil"/>
              <w:right w:val="single" w:sz="4" w:space="0" w:color="auto"/>
            </w:tcBorders>
            <w:shd w:val="clear" w:color="auto" w:fill="auto"/>
            <w:noWrap/>
            <w:vAlign w:val="center"/>
            <w:hideMark/>
          </w:tcPr>
          <w:p w14:paraId="7FB09B85" w14:textId="77777777" w:rsidR="005F5EE6" w:rsidRPr="005F5EE6" w:rsidRDefault="005F5EE6" w:rsidP="005F5EE6">
            <w:pPr>
              <w:spacing w:line="240" w:lineRule="auto"/>
              <w:jc w:val="right"/>
              <w:rPr>
                <w:rFonts w:eastAsia="Times New Roman" w:cs="Calibri"/>
                <w:b/>
                <w:bCs/>
                <w:color w:val="000000"/>
                <w:sz w:val="20"/>
                <w:szCs w:val="20"/>
                <w:lang w:eastAsia="en-GB"/>
              </w:rPr>
            </w:pPr>
            <w:r w:rsidRPr="005F5EE6">
              <w:rPr>
                <w:rFonts w:eastAsia="Times New Roman" w:cs="Calibri"/>
                <w:b/>
                <w:bCs/>
                <w:color w:val="000000"/>
                <w:sz w:val="20"/>
                <w:szCs w:val="20"/>
                <w:lang w:eastAsia="en-GB"/>
              </w:rPr>
              <w:t>0.453</w:t>
            </w:r>
          </w:p>
        </w:tc>
      </w:tr>
      <w:tr w:rsidR="005F5EE6" w:rsidRPr="005F5EE6" w14:paraId="11C2298D" w14:textId="77777777" w:rsidTr="005F5EE6">
        <w:trPr>
          <w:trHeight w:val="288"/>
        </w:trPr>
        <w:tc>
          <w:tcPr>
            <w:tcW w:w="3720" w:type="dxa"/>
            <w:tcBorders>
              <w:top w:val="nil"/>
              <w:left w:val="single" w:sz="4" w:space="0" w:color="auto"/>
              <w:bottom w:val="nil"/>
              <w:right w:val="single" w:sz="4" w:space="0" w:color="auto"/>
            </w:tcBorders>
            <w:shd w:val="clear" w:color="auto" w:fill="auto"/>
            <w:noWrap/>
            <w:vAlign w:val="center"/>
            <w:hideMark/>
          </w:tcPr>
          <w:p w14:paraId="239D9C64" w14:textId="77777777" w:rsidR="005F5EE6" w:rsidRPr="005F5EE6" w:rsidRDefault="005F5EE6" w:rsidP="005F5EE6">
            <w:pPr>
              <w:spacing w:line="240" w:lineRule="auto"/>
              <w:rPr>
                <w:rFonts w:eastAsia="Times New Roman" w:cs="Calibri"/>
                <w:b/>
                <w:bCs/>
                <w:color w:val="000000"/>
                <w:sz w:val="20"/>
                <w:szCs w:val="20"/>
                <w:u w:val="single"/>
                <w:lang w:eastAsia="en-GB"/>
              </w:rPr>
            </w:pPr>
            <w:r w:rsidRPr="005F5EE6">
              <w:rPr>
                <w:rFonts w:eastAsia="Times New Roman" w:cs="Calibri"/>
                <w:b/>
                <w:bCs/>
                <w:color w:val="000000"/>
                <w:sz w:val="20"/>
                <w:szCs w:val="20"/>
                <w:u w:val="single"/>
                <w:lang w:eastAsia="en-GB"/>
              </w:rPr>
              <w:t>Held to facilitate change programmes</w:t>
            </w:r>
          </w:p>
        </w:tc>
        <w:tc>
          <w:tcPr>
            <w:tcW w:w="1060" w:type="dxa"/>
            <w:tcBorders>
              <w:top w:val="nil"/>
              <w:left w:val="nil"/>
              <w:bottom w:val="nil"/>
              <w:right w:val="single" w:sz="4" w:space="0" w:color="auto"/>
            </w:tcBorders>
            <w:shd w:val="clear" w:color="auto" w:fill="auto"/>
            <w:noWrap/>
            <w:vAlign w:val="center"/>
            <w:hideMark/>
          </w:tcPr>
          <w:p w14:paraId="70857474" w14:textId="77777777" w:rsidR="005F5EE6" w:rsidRPr="005F5EE6" w:rsidRDefault="005F5EE6" w:rsidP="005F5EE6">
            <w:pPr>
              <w:spacing w:line="240" w:lineRule="auto"/>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c>
          <w:tcPr>
            <w:tcW w:w="1060" w:type="dxa"/>
            <w:tcBorders>
              <w:top w:val="nil"/>
              <w:left w:val="nil"/>
              <w:bottom w:val="nil"/>
              <w:right w:val="single" w:sz="4" w:space="0" w:color="auto"/>
            </w:tcBorders>
            <w:shd w:val="clear" w:color="auto" w:fill="auto"/>
            <w:noWrap/>
            <w:vAlign w:val="center"/>
            <w:hideMark/>
          </w:tcPr>
          <w:p w14:paraId="4AD174F6" w14:textId="77777777" w:rsidR="005F5EE6" w:rsidRPr="005F5EE6" w:rsidRDefault="005F5EE6" w:rsidP="005F5EE6">
            <w:pPr>
              <w:spacing w:line="240" w:lineRule="auto"/>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c>
          <w:tcPr>
            <w:tcW w:w="1060" w:type="dxa"/>
            <w:tcBorders>
              <w:top w:val="nil"/>
              <w:left w:val="nil"/>
              <w:bottom w:val="nil"/>
              <w:right w:val="single" w:sz="4" w:space="0" w:color="auto"/>
            </w:tcBorders>
            <w:shd w:val="clear" w:color="auto" w:fill="auto"/>
            <w:noWrap/>
            <w:vAlign w:val="center"/>
            <w:hideMark/>
          </w:tcPr>
          <w:p w14:paraId="6080CDB8" w14:textId="77777777" w:rsidR="005F5EE6" w:rsidRPr="005F5EE6" w:rsidRDefault="005F5EE6" w:rsidP="005F5EE6">
            <w:pPr>
              <w:spacing w:line="240" w:lineRule="auto"/>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c>
          <w:tcPr>
            <w:tcW w:w="1060" w:type="dxa"/>
            <w:tcBorders>
              <w:top w:val="nil"/>
              <w:left w:val="nil"/>
              <w:bottom w:val="nil"/>
              <w:right w:val="single" w:sz="4" w:space="0" w:color="auto"/>
            </w:tcBorders>
            <w:shd w:val="clear" w:color="auto" w:fill="auto"/>
            <w:noWrap/>
            <w:vAlign w:val="center"/>
            <w:hideMark/>
          </w:tcPr>
          <w:p w14:paraId="4860E934" w14:textId="77777777" w:rsidR="005F5EE6" w:rsidRPr="005F5EE6" w:rsidRDefault="005F5EE6" w:rsidP="005F5EE6">
            <w:pPr>
              <w:spacing w:line="240" w:lineRule="auto"/>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c>
          <w:tcPr>
            <w:tcW w:w="1060" w:type="dxa"/>
            <w:tcBorders>
              <w:top w:val="nil"/>
              <w:left w:val="nil"/>
              <w:bottom w:val="nil"/>
              <w:right w:val="single" w:sz="4" w:space="0" w:color="auto"/>
            </w:tcBorders>
            <w:shd w:val="clear" w:color="auto" w:fill="auto"/>
            <w:noWrap/>
            <w:vAlign w:val="center"/>
            <w:hideMark/>
          </w:tcPr>
          <w:p w14:paraId="48DF562B" w14:textId="77777777" w:rsidR="005F5EE6" w:rsidRPr="005F5EE6" w:rsidRDefault="005F5EE6" w:rsidP="005F5EE6">
            <w:pPr>
              <w:spacing w:line="240" w:lineRule="auto"/>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c>
          <w:tcPr>
            <w:tcW w:w="1060" w:type="dxa"/>
            <w:tcBorders>
              <w:top w:val="nil"/>
              <w:left w:val="nil"/>
              <w:bottom w:val="nil"/>
              <w:right w:val="single" w:sz="4" w:space="0" w:color="auto"/>
            </w:tcBorders>
            <w:shd w:val="clear" w:color="auto" w:fill="auto"/>
            <w:noWrap/>
            <w:vAlign w:val="center"/>
            <w:hideMark/>
          </w:tcPr>
          <w:p w14:paraId="3AF98723" w14:textId="77777777" w:rsidR="005F5EE6" w:rsidRPr="005F5EE6" w:rsidRDefault="005F5EE6" w:rsidP="005F5EE6">
            <w:pPr>
              <w:spacing w:line="240" w:lineRule="auto"/>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r>
      <w:tr w:rsidR="005F5EE6" w:rsidRPr="005F5EE6" w14:paraId="1288C08F" w14:textId="77777777" w:rsidTr="005F5EE6">
        <w:trPr>
          <w:trHeight w:val="288"/>
        </w:trPr>
        <w:tc>
          <w:tcPr>
            <w:tcW w:w="3720" w:type="dxa"/>
            <w:tcBorders>
              <w:top w:val="nil"/>
              <w:left w:val="single" w:sz="4" w:space="0" w:color="auto"/>
              <w:bottom w:val="nil"/>
              <w:right w:val="single" w:sz="4" w:space="0" w:color="auto"/>
            </w:tcBorders>
            <w:shd w:val="clear" w:color="auto" w:fill="auto"/>
            <w:noWrap/>
            <w:vAlign w:val="center"/>
            <w:hideMark/>
          </w:tcPr>
          <w:p w14:paraId="60C0C5E9" w14:textId="77777777" w:rsidR="005F5EE6" w:rsidRPr="005F5EE6" w:rsidRDefault="005F5EE6" w:rsidP="005F5EE6">
            <w:pPr>
              <w:spacing w:line="240" w:lineRule="auto"/>
              <w:rPr>
                <w:rFonts w:eastAsia="Times New Roman" w:cs="Calibri"/>
                <w:color w:val="000000"/>
                <w:sz w:val="20"/>
                <w:szCs w:val="20"/>
                <w:lang w:eastAsia="en-GB"/>
              </w:rPr>
            </w:pPr>
            <w:r w:rsidRPr="005F5EE6">
              <w:rPr>
                <w:rFonts w:eastAsia="Times New Roman" w:cs="Calibri"/>
                <w:color w:val="000000"/>
                <w:sz w:val="20"/>
                <w:szCs w:val="20"/>
                <w:lang w:eastAsia="en-GB"/>
              </w:rPr>
              <w:t>Transformation Reserve</w:t>
            </w:r>
          </w:p>
        </w:tc>
        <w:tc>
          <w:tcPr>
            <w:tcW w:w="1060" w:type="dxa"/>
            <w:tcBorders>
              <w:top w:val="nil"/>
              <w:left w:val="nil"/>
              <w:bottom w:val="nil"/>
              <w:right w:val="single" w:sz="4" w:space="0" w:color="auto"/>
            </w:tcBorders>
            <w:shd w:val="clear" w:color="auto" w:fill="auto"/>
            <w:noWrap/>
            <w:vAlign w:val="center"/>
            <w:hideMark/>
          </w:tcPr>
          <w:p w14:paraId="5E75649E"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0.603</w:t>
            </w:r>
          </w:p>
        </w:tc>
        <w:tc>
          <w:tcPr>
            <w:tcW w:w="1060" w:type="dxa"/>
            <w:tcBorders>
              <w:top w:val="nil"/>
              <w:left w:val="nil"/>
              <w:bottom w:val="nil"/>
              <w:right w:val="single" w:sz="4" w:space="0" w:color="auto"/>
            </w:tcBorders>
            <w:shd w:val="clear" w:color="auto" w:fill="auto"/>
            <w:noWrap/>
            <w:vAlign w:val="center"/>
            <w:hideMark/>
          </w:tcPr>
          <w:p w14:paraId="58A1ED98"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0.536</w:t>
            </w:r>
          </w:p>
        </w:tc>
        <w:tc>
          <w:tcPr>
            <w:tcW w:w="1060" w:type="dxa"/>
            <w:tcBorders>
              <w:top w:val="nil"/>
              <w:left w:val="nil"/>
              <w:bottom w:val="nil"/>
              <w:right w:val="single" w:sz="4" w:space="0" w:color="auto"/>
            </w:tcBorders>
            <w:shd w:val="clear" w:color="auto" w:fill="auto"/>
            <w:noWrap/>
            <w:vAlign w:val="center"/>
            <w:hideMark/>
          </w:tcPr>
          <w:p w14:paraId="5724C525"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0.466</w:t>
            </w:r>
          </w:p>
        </w:tc>
        <w:tc>
          <w:tcPr>
            <w:tcW w:w="1060" w:type="dxa"/>
            <w:tcBorders>
              <w:top w:val="nil"/>
              <w:left w:val="nil"/>
              <w:bottom w:val="nil"/>
              <w:right w:val="single" w:sz="4" w:space="0" w:color="auto"/>
            </w:tcBorders>
            <w:shd w:val="clear" w:color="auto" w:fill="auto"/>
            <w:noWrap/>
            <w:vAlign w:val="center"/>
            <w:hideMark/>
          </w:tcPr>
          <w:p w14:paraId="38AC0FFB"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0.466</w:t>
            </w:r>
          </w:p>
        </w:tc>
        <w:tc>
          <w:tcPr>
            <w:tcW w:w="1060" w:type="dxa"/>
            <w:tcBorders>
              <w:top w:val="nil"/>
              <w:left w:val="nil"/>
              <w:bottom w:val="nil"/>
              <w:right w:val="single" w:sz="4" w:space="0" w:color="auto"/>
            </w:tcBorders>
            <w:shd w:val="clear" w:color="auto" w:fill="auto"/>
            <w:noWrap/>
            <w:vAlign w:val="center"/>
            <w:hideMark/>
          </w:tcPr>
          <w:p w14:paraId="3BEDED78"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0.466</w:t>
            </w:r>
          </w:p>
        </w:tc>
        <w:tc>
          <w:tcPr>
            <w:tcW w:w="1060" w:type="dxa"/>
            <w:tcBorders>
              <w:top w:val="nil"/>
              <w:left w:val="nil"/>
              <w:bottom w:val="nil"/>
              <w:right w:val="single" w:sz="4" w:space="0" w:color="auto"/>
            </w:tcBorders>
            <w:shd w:val="clear" w:color="auto" w:fill="auto"/>
            <w:noWrap/>
            <w:vAlign w:val="center"/>
            <w:hideMark/>
          </w:tcPr>
          <w:p w14:paraId="31BBF3E7"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0.466</w:t>
            </w:r>
          </w:p>
        </w:tc>
      </w:tr>
      <w:tr w:rsidR="005F5EE6" w:rsidRPr="005F5EE6" w14:paraId="0F25F795" w14:textId="77777777" w:rsidTr="005F5EE6">
        <w:trPr>
          <w:trHeight w:val="288"/>
        </w:trPr>
        <w:tc>
          <w:tcPr>
            <w:tcW w:w="3720" w:type="dxa"/>
            <w:tcBorders>
              <w:top w:val="nil"/>
              <w:left w:val="single" w:sz="4" w:space="0" w:color="auto"/>
              <w:bottom w:val="nil"/>
              <w:right w:val="single" w:sz="4" w:space="0" w:color="auto"/>
            </w:tcBorders>
            <w:shd w:val="clear" w:color="auto" w:fill="auto"/>
            <w:noWrap/>
            <w:vAlign w:val="center"/>
            <w:hideMark/>
          </w:tcPr>
          <w:p w14:paraId="234FE70C" w14:textId="77777777" w:rsidR="005F5EE6" w:rsidRPr="005F5EE6" w:rsidRDefault="005F5EE6" w:rsidP="005F5EE6">
            <w:pPr>
              <w:spacing w:line="240" w:lineRule="auto"/>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c>
          <w:tcPr>
            <w:tcW w:w="1060" w:type="dxa"/>
            <w:tcBorders>
              <w:top w:val="single" w:sz="4" w:space="0" w:color="auto"/>
              <w:left w:val="nil"/>
              <w:bottom w:val="nil"/>
              <w:right w:val="single" w:sz="4" w:space="0" w:color="auto"/>
            </w:tcBorders>
            <w:shd w:val="clear" w:color="auto" w:fill="auto"/>
            <w:noWrap/>
            <w:vAlign w:val="center"/>
            <w:hideMark/>
          </w:tcPr>
          <w:p w14:paraId="4B5F7A92" w14:textId="77777777" w:rsidR="005F5EE6" w:rsidRPr="005F5EE6" w:rsidRDefault="005F5EE6" w:rsidP="005F5EE6">
            <w:pPr>
              <w:spacing w:line="240" w:lineRule="auto"/>
              <w:jc w:val="right"/>
              <w:rPr>
                <w:rFonts w:eastAsia="Times New Roman" w:cs="Calibri"/>
                <w:b/>
                <w:bCs/>
                <w:color w:val="000000"/>
                <w:sz w:val="20"/>
                <w:szCs w:val="20"/>
                <w:lang w:eastAsia="en-GB"/>
              </w:rPr>
            </w:pPr>
            <w:r w:rsidRPr="005F5EE6">
              <w:rPr>
                <w:rFonts w:eastAsia="Times New Roman" w:cs="Calibri"/>
                <w:b/>
                <w:bCs/>
                <w:color w:val="000000"/>
                <w:sz w:val="20"/>
                <w:szCs w:val="20"/>
                <w:lang w:eastAsia="en-GB"/>
              </w:rPr>
              <w:t>0.603</w:t>
            </w:r>
          </w:p>
        </w:tc>
        <w:tc>
          <w:tcPr>
            <w:tcW w:w="1060" w:type="dxa"/>
            <w:tcBorders>
              <w:top w:val="single" w:sz="4" w:space="0" w:color="auto"/>
              <w:left w:val="nil"/>
              <w:bottom w:val="nil"/>
              <w:right w:val="single" w:sz="4" w:space="0" w:color="auto"/>
            </w:tcBorders>
            <w:shd w:val="clear" w:color="auto" w:fill="auto"/>
            <w:noWrap/>
            <w:vAlign w:val="center"/>
            <w:hideMark/>
          </w:tcPr>
          <w:p w14:paraId="28EE0A42" w14:textId="77777777" w:rsidR="005F5EE6" w:rsidRPr="005F5EE6" w:rsidRDefault="005F5EE6" w:rsidP="005F5EE6">
            <w:pPr>
              <w:spacing w:line="240" w:lineRule="auto"/>
              <w:jc w:val="right"/>
              <w:rPr>
                <w:rFonts w:eastAsia="Times New Roman" w:cs="Calibri"/>
                <w:b/>
                <w:bCs/>
                <w:color w:val="000000"/>
                <w:sz w:val="20"/>
                <w:szCs w:val="20"/>
                <w:lang w:eastAsia="en-GB"/>
              </w:rPr>
            </w:pPr>
            <w:r w:rsidRPr="005F5EE6">
              <w:rPr>
                <w:rFonts w:eastAsia="Times New Roman" w:cs="Calibri"/>
                <w:b/>
                <w:bCs/>
                <w:color w:val="000000"/>
                <w:sz w:val="20"/>
                <w:szCs w:val="20"/>
                <w:lang w:eastAsia="en-GB"/>
              </w:rPr>
              <w:t>0.536</w:t>
            </w:r>
          </w:p>
        </w:tc>
        <w:tc>
          <w:tcPr>
            <w:tcW w:w="1060" w:type="dxa"/>
            <w:tcBorders>
              <w:top w:val="single" w:sz="4" w:space="0" w:color="auto"/>
              <w:left w:val="nil"/>
              <w:bottom w:val="nil"/>
              <w:right w:val="single" w:sz="4" w:space="0" w:color="auto"/>
            </w:tcBorders>
            <w:shd w:val="clear" w:color="auto" w:fill="auto"/>
            <w:noWrap/>
            <w:vAlign w:val="center"/>
            <w:hideMark/>
          </w:tcPr>
          <w:p w14:paraId="4F0C49F0" w14:textId="77777777" w:rsidR="005F5EE6" w:rsidRPr="005F5EE6" w:rsidRDefault="005F5EE6" w:rsidP="005F5EE6">
            <w:pPr>
              <w:spacing w:line="240" w:lineRule="auto"/>
              <w:jc w:val="right"/>
              <w:rPr>
                <w:rFonts w:eastAsia="Times New Roman" w:cs="Calibri"/>
                <w:b/>
                <w:bCs/>
                <w:color w:val="000000"/>
                <w:sz w:val="20"/>
                <w:szCs w:val="20"/>
                <w:lang w:eastAsia="en-GB"/>
              </w:rPr>
            </w:pPr>
            <w:r w:rsidRPr="005F5EE6">
              <w:rPr>
                <w:rFonts w:eastAsia="Times New Roman" w:cs="Calibri"/>
                <w:b/>
                <w:bCs/>
                <w:color w:val="000000"/>
                <w:sz w:val="20"/>
                <w:szCs w:val="20"/>
                <w:lang w:eastAsia="en-GB"/>
              </w:rPr>
              <w:t>0.466</w:t>
            </w:r>
          </w:p>
        </w:tc>
        <w:tc>
          <w:tcPr>
            <w:tcW w:w="1060" w:type="dxa"/>
            <w:tcBorders>
              <w:top w:val="single" w:sz="4" w:space="0" w:color="auto"/>
              <w:left w:val="nil"/>
              <w:bottom w:val="nil"/>
              <w:right w:val="single" w:sz="4" w:space="0" w:color="auto"/>
            </w:tcBorders>
            <w:shd w:val="clear" w:color="auto" w:fill="auto"/>
            <w:noWrap/>
            <w:vAlign w:val="center"/>
            <w:hideMark/>
          </w:tcPr>
          <w:p w14:paraId="257D4C5D" w14:textId="77777777" w:rsidR="005F5EE6" w:rsidRPr="005F5EE6" w:rsidRDefault="005F5EE6" w:rsidP="005F5EE6">
            <w:pPr>
              <w:spacing w:line="240" w:lineRule="auto"/>
              <w:jc w:val="right"/>
              <w:rPr>
                <w:rFonts w:eastAsia="Times New Roman" w:cs="Calibri"/>
                <w:b/>
                <w:bCs/>
                <w:color w:val="000000"/>
                <w:sz w:val="20"/>
                <w:szCs w:val="20"/>
                <w:lang w:eastAsia="en-GB"/>
              </w:rPr>
            </w:pPr>
            <w:r w:rsidRPr="005F5EE6">
              <w:rPr>
                <w:rFonts w:eastAsia="Times New Roman" w:cs="Calibri"/>
                <w:b/>
                <w:bCs/>
                <w:color w:val="000000"/>
                <w:sz w:val="20"/>
                <w:szCs w:val="20"/>
                <w:lang w:eastAsia="en-GB"/>
              </w:rPr>
              <w:t>0.466</w:t>
            </w:r>
          </w:p>
        </w:tc>
        <w:tc>
          <w:tcPr>
            <w:tcW w:w="1060" w:type="dxa"/>
            <w:tcBorders>
              <w:top w:val="single" w:sz="4" w:space="0" w:color="auto"/>
              <w:left w:val="nil"/>
              <w:bottom w:val="nil"/>
              <w:right w:val="single" w:sz="4" w:space="0" w:color="auto"/>
            </w:tcBorders>
            <w:shd w:val="clear" w:color="auto" w:fill="auto"/>
            <w:noWrap/>
            <w:vAlign w:val="center"/>
            <w:hideMark/>
          </w:tcPr>
          <w:p w14:paraId="52E74CE6" w14:textId="77777777" w:rsidR="005F5EE6" w:rsidRPr="005F5EE6" w:rsidRDefault="005F5EE6" w:rsidP="005F5EE6">
            <w:pPr>
              <w:spacing w:line="240" w:lineRule="auto"/>
              <w:jc w:val="right"/>
              <w:rPr>
                <w:rFonts w:eastAsia="Times New Roman" w:cs="Calibri"/>
                <w:b/>
                <w:bCs/>
                <w:color w:val="000000"/>
                <w:sz w:val="20"/>
                <w:szCs w:val="20"/>
                <w:lang w:eastAsia="en-GB"/>
              </w:rPr>
            </w:pPr>
            <w:r w:rsidRPr="005F5EE6">
              <w:rPr>
                <w:rFonts w:eastAsia="Times New Roman" w:cs="Calibri"/>
                <w:b/>
                <w:bCs/>
                <w:color w:val="000000"/>
                <w:sz w:val="20"/>
                <w:szCs w:val="20"/>
                <w:lang w:eastAsia="en-GB"/>
              </w:rPr>
              <w:t>0.466</w:t>
            </w:r>
          </w:p>
        </w:tc>
        <w:tc>
          <w:tcPr>
            <w:tcW w:w="1060" w:type="dxa"/>
            <w:tcBorders>
              <w:top w:val="single" w:sz="4" w:space="0" w:color="auto"/>
              <w:left w:val="nil"/>
              <w:bottom w:val="nil"/>
              <w:right w:val="single" w:sz="4" w:space="0" w:color="auto"/>
            </w:tcBorders>
            <w:shd w:val="clear" w:color="auto" w:fill="auto"/>
            <w:noWrap/>
            <w:vAlign w:val="center"/>
            <w:hideMark/>
          </w:tcPr>
          <w:p w14:paraId="0E7DE77A" w14:textId="77777777" w:rsidR="005F5EE6" w:rsidRPr="005F5EE6" w:rsidRDefault="005F5EE6" w:rsidP="005F5EE6">
            <w:pPr>
              <w:spacing w:line="240" w:lineRule="auto"/>
              <w:jc w:val="right"/>
              <w:rPr>
                <w:rFonts w:eastAsia="Times New Roman" w:cs="Calibri"/>
                <w:b/>
                <w:bCs/>
                <w:color w:val="000000"/>
                <w:sz w:val="20"/>
                <w:szCs w:val="20"/>
                <w:lang w:eastAsia="en-GB"/>
              </w:rPr>
            </w:pPr>
            <w:r w:rsidRPr="005F5EE6">
              <w:rPr>
                <w:rFonts w:eastAsia="Times New Roman" w:cs="Calibri"/>
                <w:b/>
                <w:bCs/>
                <w:color w:val="000000"/>
                <w:sz w:val="20"/>
                <w:szCs w:val="20"/>
                <w:lang w:eastAsia="en-GB"/>
              </w:rPr>
              <w:t>0.466</w:t>
            </w:r>
          </w:p>
        </w:tc>
      </w:tr>
      <w:tr w:rsidR="005F5EE6" w:rsidRPr="005F5EE6" w14:paraId="351E6DA3" w14:textId="77777777" w:rsidTr="005F5EE6">
        <w:trPr>
          <w:trHeight w:val="288"/>
        </w:trPr>
        <w:tc>
          <w:tcPr>
            <w:tcW w:w="3720" w:type="dxa"/>
            <w:tcBorders>
              <w:top w:val="nil"/>
              <w:left w:val="single" w:sz="4" w:space="0" w:color="auto"/>
              <w:bottom w:val="nil"/>
              <w:right w:val="single" w:sz="4" w:space="0" w:color="auto"/>
            </w:tcBorders>
            <w:shd w:val="clear" w:color="auto" w:fill="auto"/>
            <w:noWrap/>
            <w:vAlign w:val="center"/>
            <w:hideMark/>
          </w:tcPr>
          <w:p w14:paraId="3E97D4D0" w14:textId="77777777" w:rsidR="005F5EE6" w:rsidRPr="005F5EE6" w:rsidRDefault="005F5EE6" w:rsidP="005F5EE6">
            <w:pPr>
              <w:spacing w:line="240" w:lineRule="auto"/>
              <w:rPr>
                <w:rFonts w:eastAsia="Times New Roman" w:cs="Calibri"/>
                <w:b/>
                <w:bCs/>
                <w:color w:val="000000"/>
                <w:sz w:val="20"/>
                <w:szCs w:val="20"/>
                <w:u w:val="single"/>
                <w:lang w:eastAsia="en-GB"/>
              </w:rPr>
            </w:pPr>
            <w:r w:rsidRPr="005F5EE6">
              <w:rPr>
                <w:rFonts w:eastAsia="Times New Roman" w:cs="Calibri"/>
                <w:b/>
                <w:bCs/>
                <w:color w:val="000000"/>
                <w:sz w:val="20"/>
                <w:szCs w:val="20"/>
                <w:u w:val="single"/>
                <w:lang w:eastAsia="en-GB"/>
              </w:rPr>
              <w:t>Committed to future capital programmes</w:t>
            </w:r>
          </w:p>
        </w:tc>
        <w:tc>
          <w:tcPr>
            <w:tcW w:w="1060" w:type="dxa"/>
            <w:tcBorders>
              <w:top w:val="nil"/>
              <w:left w:val="nil"/>
              <w:bottom w:val="nil"/>
              <w:right w:val="single" w:sz="4" w:space="0" w:color="auto"/>
            </w:tcBorders>
            <w:shd w:val="clear" w:color="auto" w:fill="auto"/>
            <w:noWrap/>
            <w:vAlign w:val="center"/>
            <w:hideMark/>
          </w:tcPr>
          <w:p w14:paraId="61CC068D" w14:textId="77777777" w:rsidR="005F5EE6" w:rsidRPr="005F5EE6" w:rsidRDefault="005F5EE6" w:rsidP="005F5EE6">
            <w:pPr>
              <w:spacing w:line="240" w:lineRule="auto"/>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c>
          <w:tcPr>
            <w:tcW w:w="1060" w:type="dxa"/>
            <w:tcBorders>
              <w:top w:val="nil"/>
              <w:left w:val="nil"/>
              <w:bottom w:val="nil"/>
              <w:right w:val="single" w:sz="4" w:space="0" w:color="auto"/>
            </w:tcBorders>
            <w:shd w:val="clear" w:color="auto" w:fill="auto"/>
            <w:noWrap/>
            <w:vAlign w:val="center"/>
            <w:hideMark/>
          </w:tcPr>
          <w:p w14:paraId="6B244B00" w14:textId="77777777" w:rsidR="005F5EE6" w:rsidRPr="005F5EE6" w:rsidRDefault="005F5EE6" w:rsidP="005F5EE6">
            <w:pPr>
              <w:spacing w:line="240" w:lineRule="auto"/>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c>
          <w:tcPr>
            <w:tcW w:w="1060" w:type="dxa"/>
            <w:tcBorders>
              <w:top w:val="nil"/>
              <w:left w:val="nil"/>
              <w:bottom w:val="nil"/>
              <w:right w:val="single" w:sz="4" w:space="0" w:color="auto"/>
            </w:tcBorders>
            <w:shd w:val="clear" w:color="auto" w:fill="auto"/>
            <w:noWrap/>
            <w:vAlign w:val="center"/>
            <w:hideMark/>
          </w:tcPr>
          <w:p w14:paraId="6A5E41E6" w14:textId="77777777" w:rsidR="005F5EE6" w:rsidRPr="005F5EE6" w:rsidRDefault="005F5EE6" w:rsidP="005F5EE6">
            <w:pPr>
              <w:spacing w:line="240" w:lineRule="auto"/>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c>
          <w:tcPr>
            <w:tcW w:w="1060" w:type="dxa"/>
            <w:tcBorders>
              <w:top w:val="nil"/>
              <w:left w:val="nil"/>
              <w:bottom w:val="nil"/>
              <w:right w:val="single" w:sz="4" w:space="0" w:color="auto"/>
            </w:tcBorders>
            <w:shd w:val="clear" w:color="auto" w:fill="auto"/>
            <w:noWrap/>
            <w:vAlign w:val="center"/>
            <w:hideMark/>
          </w:tcPr>
          <w:p w14:paraId="3D12FAFB" w14:textId="77777777" w:rsidR="005F5EE6" w:rsidRPr="005F5EE6" w:rsidRDefault="005F5EE6" w:rsidP="005F5EE6">
            <w:pPr>
              <w:spacing w:line="240" w:lineRule="auto"/>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c>
          <w:tcPr>
            <w:tcW w:w="1060" w:type="dxa"/>
            <w:tcBorders>
              <w:top w:val="nil"/>
              <w:left w:val="nil"/>
              <w:bottom w:val="nil"/>
              <w:right w:val="single" w:sz="4" w:space="0" w:color="auto"/>
            </w:tcBorders>
            <w:shd w:val="clear" w:color="auto" w:fill="auto"/>
            <w:noWrap/>
            <w:vAlign w:val="center"/>
            <w:hideMark/>
          </w:tcPr>
          <w:p w14:paraId="1C3354A4" w14:textId="77777777" w:rsidR="005F5EE6" w:rsidRPr="005F5EE6" w:rsidRDefault="005F5EE6" w:rsidP="005F5EE6">
            <w:pPr>
              <w:spacing w:line="240" w:lineRule="auto"/>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c>
          <w:tcPr>
            <w:tcW w:w="1060" w:type="dxa"/>
            <w:tcBorders>
              <w:top w:val="nil"/>
              <w:left w:val="nil"/>
              <w:bottom w:val="nil"/>
              <w:right w:val="single" w:sz="4" w:space="0" w:color="auto"/>
            </w:tcBorders>
            <w:shd w:val="clear" w:color="auto" w:fill="auto"/>
            <w:noWrap/>
            <w:vAlign w:val="center"/>
            <w:hideMark/>
          </w:tcPr>
          <w:p w14:paraId="7842C8CE" w14:textId="77777777" w:rsidR="005F5EE6" w:rsidRPr="005F5EE6" w:rsidRDefault="005F5EE6" w:rsidP="005F5EE6">
            <w:pPr>
              <w:spacing w:line="240" w:lineRule="auto"/>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r>
      <w:tr w:rsidR="005F5EE6" w:rsidRPr="005F5EE6" w14:paraId="1511316F" w14:textId="77777777" w:rsidTr="005F5EE6">
        <w:trPr>
          <w:trHeight w:val="288"/>
        </w:trPr>
        <w:tc>
          <w:tcPr>
            <w:tcW w:w="3720" w:type="dxa"/>
            <w:tcBorders>
              <w:top w:val="nil"/>
              <w:left w:val="single" w:sz="4" w:space="0" w:color="auto"/>
              <w:bottom w:val="nil"/>
              <w:right w:val="single" w:sz="4" w:space="0" w:color="auto"/>
            </w:tcBorders>
            <w:shd w:val="clear" w:color="auto" w:fill="auto"/>
            <w:noWrap/>
            <w:vAlign w:val="center"/>
            <w:hideMark/>
          </w:tcPr>
          <w:p w14:paraId="6B60E825" w14:textId="77777777" w:rsidR="005F5EE6" w:rsidRPr="005F5EE6" w:rsidRDefault="005F5EE6" w:rsidP="005F5EE6">
            <w:pPr>
              <w:spacing w:line="240" w:lineRule="auto"/>
              <w:rPr>
                <w:rFonts w:eastAsia="Times New Roman" w:cs="Calibri"/>
                <w:color w:val="000000"/>
                <w:sz w:val="20"/>
                <w:szCs w:val="20"/>
                <w:lang w:eastAsia="en-GB"/>
              </w:rPr>
            </w:pPr>
            <w:r w:rsidRPr="005F5EE6">
              <w:rPr>
                <w:rFonts w:eastAsia="Times New Roman" w:cs="Calibri"/>
                <w:color w:val="000000"/>
                <w:sz w:val="20"/>
                <w:szCs w:val="20"/>
                <w:lang w:eastAsia="en-GB"/>
              </w:rPr>
              <w:t>Capital Receipts</w:t>
            </w:r>
          </w:p>
        </w:tc>
        <w:tc>
          <w:tcPr>
            <w:tcW w:w="1060" w:type="dxa"/>
            <w:tcBorders>
              <w:top w:val="nil"/>
              <w:left w:val="nil"/>
              <w:bottom w:val="nil"/>
              <w:right w:val="single" w:sz="4" w:space="0" w:color="auto"/>
            </w:tcBorders>
            <w:shd w:val="clear" w:color="auto" w:fill="auto"/>
            <w:noWrap/>
            <w:vAlign w:val="center"/>
            <w:hideMark/>
          </w:tcPr>
          <w:p w14:paraId="7FB6BCC9"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1.607</w:t>
            </w:r>
          </w:p>
        </w:tc>
        <w:tc>
          <w:tcPr>
            <w:tcW w:w="1060" w:type="dxa"/>
            <w:tcBorders>
              <w:top w:val="nil"/>
              <w:left w:val="nil"/>
              <w:bottom w:val="nil"/>
              <w:right w:val="single" w:sz="4" w:space="0" w:color="auto"/>
            </w:tcBorders>
            <w:shd w:val="clear" w:color="auto" w:fill="auto"/>
            <w:noWrap/>
            <w:vAlign w:val="center"/>
            <w:hideMark/>
          </w:tcPr>
          <w:p w14:paraId="20757A36"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0.000</w:t>
            </w:r>
          </w:p>
        </w:tc>
        <w:tc>
          <w:tcPr>
            <w:tcW w:w="1060" w:type="dxa"/>
            <w:tcBorders>
              <w:top w:val="nil"/>
              <w:left w:val="nil"/>
              <w:bottom w:val="nil"/>
              <w:right w:val="single" w:sz="4" w:space="0" w:color="auto"/>
            </w:tcBorders>
            <w:shd w:val="clear" w:color="auto" w:fill="auto"/>
            <w:noWrap/>
            <w:vAlign w:val="center"/>
            <w:hideMark/>
          </w:tcPr>
          <w:p w14:paraId="55DE2196"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0.000</w:t>
            </w:r>
          </w:p>
        </w:tc>
        <w:tc>
          <w:tcPr>
            <w:tcW w:w="1060" w:type="dxa"/>
            <w:tcBorders>
              <w:top w:val="nil"/>
              <w:left w:val="nil"/>
              <w:bottom w:val="nil"/>
              <w:right w:val="single" w:sz="4" w:space="0" w:color="auto"/>
            </w:tcBorders>
            <w:shd w:val="clear" w:color="auto" w:fill="auto"/>
            <w:noWrap/>
            <w:vAlign w:val="center"/>
            <w:hideMark/>
          </w:tcPr>
          <w:p w14:paraId="45BB6BA2"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0.000</w:t>
            </w:r>
          </w:p>
        </w:tc>
        <w:tc>
          <w:tcPr>
            <w:tcW w:w="1060" w:type="dxa"/>
            <w:tcBorders>
              <w:top w:val="nil"/>
              <w:left w:val="nil"/>
              <w:bottom w:val="nil"/>
              <w:right w:val="single" w:sz="4" w:space="0" w:color="auto"/>
            </w:tcBorders>
            <w:shd w:val="clear" w:color="auto" w:fill="auto"/>
            <w:noWrap/>
            <w:vAlign w:val="center"/>
            <w:hideMark/>
          </w:tcPr>
          <w:p w14:paraId="421CEE28"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0.000</w:t>
            </w:r>
          </w:p>
        </w:tc>
        <w:tc>
          <w:tcPr>
            <w:tcW w:w="1060" w:type="dxa"/>
            <w:tcBorders>
              <w:top w:val="nil"/>
              <w:left w:val="nil"/>
              <w:bottom w:val="nil"/>
              <w:right w:val="single" w:sz="4" w:space="0" w:color="auto"/>
            </w:tcBorders>
            <w:shd w:val="clear" w:color="auto" w:fill="auto"/>
            <w:noWrap/>
            <w:vAlign w:val="center"/>
            <w:hideMark/>
          </w:tcPr>
          <w:p w14:paraId="6AE9593C"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0.000</w:t>
            </w:r>
          </w:p>
        </w:tc>
      </w:tr>
      <w:tr w:rsidR="005F5EE6" w:rsidRPr="005F5EE6" w14:paraId="4F757EEB" w14:textId="77777777" w:rsidTr="005F5EE6">
        <w:trPr>
          <w:trHeight w:val="276"/>
        </w:trPr>
        <w:tc>
          <w:tcPr>
            <w:tcW w:w="3720" w:type="dxa"/>
            <w:tcBorders>
              <w:top w:val="nil"/>
              <w:left w:val="single" w:sz="4" w:space="0" w:color="auto"/>
              <w:bottom w:val="nil"/>
              <w:right w:val="single" w:sz="4" w:space="0" w:color="auto"/>
            </w:tcBorders>
            <w:shd w:val="clear" w:color="auto" w:fill="auto"/>
            <w:noWrap/>
            <w:vAlign w:val="center"/>
            <w:hideMark/>
          </w:tcPr>
          <w:p w14:paraId="4FA232AF" w14:textId="77777777" w:rsidR="005F5EE6" w:rsidRPr="005F5EE6" w:rsidRDefault="005F5EE6" w:rsidP="005F5EE6">
            <w:pPr>
              <w:spacing w:line="240" w:lineRule="auto"/>
              <w:rPr>
                <w:rFonts w:eastAsia="Times New Roman" w:cs="Calibri"/>
                <w:color w:val="000000"/>
                <w:sz w:val="20"/>
                <w:szCs w:val="20"/>
                <w:lang w:eastAsia="en-GB"/>
              </w:rPr>
            </w:pPr>
            <w:r w:rsidRPr="005F5EE6">
              <w:rPr>
                <w:rFonts w:eastAsia="Times New Roman" w:cs="Calibri"/>
                <w:color w:val="000000"/>
                <w:sz w:val="20"/>
                <w:szCs w:val="20"/>
                <w:lang w:eastAsia="en-GB"/>
              </w:rPr>
              <w:t>Capital and ESN Reserve</w:t>
            </w:r>
          </w:p>
        </w:tc>
        <w:tc>
          <w:tcPr>
            <w:tcW w:w="1060" w:type="dxa"/>
            <w:tcBorders>
              <w:top w:val="nil"/>
              <w:left w:val="nil"/>
              <w:bottom w:val="nil"/>
              <w:right w:val="single" w:sz="4" w:space="0" w:color="auto"/>
            </w:tcBorders>
            <w:shd w:val="clear" w:color="auto" w:fill="auto"/>
            <w:noWrap/>
            <w:vAlign w:val="center"/>
            <w:hideMark/>
          </w:tcPr>
          <w:p w14:paraId="1C7F48BB"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0.314</w:t>
            </w:r>
          </w:p>
        </w:tc>
        <w:tc>
          <w:tcPr>
            <w:tcW w:w="1060" w:type="dxa"/>
            <w:tcBorders>
              <w:top w:val="nil"/>
              <w:left w:val="nil"/>
              <w:bottom w:val="nil"/>
              <w:right w:val="single" w:sz="4" w:space="0" w:color="auto"/>
            </w:tcBorders>
            <w:shd w:val="clear" w:color="auto" w:fill="auto"/>
            <w:noWrap/>
            <w:vAlign w:val="center"/>
            <w:hideMark/>
          </w:tcPr>
          <w:p w14:paraId="5A15E9A6"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0.314</w:t>
            </w:r>
          </w:p>
        </w:tc>
        <w:tc>
          <w:tcPr>
            <w:tcW w:w="1060" w:type="dxa"/>
            <w:tcBorders>
              <w:top w:val="nil"/>
              <w:left w:val="nil"/>
              <w:bottom w:val="nil"/>
              <w:right w:val="single" w:sz="4" w:space="0" w:color="auto"/>
            </w:tcBorders>
            <w:shd w:val="clear" w:color="auto" w:fill="auto"/>
            <w:noWrap/>
            <w:vAlign w:val="center"/>
            <w:hideMark/>
          </w:tcPr>
          <w:p w14:paraId="15B17C98"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0.000</w:t>
            </w:r>
          </w:p>
        </w:tc>
        <w:tc>
          <w:tcPr>
            <w:tcW w:w="1060" w:type="dxa"/>
            <w:tcBorders>
              <w:top w:val="nil"/>
              <w:left w:val="nil"/>
              <w:bottom w:val="nil"/>
              <w:right w:val="single" w:sz="4" w:space="0" w:color="auto"/>
            </w:tcBorders>
            <w:shd w:val="clear" w:color="auto" w:fill="auto"/>
            <w:noWrap/>
            <w:vAlign w:val="center"/>
            <w:hideMark/>
          </w:tcPr>
          <w:p w14:paraId="55058D4A"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0.000</w:t>
            </w:r>
          </w:p>
        </w:tc>
        <w:tc>
          <w:tcPr>
            <w:tcW w:w="1060" w:type="dxa"/>
            <w:tcBorders>
              <w:top w:val="nil"/>
              <w:left w:val="nil"/>
              <w:bottom w:val="nil"/>
              <w:right w:val="single" w:sz="4" w:space="0" w:color="auto"/>
            </w:tcBorders>
            <w:shd w:val="clear" w:color="auto" w:fill="auto"/>
            <w:noWrap/>
            <w:vAlign w:val="center"/>
            <w:hideMark/>
          </w:tcPr>
          <w:p w14:paraId="510A20F4"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0.000</w:t>
            </w:r>
          </w:p>
        </w:tc>
        <w:tc>
          <w:tcPr>
            <w:tcW w:w="1060" w:type="dxa"/>
            <w:tcBorders>
              <w:top w:val="nil"/>
              <w:left w:val="nil"/>
              <w:bottom w:val="nil"/>
              <w:right w:val="single" w:sz="4" w:space="0" w:color="auto"/>
            </w:tcBorders>
            <w:shd w:val="clear" w:color="auto" w:fill="auto"/>
            <w:noWrap/>
            <w:vAlign w:val="center"/>
            <w:hideMark/>
          </w:tcPr>
          <w:p w14:paraId="0C9F1F03"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0.000</w:t>
            </w:r>
          </w:p>
        </w:tc>
      </w:tr>
      <w:tr w:rsidR="005F5EE6" w:rsidRPr="005F5EE6" w14:paraId="59C954FF" w14:textId="77777777" w:rsidTr="005F5EE6">
        <w:trPr>
          <w:trHeight w:val="288"/>
        </w:trPr>
        <w:tc>
          <w:tcPr>
            <w:tcW w:w="3720" w:type="dxa"/>
            <w:tcBorders>
              <w:top w:val="nil"/>
              <w:left w:val="single" w:sz="4" w:space="0" w:color="auto"/>
              <w:bottom w:val="nil"/>
              <w:right w:val="single" w:sz="4" w:space="0" w:color="auto"/>
            </w:tcBorders>
            <w:shd w:val="clear" w:color="auto" w:fill="auto"/>
            <w:noWrap/>
            <w:vAlign w:val="center"/>
            <w:hideMark/>
          </w:tcPr>
          <w:p w14:paraId="6992EC7D" w14:textId="77777777" w:rsidR="005F5EE6" w:rsidRPr="005F5EE6" w:rsidRDefault="005F5EE6" w:rsidP="005F5EE6">
            <w:pPr>
              <w:spacing w:line="240" w:lineRule="auto"/>
              <w:rPr>
                <w:rFonts w:eastAsia="Times New Roman" w:cs="Calibri"/>
                <w:color w:val="000000"/>
                <w:sz w:val="20"/>
                <w:szCs w:val="20"/>
                <w:lang w:eastAsia="en-GB"/>
              </w:rPr>
            </w:pPr>
            <w:r w:rsidRPr="005F5EE6">
              <w:rPr>
                <w:rFonts w:eastAsia="Times New Roman" w:cs="Calibri"/>
                <w:color w:val="000000"/>
                <w:sz w:val="20"/>
                <w:szCs w:val="20"/>
                <w:lang w:eastAsia="en-GB"/>
              </w:rPr>
              <w:t>S106 Developer Contributions</w:t>
            </w:r>
          </w:p>
        </w:tc>
        <w:tc>
          <w:tcPr>
            <w:tcW w:w="1060" w:type="dxa"/>
            <w:tcBorders>
              <w:top w:val="nil"/>
              <w:left w:val="nil"/>
              <w:bottom w:val="nil"/>
              <w:right w:val="single" w:sz="4" w:space="0" w:color="auto"/>
            </w:tcBorders>
            <w:shd w:val="clear" w:color="auto" w:fill="auto"/>
            <w:noWrap/>
            <w:vAlign w:val="center"/>
            <w:hideMark/>
          </w:tcPr>
          <w:p w14:paraId="44875F8F"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0.000</w:t>
            </w:r>
          </w:p>
        </w:tc>
        <w:tc>
          <w:tcPr>
            <w:tcW w:w="1060" w:type="dxa"/>
            <w:tcBorders>
              <w:top w:val="nil"/>
              <w:left w:val="nil"/>
              <w:bottom w:val="nil"/>
              <w:right w:val="single" w:sz="4" w:space="0" w:color="auto"/>
            </w:tcBorders>
            <w:shd w:val="clear" w:color="auto" w:fill="auto"/>
            <w:noWrap/>
            <w:vAlign w:val="center"/>
            <w:hideMark/>
          </w:tcPr>
          <w:p w14:paraId="1869DD39"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0.000</w:t>
            </w:r>
          </w:p>
        </w:tc>
        <w:tc>
          <w:tcPr>
            <w:tcW w:w="1060" w:type="dxa"/>
            <w:tcBorders>
              <w:top w:val="nil"/>
              <w:left w:val="nil"/>
              <w:bottom w:val="nil"/>
              <w:right w:val="single" w:sz="4" w:space="0" w:color="auto"/>
            </w:tcBorders>
            <w:shd w:val="clear" w:color="auto" w:fill="auto"/>
            <w:noWrap/>
            <w:vAlign w:val="center"/>
            <w:hideMark/>
          </w:tcPr>
          <w:p w14:paraId="3058993E"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0.000</w:t>
            </w:r>
          </w:p>
        </w:tc>
        <w:tc>
          <w:tcPr>
            <w:tcW w:w="1060" w:type="dxa"/>
            <w:tcBorders>
              <w:top w:val="nil"/>
              <w:left w:val="nil"/>
              <w:bottom w:val="nil"/>
              <w:right w:val="single" w:sz="4" w:space="0" w:color="auto"/>
            </w:tcBorders>
            <w:shd w:val="clear" w:color="auto" w:fill="auto"/>
            <w:noWrap/>
            <w:vAlign w:val="center"/>
            <w:hideMark/>
          </w:tcPr>
          <w:p w14:paraId="51FBA894"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0.000</w:t>
            </w:r>
          </w:p>
        </w:tc>
        <w:tc>
          <w:tcPr>
            <w:tcW w:w="1060" w:type="dxa"/>
            <w:tcBorders>
              <w:top w:val="nil"/>
              <w:left w:val="nil"/>
              <w:bottom w:val="nil"/>
              <w:right w:val="single" w:sz="4" w:space="0" w:color="auto"/>
            </w:tcBorders>
            <w:shd w:val="clear" w:color="auto" w:fill="auto"/>
            <w:noWrap/>
            <w:vAlign w:val="center"/>
            <w:hideMark/>
          </w:tcPr>
          <w:p w14:paraId="3E7F136D"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0.000</w:t>
            </w:r>
          </w:p>
        </w:tc>
        <w:tc>
          <w:tcPr>
            <w:tcW w:w="1060" w:type="dxa"/>
            <w:tcBorders>
              <w:top w:val="nil"/>
              <w:left w:val="nil"/>
              <w:bottom w:val="nil"/>
              <w:right w:val="single" w:sz="4" w:space="0" w:color="auto"/>
            </w:tcBorders>
            <w:shd w:val="clear" w:color="auto" w:fill="auto"/>
            <w:noWrap/>
            <w:vAlign w:val="center"/>
            <w:hideMark/>
          </w:tcPr>
          <w:p w14:paraId="2C191863"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0.000</w:t>
            </w:r>
          </w:p>
        </w:tc>
      </w:tr>
      <w:tr w:rsidR="005F5EE6" w:rsidRPr="005F5EE6" w14:paraId="7AD38DCC" w14:textId="77777777" w:rsidTr="005F5EE6">
        <w:trPr>
          <w:trHeight w:val="288"/>
        </w:trPr>
        <w:tc>
          <w:tcPr>
            <w:tcW w:w="3720" w:type="dxa"/>
            <w:tcBorders>
              <w:top w:val="nil"/>
              <w:left w:val="single" w:sz="4" w:space="0" w:color="auto"/>
              <w:bottom w:val="nil"/>
              <w:right w:val="single" w:sz="4" w:space="0" w:color="auto"/>
            </w:tcBorders>
            <w:shd w:val="clear" w:color="auto" w:fill="auto"/>
            <w:noWrap/>
            <w:vAlign w:val="center"/>
            <w:hideMark/>
          </w:tcPr>
          <w:p w14:paraId="1BCE9BF9" w14:textId="77777777" w:rsidR="005F5EE6" w:rsidRPr="005F5EE6" w:rsidRDefault="005F5EE6" w:rsidP="005F5EE6">
            <w:pPr>
              <w:spacing w:line="240" w:lineRule="auto"/>
              <w:rPr>
                <w:rFonts w:eastAsia="Times New Roman" w:cs="Calibri"/>
                <w:color w:val="000000"/>
                <w:sz w:val="20"/>
                <w:szCs w:val="20"/>
                <w:lang w:eastAsia="en-GB"/>
              </w:rPr>
            </w:pPr>
            <w:r w:rsidRPr="005F5EE6">
              <w:rPr>
                <w:rFonts w:eastAsia="Times New Roman" w:cs="Calibri"/>
                <w:color w:val="000000"/>
                <w:sz w:val="20"/>
                <w:szCs w:val="20"/>
                <w:lang w:eastAsia="en-GB"/>
              </w:rPr>
              <w:t>Capital Grants Unapplied</w:t>
            </w:r>
          </w:p>
        </w:tc>
        <w:tc>
          <w:tcPr>
            <w:tcW w:w="1060" w:type="dxa"/>
            <w:tcBorders>
              <w:top w:val="nil"/>
              <w:left w:val="nil"/>
              <w:bottom w:val="nil"/>
              <w:right w:val="single" w:sz="4" w:space="0" w:color="auto"/>
            </w:tcBorders>
            <w:shd w:val="clear" w:color="auto" w:fill="auto"/>
            <w:noWrap/>
            <w:vAlign w:val="center"/>
            <w:hideMark/>
          </w:tcPr>
          <w:p w14:paraId="6042510F"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0.418</w:t>
            </w:r>
          </w:p>
        </w:tc>
        <w:tc>
          <w:tcPr>
            <w:tcW w:w="1060" w:type="dxa"/>
            <w:tcBorders>
              <w:top w:val="nil"/>
              <w:left w:val="nil"/>
              <w:bottom w:val="nil"/>
              <w:right w:val="single" w:sz="4" w:space="0" w:color="auto"/>
            </w:tcBorders>
            <w:shd w:val="clear" w:color="auto" w:fill="auto"/>
            <w:noWrap/>
            <w:vAlign w:val="center"/>
            <w:hideMark/>
          </w:tcPr>
          <w:p w14:paraId="6B2C8FBA"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0.000</w:t>
            </w:r>
          </w:p>
        </w:tc>
        <w:tc>
          <w:tcPr>
            <w:tcW w:w="1060" w:type="dxa"/>
            <w:tcBorders>
              <w:top w:val="nil"/>
              <w:left w:val="nil"/>
              <w:bottom w:val="nil"/>
              <w:right w:val="single" w:sz="4" w:space="0" w:color="auto"/>
            </w:tcBorders>
            <w:shd w:val="clear" w:color="auto" w:fill="auto"/>
            <w:noWrap/>
            <w:vAlign w:val="center"/>
            <w:hideMark/>
          </w:tcPr>
          <w:p w14:paraId="2792C643"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0.000</w:t>
            </w:r>
          </w:p>
        </w:tc>
        <w:tc>
          <w:tcPr>
            <w:tcW w:w="1060" w:type="dxa"/>
            <w:tcBorders>
              <w:top w:val="nil"/>
              <w:left w:val="nil"/>
              <w:bottom w:val="nil"/>
              <w:right w:val="single" w:sz="4" w:space="0" w:color="auto"/>
            </w:tcBorders>
            <w:shd w:val="clear" w:color="auto" w:fill="auto"/>
            <w:noWrap/>
            <w:vAlign w:val="center"/>
            <w:hideMark/>
          </w:tcPr>
          <w:p w14:paraId="44CCBD33"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0.000</w:t>
            </w:r>
          </w:p>
        </w:tc>
        <w:tc>
          <w:tcPr>
            <w:tcW w:w="1060" w:type="dxa"/>
            <w:tcBorders>
              <w:top w:val="nil"/>
              <w:left w:val="nil"/>
              <w:bottom w:val="nil"/>
              <w:right w:val="single" w:sz="4" w:space="0" w:color="auto"/>
            </w:tcBorders>
            <w:shd w:val="clear" w:color="auto" w:fill="auto"/>
            <w:noWrap/>
            <w:vAlign w:val="center"/>
            <w:hideMark/>
          </w:tcPr>
          <w:p w14:paraId="7D832497"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0.000</w:t>
            </w:r>
          </w:p>
        </w:tc>
        <w:tc>
          <w:tcPr>
            <w:tcW w:w="1060" w:type="dxa"/>
            <w:tcBorders>
              <w:top w:val="nil"/>
              <w:left w:val="nil"/>
              <w:bottom w:val="nil"/>
              <w:right w:val="single" w:sz="4" w:space="0" w:color="auto"/>
            </w:tcBorders>
            <w:shd w:val="clear" w:color="auto" w:fill="auto"/>
            <w:noWrap/>
            <w:vAlign w:val="center"/>
            <w:hideMark/>
          </w:tcPr>
          <w:p w14:paraId="2B1FB79B"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0.000</w:t>
            </w:r>
          </w:p>
        </w:tc>
      </w:tr>
      <w:tr w:rsidR="005F5EE6" w:rsidRPr="005F5EE6" w14:paraId="558DB2F6" w14:textId="77777777" w:rsidTr="005F5EE6">
        <w:trPr>
          <w:trHeight w:val="288"/>
        </w:trPr>
        <w:tc>
          <w:tcPr>
            <w:tcW w:w="3720" w:type="dxa"/>
            <w:tcBorders>
              <w:top w:val="nil"/>
              <w:left w:val="single" w:sz="4" w:space="0" w:color="auto"/>
              <w:bottom w:val="nil"/>
              <w:right w:val="single" w:sz="4" w:space="0" w:color="auto"/>
            </w:tcBorders>
            <w:shd w:val="clear" w:color="auto" w:fill="auto"/>
            <w:noWrap/>
            <w:vAlign w:val="center"/>
            <w:hideMark/>
          </w:tcPr>
          <w:p w14:paraId="20F3B8CE" w14:textId="77777777" w:rsidR="005F5EE6" w:rsidRPr="005F5EE6" w:rsidRDefault="005F5EE6" w:rsidP="005F5EE6">
            <w:pPr>
              <w:spacing w:line="240" w:lineRule="auto"/>
              <w:rPr>
                <w:rFonts w:eastAsia="Times New Roman" w:cs="Calibri"/>
                <w:color w:val="000000"/>
                <w:sz w:val="20"/>
                <w:szCs w:val="20"/>
                <w:lang w:eastAsia="en-GB"/>
              </w:rPr>
            </w:pPr>
            <w:r w:rsidRPr="005F5EE6">
              <w:rPr>
                <w:rFonts w:eastAsia="Times New Roman" w:cs="Calibri"/>
                <w:color w:val="000000"/>
                <w:sz w:val="20"/>
                <w:szCs w:val="20"/>
                <w:lang w:eastAsia="en-GB"/>
              </w:rPr>
              <w:t> </w:t>
            </w:r>
          </w:p>
        </w:tc>
        <w:tc>
          <w:tcPr>
            <w:tcW w:w="1060" w:type="dxa"/>
            <w:tcBorders>
              <w:top w:val="single" w:sz="4" w:space="0" w:color="auto"/>
              <w:left w:val="nil"/>
              <w:bottom w:val="nil"/>
              <w:right w:val="single" w:sz="4" w:space="0" w:color="auto"/>
            </w:tcBorders>
            <w:shd w:val="clear" w:color="auto" w:fill="auto"/>
            <w:noWrap/>
            <w:vAlign w:val="center"/>
            <w:hideMark/>
          </w:tcPr>
          <w:p w14:paraId="41058DAE" w14:textId="77777777" w:rsidR="005F5EE6" w:rsidRPr="005F5EE6" w:rsidRDefault="005F5EE6" w:rsidP="005F5EE6">
            <w:pPr>
              <w:spacing w:line="240" w:lineRule="auto"/>
              <w:jc w:val="right"/>
              <w:rPr>
                <w:rFonts w:eastAsia="Times New Roman" w:cs="Calibri"/>
                <w:b/>
                <w:bCs/>
                <w:color w:val="000000"/>
                <w:sz w:val="20"/>
                <w:szCs w:val="20"/>
                <w:lang w:eastAsia="en-GB"/>
              </w:rPr>
            </w:pPr>
            <w:r w:rsidRPr="005F5EE6">
              <w:rPr>
                <w:rFonts w:eastAsia="Times New Roman" w:cs="Calibri"/>
                <w:b/>
                <w:bCs/>
                <w:color w:val="000000"/>
                <w:sz w:val="20"/>
                <w:szCs w:val="20"/>
                <w:lang w:eastAsia="en-GB"/>
              </w:rPr>
              <w:t>2.339</w:t>
            </w:r>
          </w:p>
        </w:tc>
        <w:tc>
          <w:tcPr>
            <w:tcW w:w="1060" w:type="dxa"/>
            <w:tcBorders>
              <w:top w:val="single" w:sz="4" w:space="0" w:color="auto"/>
              <w:left w:val="nil"/>
              <w:bottom w:val="nil"/>
              <w:right w:val="single" w:sz="4" w:space="0" w:color="auto"/>
            </w:tcBorders>
            <w:shd w:val="clear" w:color="auto" w:fill="auto"/>
            <w:noWrap/>
            <w:vAlign w:val="center"/>
            <w:hideMark/>
          </w:tcPr>
          <w:p w14:paraId="0D1913B2" w14:textId="77777777" w:rsidR="005F5EE6" w:rsidRPr="005F5EE6" w:rsidRDefault="005F5EE6" w:rsidP="005F5EE6">
            <w:pPr>
              <w:spacing w:line="240" w:lineRule="auto"/>
              <w:jc w:val="right"/>
              <w:rPr>
                <w:rFonts w:eastAsia="Times New Roman" w:cs="Calibri"/>
                <w:b/>
                <w:bCs/>
                <w:color w:val="000000"/>
                <w:sz w:val="20"/>
                <w:szCs w:val="20"/>
                <w:lang w:eastAsia="en-GB"/>
              </w:rPr>
            </w:pPr>
            <w:r w:rsidRPr="005F5EE6">
              <w:rPr>
                <w:rFonts w:eastAsia="Times New Roman" w:cs="Calibri"/>
                <w:b/>
                <w:bCs/>
                <w:color w:val="000000"/>
                <w:sz w:val="20"/>
                <w:szCs w:val="20"/>
                <w:lang w:eastAsia="en-GB"/>
              </w:rPr>
              <w:t>0.314</w:t>
            </w:r>
          </w:p>
        </w:tc>
        <w:tc>
          <w:tcPr>
            <w:tcW w:w="1060" w:type="dxa"/>
            <w:tcBorders>
              <w:top w:val="single" w:sz="4" w:space="0" w:color="auto"/>
              <w:left w:val="nil"/>
              <w:bottom w:val="nil"/>
              <w:right w:val="single" w:sz="4" w:space="0" w:color="auto"/>
            </w:tcBorders>
            <w:shd w:val="clear" w:color="auto" w:fill="auto"/>
            <w:noWrap/>
            <w:vAlign w:val="center"/>
            <w:hideMark/>
          </w:tcPr>
          <w:p w14:paraId="16155215" w14:textId="77777777" w:rsidR="005F5EE6" w:rsidRPr="005F5EE6" w:rsidRDefault="005F5EE6" w:rsidP="005F5EE6">
            <w:pPr>
              <w:spacing w:line="240" w:lineRule="auto"/>
              <w:jc w:val="right"/>
              <w:rPr>
                <w:rFonts w:eastAsia="Times New Roman" w:cs="Calibri"/>
                <w:b/>
                <w:bCs/>
                <w:color w:val="000000"/>
                <w:sz w:val="20"/>
                <w:szCs w:val="20"/>
                <w:lang w:eastAsia="en-GB"/>
              </w:rPr>
            </w:pPr>
            <w:r w:rsidRPr="005F5EE6">
              <w:rPr>
                <w:rFonts w:eastAsia="Times New Roman" w:cs="Calibri"/>
                <w:b/>
                <w:bCs/>
                <w:color w:val="000000"/>
                <w:sz w:val="20"/>
                <w:szCs w:val="20"/>
                <w:lang w:eastAsia="en-GB"/>
              </w:rPr>
              <w:t>0.000</w:t>
            </w:r>
          </w:p>
        </w:tc>
        <w:tc>
          <w:tcPr>
            <w:tcW w:w="1060" w:type="dxa"/>
            <w:tcBorders>
              <w:top w:val="single" w:sz="4" w:space="0" w:color="auto"/>
              <w:left w:val="nil"/>
              <w:bottom w:val="nil"/>
              <w:right w:val="single" w:sz="4" w:space="0" w:color="auto"/>
            </w:tcBorders>
            <w:shd w:val="clear" w:color="auto" w:fill="auto"/>
            <w:noWrap/>
            <w:vAlign w:val="center"/>
            <w:hideMark/>
          </w:tcPr>
          <w:p w14:paraId="4AFAAEDE" w14:textId="77777777" w:rsidR="005F5EE6" w:rsidRPr="005F5EE6" w:rsidRDefault="005F5EE6" w:rsidP="005F5EE6">
            <w:pPr>
              <w:spacing w:line="240" w:lineRule="auto"/>
              <w:jc w:val="right"/>
              <w:rPr>
                <w:rFonts w:eastAsia="Times New Roman" w:cs="Calibri"/>
                <w:b/>
                <w:bCs/>
                <w:color w:val="000000"/>
                <w:sz w:val="20"/>
                <w:szCs w:val="20"/>
                <w:lang w:eastAsia="en-GB"/>
              </w:rPr>
            </w:pPr>
            <w:r w:rsidRPr="005F5EE6">
              <w:rPr>
                <w:rFonts w:eastAsia="Times New Roman" w:cs="Calibri"/>
                <w:b/>
                <w:bCs/>
                <w:color w:val="000000"/>
                <w:sz w:val="20"/>
                <w:szCs w:val="20"/>
                <w:lang w:eastAsia="en-GB"/>
              </w:rPr>
              <w:t>0.000</w:t>
            </w:r>
          </w:p>
        </w:tc>
        <w:tc>
          <w:tcPr>
            <w:tcW w:w="1060" w:type="dxa"/>
            <w:tcBorders>
              <w:top w:val="single" w:sz="4" w:space="0" w:color="auto"/>
              <w:left w:val="nil"/>
              <w:bottom w:val="nil"/>
              <w:right w:val="single" w:sz="4" w:space="0" w:color="auto"/>
            </w:tcBorders>
            <w:shd w:val="clear" w:color="auto" w:fill="auto"/>
            <w:noWrap/>
            <w:vAlign w:val="center"/>
            <w:hideMark/>
          </w:tcPr>
          <w:p w14:paraId="0E13602E" w14:textId="77777777" w:rsidR="005F5EE6" w:rsidRPr="005F5EE6" w:rsidRDefault="005F5EE6" w:rsidP="005F5EE6">
            <w:pPr>
              <w:spacing w:line="240" w:lineRule="auto"/>
              <w:jc w:val="right"/>
              <w:rPr>
                <w:rFonts w:eastAsia="Times New Roman" w:cs="Calibri"/>
                <w:b/>
                <w:bCs/>
                <w:color w:val="000000"/>
                <w:sz w:val="20"/>
                <w:szCs w:val="20"/>
                <w:lang w:eastAsia="en-GB"/>
              </w:rPr>
            </w:pPr>
            <w:r w:rsidRPr="005F5EE6">
              <w:rPr>
                <w:rFonts w:eastAsia="Times New Roman" w:cs="Calibri"/>
                <w:b/>
                <w:bCs/>
                <w:color w:val="000000"/>
                <w:sz w:val="20"/>
                <w:szCs w:val="20"/>
                <w:lang w:eastAsia="en-GB"/>
              </w:rPr>
              <w:t>0.000</w:t>
            </w:r>
          </w:p>
        </w:tc>
        <w:tc>
          <w:tcPr>
            <w:tcW w:w="1060" w:type="dxa"/>
            <w:tcBorders>
              <w:top w:val="single" w:sz="4" w:space="0" w:color="auto"/>
              <w:left w:val="nil"/>
              <w:bottom w:val="nil"/>
              <w:right w:val="single" w:sz="4" w:space="0" w:color="auto"/>
            </w:tcBorders>
            <w:shd w:val="clear" w:color="auto" w:fill="auto"/>
            <w:noWrap/>
            <w:vAlign w:val="center"/>
            <w:hideMark/>
          </w:tcPr>
          <w:p w14:paraId="185D7CE9" w14:textId="77777777" w:rsidR="005F5EE6" w:rsidRPr="005F5EE6" w:rsidRDefault="005F5EE6" w:rsidP="005F5EE6">
            <w:pPr>
              <w:spacing w:line="240" w:lineRule="auto"/>
              <w:jc w:val="right"/>
              <w:rPr>
                <w:rFonts w:eastAsia="Times New Roman" w:cs="Calibri"/>
                <w:b/>
                <w:bCs/>
                <w:color w:val="000000"/>
                <w:sz w:val="20"/>
                <w:szCs w:val="20"/>
                <w:lang w:eastAsia="en-GB"/>
              </w:rPr>
            </w:pPr>
            <w:r w:rsidRPr="005F5EE6">
              <w:rPr>
                <w:rFonts w:eastAsia="Times New Roman" w:cs="Calibri"/>
                <w:b/>
                <w:bCs/>
                <w:color w:val="000000"/>
                <w:sz w:val="20"/>
                <w:szCs w:val="20"/>
                <w:lang w:eastAsia="en-GB"/>
              </w:rPr>
              <w:t>0.000</w:t>
            </w:r>
          </w:p>
        </w:tc>
      </w:tr>
      <w:tr w:rsidR="005F5EE6" w:rsidRPr="005F5EE6" w14:paraId="718A64AC" w14:textId="77777777" w:rsidTr="005F5EE6">
        <w:trPr>
          <w:trHeight w:val="288"/>
        </w:trPr>
        <w:tc>
          <w:tcPr>
            <w:tcW w:w="3720" w:type="dxa"/>
            <w:tcBorders>
              <w:top w:val="nil"/>
              <w:left w:val="single" w:sz="4" w:space="0" w:color="auto"/>
              <w:bottom w:val="nil"/>
              <w:right w:val="single" w:sz="4" w:space="0" w:color="auto"/>
            </w:tcBorders>
            <w:shd w:val="clear" w:color="auto" w:fill="auto"/>
            <w:noWrap/>
            <w:vAlign w:val="center"/>
            <w:hideMark/>
          </w:tcPr>
          <w:p w14:paraId="381769AD" w14:textId="77777777" w:rsidR="005F5EE6" w:rsidRPr="005F5EE6" w:rsidRDefault="005F5EE6" w:rsidP="005F5EE6">
            <w:pPr>
              <w:spacing w:line="240" w:lineRule="auto"/>
              <w:rPr>
                <w:rFonts w:eastAsia="Times New Roman" w:cs="Calibri"/>
                <w:color w:val="FF0000"/>
                <w:sz w:val="20"/>
                <w:szCs w:val="20"/>
                <w:lang w:eastAsia="en-GB"/>
              </w:rPr>
            </w:pPr>
            <w:r w:rsidRPr="005F5EE6">
              <w:rPr>
                <w:rFonts w:eastAsia="Times New Roman" w:cs="Calibri"/>
                <w:color w:val="FF0000"/>
                <w:sz w:val="20"/>
                <w:szCs w:val="20"/>
                <w:lang w:eastAsia="en-GB"/>
              </w:rPr>
              <w:t> </w:t>
            </w:r>
          </w:p>
        </w:tc>
        <w:tc>
          <w:tcPr>
            <w:tcW w:w="1060" w:type="dxa"/>
            <w:tcBorders>
              <w:top w:val="nil"/>
              <w:left w:val="nil"/>
              <w:bottom w:val="nil"/>
              <w:right w:val="single" w:sz="4" w:space="0" w:color="auto"/>
            </w:tcBorders>
            <w:shd w:val="clear" w:color="auto" w:fill="auto"/>
            <w:noWrap/>
            <w:vAlign w:val="center"/>
            <w:hideMark/>
          </w:tcPr>
          <w:p w14:paraId="753DD14F" w14:textId="77777777" w:rsidR="005F5EE6" w:rsidRPr="005F5EE6" w:rsidRDefault="005F5EE6" w:rsidP="005F5EE6">
            <w:pPr>
              <w:spacing w:line="240" w:lineRule="auto"/>
              <w:rPr>
                <w:rFonts w:eastAsia="Times New Roman" w:cs="Calibri"/>
                <w:b/>
                <w:bCs/>
                <w:color w:val="FF0000"/>
                <w:sz w:val="20"/>
                <w:szCs w:val="20"/>
                <w:lang w:eastAsia="en-GB"/>
              </w:rPr>
            </w:pPr>
            <w:r w:rsidRPr="005F5EE6">
              <w:rPr>
                <w:rFonts w:eastAsia="Times New Roman" w:cs="Calibri"/>
                <w:b/>
                <w:bCs/>
                <w:color w:val="FF0000"/>
                <w:sz w:val="20"/>
                <w:szCs w:val="20"/>
                <w:lang w:eastAsia="en-GB"/>
              </w:rPr>
              <w:t> </w:t>
            </w:r>
          </w:p>
        </w:tc>
        <w:tc>
          <w:tcPr>
            <w:tcW w:w="1060" w:type="dxa"/>
            <w:tcBorders>
              <w:top w:val="nil"/>
              <w:left w:val="nil"/>
              <w:bottom w:val="nil"/>
              <w:right w:val="single" w:sz="4" w:space="0" w:color="auto"/>
            </w:tcBorders>
            <w:shd w:val="clear" w:color="auto" w:fill="auto"/>
            <w:noWrap/>
            <w:vAlign w:val="center"/>
            <w:hideMark/>
          </w:tcPr>
          <w:p w14:paraId="5F93BE21" w14:textId="77777777" w:rsidR="005F5EE6" w:rsidRPr="005F5EE6" w:rsidRDefault="005F5EE6" w:rsidP="005F5EE6">
            <w:pPr>
              <w:spacing w:line="240" w:lineRule="auto"/>
              <w:rPr>
                <w:rFonts w:eastAsia="Times New Roman" w:cs="Calibri"/>
                <w:b/>
                <w:bCs/>
                <w:color w:val="FF0000"/>
                <w:sz w:val="20"/>
                <w:szCs w:val="20"/>
                <w:lang w:eastAsia="en-GB"/>
              </w:rPr>
            </w:pPr>
            <w:r w:rsidRPr="005F5EE6">
              <w:rPr>
                <w:rFonts w:eastAsia="Times New Roman" w:cs="Calibri"/>
                <w:b/>
                <w:bCs/>
                <w:color w:val="FF0000"/>
                <w:sz w:val="20"/>
                <w:szCs w:val="20"/>
                <w:lang w:eastAsia="en-GB"/>
              </w:rPr>
              <w:t> </w:t>
            </w:r>
          </w:p>
        </w:tc>
        <w:tc>
          <w:tcPr>
            <w:tcW w:w="1060" w:type="dxa"/>
            <w:tcBorders>
              <w:top w:val="nil"/>
              <w:left w:val="nil"/>
              <w:bottom w:val="nil"/>
              <w:right w:val="single" w:sz="4" w:space="0" w:color="auto"/>
            </w:tcBorders>
            <w:shd w:val="clear" w:color="auto" w:fill="auto"/>
            <w:noWrap/>
            <w:vAlign w:val="center"/>
            <w:hideMark/>
          </w:tcPr>
          <w:p w14:paraId="41F1F0B3" w14:textId="77777777" w:rsidR="005F5EE6" w:rsidRPr="005F5EE6" w:rsidRDefault="005F5EE6" w:rsidP="005F5EE6">
            <w:pPr>
              <w:spacing w:line="240" w:lineRule="auto"/>
              <w:rPr>
                <w:rFonts w:eastAsia="Times New Roman" w:cs="Calibri"/>
                <w:b/>
                <w:bCs/>
                <w:color w:val="FF0000"/>
                <w:sz w:val="20"/>
                <w:szCs w:val="20"/>
                <w:lang w:eastAsia="en-GB"/>
              </w:rPr>
            </w:pPr>
            <w:r w:rsidRPr="005F5EE6">
              <w:rPr>
                <w:rFonts w:eastAsia="Times New Roman" w:cs="Calibri"/>
                <w:b/>
                <w:bCs/>
                <w:color w:val="FF0000"/>
                <w:sz w:val="20"/>
                <w:szCs w:val="20"/>
                <w:lang w:eastAsia="en-GB"/>
              </w:rPr>
              <w:t> </w:t>
            </w:r>
          </w:p>
        </w:tc>
        <w:tc>
          <w:tcPr>
            <w:tcW w:w="1060" w:type="dxa"/>
            <w:tcBorders>
              <w:top w:val="nil"/>
              <w:left w:val="nil"/>
              <w:bottom w:val="nil"/>
              <w:right w:val="single" w:sz="4" w:space="0" w:color="auto"/>
            </w:tcBorders>
            <w:shd w:val="clear" w:color="auto" w:fill="auto"/>
            <w:noWrap/>
            <w:vAlign w:val="center"/>
            <w:hideMark/>
          </w:tcPr>
          <w:p w14:paraId="79ABCE67" w14:textId="77777777" w:rsidR="005F5EE6" w:rsidRPr="005F5EE6" w:rsidRDefault="005F5EE6" w:rsidP="005F5EE6">
            <w:pPr>
              <w:spacing w:line="240" w:lineRule="auto"/>
              <w:rPr>
                <w:rFonts w:eastAsia="Times New Roman" w:cs="Calibri"/>
                <w:b/>
                <w:bCs/>
                <w:color w:val="FF0000"/>
                <w:sz w:val="20"/>
                <w:szCs w:val="20"/>
                <w:lang w:eastAsia="en-GB"/>
              </w:rPr>
            </w:pPr>
            <w:r w:rsidRPr="005F5EE6">
              <w:rPr>
                <w:rFonts w:eastAsia="Times New Roman" w:cs="Calibri"/>
                <w:b/>
                <w:bCs/>
                <w:color w:val="FF0000"/>
                <w:sz w:val="20"/>
                <w:szCs w:val="20"/>
                <w:lang w:eastAsia="en-GB"/>
              </w:rPr>
              <w:t> </w:t>
            </w:r>
          </w:p>
        </w:tc>
        <w:tc>
          <w:tcPr>
            <w:tcW w:w="1060" w:type="dxa"/>
            <w:tcBorders>
              <w:top w:val="nil"/>
              <w:left w:val="nil"/>
              <w:bottom w:val="nil"/>
              <w:right w:val="single" w:sz="4" w:space="0" w:color="auto"/>
            </w:tcBorders>
            <w:shd w:val="clear" w:color="auto" w:fill="auto"/>
            <w:noWrap/>
            <w:vAlign w:val="center"/>
            <w:hideMark/>
          </w:tcPr>
          <w:p w14:paraId="4F1A3B48" w14:textId="77777777" w:rsidR="005F5EE6" w:rsidRPr="005F5EE6" w:rsidRDefault="005F5EE6" w:rsidP="005F5EE6">
            <w:pPr>
              <w:spacing w:line="240" w:lineRule="auto"/>
              <w:rPr>
                <w:rFonts w:eastAsia="Times New Roman" w:cs="Calibri"/>
                <w:b/>
                <w:bCs/>
                <w:color w:val="FF0000"/>
                <w:sz w:val="20"/>
                <w:szCs w:val="20"/>
                <w:lang w:eastAsia="en-GB"/>
              </w:rPr>
            </w:pPr>
            <w:r w:rsidRPr="005F5EE6">
              <w:rPr>
                <w:rFonts w:eastAsia="Times New Roman" w:cs="Calibri"/>
                <w:b/>
                <w:bCs/>
                <w:color w:val="FF0000"/>
                <w:sz w:val="20"/>
                <w:szCs w:val="20"/>
                <w:lang w:eastAsia="en-GB"/>
              </w:rPr>
              <w:t> </w:t>
            </w:r>
          </w:p>
        </w:tc>
        <w:tc>
          <w:tcPr>
            <w:tcW w:w="1060" w:type="dxa"/>
            <w:tcBorders>
              <w:top w:val="nil"/>
              <w:left w:val="nil"/>
              <w:bottom w:val="nil"/>
              <w:right w:val="single" w:sz="4" w:space="0" w:color="auto"/>
            </w:tcBorders>
            <w:shd w:val="clear" w:color="auto" w:fill="auto"/>
            <w:noWrap/>
            <w:vAlign w:val="center"/>
            <w:hideMark/>
          </w:tcPr>
          <w:p w14:paraId="3C61085B" w14:textId="77777777" w:rsidR="005F5EE6" w:rsidRPr="005F5EE6" w:rsidRDefault="005F5EE6" w:rsidP="005F5EE6">
            <w:pPr>
              <w:spacing w:line="240" w:lineRule="auto"/>
              <w:rPr>
                <w:rFonts w:eastAsia="Times New Roman" w:cs="Calibri"/>
                <w:b/>
                <w:bCs/>
                <w:color w:val="FF0000"/>
                <w:sz w:val="20"/>
                <w:szCs w:val="20"/>
                <w:lang w:eastAsia="en-GB"/>
              </w:rPr>
            </w:pPr>
            <w:r w:rsidRPr="005F5EE6">
              <w:rPr>
                <w:rFonts w:eastAsia="Times New Roman" w:cs="Calibri"/>
                <w:b/>
                <w:bCs/>
                <w:color w:val="FF0000"/>
                <w:sz w:val="20"/>
                <w:szCs w:val="20"/>
                <w:lang w:eastAsia="en-GB"/>
              </w:rPr>
              <w:t> </w:t>
            </w:r>
          </w:p>
        </w:tc>
      </w:tr>
      <w:tr w:rsidR="005F5EE6" w:rsidRPr="005F5EE6" w14:paraId="3B2A57FC" w14:textId="77777777" w:rsidTr="005F5EE6">
        <w:trPr>
          <w:trHeight w:val="300"/>
        </w:trPr>
        <w:tc>
          <w:tcPr>
            <w:tcW w:w="3720" w:type="dxa"/>
            <w:tcBorders>
              <w:top w:val="nil"/>
              <w:left w:val="single" w:sz="4" w:space="0" w:color="auto"/>
              <w:bottom w:val="nil"/>
              <w:right w:val="single" w:sz="4" w:space="0" w:color="auto"/>
            </w:tcBorders>
            <w:shd w:val="clear" w:color="auto" w:fill="auto"/>
            <w:noWrap/>
            <w:vAlign w:val="center"/>
            <w:hideMark/>
          </w:tcPr>
          <w:p w14:paraId="6544FD9D" w14:textId="77777777" w:rsidR="005F5EE6" w:rsidRPr="005F5EE6" w:rsidRDefault="005F5EE6" w:rsidP="005F5EE6">
            <w:pPr>
              <w:spacing w:line="240" w:lineRule="auto"/>
              <w:rPr>
                <w:rFonts w:eastAsia="Times New Roman" w:cs="Calibri"/>
                <w:b/>
                <w:bCs/>
                <w:color w:val="000000"/>
                <w:sz w:val="20"/>
                <w:szCs w:val="20"/>
                <w:lang w:eastAsia="en-GB"/>
              </w:rPr>
            </w:pPr>
            <w:r w:rsidRPr="005F5EE6">
              <w:rPr>
                <w:rFonts w:eastAsia="Times New Roman" w:cs="Calibri"/>
                <w:b/>
                <w:bCs/>
                <w:color w:val="000000"/>
                <w:sz w:val="20"/>
                <w:szCs w:val="20"/>
                <w:lang w:eastAsia="en-GB"/>
              </w:rPr>
              <w:t>Total Earmarked Reserves</w:t>
            </w:r>
          </w:p>
        </w:tc>
        <w:tc>
          <w:tcPr>
            <w:tcW w:w="1060" w:type="dxa"/>
            <w:tcBorders>
              <w:top w:val="single" w:sz="4" w:space="0" w:color="auto"/>
              <w:left w:val="nil"/>
              <w:bottom w:val="single" w:sz="8" w:space="0" w:color="auto"/>
              <w:right w:val="single" w:sz="4" w:space="0" w:color="auto"/>
            </w:tcBorders>
            <w:shd w:val="clear" w:color="auto" w:fill="auto"/>
            <w:noWrap/>
            <w:vAlign w:val="center"/>
            <w:hideMark/>
          </w:tcPr>
          <w:p w14:paraId="22C255DD" w14:textId="77777777" w:rsidR="005F5EE6" w:rsidRPr="005F5EE6" w:rsidRDefault="005F5EE6" w:rsidP="005F5EE6">
            <w:pPr>
              <w:spacing w:line="240" w:lineRule="auto"/>
              <w:jc w:val="right"/>
              <w:rPr>
                <w:rFonts w:eastAsia="Times New Roman" w:cs="Calibri"/>
                <w:b/>
                <w:bCs/>
                <w:color w:val="000000"/>
                <w:sz w:val="20"/>
                <w:szCs w:val="20"/>
                <w:lang w:eastAsia="en-GB"/>
              </w:rPr>
            </w:pPr>
            <w:r w:rsidRPr="005F5EE6">
              <w:rPr>
                <w:rFonts w:eastAsia="Times New Roman" w:cs="Calibri"/>
                <w:b/>
                <w:bCs/>
                <w:color w:val="000000"/>
                <w:sz w:val="20"/>
                <w:szCs w:val="20"/>
                <w:lang w:eastAsia="en-GB"/>
              </w:rPr>
              <w:t>3.321</w:t>
            </w:r>
          </w:p>
        </w:tc>
        <w:tc>
          <w:tcPr>
            <w:tcW w:w="1060" w:type="dxa"/>
            <w:tcBorders>
              <w:top w:val="single" w:sz="4" w:space="0" w:color="auto"/>
              <w:left w:val="nil"/>
              <w:bottom w:val="single" w:sz="8" w:space="0" w:color="auto"/>
              <w:right w:val="single" w:sz="4" w:space="0" w:color="auto"/>
            </w:tcBorders>
            <w:shd w:val="clear" w:color="auto" w:fill="auto"/>
            <w:noWrap/>
            <w:vAlign w:val="center"/>
            <w:hideMark/>
          </w:tcPr>
          <w:p w14:paraId="1464D35C" w14:textId="77777777" w:rsidR="005F5EE6" w:rsidRPr="005F5EE6" w:rsidRDefault="005F5EE6" w:rsidP="005F5EE6">
            <w:pPr>
              <w:spacing w:line="240" w:lineRule="auto"/>
              <w:jc w:val="right"/>
              <w:rPr>
                <w:rFonts w:eastAsia="Times New Roman" w:cs="Calibri"/>
                <w:b/>
                <w:bCs/>
                <w:color w:val="000000"/>
                <w:sz w:val="20"/>
                <w:szCs w:val="20"/>
                <w:lang w:eastAsia="en-GB"/>
              </w:rPr>
            </w:pPr>
            <w:r w:rsidRPr="005F5EE6">
              <w:rPr>
                <w:rFonts w:eastAsia="Times New Roman" w:cs="Calibri"/>
                <w:b/>
                <w:bCs/>
                <w:color w:val="000000"/>
                <w:sz w:val="20"/>
                <w:szCs w:val="20"/>
                <w:lang w:eastAsia="en-GB"/>
              </w:rPr>
              <w:t>1.420</w:t>
            </w:r>
          </w:p>
        </w:tc>
        <w:tc>
          <w:tcPr>
            <w:tcW w:w="1060" w:type="dxa"/>
            <w:tcBorders>
              <w:top w:val="single" w:sz="4" w:space="0" w:color="auto"/>
              <w:left w:val="nil"/>
              <w:bottom w:val="single" w:sz="8" w:space="0" w:color="auto"/>
              <w:right w:val="single" w:sz="4" w:space="0" w:color="auto"/>
            </w:tcBorders>
            <w:shd w:val="clear" w:color="auto" w:fill="auto"/>
            <w:noWrap/>
            <w:vAlign w:val="center"/>
            <w:hideMark/>
          </w:tcPr>
          <w:p w14:paraId="7B0D1C40" w14:textId="77777777" w:rsidR="005F5EE6" w:rsidRPr="005F5EE6" w:rsidRDefault="005F5EE6" w:rsidP="005F5EE6">
            <w:pPr>
              <w:spacing w:line="240" w:lineRule="auto"/>
              <w:jc w:val="right"/>
              <w:rPr>
                <w:rFonts w:eastAsia="Times New Roman" w:cs="Calibri"/>
                <w:b/>
                <w:bCs/>
                <w:color w:val="000000"/>
                <w:sz w:val="20"/>
                <w:szCs w:val="20"/>
                <w:lang w:eastAsia="en-GB"/>
              </w:rPr>
            </w:pPr>
            <w:r w:rsidRPr="005F5EE6">
              <w:rPr>
                <w:rFonts w:eastAsia="Times New Roman" w:cs="Calibri"/>
                <w:b/>
                <w:bCs/>
                <w:color w:val="000000"/>
                <w:sz w:val="20"/>
                <w:szCs w:val="20"/>
                <w:lang w:eastAsia="en-GB"/>
              </w:rPr>
              <w:t>1.227</w:t>
            </w:r>
          </w:p>
        </w:tc>
        <w:tc>
          <w:tcPr>
            <w:tcW w:w="1060" w:type="dxa"/>
            <w:tcBorders>
              <w:top w:val="single" w:sz="4" w:space="0" w:color="auto"/>
              <w:left w:val="nil"/>
              <w:bottom w:val="single" w:sz="8" w:space="0" w:color="auto"/>
              <w:right w:val="single" w:sz="4" w:space="0" w:color="auto"/>
            </w:tcBorders>
            <w:shd w:val="clear" w:color="auto" w:fill="auto"/>
            <w:noWrap/>
            <w:vAlign w:val="center"/>
            <w:hideMark/>
          </w:tcPr>
          <w:p w14:paraId="4101CD6B" w14:textId="77777777" w:rsidR="005F5EE6" w:rsidRPr="005F5EE6" w:rsidRDefault="005F5EE6" w:rsidP="005F5EE6">
            <w:pPr>
              <w:spacing w:line="240" w:lineRule="auto"/>
              <w:jc w:val="right"/>
              <w:rPr>
                <w:rFonts w:eastAsia="Times New Roman" w:cs="Calibri"/>
                <w:b/>
                <w:bCs/>
                <w:color w:val="000000"/>
                <w:sz w:val="20"/>
                <w:szCs w:val="20"/>
                <w:lang w:eastAsia="en-GB"/>
              </w:rPr>
            </w:pPr>
            <w:r w:rsidRPr="005F5EE6">
              <w:rPr>
                <w:rFonts w:eastAsia="Times New Roman" w:cs="Calibri"/>
                <w:b/>
                <w:bCs/>
                <w:color w:val="000000"/>
                <w:sz w:val="20"/>
                <w:szCs w:val="20"/>
                <w:lang w:eastAsia="en-GB"/>
              </w:rPr>
              <w:t>1.358</w:t>
            </w:r>
          </w:p>
        </w:tc>
        <w:tc>
          <w:tcPr>
            <w:tcW w:w="1060" w:type="dxa"/>
            <w:tcBorders>
              <w:top w:val="single" w:sz="4" w:space="0" w:color="auto"/>
              <w:left w:val="nil"/>
              <w:bottom w:val="single" w:sz="8" w:space="0" w:color="auto"/>
              <w:right w:val="single" w:sz="4" w:space="0" w:color="auto"/>
            </w:tcBorders>
            <w:shd w:val="clear" w:color="auto" w:fill="auto"/>
            <w:noWrap/>
            <w:vAlign w:val="center"/>
            <w:hideMark/>
          </w:tcPr>
          <w:p w14:paraId="7D32599C" w14:textId="77777777" w:rsidR="005F5EE6" w:rsidRPr="005F5EE6" w:rsidRDefault="005F5EE6" w:rsidP="005F5EE6">
            <w:pPr>
              <w:spacing w:line="240" w:lineRule="auto"/>
              <w:jc w:val="right"/>
              <w:rPr>
                <w:rFonts w:eastAsia="Times New Roman" w:cs="Calibri"/>
                <w:b/>
                <w:bCs/>
                <w:color w:val="000000"/>
                <w:sz w:val="20"/>
                <w:szCs w:val="20"/>
                <w:lang w:eastAsia="en-GB"/>
              </w:rPr>
            </w:pPr>
            <w:r w:rsidRPr="005F5EE6">
              <w:rPr>
                <w:rFonts w:eastAsia="Times New Roman" w:cs="Calibri"/>
                <w:b/>
                <w:bCs/>
                <w:color w:val="000000"/>
                <w:sz w:val="20"/>
                <w:szCs w:val="20"/>
                <w:lang w:eastAsia="en-GB"/>
              </w:rPr>
              <w:t>1.489</w:t>
            </w:r>
          </w:p>
        </w:tc>
        <w:tc>
          <w:tcPr>
            <w:tcW w:w="1060" w:type="dxa"/>
            <w:tcBorders>
              <w:top w:val="single" w:sz="4" w:space="0" w:color="auto"/>
              <w:left w:val="nil"/>
              <w:bottom w:val="single" w:sz="8" w:space="0" w:color="auto"/>
              <w:right w:val="single" w:sz="4" w:space="0" w:color="auto"/>
            </w:tcBorders>
            <w:shd w:val="clear" w:color="auto" w:fill="auto"/>
            <w:noWrap/>
            <w:vAlign w:val="center"/>
            <w:hideMark/>
          </w:tcPr>
          <w:p w14:paraId="0FA4AA6A" w14:textId="77777777" w:rsidR="005F5EE6" w:rsidRPr="005F5EE6" w:rsidRDefault="005F5EE6" w:rsidP="005F5EE6">
            <w:pPr>
              <w:spacing w:line="240" w:lineRule="auto"/>
              <w:jc w:val="right"/>
              <w:rPr>
                <w:rFonts w:eastAsia="Times New Roman" w:cs="Calibri"/>
                <w:b/>
                <w:bCs/>
                <w:color w:val="000000"/>
                <w:sz w:val="20"/>
                <w:szCs w:val="20"/>
                <w:lang w:eastAsia="en-GB"/>
              </w:rPr>
            </w:pPr>
            <w:r w:rsidRPr="005F5EE6">
              <w:rPr>
                <w:rFonts w:eastAsia="Times New Roman" w:cs="Calibri"/>
                <w:b/>
                <w:bCs/>
                <w:color w:val="000000"/>
                <w:sz w:val="20"/>
                <w:szCs w:val="20"/>
                <w:lang w:eastAsia="en-GB"/>
              </w:rPr>
              <w:t>1.620</w:t>
            </w:r>
          </w:p>
        </w:tc>
      </w:tr>
      <w:tr w:rsidR="005F5EE6" w:rsidRPr="005F5EE6" w14:paraId="7884B9E8" w14:textId="77777777" w:rsidTr="005F5EE6">
        <w:trPr>
          <w:trHeight w:val="288"/>
        </w:trPr>
        <w:tc>
          <w:tcPr>
            <w:tcW w:w="3720" w:type="dxa"/>
            <w:tcBorders>
              <w:top w:val="nil"/>
              <w:left w:val="single" w:sz="4" w:space="0" w:color="auto"/>
              <w:bottom w:val="nil"/>
              <w:right w:val="single" w:sz="4" w:space="0" w:color="auto"/>
            </w:tcBorders>
            <w:shd w:val="clear" w:color="auto" w:fill="auto"/>
            <w:noWrap/>
            <w:vAlign w:val="center"/>
            <w:hideMark/>
          </w:tcPr>
          <w:p w14:paraId="627E3038" w14:textId="77777777" w:rsidR="005F5EE6" w:rsidRPr="005F5EE6" w:rsidRDefault="005F5EE6" w:rsidP="005F5EE6">
            <w:pPr>
              <w:spacing w:line="240" w:lineRule="auto"/>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c>
          <w:tcPr>
            <w:tcW w:w="1060" w:type="dxa"/>
            <w:tcBorders>
              <w:top w:val="nil"/>
              <w:left w:val="nil"/>
              <w:bottom w:val="nil"/>
              <w:right w:val="single" w:sz="4" w:space="0" w:color="auto"/>
            </w:tcBorders>
            <w:shd w:val="clear" w:color="auto" w:fill="auto"/>
            <w:noWrap/>
            <w:vAlign w:val="center"/>
            <w:hideMark/>
          </w:tcPr>
          <w:p w14:paraId="1E0CADBC" w14:textId="77777777" w:rsidR="005F5EE6" w:rsidRPr="005F5EE6" w:rsidRDefault="005F5EE6" w:rsidP="005F5EE6">
            <w:pPr>
              <w:spacing w:line="240" w:lineRule="auto"/>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c>
          <w:tcPr>
            <w:tcW w:w="1060" w:type="dxa"/>
            <w:tcBorders>
              <w:top w:val="nil"/>
              <w:left w:val="nil"/>
              <w:bottom w:val="nil"/>
              <w:right w:val="single" w:sz="4" w:space="0" w:color="auto"/>
            </w:tcBorders>
            <w:shd w:val="clear" w:color="auto" w:fill="auto"/>
            <w:noWrap/>
            <w:vAlign w:val="center"/>
            <w:hideMark/>
          </w:tcPr>
          <w:p w14:paraId="6771D385" w14:textId="77777777" w:rsidR="005F5EE6" w:rsidRPr="005F5EE6" w:rsidRDefault="005F5EE6" w:rsidP="005F5EE6">
            <w:pPr>
              <w:spacing w:line="240" w:lineRule="auto"/>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c>
          <w:tcPr>
            <w:tcW w:w="1060" w:type="dxa"/>
            <w:tcBorders>
              <w:top w:val="nil"/>
              <w:left w:val="nil"/>
              <w:bottom w:val="nil"/>
              <w:right w:val="single" w:sz="4" w:space="0" w:color="auto"/>
            </w:tcBorders>
            <w:shd w:val="clear" w:color="auto" w:fill="auto"/>
            <w:noWrap/>
            <w:vAlign w:val="center"/>
            <w:hideMark/>
          </w:tcPr>
          <w:p w14:paraId="14CC876F" w14:textId="77777777" w:rsidR="005F5EE6" w:rsidRPr="005F5EE6" w:rsidRDefault="005F5EE6" w:rsidP="005F5EE6">
            <w:pPr>
              <w:spacing w:line="240" w:lineRule="auto"/>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c>
          <w:tcPr>
            <w:tcW w:w="1060" w:type="dxa"/>
            <w:tcBorders>
              <w:top w:val="nil"/>
              <w:left w:val="nil"/>
              <w:bottom w:val="nil"/>
              <w:right w:val="single" w:sz="4" w:space="0" w:color="auto"/>
            </w:tcBorders>
            <w:shd w:val="clear" w:color="auto" w:fill="auto"/>
            <w:noWrap/>
            <w:vAlign w:val="center"/>
            <w:hideMark/>
          </w:tcPr>
          <w:p w14:paraId="0574794E" w14:textId="77777777" w:rsidR="005F5EE6" w:rsidRPr="005F5EE6" w:rsidRDefault="005F5EE6" w:rsidP="005F5EE6">
            <w:pPr>
              <w:spacing w:line="240" w:lineRule="auto"/>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c>
          <w:tcPr>
            <w:tcW w:w="1060" w:type="dxa"/>
            <w:tcBorders>
              <w:top w:val="nil"/>
              <w:left w:val="nil"/>
              <w:bottom w:val="nil"/>
              <w:right w:val="single" w:sz="4" w:space="0" w:color="auto"/>
            </w:tcBorders>
            <w:shd w:val="clear" w:color="auto" w:fill="auto"/>
            <w:noWrap/>
            <w:vAlign w:val="center"/>
            <w:hideMark/>
          </w:tcPr>
          <w:p w14:paraId="605E5FDA" w14:textId="77777777" w:rsidR="005F5EE6" w:rsidRPr="005F5EE6" w:rsidRDefault="005F5EE6" w:rsidP="005F5EE6">
            <w:pPr>
              <w:spacing w:line="240" w:lineRule="auto"/>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c>
          <w:tcPr>
            <w:tcW w:w="1060" w:type="dxa"/>
            <w:tcBorders>
              <w:top w:val="nil"/>
              <w:left w:val="nil"/>
              <w:bottom w:val="nil"/>
              <w:right w:val="single" w:sz="4" w:space="0" w:color="auto"/>
            </w:tcBorders>
            <w:shd w:val="clear" w:color="auto" w:fill="auto"/>
            <w:noWrap/>
            <w:vAlign w:val="center"/>
            <w:hideMark/>
          </w:tcPr>
          <w:p w14:paraId="1F902914" w14:textId="77777777" w:rsidR="005F5EE6" w:rsidRPr="005F5EE6" w:rsidRDefault="005F5EE6" w:rsidP="005F5EE6">
            <w:pPr>
              <w:spacing w:line="240" w:lineRule="auto"/>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r>
      <w:tr w:rsidR="005F5EE6" w:rsidRPr="005F5EE6" w14:paraId="38275709" w14:textId="77777777" w:rsidTr="005F5EE6">
        <w:trPr>
          <w:trHeight w:val="288"/>
        </w:trPr>
        <w:tc>
          <w:tcPr>
            <w:tcW w:w="3720" w:type="dxa"/>
            <w:tcBorders>
              <w:top w:val="nil"/>
              <w:left w:val="single" w:sz="4" w:space="0" w:color="auto"/>
              <w:bottom w:val="nil"/>
              <w:right w:val="single" w:sz="4" w:space="0" w:color="auto"/>
            </w:tcBorders>
            <w:shd w:val="clear" w:color="auto" w:fill="auto"/>
            <w:noWrap/>
            <w:vAlign w:val="center"/>
            <w:hideMark/>
          </w:tcPr>
          <w:p w14:paraId="16DCEABA" w14:textId="77777777" w:rsidR="005F5EE6" w:rsidRPr="005F5EE6" w:rsidRDefault="005F5EE6" w:rsidP="005F5EE6">
            <w:pPr>
              <w:spacing w:line="240" w:lineRule="auto"/>
              <w:rPr>
                <w:rFonts w:eastAsia="Times New Roman" w:cs="Calibri"/>
                <w:color w:val="000000"/>
                <w:sz w:val="20"/>
                <w:szCs w:val="20"/>
                <w:lang w:eastAsia="en-GB"/>
              </w:rPr>
            </w:pPr>
            <w:r w:rsidRPr="005F5EE6">
              <w:rPr>
                <w:rFonts w:eastAsia="Times New Roman" w:cs="Calibri"/>
                <w:color w:val="000000"/>
                <w:sz w:val="20"/>
                <w:szCs w:val="20"/>
                <w:lang w:eastAsia="en-GB"/>
              </w:rPr>
              <w:t xml:space="preserve">General Fund </w:t>
            </w:r>
          </w:p>
        </w:tc>
        <w:tc>
          <w:tcPr>
            <w:tcW w:w="1060" w:type="dxa"/>
            <w:tcBorders>
              <w:top w:val="nil"/>
              <w:left w:val="nil"/>
              <w:bottom w:val="nil"/>
              <w:right w:val="single" w:sz="4" w:space="0" w:color="auto"/>
            </w:tcBorders>
            <w:shd w:val="clear" w:color="auto" w:fill="auto"/>
            <w:noWrap/>
            <w:vAlign w:val="center"/>
            <w:hideMark/>
          </w:tcPr>
          <w:p w14:paraId="34259559"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2.000</w:t>
            </w:r>
          </w:p>
        </w:tc>
        <w:tc>
          <w:tcPr>
            <w:tcW w:w="1060" w:type="dxa"/>
            <w:tcBorders>
              <w:top w:val="nil"/>
              <w:left w:val="nil"/>
              <w:bottom w:val="nil"/>
              <w:right w:val="single" w:sz="4" w:space="0" w:color="auto"/>
            </w:tcBorders>
            <w:shd w:val="clear" w:color="auto" w:fill="auto"/>
            <w:noWrap/>
            <w:vAlign w:val="center"/>
            <w:hideMark/>
          </w:tcPr>
          <w:p w14:paraId="20DF3E84"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2.000</w:t>
            </w:r>
          </w:p>
        </w:tc>
        <w:tc>
          <w:tcPr>
            <w:tcW w:w="1060" w:type="dxa"/>
            <w:tcBorders>
              <w:top w:val="nil"/>
              <w:left w:val="nil"/>
              <w:bottom w:val="nil"/>
              <w:right w:val="single" w:sz="4" w:space="0" w:color="auto"/>
            </w:tcBorders>
            <w:shd w:val="clear" w:color="auto" w:fill="auto"/>
            <w:noWrap/>
            <w:vAlign w:val="center"/>
            <w:hideMark/>
          </w:tcPr>
          <w:p w14:paraId="2F6E16DC"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2.000</w:t>
            </w:r>
          </w:p>
        </w:tc>
        <w:tc>
          <w:tcPr>
            <w:tcW w:w="1060" w:type="dxa"/>
            <w:tcBorders>
              <w:top w:val="nil"/>
              <w:left w:val="nil"/>
              <w:bottom w:val="nil"/>
              <w:right w:val="single" w:sz="4" w:space="0" w:color="auto"/>
            </w:tcBorders>
            <w:shd w:val="clear" w:color="auto" w:fill="auto"/>
            <w:noWrap/>
            <w:vAlign w:val="center"/>
            <w:hideMark/>
          </w:tcPr>
          <w:p w14:paraId="2D6FC5A6"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2.060</w:t>
            </w:r>
          </w:p>
        </w:tc>
        <w:tc>
          <w:tcPr>
            <w:tcW w:w="1060" w:type="dxa"/>
            <w:tcBorders>
              <w:top w:val="nil"/>
              <w:left w:val="nil"/>
              <w:bottom w:val="nil"/>
              <w:right w:val="single" w:sz="4" w:space="0" w:color="auto"/>
            </w:tcBorders>
            <w:shd w:val="clear" w:color="auto" w:fill="auto"/>
            <w:noWrap/>
            <w:vAlign w:val="center"/>
            <w:hideMark/>
          </w:tcPr>
          <w:p w14:paraId="33FE2EF9"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2.120</w:t>
            </w:r>
          </w:p>
        </w:tc>
        <w:tc>
          <w:tcPr>
            <w:tcW w:w="1060" w:type="dxa"/>
            <w:tcBorders>
              <w:top w:val="nil"/>
              <w:left w:val="nil"/>
              <w:bottom w:val="nil"/>
              <w:right w:val="single" w:sz="4" w:space="0" w:color="auto"/>
            </w:tcBorders>
            <w:shd w:val="clear" w:color="auto" w:fill="auto"/>
            <w:noWrap/>
            <w:vAlign w:val="center"/>
            <w:hideMark/>
          </w:tcPr>
          <w:p w14:paraId="395CCCBE" w14:textId="77777777" w:rsidR="005F5EE6" w:rsidRPr="005F5EE6" w:rsidRDefault="005F5EE6" w:rsidP="005F5EE6">
            <w:pPr>
              <w:spacing w:line="240" w:lineRule="auto"/>
              <w:jc w:val="right"/>
              <w:rPr>
                <w:rFonts w:eastAsia="Times New Roman" w:cs="Calibri"/>
                <w:color w:val="000000"/>
                <w:sz w:val="20"/>
                <w:szCs w:val="20"/>
                <w:lang w:eastAsia="en-GB"/>
              </w:rPr>
            </w:pPr>
            <w:r w:rsidRPr="005F5EE6">
              <w:rPr>
                <w:rFonts w:eastAsia="Times New Roman" w:cs="Calibri"/>
                <w:color w:val="000000"/>
                <w:sz w:val="20"/>
                <w:szCs w:val="20"/>
                <w:lang w:eastAsia="en-GB"/>
              </w:rPr>
              <w:t>2.180</w:t>
            </w:r>
          </w:p>
        </w:tc>
      </w:tr>
      <w:tr w:rsidR="005F5EE6" w:rsidRPr="005F5EE6" w14:paraId="0ED181B5" w14:textId="77777777" w:rsidTr="005F5EE6">
        <w:trPr>
          <w:trHeight w:val="288"/>
        </w:trPr>
        <w:tc>
          <w:tcPr>
            <w:tcW w:w="3720" w:type="dxa"/>
            <w:tcBorders>
              <w:top w:val="nil"/>
              <w:left w:val="single" w:sz="4" w:space="0" w:color="auto"/>
              <w:bottom w:val="nil"/>
              <w:right w:val="single" w:sz="4" w:space="0" w:color="auto"/>
            </w:tcBorders>
            <w:shd w:val="clear" w:color="auto" w:fill="auto"/>
            <w:noWrap/>
            <w:vAlign w:val="center"/>
            <w:hideMark/>
          </w:tcPr>
          <w:p w14:paraId="5842CF15" w14:textId="77777777" w:rsidR="005F5EE6" w:rsidRPr="005F5EE6" w:rsidRDefault="005F5EE6" w:rsidP="005F5EE6">
            <w:pPr>
              <w:spacing w:line="240" w:lineRule="auto"/>
              <w:rPr>
                <w:rFonts w:eastAsia="Times New Roman" w:cs="Calibri"/>
                <w:color w:val="000000"/>
                <w:sz w:val="20"/>
                <w:szCs w:val="20"/>
                <w:lang w:eastAsia="en-GB"/>
              </w:rPr>
            </w:pPr>
            <w:r w:rsidRPr="005F5EE6">
              <w:rPr>
                <w:rFonts w:eastAsia="Times New Roman" w:cs="Calibri"/>
                <w:color w:val="000000"/>
                <w:sz w:val="20"/>
                <w:szCs w:val="20"/>
                <w:lang w:eastAsia="en-GB"/>
              </w:rPr>
              <w:t> </w:t>
            </w:r>
          </w:p>
        </w:tc>
        <w:tc>
          <w:tcPr>
            <w:tcW w:w="1060" w:type="dxa"/>
            <w:tcBorders>
              <w:top w:val="nil"/>
              <w:left w:val="nil"/>
              <w:bottom w:val="nil"/>
              <w:right w:val="single" w:sz="4" w:space="0" w:color="auto"/>
            </w:tcBorders>
            <w:shd w:val="clear" w:color="auto" w:fill="auto"/>
            <w:noWrap/>
            <w:vAlign w:val="center"/>
            <w:hideMark/>
          </w:tcPr>
          <w:p w14:paraId="160F382A" w14:textId="77777777" w:rsidR="005F5EE6" w:rsidRPr="005F5EE6" w:rsidRDefault="005F5EE6" w:rsidP="005F5EE6">
            <w:pPr>
              <w:spacing w:line="240" w:lineRule="auto"/>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c>
          <w:tcPr>
            <w:tcW w:w="1060" w:type="dxa"/>
            <w:tcBorders>
              <w:top w:val="nil"/>
              <w:left w:val="nil"/>
              <w:bottom w:val="nil"/>
              <w:right w:val="single" w:sz="4" w:space="0" w:color="auto"/>
            </w:tcBorders>
            <w:shd w:val="clear" w:color="auto" w:fill="auto"/>
            <w:noWrap/>
            <w:vAlign w:val="center"/>
            <w:hideMark/>
          </w:tcPr>
          <w:p w14:paraId="60EA6D6F" w14:textId="77777777" w:rsidR="005F5EE6" w:rsidRPr="005F5EE6" w:rsidRDefault="005F5EE6" w:rsidP="005F5EE6">
            <w:pPr>
              <w:spacing w:line="240" w:lineRule="auto"/>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c>
          <w:tcPr>
            <w:tcW w:w="1060" w:type="dxa"/>
            <w:tcBorders>
              <w:top w:val="nil"/>
              <w:left w:val="nil"/>
              <w:bottom w:val="nil"/>
              <w:right w:val="single" w:sz="4" w:space="0" w:color="auto"/>
            </w:tcBorders>
            <w:shd w:val="clear" w:color="auto" w:fill="auto"/>
            <w:noWrap/>
            <w:vAlign w:val="center"/>
            <w:hideMark/>
          </w:tcPr>
          <w:p w14:paraId="1C7534C9" w14:textId="77777777" w:rsidR="005F5EE6" w:rsidRPr="005F5EE6" w:rsidRDefault="005F5EE6" w:rsidP="005F5EE6">
            <w:pPr>
              <w:spacing w:line="240" w:lineRule="auto"/>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c>
          <w:tcPr>
            <w:tcW w:w="1060" w:type="dxa"/>
            <w:tcBorders>
              <w:top w:val="nil"/>
              <w:left w:val="nil"/>
              <w:bottom w:val="nil"/>
              <w:right w:val="single" w:sz="4" w:space="0" w:color="auto"/>
            </w:tcBorders>
            <w:shd w:val="clear" w:color="auto" w:fill="auto"/>
            <w:noWrap/>
            <w:vAlign w:val="center"/>
            <w:hideMark/>
          </w:tcPr>
          <w:p w14:paraId="5776C75A" w14:textId="77777777" w:rsidR="005F5EE6" w:rsidRPr="005F5EE6" w:rsidRDefault="005F5EE6" w:rsidP="005F5EE6">
            <w:pPr>
              <w:spacing w:line="240" w:lineRule="auto"/>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c>
          <w:tcPr>
            <w:tcW w:w="1060" w:type="dxa"/>
            <w:tcBorders>
              <w:top w:val="nil"/>
              <w:left w:val="nil"/>
              <w:bottom w:val="nil"/>
              <w:right w:val="single" w:sz="4" w:space="0" w:color="auto"/>
            </w:tcBorders>
            <w:shd w:val="clear" w:color="auto" w:fill="auto"/>
            <w:noWrap/>
            <w:vAlign w:val="center"/>
            <w:hideMark/>
          </w:tcPr>
          <w:p w14:paraId="02CABAB7" w14:textId="77777777" w:rsidR="005F5EE6" w:rsidRPr="005F5EE6" w:rsidRDefault="005F5EE6" w:rsidP="005F5EE6">
            <w:pPr>
              <w:spacing w:line="240" w:lineRule="auto"/>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c>
          <w:tcPr>
            <w:tcW w:w="1060" w:type="dxa"/>
            <w:tcBorders>
              <w:top w:val="nil"/>
              <w:left w:val="nil"/>
              <w:bottom w:val="nil"/>
              <w:right w:val="single" w:sz="4" w:space="0" w:color="auto"/>
            </w:tcBorders>
            <w:shd w:val="clear" w:color="auto" w:fill="auto"/>
            <w:noWrap/>
            <w:vAlign w:val="center"/>
            <w:hideMark/>
          </w:tcPr>
          <w:p w14:paraId="3669AAFD" w14:textId="77777777" w:rsidR="005F5EE6" w:rsidRPr="005F5EE6" w:rsidRDefault="005F5EE6" w:rsidP="005F5EE6">
            <w:pPr>
              <w:spacing w:line="240" w:lineRule="auto"/>
              <w:rPr>
                <w:rFonts w:eastAsia="Times New Roman" w:cs="Calibri"/>
                <w:b/>
                <w:bCs/>
                <w:color w:val="000000"/>
                <w:sz w:val="20"/>
                <w:szCs w:val="20"/>
                <w:lang w:eastAsia="en-GB"/>
              </w:rPr>
            </w:pPr>
            <w:r w:rsidRPr="005F5EE6">
              <w:rPr>
                <w:rFonts w:eastAsia="Times New Roman" w:cs="Calibri"/>
                <w:b/>
                <w:bCs/>
                <w:color w:val="000000"/>
                <w:sz w:val="20"/>
                <w:szCs w:val="20"/>
                <w:lang w:eastAsia="en-GB"/>
              </w:rPr>
              <w:t> </w:t>
            </w:r>
          </w:p>
        </w:tc>
      </w:tr>
      <w:tr w:rsidR="005F5EE6" w:rsidRPr="005F5EE6" w14:paraId="2F3E9FDB" w14:textId="77777777" w:rsidTr="005F5EE6">
        <w:trPr>
          <w:trHeight w:val="288"/>
        </w:trPr>
        <w:tc>
          <w:tcPr>
            <w:tcW w:w="3720" w:type="dxa"/>
            <w:tcBorders>
              <w:top w:val="nil"/>
              <w:left w:val="single" w:sz="4" w:space="0" w:color="auto"/>
              <w:bottom w:val="single" w:sz="4" w:space="0" w:color="auto"/>
              <w:right w:val="single" w:sz="4" w:space="0" w:color="auto"/>
            </w:tcBorders>
            <w:shd w:val="clear" w:color="auto" w:fill="auto"/>
            <w:noWrap/>
            <w:vAlign w:val="center"/>
            <w:hideMark/>
          </w:tcPr>
          <w:p w14:paraId="1669C669" w14:textId="77777777" w:rsidR="005F5EE6" w:rsidRPr="005F5EE6" w:rsidRDefault="005F5EE6" w:rsidP="005F5EE6">
            <w:pPr>
              <w:spacing w:line="240" w:lineRule="auto"/>
              <w:rPr>
                <w:rFonts w:eastAsia="Times New Roman" w:cs="Calibri"/>
                <w:b/>
                <w:bCs/>
                <w:color w:val="000000"/>
                <w:sz w:val="20"/>
                <w:szCs w:val="20"/>
                <w:lang w:eastAsia="en-GB"/>
              </w:rPr>
            </w:pPr>
            <w:r w:rsidRPr="005F5EE6">
              <w:rPr>
                <w:rFonts w:eastAsia="Times New Roman" w:cs="Calibri"/>
                <w:b/>
                <w:bCs/>
                <w:color w:val="000000"/>
                <w:sz w:val="20"/>
                <w:szCs w:val="20"/>
                <w:lang w:eastAsia="en-GB"/>
              </w:rPr>
              <w:t>Total Reserves</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72ED72D2" w14:textId="77777777" w:rsidR="005F5EE6" w:rsidRPr="005F5EE6" w:rsidRDefault="005F5EE6" w:rsidP="005F5EE6">
            <w:pPr>
              <w:spacing w:line="240" w:lineRule="auto"/>
              <w:jc w:val="right"/>
              <w:rPr>
                <w:rFonts w:eastAsia="Times New Roman" w:cs="Calibri"/>
                <w:b/>
                <w:bCs/>
                <w:color w:val="000000"/>
                <w:sz w:val="20"/>
                <w:szCs w:val="20"/>
                <w:lang w:eastAsia="en-GB"/>
              </w:rPr>
            </w:pPr>
            <w:r w:rsidRPr="005F5EE6">
              <w:rPr>
                <w:rFonts w:eastAsia="Times New Roman" w:cs="Calibri"/>
                <w:b/>
                <w:bCs/>
                <w:color w:val="000000"/>
                <w:sz w:val="20"/>
                <w:szCs w:val="20"/>
                <w:lang w:eastAsia="en-GB"/>
              </w:rPr>
              <w:t>5.321</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1A5AE9D6" w14:textId="77777777" w:rsidR="005F5EE6" w:rsidRPr="005F5EE6" w:rsidRDefault="005F5EE6" w:rsidP="005F5EE6">
            <w:pPr>
              <w:spacing w:line="240" w:lineRule="auto"/>
              <w:jc w:val="right"/>
              <w:rPr>
                <w:rFonts w:eastAsia="Times New Roman" w:cs="Calibri"/>
                <w:b/>
                <w:bCs/>
                <w:color w:val="000000"/>
                <w:sz w:val="20"/>
                <w:szCs w:val="20"/>
                <w:lang w:eastAsia="en-GB"/>
              </w:rPr>
            </w:pPr>
            <w:r w:rsidRPr="005F5EE6">
              <w:rPr>
                <w:rFonts w:eastAsia="Times New Roman" w:cs="Calibri"/>
                <w:b/>
                <w:bCs/>
                <w:color w:val="000000"/>
                <w:sz w:val="20"/>
                <w:szCs w:val="20"/>
                <w:lang w:eastAsia="en-GB"/>
              </w:rPr>
              <w:t>3.420</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2CC980D9" w14:textId="77777777" w:rsidR="005F5EE6" w:rsidRPr="005F5EE6" w:rsidRDefault="005F5EE6" w:rsidP="005F5EE6">
            <w:pPr>
              <w:spacing w:line="240" w:lineRule="auto"/>
              <w:jc w:val="right"/>
              <w:rPr>
                <w:rFonts w:eastAsia="Times New Roman" w:cs="Calibri"/>
                <w:b/>
                <w:bCs/>
                <w:color w:val="000000"/>
                <w:sz w:val="20"/>
                <w:szCs w:val="20"/>
                <w:lang w:eastAsia="en-GB"/>
              </w:rPr>
            </w:pPr>
            <w:r w:rsidRPr="005F5EE6">
              <w:rPr>
                <w:rFonts w:eastAsia="Times New Roman" w:cs="Calibri"/>
                <w:b/>
                <w:bCs/>
                <w:color w:val="000000"/>
                <w:sz w:val="20"/>
                <w:szCs w:val="20"/>
                <w:lang w:eastAsia="en-GB"/>
              </w:rPr>
              <w:t>3.227</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4960D0F5" w14:textId="77777777" w:rsidR="005F5EE6" w:rsidRPr="005F5EE6" w:rsidRDefault="005F5EE6" w:rsidP="005F5EE6">
            <w:pPr>
              <w:spacing w:line="240" w:lineRule="auto"/>
              <w:jc w:val="right"/>
              <w:rPr>
                <w:rFonts w:eastAsia="Times New Roman" w:cs="Calibri"/>
                <w:b/>
                <w:bCs/>
                <w:color w:val="000000"/>
                <w:sz w:val="20"/>
                <w:szCs w:val="20"/>
                <w:lang w:eastAsia="en-GB"/>
              </w:rPr>
            </w:pPr>
            <w:r w:rsidRPr="005F5EE6">
              <w:rPr>
                <w:rFonts w:eastAsia="Times New Roman" w:cs="Calibri"/>
                <w:b/>
                <w:bCs/>
                <w:color w:val="000000"/>
                <w:sz w:val="20"/>
                <w:szCs w:val="20"/>
                <w:lang w:eastAsia="en-GB"/>
              </w:rPr>
              <w:t>3.418</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223D35D3" w14:textId="77777777" w:rsidR="005F5EE6" w:rsidRPr="005F5EE6" w:rsidRDefault="005F5EE6" w:rsidP="005F5EE6">
            <w:pPr>
              <w:spacing w:line="240" w:lineRule="auto"/>
              <w:jc w:val="right"/>
              <w:rPr>
                <w:rFonts w:eastAsia="Times New Roman" w:cs="Calibri"/>
                <w:b/>
                <w:bCs/>
                <w:color w:val="000000"/>
                <w:sz w:val="20"/>
                <w:szCs w:val="20"/>
                <w:lang w:eastAsia="en-GB"/>
              </w:rPr>
            </w:pPr>
            <w:r w:rsidRPr="005F5EE6">
              <w:rPr>
                <w:rFonts w:eastAsia="Times New Roman" w:cs="Calibri"/>
                <w:b/>
                <w:bCs/>
                <w:color w:val="000000"/>
                <w:sz w:val="20"/>
                <w:szCs w:val="20"/>
                <w:lang w:eastAsia="en-GB"/>
              </w:rPr>
              <w:t>3.609</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2146ABEE" w14:textId="77777777" w:rsidR="005F5EE6" w:rsidRPr="005F5EE6" w:rsidRDefault="005F5EE6" w:rsidP="005F5EE6">
            <w:pPr>
              <w:spacing w:line="240" w:lineRule="auto"/>
              <w:jc w:val="right"/>
              <w:rPr>
                <w:rFonts w:eastAsia="Times New Roman" w:cs="Calibri"/>
                <w:b/>
                <w:bCs/>
                <w:color w:val="000000"/>
                <w:sz w:val="20"/>
                <w:szCs w:val="20"/>
                <w:lang w:eastAsia="en-GB"/>
              </w:rPr>
            </w:pPr>
            <w:r w:rsidRPr="005F5EE6">
              <w:rPr>
                <w:rFonts w:eastAsia="Times New Roman" w:cs="Calibri"/>
                <w:b/>
                <w:bCs/>
                <w:color w:val="000000"/>
                <w:sz w:val="20"/>
                <w:szCs w:val="20"/>
                <w:lang w:eastAsia="en-GB"/>
              </w:rPr>
              <w:t>3.800</w:t>
            </w:r>
          </w:p>
        </w:tc>
      </w:tr>
    </w:tbl>
    <w:p w14:paraId="3ADDAD41" w14:textId="70238281" w:rsidR="00F115BD" w:rsidRPr="00FA4C3E" w:rsidRDefault="00F115BD" w:rsidP="00EF3054">
      <w:pPr>
        <w:jc w:val="center"/>
        <w:rPr>
          <w:b/>
        </w:rPr>
      </w:pPr>
    </w:p>
    <w:p w14:paraId="6A14EF3A" w14:textId="77777777" w:rsidR="00957066" w:rsidRPr="00F438EF" w:rsidRDefault="00957066" w:rsidP="00957066">
      <w:pPr>
        <w:spacing w:line="240" w:lineRule="auto"/>
        <w:rPr>
          <w:rFonts w:asciiTheme="minorHAnsi" w:eastAsia="Times New Roman" w:hAnsiTheme="minorHAnsi" w:cstheme="minorHAnsi"/>
          <w:b/>
          <w:sz w:val="20"/>
          <w:szCs w:val="20"/>
        </w:rPr>
      </w:pPr>
      <w:r w:rsidRPr="00F438EF">
        <w:rPr>
          <w:rFonts w:asciiTheme="minorHAnsi" w:eastAsia="Times New Roman" w:hAnsiTheme="minorHAnsi" w:cstheme="minorHAnsi"/>
          <w:bCs/>
          <w:i/>
          <w:iCs/>
          <w:sz w:val="20"/>
          <w:szCs w:val="20"/>
          <w:lang w:val="en"/>
        </w:rPr>
        <w:t>Note: numbers may not sum due to rounding</w:t>
      </w:r>
    </w:p>
    <w:p w14:paraId="16B99EFC" w14:textId="77777777" w:rsidR="00957066" w:rsidRPr="00EF3054" w:rsidRDefault="00957066" w:rsidP="00EF3054">
      <w:pPr>
        <w:jc w:val="center"/>
        <w:rPr>
          <w:b/>
        </w:rPr>
      </w:pPr>
    </w:p>
    <w:sectPr w:rsidR="00957066" w:rsidRPr="00EF3054" w:rsidSect="00E02D66">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DC6DBE" w14:textId="77777777" w:rsidR="005454FF" w:rsidRDefault="005454FF" w:rsidP="008B7473">
      <w:pPr>
        <w:spacing w:line="240" w:lineRule="auto"/>
      </w:pPr>
      <w:r>
        <w:separator/>
      </w:r>
    </w:p>
  </w:endnote>
  <w:endnote w:type="continuationSeparator" w:id="0">
    <w:p w14:paraId="3E3BB044" w14:textId="77777777" w:rsidR="005454FF" w:rsidRDefault="005454FF" w:rsidP="008B74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85D77" w14:textId="77777777" w:rsidR="00F115BD" w:rsidRDefault="00F115B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1C658BF" w14:textId="77777777" w:rsidR="00F115BD" w:rsidRDefault="00F115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336B7" w14:textId="523CDFA7" w:rsidR="00F115BD" w:rsidRPr="00FA4108" w:rsidRDefault="00FF5C8B">
    <w:pPr>
      <w:pStyle w:val="Footer"/>
      <w:rPr>
        <w:sz w:val="20"/>
        <w:szCs w:val="20"/>
      </w:rPr>
    </w:pPr>
    <w:r w:rsidRPr="00FA4108">
      <w:rPr>
        <w:sz w:val="20"/>
        <w:szCs w:val="20"/>
      </w:rPr>
      <w:t>FIRE</w:t>
    </w:r>
    <w:r w:rsidRPr="00FA4108">
      <w:rPr>
        <w:sz w:val="20"/>
        <w:szCs w:val="20"/>
      </w:rPr>
      <w:ptab w:relativeTo="margin" w:alignment="right" w:leader="none"/>
    </w:r>
    <w:r w:rsidRPr="00FA4108">
      <w:rPr>
        <w:sz w:val="20"/>
        <w:szCs w:val="20"/>
      </w:rPr>
      <w:fldChar w:fldCharType="begin"/>
    </w:r>
    <w:r w:rsidRPr="00FA4108">
      <w:rPr>
        <w:sz w:val="20"/>
        <w:szCs w:val="20"/>
      </w:rPr>
      <w:instrText>PAGE   \* MERGEFORMAT</w:instrText>
    </w:r>
    <w:r w:rsidRPr="00FA4108">
      <w:rPr>
        <w:sz w:val="20"/>
        <w:szCs w:val="20"/>
      </w:rPr>
      <w:fldChar w:fldCharType="separate"/>
    </w:r>
    <w:r w:rsidRPr="00FA4108">
      <w:rPr>
        <w:sz w:val="20"/>
        <w:szCs w:val="20"/>
      </w:rPr>
      <w:t>1</w:t>
    </w:r>
    <w:r w:rsidRPr="00FA4108">
      <w:rP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F1FF8" w14:textId="77777777" w:rsidR="00F4100B" w:rsidRDefault="00F4100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46582" w14:textId="77777777" w:rsidR="00F4100B" w:rsidRDefault="00F4100B"/>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D5B50" w14:textId="77777777" w:rsidR="00F4100B" w:rsidRDefault="00F410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35686C" w14:textId="77777777" w:rsidR="005454FF" w:rsidRDefault="005454FF" w:rsidP="008B7473">
      <w:pPr>
        <w:spacing w:line="240" w:lineRule="auto"/>
      </w:pPr>
      <w:r>
        <w:separator/>
      </w:r>
    </w:p>
  </w:footnote>
  <w:footnote w:type="continuationSeparator" w:id="0">
    <w:p w14:paraId="56768947" w14:textId="77777777" w:rsidR="005454FF" w:rsidRDefault="005454FF" w:rsidP="008B747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CF06E" w14:textId="77777777" w:rsidR="00F4100B" w:rsidRDefault="00F410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AE8B5" w14:textId="77777777" w:rsidR="00F4100B" w:rsidRPr="008B7473" w:rsidRDefault="00F4100B" w:rsidP="008B7473">
    <w:pPr>
      <w:pStyle w:val="Header"/>
      <w:jc w:val="center"/>
    </w:pPr>
  </w:p>
  <w:p w14:paraId="0F6E4531" w14:textId="77777777" w:rsidR="00F4100B" w:rsidRDefault="00F4100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EF782" w14:textId="77777777" w:rsidR="00F4100B" w:rsidRDefault="00F410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D5AB3"/>
    <w:multiLevelType w:val="hybridMultilevel"/>
    <w:tmpl w:val="C2D2A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506547"/>
    <w:multiLevelType w:val="hybridMultilevel"/>
    <w:tmpl w:val="3CE8F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D94C30"/>
    <w:multiLevelType w:val="multilevel"/>
    <w:tmpl w:val="19BC8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BD39FE"/>
    <w:multiLevelType w:val="hybridMultilevel"/>
    <w:tmpl w:val="260CF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322E48"/>
    <w:multiLevelType w:val="hybridMultilevel"/>
    <w:tmpl w:val="5726B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817561"/>
    <w:multiLevelType w:val="multilevel"/>
    <w:tmpl w:val="1BC26A64"/>
    <w:lvl w:ilvl="0">
      <w:start w:val="1"/>
      <w:numFmt w:val="decimal"/>
      <w:lvlText w:val="%1."/>
      <w:lvlJc w:val="left"/>
      <w:pPr>
        <w:ind w:left="567" w:hanging="567"/>
      </w:pPr>
      <w:rPr>
        <w:rFonts w:hint="default"/>
        <w:b w:val="0"/>
        <w:bCs/>
        <w:i w:val="0"/>
        <w:iCs w:val="0"/>
      </w:rPr>
    </w:lvl>
    <w:lvl w:ilvl="1">
      <w:start w:val="1"/>
      <w:numFmt w:val="lowerLetter"/>
      <w:lvlText w:val="%2."/>
      <w:lvlJc w:val="left"/>
      <w:pPr>
        <w:ind w:left="1134" w:hanging="567"/>
      </w:pPr>
      <w:rPr>
        <w:rFonts w:hint="default"/>
      </w:rPr>
    </w:lvl>
    <w:lvl w:ilvl="2">
      <w:start w:val="1"/>
      <w:numFmt w:val="bullet"/>
      <w:lvlText w:val=""/>
      <w:lvlJc w:val="left"/>
      <w:pPr>
        <w:ind w:left="1701" w:hanging="567"/>
      </w:pPr>
      <w:rPr>
        <w:rFonts w:ascii="Symbol" w:hAnsi="Symbol"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C573AFB"/>
    <w:multiLevelType w:val="hybridMultilevel"/>
    <w:tmpl w:val="FFBC874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140236"/>
    <w:multiLevelType w:val="hybridMultilevel"/>
    <w:tmpl w:val="5CD4B0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86221A"/>
    <w:multiLevelType w:val="hybridMultilevel"/>
    <w:tmpl w:val="D3FAA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104CCE"/>
    <w:multiLevelType w:val="hybridMultilevel"/>
    <w:tmpl w:val="8C44A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625B79"/>
    <w:multiLevelType w:val="hybridMultilevel"/>
    <w:tmpl w:val="9196B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793D30"/>
    <w:multiLevelType w:val="multilevel"/>
    <w:tmpl w:val="42DC8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A34ECB"/>
    <w:multiLevelType w:val="hybridMultilevel"/>
    <w:tmpl w:val="2C200B7E"/>
    <w:lvl w:ilvl="0" w:tplc="308E370E">
      <w:start w:val="1"/>
      <w:numFmt w:val="decimal"/>
      <w:pStyle w:val="PanelPara"/>
      <w:lvlText w:val="%1."/>
      <w:lvlJc w:val="left"/>
      <w:pPr>
        <w:ind w:left="720" w:hanging="360"/>
      </w:pPr>
      <w:rPr>
        <w:rFonts w:hint="default"/>
        <w:b w:val="0"/>
        <w:bCs w:val="0"/>
        <w:i w:val="0"/>
        <w:iCs w:val="0"/>
      </w:rPr>
    </w:lvl>
    <w:lvl w:ilvl="1" w:tplc="0726BE4A">
      <w:start w:val="1"/>
      <w:numFmt w:val="lowerLetter"/>
      <w:pStyle w:val="PanelPara2"/>
      <w:lvlText w:val="%2."/>
      <w:lvlJc w:val="left"/>
      <w:pPr>
        <w:ind w:left="1440" w:hanging="360"/>
      </w:pPr>
      <w:rPr>
        <w:b w:val="0"/>
        <w:bCs w:val="0"/>
      </w:rPr>
    </w:lvl>
    <w:lvl w:ilvl="2" w:tplc="03C4D3EA">
      <w:start w:val="1"/>
      <w:numFmt w:val="bullet"/>
      <w:pStyle w:val="PanelBullet"/>
      <w:lvlText w:val=""/>
      <w:lvlJc w:val="left"/>
      <w:pPr>
        <w:ind w:left="2340" w:hanging="360"/>
      </w:pPr>
      <w:rPr>
        <w:rFonts w:ascii="Symbol" w:hAnsi="Symbol" w:hint="default"/>
      </w:r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1A31BFF"/>
    <w:multiLevelType w:val="hybridMultilevel"/>
    <w:tmpl w:val="79729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191332"/>
    <w:multiLevelType w:val="multilevel"/>
    <w:tmpl w:val="1BC26A64"/>
    <w:lvl w:ilvl="0">
      <w:start w:val="1"/>
      <w:numFmt w:val="decimal"/>
      <w:lvlText w:val="%1."/>
      <w:lvlJc w:val="left"/>
      <w:pPr>
        <w:ind w:left="567" w:hanging="567"/>
      </w:pPr>
      <w:rPr>
        <w:rFonts w:hint="default"/>
        <w:b w:val="0"/>
        <w:bCs/>
        <w:i w:val="0"/>
        <w:iCs w:val="0"/>
      </w:rPr>
    </w:lvl>
    <w:lvl w:ilvl="1">
      <w:start w:val="1"/>
      <w:numFmt w:val="lowerLetter"/>
      <w:lvlText w:val="%2."/>
      <w:lvlJc w:val="left"/>
      <w:pPr>
        <w:ind w:left="1134" w:hanging="567"/>
      </w:pPr>
      <w:rPr>
        <w:rFonts w:hint="default"/>
      </w:rPr>
    </w:lvl>
    <w:lvl w:ilvl="2">
      <w:start w:val="1"/>
      <w:numFmt w:val="bullet"/>
      <w:lvlText w:val=""/>
      <w:lvlJc w:val="left"/>
      <w:pPr>
        <w:ind w:left="1701" w:hanging="567"/>
      </w:pPr>
      <w:rPr>
        <w:rFonts w:ascii="Symbol" w:hAnsi="Symbol"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5D1B210C"/>
    <w:multiLevelType w:val="hybridMultilevel"/>
    <w:tmpl w:val="C9BEF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00141E2"/>
    <w:multiLevelType w:val="multilevel"/>
    <w:tmpl w:val="8432EB84"/>
    <w:lvl w:ilvl="0">
      <w:start w:val="1"/>
      <w:numFmt w:val="decimal"/>
      <w:pStyle w:val="ReservesHeading"/>
      <w:lvlText w:val="%1."/>
      <w:lvlJc w:val="left"/>
      <w:pPr>
        <w:ind w:left="360" w:hanging="360"/>
      </w:pPr>
    </w:lvl>
    <w:lvl w:ilvl="1">
      <w:start w:val="1"/>
      <w:numFmt w:val="decimal"/>
      <w:pStyle w:val="ReservesBody"/>
      <w:lvlText w:val="%1.%2."/>
      <w:lvlJc w:val="left"/>
      <w:pPr>
        <w:ind w:left="792" w:hanging="432"/>
      </w:pPr>
      <w:rPr>
        <w:i w:val="0"/>
        <w:iCs/>
      </w:rPr>
    </w:lvl>
    <w:lvl w:ilvl="2">
      <w:start w:val="1"/>
      <w:numFmt w:val="bullet"/>
      <w:pStyle w:val="Reservesbullet"/>
      <w:lvlText w:val=""/>
      <w:lvlJc w:val="left"/>
      <w:pPr>
        <w:ind w:left="1080" w:hanging="360"/>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CD7365E"/>
    <w:multiLevelType w:val="hybridMultilevel"/>
    <w:tmpl w:val="D7A8F78C"/>
    <w:lvl w:ilvl="0" w:tplc="A6A46ED2">
      <w:start w:val="192"/>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F707A2E"/>
    <w:multiLevelType w:val="hybridMultilevel"/>
    <w:tmpl w:val="23782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2D07622"/>
    <w:multiLevelType w:val="hybridMultilevel"/>
    <w:tmpl w:val="72FA5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3402062"/>
    <w:multiLevelType w:val="hybridMultilevel"/>
    <w:tmpl w:val="F3BACD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A141D02"/>
    <w:multiLevelType w:val="hybridMultilevel"/>
    <w:tmpl w:val="1136AB68"/>
    <w:lvl w:ilvl="0" w:tplc="F5902C62">
      <w:start w:val="1"/>
      <w:numFmt w:val="lowerLetter"/>
      <w:lvlText w:val="%1."/>
      <w:lvlJc w:val="left"/>
      <w:pPr>
        <w:ind w:left="92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1974621">
    <w:abstractNumId w:val="20"/>
  </w:num>
  <w:num w:numId="2" w16cid:durableId="1473012678">
    <w:abstractNumId w:val="13"/>
  </w:num>
  <w:num w:numId="3" w16cid:durableId="635138613">
    <w:abstractNumId w:val="19"/>
  </w:num>
  <w:num w:numId="4" w16cid:durableId="823424949">
    <w:abstractNumId w:val="15"/>
  </w:num>
  <w:num w:numId="5" w16cid:durableId="2134053110">
    <w:abstractNumId w:val="10"/>
  </w:num>
  <w:num w:numId="6" w16cid:durableId="267733528">
    <w:abstractNumId w:val="12"/>
  </w:num>
  <w:num w:numId="7" w16cid:durableId="389572821">
    <w:abstractNumId w:val="14"/>
  </w:num>
  <w:num w:numId="8" w16cid:durableId="63263824">
    <w:abstractNumId w:val="16"/>
  </w:num>
  <w:num w:numId="9" w16cid:durableId="271985667">
    <w:abstractNumId w:val="3"/>
  </w:num>
  <w:num w:numId="10" w16cid:durableId="1417168264">
    <w:abstractNumId w:val="5"/>
  </w:num>
  <w:num w:numId="11" w16cid:durableId="3560761">
    <w:abstractNumId w:val="9"/>
  </w:num>
  <w:num w:numId="12" w16cid:durableId="1538935245">
    <w:abstractNumId w:val="0"/>
  </w:num>
  <w:num w:numId="13" w16cid:durableId="1202403978">
    <w:abstractNumId w:val="18"/>
  </w:num>
  <w:num w:numId="14" w16cid:durableId="598221737">
    <w:abstractNumId w:val="8"/>
  </w:num>
  <w:num w:numId="15" w16cid:durableId="126120067">
    <w:abstractNumId w:val="1"/>
  </w:num>
  <w:num w:numId="16" w16cid:durableId="1222449521">
    <w:abstractNumId w:val="7"/>
  </w:num>
  <w:num w:numId="17" w16cid:durableId="1363478520">
    <w:abstractNumId w:val="17"/>
  </w:num>
  <w:num w:numId="18" w16cid:durableId="501631337">
    <w:abstractNumId w:val="2"/>
  </w:num>
  <w:num w:numId="19" w16cid:durableId="339697844">
    <w:abstractNumId w:val="4"/>
  </w:num>
  <w:num w:numId="20" w16cid:durableId="1111437214">
    <w:abstractNumId w:val="11"/>
  </w:num>
  <w:num w:numId="21" w16cid:durableId="565456222">
    <w:abstractNumId w:val="6"/>
  </w:num>
  <w:num w:numId="22" w16cid:durableId="2004966507">
    <w:abstractNumId w:val="2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69D6"/>
    <w:rsid w:val="00000509"/>
    <w:rsid w:val="00000520"/>
    <w:rsid w:val="00001328"/>
    <w:rsid w:val="00001BB6"/>
    <w:rsid w:val="00003EF6"/>
    <w:rsid w:val="00004738"/>
    <w:rsid w:val="0000490D"/>
    <w:rsid w:val="000107E2"/>
    <w:rsid w:val="000117A6"/>
    <w:rsid w:val="0001195A"/>
    <w:rsid w:val="000139F2"/>
    <w:rsid w:val="000143C4"/>
    <w:rsid w:val="00017422"/>
    <w:rsid w:val="000201F9"/>
    <w:rsid w:val="00020C70"/>
    <w:rsid w:val="00021874"/>
    <w:rsid w:val="00021940"/>
    <w:rsid w:val="000249E2"/>
    <w:rsid w:val="00025636"/>
    <w:rsid w:val="00030825"/>
    <w:rsid w:val="00031074"/>
    <w:rsid w:val="00034EB5"/>
    <w:rsid w:val="00035FDC"/>
    <w:rsid w:val="00040449"/>
    <w:rsid w:val="0004158E"/>
    <w:rsid w:val="00044BFF"/>
    <w:rsid w:val="00052820"/>
    <w:rsid w:val="000532B4"/>
    <w:rsid w:val="00053369"/>
    <w:rsid w:val="00054D94"/>
    <w:rsid w:val="000566DF"/>
    <w:rsid w:val="00057EAA"/>
    <w:rsid w:val="000625A6"/>
    <w:rsid w:val="00062F65"/>
    <w:rsid w:val="00063DED"/>
    <w:rsid w:val="000641E8"/>
    <w:rsid w:val="000659CF"/>
    <w:rsid w:val="000713E6"/>
    <w:rsid w:val="00071BDF"/>
    <w:rsid w:val="000725CF"/>
    <w:rsid w:val="00074D41"/>
    <w:rsid w:val="00076099"/>
    <w:rsid w:val="00076927"/>
    <w:rsid w:val="00077CA8"/>
    <w:rsid w:val="0008004F"/>
    <w:rsid w:val="00080D8C"/>
    <w:rsid w:val="00080E5A"/>
    <w:rsid w:val="000827F0"/>
    <w:rsid w:val="000827F1"/>
    <w:rsid w:val="000833F3"/>
    <w:rsid w:val="000836B9"/>
    <w:rsid w:val="000858DF"/>
    <w:rsid w:val="00085B04"/>
    <w:rsid w:val="00085EFA"/>
    <w:rsid w:val="000877B3"/>
    <w:rsid w:val="00090459"/>
    <w:rsid w:val="000937CF"/>
    <w:rsid w:val="00093D14"/>
    <w:rsid w:val="000949B7"/>
    <w:rsid w:val="00095FC7"/>
    <w:rsid w:val="00096589"/>
    <w:rsid w:val="00097D5E"/>
    <w:rsid w:val="000A0A55"/>
    <w:rsid w:val="000A0AFB"/>
    <w:rsid w:val="000A1215"/>
    <w:rsid w:val="000A1296"/>
    <w:rsid w:val="000A1BB5"/>
    <w:rsid w:val="000A1DFA"/>
    <w:rsid w:val="000A4FAF"/>
    <w:rsid w:val="000A77F0"/>
    <w:rsid w:val="000A7C1D"/>
    <w:rsid w:val="000B0DB2"/>
    <w:rsid w:val="000B25F3"/>
    <w:rsid w:val="000B2F67"/>
    <w:rsid w:val="000B4203"/>
    <w:rsid w:val="000B6B36"/>
    <w:rsid w:val="000C2930"/>
    <w:rsid w:val="000C45EA"/>
    <w:rsid w:val="000C6AF3"/>
    <w:rsid w:val="000C77AF"/>
    <w:rsid w:val="000D033B"/>
    <w:rsid w:val="000D3FDC"/>
    <w:rsid w:val="000D54E6"/>
    <w:rsid w:val="000D63B7"/>
    <w:rsid w:val="000D69AD"/>
    <w:rsid w:val="000E0FA1"/>
    <w:rsid w:val="000E3187"/>
    <w:rsid w:val="000E3592"/>
    <w:rsid w:val="000E35D2"/>
    <w:rsid w:val="000E43A3"/>
    <w:rsid w:val="000E5F87"/>
    <w:rsid w:val="000E78A0"/>
    <w:rsid w:val="000E7A5D"/>
    <w:rsid w:val="000F0DD3"/>
    <w:rsid w:val="000F12A8"/>
    <w:rsid w:val="000F4427"/>
    <w:rsid w:val="000F4B4A"/>
    <w:rsid w:val="000F7223"/>
    <w:rsid w:val="00101736"/>
    <w:rsid w:val="001066CF"/>
    <w:rsid w:val="00106757"/>
    <w:rsid w:val="00110C6F"/>
    <w:rsid w:val="00110E27"/>
    <w:rsid w:val="00111E24"/>
    <w:rsid w:val="00113415"/>
    <w:rsid w:val="00114269"/>
    <w:rsid w:val="0011485D"/>
    <w:rsid w:val="001171A6"/>
    <w:rsid w:val="00123782"/>
    <w:rsid w:val="00124159"/>
    <w:rsid w:val="001256C4"/>
    <w:rsid w:val="001306B5"/>
    <w:rsid w:val="0013118D"/>
    <w:rsid w:val="00136C60"/>
    <w:rsid w:val="00141288"/>
    <w:rsid w:val="00141870"/>
    <w:rsid w:val="0014427A"/>
    <w:rsid w:val="00144B22"/>
    <w:rsid w:val="00145044"/>
    <w:rsid w:val="00150A47"/>
    <w:rsid w:val="00152B93"/>
    <w:rsid w:val="00152D49"/>
    <w:rsid w:val="00152E7B"/>
    <w:rsid w:val="001535B1"/>
    <w:rsid w:val="001603AB"/>
    <w:rsid w:val="00160572"/>
    <w:rsid w:val="001638AD"/>
    <w:rsid w:val="00163A8D"/>
    <w:rsid w:val="0016619A"/>
    <w:rsid w:val="00166842"/>
    <w:rsid w:val="00170610"/>
    <w:rsid w:val="001713EB"/>
    <w:rsid w:val="001720D0"/>
    <w:rsid w:val="00173107"/>
    <w:rsid w:val="001733C8"/>
    <w:rsid w:val="0017545F"/>
    <w:rsid w:val="0017599E"/>
    <w:rsid w:val="00176903"/>
    <w:rsid w:val="0017694F"/>
    <w:rsid w:val="00176DC4"/>
    <w:rsid w:val="00180319"/>
    <w:rsid w:val="00184BF7"/>
    <w:rsid w:val="00186442"/>
    <w:rsid w:val="00190B72"/>
    <w:rsid w:val="001946E0"/>
    <w:rsid w:val="00195039"/>
    <w:rsid w:val="001972C4"/>
    <w:rsid w:val="001A1872"/>
    <w:rsid w:val="001A2092"/>
    <w:rsid w:val="001A3E21"/>
    <w:rsid w:val="001A6BFA"/>
    <w:rsid w:val="001A7B70"/>
    <w:rsid w:val="001B0876"/>
    <w:rsid w:val="001B0FA5"/>
    <w:rsid w:val="001B1E92"/>
    <w:rsid w:val="001B20EF"/>
    <w:rsid w:val="001B3EA3"/>
    <w:rsid w:val="001B4F2E"/>
    <w:rsid w:val="001B5AD6"/>
    <w:rsid w:val="001C32E6"/>
    <w:rsid w:val="001C4612"/>
    <w:rsid w:val="001D11DE"/>
    <w:rsid w:val="001D15C6"/>
    <w:rsid w:val="001D2459"/>
    <w:rsid w:val="001D2C10"/>
    <w:rsid w:val="001D3171"/>
    <w:rsid w:val="001D38A8"/>
    <w:rsid w:val="001D38B2"/>
    <w:rsid w:val="001D38F9"/>
    <w:rsid w:val="001D45A5"/>
    <w:rsid w:val="001D55FA"/>
    <w:rsid w:val="001E10E3"/>
    <w:rsid w:val="001E27E5"/>
    <w:rsid w:val="001E2D6F"/>
    <w:rsid w:val="001E61BE"/>
    <w:rsid w:val="001E6428"/>
    <w:rsid w:val="001E6880"/>
    <w:rsid w:val="001F0F83"/>
    <w:rsid w:val="001F587A"/>
    <w:rsid w:val="001F6989"/>
    <w:rsid w:val="001F7CE7"/>
    <w:rsid w:val="00200286"/>
    <w:rsid w:val="00201750"/>
    <w:rsid w:val="00203453"/>
    <w:rsid w:val="00203AAF"/>
    <w:rsid w:val="00205AAD"/>
    <w:rsid w:val="00206F72"/>
    <w:rsid w:val="002072FC"/>
    <w:rsid w:val="00210DFF"/>
    <w:rsid w:val="0021132A"/>
    <w:rsid w:val="00211F1A"/>
    <w:rsid w:val="00212327"/>
    <w:rsid w:val="002124FB"/>
    <w:rsid w:val="002125C2"/>
    <w:rsid w:val="00213BB1"/>
    <w:rsid w:val="0021623B"/>
    <w:rsid w:val="00217928"/>
    <w:rsid w:val="00217B88"/>
    <w:rsid w:val="002201AB"/>
    <w:rsid w:val="002201B9"/>
    <w:rsid w:val="002231A5"/>
    <w:rsid w:val="00224AFC"/>
    <w:rsid w:val="00224E1E"/>
    <w:rsid w:val="00227D1A"/>
    <w:rsid w:val="002307C3"/>
    <w:rsid w:val="00232B0F"/>
    <w:rsid w:val="002336B4"/>
    <w:rsid w:val="0023794A"/>
    <w:rsid w:val="00240256"/>
    <w:rsid w:val="0024161B"/>
    <w:rsid w:val="00242510"/>
    <w:rsid w:val="002433ED"/>
    <w:rsid w:val="00244366"/>
    <w:rsid w:val="002455CC"/>
    <w:rsid w:val="002464CA"/>
    <w:rsid w:val="002469AB"/>
    <w:rsid w:val="002478B9"/>
    <w:rsid w:val="00252D26"/>
    <w:rsid w:val="00253C0B"/>
    <w:rsid w:val="00256682"/>
    <w:rsid w:val="0026046C"/>
    <w:rsid w:val="00261263"/>
    <w:rsid w:val="002617A5"/>
    <w:rsid w:val="00263E8C"/>
    <w:rsid w:val="00264D9D"/>
    <w:rsid w:val="0026511C"/>
    <w:rsid w:val="002677DC"/>
    <w:rsid w:val="0027069C"/>
    <w:rsid w:val="0027196D"/>
    <w:rsid w:val="00273010"/>
    <w:rsid w:val="0027745A"/>
    <w:rsid w:val="00281527"/>
    <w:rsid w:val="00282AC6"/>
    <w:rsid w:val="00291E97"/>
    <w:rsid w:val="002942FC"/>
    <w:rsid w:val="00297A65"/>
    <w:rsid w:val="002A0550"/>
    <w:rsid w:val="002A0F54"/>
    <w:rsid w:val="002A2813"/>
    <w:rsid w:val="002A4535"/>
    <w:rsid w:val="002A4A3F"/>
    <w:rsid w:val="002A5432"/>
    <w:rsid w:val="002A5974"/>
    <w:rsid w:val="002A6633"/>
    <w:rsid w:val="002A67E1"/>
    <w:rsid w:val="002A7320"/>
    <w:rsid w:val="002A7A12"/>
    <w:rsid w:val="002B12B4"/>
    <w:rsid w:val="002B14F8"/>
    <w:rsid w:val="002B4BFE"/>
    <w:rsid w:val="002B586C"/>
    <w:rsid w:val="002C0234"/>
    <w:rsid w:val="002C03E8"/>
    <w:rsid w:val="002C0C90"/>
    <w:rsid w:val="002C1A75"/>
    <w:rsid w:val="002C1FBB"/>
    <w:rsid w:val="002C21A3"/>
    <w:rsid w:val="002C2B5D"/>
    <w:rsid w:val="002C4DB5"/>
    <w:rsid w:val="002C5C34"/>
    <w:rsid w:val="002C7710"/>
    <w:rsid w:val="002C7D89"/>
    <w:rsid w:val="002D393C"/>
    <w:rsid w:val="002D6993"/>
    <w:rsid w:val="002D6AA6"/>
    <w:rsid w:val="002E0207"/>
    <w:rsid w:val="002E07C3"/>
    <w:rsid w:val="002E0D24"/>
    <w:rsid w:val="002E15EF"/>
    <w:rsid w:val="002E38D7"/>
    <w:rsid w:val="002E509C"/>
    <w:rsid w:val="002E592E"/>
    <w:rsid w:val="002F0E55"/>
    <w:rsid w:val="002F12F7"/>
    <w:rsid w:val="002F25D8"/>
    <w:rsid w:val="002F2EF9"/>
    <w:rsid w:val="002F40BD"/>
    <w:rsid w:val="002F436F"/>
    <w:rsid w:val="002F5B6F"/>
    <w:rsid w:val="002F67D0"/>
    <w:rsid w:val="002F71D1"/>
    <w:rsid w:val="00300676"/>
    <w:rsid w:val="00306D43"/>
    <w:rsid w:val="0030759E"/>
    <w:rsid w:val="00307680"/>
    <w:rsid w:val="00307B74"/>
    <w:rsid w:val="00310079"/>
    <w:rsid w:val="00311209"/>
    <w:rsid w:val="003138C8"/>
    <w:rsid w:val="00316966"/>
    <w:rsid w:val="00316AA5"/>
    <w:rsid w:val="00316B97"/>
    <w:rsid w:val="0031719D"/>
    <w:rsid w:val="003204A0"/>
    <w:rsid w:val="0032205E"/>
    <w:rsid w:val="00324B40"/>
    <w:rsid w:val="00325554"/>
    <w:rsid w:val="00325769"/>
    <w:rsid w:val="00325C81"/>
    <w:rsid w:val="00325CC7"/>
    <w:rsid w:val="00326B5E"/>
    <w:rsid w:val="00327ADF"/>
    <w:rsid w:val="00327FAC"/>
    <w:rsid w:val="00330563"/>
    <w:rsid w:val="003319A8"/>
    <w:rsid w:val="00331DA8"/>
    <w:rsid w:val="0034131C"/>
    <w:rsid w:val="003432F7"/>
    <w:rsid w:val="00344718"/>
    <w:rsid w:val="00345BB9"/>
    <w:rsid w:val="00345F79"/>
    <w:rsid w:val="0034617D"/>
    <w:rsid w:val="00346B86"/>
    <w:rsid w:val="00347130"/>
    <w:rsid w:val="00350253"/>
    <w:rsid w:val="00352CDF"/>
    <w:rsid w:val="00353709"/>
    <w:rsid w:val="0035516C"/>
    <w:rsid w:val="00356802"/>
    <w:rsid w:val="00356B50"/>
    <w:rsid w:val="00357350"/>
    <w:rsid w:val="0036010F"/>
    <w:rsid w:val="00360495"/>
    <w:rsid w:val="003612D7"/>
    <w:rsid w:val="003621E3"/>
    <w:rsid w:val="00366013"/>
    <w:rsid w:val="00372DC3"/>
    <w:rsid w:val="00373F28"/>
    <w:rsid w:val="00374DD2"/>
    <w:rsid w:val="00375414"/>
    <w:rsid w:val="003757AA"/>
    <w:rsid w:val="00377422"/>
    <w:rsid w:val="003803AD"/>
    <w:rsid w:val="00381FA2"/>
    <w:rsid w:val="00382818"/>
    <w:rsid w:val="003839BD"/>
    <w:rsid w:val="003862BE"/>
    <w:rsid w:val="00390DAC"/>
    <w:rsid w:val="00392883"/>
    <w:rsid w:val="00393FE3"/>
    <w:rsid w:val="003941A5"/>
    <w:rsid w:val="003A09F8"/>
    <w:rsid w:val="003A185E"/>
    <w:rsid w:val="003A1A04"/>
    <w:rsid w:val="003A432E"/>
    <w:rsid w:val="003A55F5"/>
    <w:rsid w:val="003A623B"/>
    <w:rsid w:val="003B06F6"/>
    <w:rsid w:val="003B2C75"/>
    <w:rsid w:val="003B300B"/>
    <w:rsid w:val="003B3D3F"/>
    <w:rsid w:val="003B66A9"/>
    <w:rsid w:val="003B7D5D"/>
    <w:rsid w:val="003C093B"/>
    <w:rsid w:val="003C0D8C"/>
    <w:rsid w:val="003C4580"/>
    <w:rsid w:val="003C4ABC"/>
    <w:rsid w:val="003C55D5"/>
    <w:rsid w:val="003C582D"/>
    <w:rsid w:val="003C5986"/>
    <w:rsid w:val="003C6A2F"/>
    <w:rsid w:val="003D0134"/>
    <w:rsid w:val="003D2AB6"/>
    <w:rsid w:val="003D55D0"/>
    <w:rsid w:val="003D60F6"/>
    <w:rsid w:val="003D634A"/>
    <w:rsid w:val="003D6DAC"/>
    <w:rsid w:val="003D7EB9"/>
    <w:rsid w:val="003E291E"/>
    <w:rsid w:val="003E2C5F"/>
    <w:rsid w:val="003E384A"/>
    <w:rsid w:val="003E67A8"/>
    <w:rsid w:val="003F008F"/>
    <w:rsid w:val="003F03E3"/>
    <w:rsid w:val="003F0D6A"/>
    <w:rsid w:val="003F3CF0"/>
    <w:rsid w:val="003F70D0"/>
    <w:rsid w:val="00402579"/>
    <w:rsid w:val="0040314A"/>
    <w:rsid w:val="00403BB8"/>
    <w:rsid w:val="00405417"/>
    <w:rsid w:val="00405C42"/>
    <w:rsid w:val="004075E3"/>
    <w:rsid w:val="00410606"/>
    <w:rsid w:val="0041232D"/>
    <w:rsid w:val="00412A1A"/>
    <w:rsid w:val="00415734"/>
    <w:rsid w:val="004160E0"/>
    <w:rsid w:val="00417074"/>
    <w:rsid w:val="004202DC"/>
    <w:rsid w:val="004222BA"/>
    <w:rsid w:val="004242FB"/>
    <w:rsid w:val="004309F8"/>
    <w:rsid w:val="00430ADC"/>
    <w:rsid w:val="0043264C"/>
    <w:rsid w:val="00433905"/>
    <w:rsid w:val="00436912"/>
    <w:rsid w:val="00440E7B"/>
    <w:rsid w:val="004414E3"/>
    <w:rsid w:val="00441EF7"/>
    <w:rsid w:val="00442D89"/>
    <w:rsid w:val="00443389"/>
    <w:rsid w:val="00443A68"/>
    <w:rsid w:val="00444BEC"/>
    <w:rsid w:val="00445B65"/>
    <w:rsid w:val="00450555"/>
    <w:rsid w:val="00452247"/>
    <w:rsid w:val="00454617"/>
    <w:rsid w:val="00460C78"/>
    <w:rsid w:val="0046298F"/>
    <w:rsid w:val="004636B5"/>
    <w:rsid w:val="004652B9"/>
    <w:rsid w:val="00465386"/>
    <w:rsid w:val="0046656D"/>
    <w:rsid w:val="00466DD4"/>
    <w:rsid w:val="004715E3"/>
    <w:rsid w:val="00472A18"/>
    <w:rsid w:val="00474F2A"/>
    <w:rsid w:val="00474F97"/>
    <w:rsid w:val="00475162"/>
    <w:rsid w:val="00475D06"/>
    <w:rsid w:val="00477074"/>
    <w:rsid w:val="004777A1"/>
    <w:rsid w:val="00480243"/>
    <w:rsid w:val="00480296"/>
    <w:rsid w:val="00481E66"/>
    <w:rsid w:val="004826A0"/>
    <w:rsid w:val="00483217"/>
    <w:rsid w:val="004837A4"/>
    <w:rsid w:val="0048565A"/>
    <w:rsid w:val="00485C52"/>
    <w:rsid w:val="00485DFD"/>
    <w:rsid w:val="004862CF"/>
    <w:rsid w:val="004879E3"/>
    <w:rsid w:val="004909F4"/>
    <w:rsid w:val="00492E61"/>
    <w:rsid w:val="004936C0"/>
    <w:rsid w:val="00493F3C"/>
    <w:rsid w:val="004951D5"/>
    <w:rsid w:val="0049621D"/>
    <w:rsid w:val="00497F9F"/>
    <w:rsid w:val="004A00F7"/>
    <w:rsid w:val="004A058F"/>
    <w:rsid w:val="004A0A59"/>
    <w:rsid w:val="004A41CF"/>
    <w:rsid w:val="004A59B3"/>
    <w:rsid w:val="004A5C45"/>
    <w:rsid w:val="004A6926"/>
    <w:rsid w:val="004B3603"/>
    <w:rsid w:val="004B3B2B"/>
    <w:rsid w:val="004B566F"/>
    <w:rsid w:val="004B580C"/>
    <w:rsid w:val="004B5FAB"/>
    <w:rsid w:val="004B6F0B"/>
    <w:rsid w:val="004B7467"/>
    <w:rsid w:val="004C083D"/>
    <w:rsid w:val="004C1E3B"/>
    <w:rsid w:val="004C3815"/>
    <w:rsid w:val="004C5989"/>
    <w:rsid w:val="004C5EDF"/>
    <w:rsid w:val="004C6107"/>
    <w:rsid w:val="004C6A8C"/>
    <w:rsid w:val="004C787E"/>
    <w:rsid w:val="004D1F07"/>
    <w:rsid w:val="004D2895"/>
    <w:rsid w:val="004D3941"/>
    <w:rsid w:val="004D41C0"/>
    <w:rsid w:val="004D6FB2"/>
    <w:rsid w:val="004D799E"/>
    <w:rsid w:val="004E00ED"/>
    <w:rsid w:val="004E09C1"/>
    <w:rsid w:val="004E1242"/>
    <w:rsid w:val="004E1816"/>
    <w:rsid w:val="004E1FE1"/>
    <w:rsid w:val="004E24DC"/>
    <w:rsid w:val="004E3764"/>
    <w:rsid w:val="004E3993"/>
    <w:rsid w:val="004E43E1"/>
    <w:rsid w:val="004E492C"/>
    <w:rsid w:val="004F0728"/>
    <w:rsid w:val="004F31D7"/>
    <w:rsid w:val="004F4763"/>
    <w:rsid w:val="004F754D"/>
    <w:rsid w:val="005011AD"/>
    <w:rsid w:val="00501DCB"/>
    <w:rsid w:val="00504080"/>
    <w:rsid w:val="00505A6D"/>
    <w:rsid w:val="00505E77"/>
    <w:rsid w:val="00507598"/>
    <w:rsid w:val="00510EC4"/>
    <w:rsid w:val="0051282F"/>
    <w:rsid w:val="005131C5"/>
    <w:rsid w:val="005135B5"/>
    <w:rsid w:val="00513DB8"/>
    <w:rsid w:val="00515C5D"/>
    <w:rsid w:val="00517249"/>
    <w:rsid w:val="0051750C"/>
    <w:rsid w:val="0051765A"/>
    <w:rsid w:val="00517E2A"/>
    <w:rsid w:val="0052043B"/>
    <w:rsid w:val="005233E7"/>
    <w:rsid w:val="00524C96"/>
    <w:rsid w:val="00525E25"/>
    <w:rsid w:val="005266F8"/>
    <w:rsid w:val="0052769F"/>
    <w:rsid w:val="00530253"/>
    <w:rsid w:val="00531AAF"/>
    <w:rsid w:val="005321BC"/>
    <w:rsid w:val="005347E5"/>
    <w:rsid w:val="00534916"/>
    <w:rsid w:val="005416FC"/>
    <w:rsid w:val="0054433E"/>
    <w:rsid w:val="005445FA"/>
    <w:rsid w:val="0054521E"/>
    <w:rsid w:val="00545397"/>
    <w:rsid w:val="005454FF"/>
    <w:rsid w:val="00545517"/>
    <w:rsid w:val="00545CA8"/>
    <w:rsid w:val="005465AE"/>
    <w:rsid w:val="00553631"/>
    <w:rsid w:val="00553FA0"/>
    <w:rsid w:val="00554F7A"/>
    <w:rsid w:val="00555BD5"/>
    <w:rsid w:val="00556444"/>
    <w:rsid w:val="00556D06"/>
    <w:rsid w:val="0056081F"/>
    <w:rsid w:val="005632D7"/>
    <w:rsid w:val="00566A9A"/>
    <w:rsid w:val="00567F73"/>
    <w:rsid w:val="00571D45"/>
    <w:rsid w:val="00573227"/>
    <w:rsid w:val="005737F1"/>
    <w:rsid w:val="005751D3"/>
    <w:rsid w:val="00576105"/>
    <w:rsid w:val="00577522"/>
    <w:rsid w:val="00577789"/>
    <w:rsid w:val="00581C5C"/>
    <w:rsid w:val="00581F2C"/>
    <w:rsid w:val="00583413"/>
    <w:rsid w:val="0058465D"/>
    <w:rsid w:val="005850C8"/>
    <w:rsid w:val="005866E2"/>
    <w:rsid w:val="00590FA8"/>
    <w:rsid w:val="00592064"/>
    <w:rsid w:val="00592481"/>
    <w:rsid w:val="00592B61"/>
    <w:rsid w:val="00596D6D"/>
    <w:rsid w:val="005970A7"/>
    <w:rsid w:val="00597551"/>
    <w:rsid w:val="005A192C"/>
    <w:rsid w:val="005A2421"/>
    <w:rsid w:val="005A2A59"/>
    <w:rsid w:val="005A3AD5"/>
    <w:rsid w:val="005A451A"/>
    <w:rsid w:val="005A6827"/>
    <w:rsid w:val="005A743F"/>
    <w:rsid w:val="005B0E16"/>
    <w:rsid w:val="005B2230"/>
    <w:rsid w:val="005B2D82"/>
    <w:rsid w:val="005B362B"/>
    <w:rsid w:val="005B36E3"/>
    <w:rsid w:val="005B52D6"/>
    <w:rsid w:val="005B7AB8"/>
    <w:rsid w:val="005B7E37"/>
    <w:rsid w:val="005B7F15"/>
    <w:rsid w:val="005C0133"/>
    <w:rsid w:val="005C032A"/>
    <w:rsid w:val="005C15BE"/>
    <w:rsid w:val="005C2BC3"/>
    <w:rsid w:val="005C5E82"/>
    <w:rsid w:val="005C62BC"/>
    <w:rsid w:val="005D0A8D"/>
    <w:rsid w:val="005D2DA4"/>
    <w:rsid w:val="005D7E8E"/>
    <w:rsid w:val="005E07E0"/>
    <w:rsid w:val="005E30A1"/>
    <w:rsid w:val="005E55D6"/>
    <w:rsid w:val="005E59A5"/>
    <w:rsid w:val="005E6620"/>
    <w:rsid w:val="005E744A"/>
    <w:rsid w:val="005F1F9D"/>
    <w:rsid w:val="005F27C6"/>
    <w:rsid w:val="005F5983"/>
    <w:rsid w:val="005F5EE6"/>
    <w:rsid w:val="006014AB"/>
    <w:rsid w:val="0060386D"/>
    <w:rsid w:val="00603C70"/>
    <w:rsid w:val="00604389"/>
    <w:rsid w:val="00604DE9"/>
    <w:rsid w:val="00610EDE"/>
    <w:rsid w:val="00613696"/>
    <w:rsid w:val="00613FA4"/>
    <w:rsid w:val="0061459D"/>
    <w:rsid w:val="00621BBA"/>
    <w:rsid w:val="00623ECD"/>
    <w:rsid w:val="0062547F"/>
    <w:rsid w:val="0062567F"/>
    <w:rsid w:val="00626335"/>
    <w:rsid w:val="00627DE9"/>
    <w:rsid w:val="00630456"/>
    <w:rsid w:val="00631AB8"/>
    <w:rsid w:val="006353EC"/>
    <w:rsid w:val="006362C7"/>
    <w:rsid w:val="006376AA"/>
    <w:rsid w:val="006376AD"/>
    <w:rsid w:val="006437C2"/>
    <w:rsid w:val="00644F8B"/>
    <w:rsid w:val="00646AE0"/>
    <w:rsid w:val="006473E4"/>
    <w:rsid w:val="00647AF9"/>
    <w:rsid w:val="006500AF"/>
    <w:rsid w:val="0065046F"/>
    <w:rsid w:val="00652497"/>
    <w:rsid w:val="006525B4"/>
    <w:rsid w:val="006543AD"/>
    <w:rsid w:val="00654ADC"/>
    <w:rsid w:val="00657220"/>
    <w:rsid w:val="00660B65"/>
    <w:rsid w:val="00661683"/>
    <w:rsid w:val="00663A14"/>
    <w:rsid w:val="00663AE7"/>
    <w:rsid w:val="00663B57"/>
    <w:rsid w:val="0066419D"/>
    <w:rsid w:val="006642DA"/>
    <w:rsid w:val="00664418"/>
    <w:rsid w:val="006649CD"/>
    <w:rsid w:val="006660EE"/>
    <w:rsid w:val="00670A95"/>
    <w:rsid w:val="00671160"/>
    <w:rsid w:val="00671A58"/>
    <w:rsid w:val="00672089"/>
    <w:rsid w:val="00674A0C"/>
    <w:rsid w:val="006752DF"/>
    <w:rsid w:val="006754D2"/>
    <w:rsid w:val="00680CDA"/>
    <w:rsid w:val="00681A95"/>
    <w:rsid w:val="006829D8"/>
    <w:rsid w:val="006832EB"/>
    <w:rsid w:val="00684A23"/>
    <w:rsid w:val="00684EFE"/>
    <w:rsid w:val="00690779"/>
    <w:rsid w:val="00693C94"/>
    <w:rsid w:val="0069624E"/>
    <w:rsid w:val="006A2025"/>
    <w:rsid w:val="006A2693"/>
    <w:rsid w:val="006A4B06"/>
    <w:rsid w:val="006A4F31"/>
    <w:rsid w:val="006A6BFD"/>
    <w:rsid w:val="006B03FC"/>
    <w:rsid w:val="006B2D15"/>
    <w:rsid w:val="006B5EDE"/>
    <w:rsid w:val="006B6CF7"/>
    <w:rsid w:val="006C2CFF"/>
    <w:rsid w:val="006C3038"/>
    <w:rsid w:val="006C5895"/>
    <w:rsid w:val="006C5D8B"/>
    <w:rsid w:val="006C6ED6"/>
    <w:rsid w:val="006D01C1"/>
    <w:rsid w:val="006D2047"/>
    <w:rsid w:val="006D4ACB"/>
    <w:rsid w:val="006E0068"/>
    <w:rsid w:val="006E12D0"/>
    <w:rsid w:val="006E2235"/>
    <w:rsid w:val="006E2B37"/>
    <w:rsid w:val="006E3F7F"/>
    <w:rsid w:val="006E5909"/>
    <w:rsid w:val="006E5916"/>
    <w:rsid w:val="006E6646"/>
    <w:rsid w:val="006E6D1C"/>
    <w:rsid w:val="006F03BB"/>
    <w:rsid w:val="006F5196"/>
    <w:rsid w:val="006F5862"/>
    <w:rsid w:val="006F61D1"/>
    <w:rsid w:val="006F62F7"/>
    <w:rsid w:val="006F7974"/>
    <w:rsid w:val="00701BE8"/>
    <w:rsid w:val="007029AF"/>
    <w:rsid w:val="00703492"/>
    <w:rsid w:val="00707398"/>
    <w:rsid w:val="00707614"/>
    <w:rsid w:val="00707BE4"/>
    <w:rsid w:val="00711868"/>
    <w:rsid w:val="00711974"/>
    <w:rsid w:val="00711B0F"/>
    <w:rsid w:val="00711CCA"/>
    <w:rsid w:val="007121AA"/>
    <w:rsid w:val="007126EB"/>
    <w:rsid w:val="00713B11"/>
    <w:rsid w:val="007141F7"/>
    <w:rsid w:val="0071506C"/>
    <w:rsid w:val="00721518"/>
    <w:rsid w:val="007217EA"/>
    <w:rsid w:val="00721800"/>
    <w:rsid w:val="00725432"/>
    <w:rsid w:val="0072700A"/>
    <w:rsid w:val="00727CDD"/>
    <w:rsid w:val="0073081D"/>
    <w:rsid w:val="00731306"/>
    <w:rsid w:val="00733E07"/>
    <w:rsid w:val="0073772B"/>
    <w:rsid w:val="007402A1"/>
    <w:rsid w:val="00741D4E"/>
    <w:rsid w:val="00742E5E"/>
    <w:rsid w:val="007433CF"/>
    <w:rsid w:val="00744199"/>
    <w:rsid w:val="00746715"/>
    <w:rsid w:val="00746FA2"/>
    <w:rsid w:val="0075019E"/>
    <w:rsid w:val="0075162E"/>
    <w:rsid w:val="007549E4"/>
    <w:rsid w:val="007557FD"/>
    <w:rsid w:val="00756DB7"/>
    <w:rsid w:val="00757703"/>
    <w:rsid w:val="00760581"/>
    <w:rsid w:val="00760A8C"/>
    <w:rsid w:val="007618C4"/>
    <w:rsid w:val="00761925"/>
    <w:rsid w:val="00763B70"/>
    <w:rsid w:val="0076412E"/>
    <w:rsid w:val="00766B89"/>
    <w:rsid w:val="00772467"/>
    <w:rsid w:val="007728F2"/>
    <w:rsid w:val="0077512D"/>
    <w:rsid w:val="00775AA4"/>
    <w:rsid w:val="00775D09"/>
    <w:rsid w:val="00777477"/>
    <w:rsid w:val="00777A9F"/>
    <w:rsid w:val="0078177C"/>
    <w:rsid w:val="00785C65"/>
    <w:rsid w:val="007868AD"/>
    <w:rsid w:val="0078704A"/>
    <w:rsid w:val="00791043"/>
    <w:rsid w:val="00792310"/>
    <w:rsid w:val="00793ECA"/>
    <w:rsid w:val="007946AB"/>
    <w:rsid w:val="00797F7F"/>
    <w:rsid w:val="007A17F8"/>
    <w:rsid w:val="007A2E61"/>
    <w:rsid w:val="007A4232"/>
    <w:rsid w:val="007A5DE3"/>
    <w:rsid w:val="007A6383"/>
    <w:rsid w:val="007A67E5"/>
    <w:rsid w:val="007A7133"/>
    <w:rsid w:val="007B123C"/>
    <w:rsid w:val="007B1D44"/>
    <w:rsid w:val="007B36CE"/>
    <w:rsid w:val="007B3992"/>
    <w:rsid w:val="007B5228"/>
    <w:rsid w:val="007B55BE"/>
    <w:rsid w:val="007B5EED"/>
    <w:rsid w:val="007B6B66"/>
    <w:rsid w:val="007C15B8"/>
    <w:rsid w:val="007C1FE2"/>
    <w:rsid w:val="007C29A5"/>
    <w:rsid w:val="007C2E80"/>
    <w:rsid w:val="007C5C82"/>
    <w:rsid w:val="007C6141"/>
    <w:rsid w:val="007C7729"/>
    <w:rsid w:val="007C77E8"/>
    <w:rsid w:val="007D1EA0"/>
    <w:rsid w:val="007D2B47"/>
    <w:rsid w:val="007D5313"/>
    <w:rsid w:val="007D71C1"/>
    <w:rsid w:val="007E1A85"/>
    <w:rsid w:val="007E231E"/>
    <w:rsid w:val="007E256B"/>
    <w:rsid w:val="007E29EE"/>
    <w:rsid w:val="007E4B11"/>
    <w:rsid w:val="007F195D"/>
    <w:rsid w:val="007F1A0D"/>
    <w:rsid w:val="007F274C"/>
    <w:rsid w:val="007F59B8"/>
    <w:rsid w:val="007F7EE9"/>
    <w:rsid w:val="00800DD8"/>
    <w:rsid w:val="008019EE"/>
    <w:rsid w:val="00802B30"/>
    <w:rsid w:val="00807BFD"/>
    <w:rsid w:val="0081175B"/>
    <w:rsid w:val="0081263C"/>
    <w:rsid w:val="00812DDD"/>
    <w:rsid w:val="00813DB4"/>
    <w:rsid w:val="00814B38"/>
    <w:rsid w:val="0081614D"/>
    <w:rsid w:val="008166E2"/>
    <w:rsid w:val="00816BE6"/>
    <w:rsid w:val="0081721C"/>
    <w:rsid w:val="0082107C"/>
    <w:rsid w:val="00822836"/>
    <w:rsid w:val="00822958"/>
    <w:rsid w:val="0082525E"/>
    <w:rsid w:val="00826374"/>
    <w:rsid w:val="008264AF"/>
    <w:rsid w:val="0083163E"/>
    <w:rsid w:val="00832816"/>
    <w:rsid w:val="00833580"/>
    <w:rsid w:val="00835AD3"/>
    <w:rsid w:val="00840A03"/>
    <w:rsid w:val="0084375B"/>
    <w:rsid w:val="0084427A"/>
    <w:rsid w:val="0084554A"/>
    <w:rsid w:val="008462AC"/>
    <w:rsid w:val="00847633"/>
    <w:rsid w:val="0085150F"/>
    <w:rsid w:val="008521C2"/>
    <w:rsid w:val="00853669"/>
    <w:rsid w:val="00857409"/>
    <w:rsid w:val="00857A04"/>
    <w:rsid w:val="00857CE6"/>
    <w:rsid w:val="00865F33"/>
    <w:rsid w:val="00865FBC"/>
    <w:rsid w:val="00866EDA"/>
    <w:rsid w:val="00866FEA"/>
    <w:rsid w:val="008671C8"/>
    <w:rsid w:val="00872601"/>
    <w:rsid w:val="00872960"/>
    <w:rsid w:val="00873836"/>
    <w:rsid w:val="00874BF3"/>
    <w:rsid w:val="00874D19"/>
    <w:rsid w:val="00876802"/>
    <w:rsid w:val="00880A1F"/>
    <w:rsid w:val="00880B2E"/>
    <w:rsid w:val="00881C6F"/>
    <w:rsid w:val="00883AB6"/>
    <w:rsid w:val="008842FE"/>
    <w:rsid w:val="008844B8"/>
    <w:rsid w:val="00884B1D"/>
    <w:rsid w:val="00885446"/>
    <w:rsid w:val="008908BE"/>
    <w:rsid w:val="00893058"/>
    <w:rsid w:val="00894851"/>
    <w:rsid w:val="00897499"/>
    <w:rsid w:val="008A0357"/>
    <w:rsid w:val="008A36BB"/>
    <w:rsid w:val="008A3711"/>
    <w:rsid w:val="008A64C8"/>
    <w:rsid w:val="008B2829"/>
    <w:rsid w:val="008B3AB9"/>
    <w:rsid w:val="008B4D54"/>
    <w:rsid w:val="008B6BE2"/>
    <w:rsid w:val="008B7473"/>
    <w:rsid w:val="008C2267"/>
    <w:rsid w:val="008C38F1"/>
    <w:rsid w:val="008C3B36"/>
    <w:rsid w:val="008C58D0"/>
    <w:rsid w:val="008C66D2"/>
    <w:rsid w:val="008C6DF5"/>
    <w:rsid w:val="008D11E7"/>
    <w:rsid w:val="008D52A0"/>
    <w:rsid w:val="008D5CE7"/>
    <w:rsid w:val="008D770E"/>
    <w:rsid w:val="008D7F04"/>
    <w:rsid w:val="008E1191"/>
    <w:rsid w:val="008E1C5F"/>
    <w:rsid w:val="008E2AAE"/>
    <w:rsid w:val="008E47BF"/>
    <w:rsid w:val="008E570F"/>
    <w:rsid w:val="008E7601"/>
    <w:rsid w:val="008F4126"/>
    <w:rsid w:val="008F5708"/>
    <w:rsid w:val="008F5FD0"/>
    <w:rsid w:val="008F7A4B"/>
    <w:rsid w:val="00900E93"/>
    <w:rsid w:val="00901127"/>
    <w:rsid w:val="009032E5"/>
    <w:rsid w:val="009064C8"/>
    <w:rsid w:val="009070CE"/>
    <w:rsid w:val="0090776D"/>
    <w:rsid w:val="009078B0"/>
    <w:rsid w:val="00910645"/>
    <w:rsid w:val="00910D51"/>
    <w:rsid w:val="009204F9"/>
    <w:rsid w:val="00920BE8"/>
    <w:rsid w:val="0092228D"/>
    <w:rsid w:val="00922DE8"/>
    <w:rsid w:val="0092329E"/>
    <w:rsid w:val="0092347F"/>
    <w:rsid w:val="009234D8"/>
    <w:rsid w:val="00924A74"/>
    <w:rsid w:val="00926601"/>
    <w:rsid w:val="00931D3B"/>
    <w:rsid w:val="009331D9"/>
    <w:rsid w:val="009333A1"/>
    <w:rsid w:val="00933FD5"/>
    <w:rsid w:val="00933FD8"/>
    <w:rsid w:val="00934B13"/>
    <w:rsid w:val="00934CA7"/>
    <w:rsid w:val="00935736"/>
    <w:rsid w:val="009428A9"/>
    <w:rsid w:val="00943A6C"/>
    <w:rsid w:val="00943DCE"/>
    <w:rsid w:val="00947856"/>
    <w:rsid w:val="00947D75"/>
    <w:rsid w:val="00952A50"/>
    <w:rsid w:val="009537E3"/>
    <w:rsid w:val="00956F1D"/>
    <w:rsid w:val="00957066"/>
    <w:rsid w:val="009615D4"/>
    <w:rsid w:val="00962D34"/>
    <w:rsid w:val="009639B1"/>
    <w:rsid w:val="00964490"/>
    <w:rsid w:val="00964F88"/>
    <w:rsid w:val="009731AD"/>
    <w:rsid w:val="00977100"/>
    <w:rsid w:val="00981785"/>
    <w:rsid w:val="00981FE1"/>
    <w:rsid w:val="009847D6"/>
    <w:rsid w:val="00984C55"/>
    <w:rsid w:val="009866D8"/>
    <w:rsid w:val="00990511"/>
    <w:rsid w:val="00991A91"/>
    <w:rsid w:val="0099232D"/>
    <w:rsid w:val="00992A11"/>
    <w:rsid w:val="00994DF3"/>
    <w:rsid w:val="00994E9C"/>
    <w:rsid w:val="009954BF"/>
    <w:rsid w:val="00997E49"/>
    <w:rsid w:val="009A005E"/>
    <w:rsid w:val="009A0C55"/>
    <w:rsid w:val="009A0E45"/>
    <w:rsid w:val="009A40BA"/>
    <w:rsid w:val="009A4F6C"/>
    <w:rsid w:val="009A53F8"/>
    <w:rsid w:val="009A5D23"/>
    <w:rsid w:val="009A6E69"/>
    <w:rsid w:val="009A76A2"/>
    <w:rsid w:val="009B1095"/>
    <w:rsid w:val="009B17BC"/>
    <w:rsid w:val="009B2B7B"/>
    <w:rsid w:val="009B71B8"/>
    <w:rsid w:val="009C070A"/>
    <w:rsid w:val="009C0AA2"/>
    <w:rsid w:val="009C1984"/>
    <w:rsid w:val="009C1E33"/>
    <w:rsid w:val="009C2820"/>
    <w:rsid w:val="009C2C0D"/>
    <w:rsid w:val="009C318B"/>
    <w:rsid w:val="009C6B1A"/>
    <w:rsid w:val="009D134E"/>
    <w:rsid w:val="009D50D0"/>
    <w:rsid w:val="009D6FAF"/>
    <w:rsid w:val="009D76F4"/>
    <w:rsid w:val="009D7914"/>
    <w:rsid w:val="009D7B36"/>
    <w:rsid w:val="009E067D"/>
    <w:rsid w:val="009E2A52"/>
    <w:rsid w:val="009E3F3D"/>
    <w:rsid w:val="009E48A8"/>
    <w:rsid w:val="009E5FBE"/>
    <w:rsid w:val="009E6BBB"/>
    <w:rsid w:val="009E7910"/>
    <w:rsid w:val="009F0F92"/>
    <w:rsid w:val="009F406A"/>
    <w:rsid w:val="009F418B"/>
    <w:rsid w:val="009F5E3F"/>
    <w:rsid w:val="009F7330"/>
    <w:rsid w:val="009F7F26"/>
    <w:rsid w:val="00A01E9B"/>
    <w:rsid w:val="00A04688"/>
    <w:rsid w:val="00A05AEA"/>
    <w:rsid w:val="00A05ED1"/>
    <w:rsid w:val="00A0665D"/>
    <w:rsid w:val="00A07E71"/>
    <w:rsid w:val="00A11E19"/>
    <w:rsid w:val="00A11E47"/>
    <w:rsid w:val="00A13958"/>
    <w:rsid w:val="00A14F12"/>
    <w:rsid w:val="00A201A7"/>
    <w:rsid w:val="00A209BC"/>
    <w:rsid w:val="00A20BAD"/>
    <w:rsid w:val="00A2316A"/>
    <w:rsid w:val="00A24117"/>
    <w:rsid w:val="00A24CBD"/>
    <w:rsid w:val="00A24D53"/>
    <w:rsid w:val="00A257B8"/>
    <w:rsid w:val="00A30345"/>
    <w:rsid w:val="00A303B4"/>
    <w:rsid w:val="00A31120"/>
    <w:rsid w:val="00A3127E"/>
    <w:rsid w:val="00A327CE"/>
    <w:rsid w:val="00A3280C"/>
    <w:rsid w:val="00A3383F"/>
    <w:rsid w:val="00A342E3"/>
    <w:rsid w:val="00A3632B"/>
    <w:rsid w:val="00A37EFD"/>
    <w:rsid w:val="00A427E5"/>
    <w:rsid w:val="00A428C8"/>
    <w:rsid w:val="00A443CA"/>
    <w:rsid w:val="00A4486E"/>
    <w:rsid w:val="00A448D3"/>
    <w:rsid w:val="00A4509E"/>
    <w:rsid w:val="00A458F0"/>
    <w:rsid w:val="00A47796"/>
    <w:rsid w:val="00A5056A"/>
    <w:rsid w:val="00A50652"/>
    <w:rsid w:val="00A51E08"/>
    <w:rsid w:val="00A52E83"/>
    <w:rsid w:val="00A5392E"/>
    <w:rsid w:val="00A53C80"/>
    <w:rsid w:val="00A5441B"/>
    <w:rsid w:val="00A54A6E"/>
    <w:rsid w:val="00A5533F"/>
    <w:rsid w:val="00A579F7"/>
    <w:rsid w:val="00A607E3"/>
    <w:rsid w:val="00A62A01"/>
    <w:rsid w:val="00A71AF3"/>
    <w:rsid w:val="00A71DF5"/>
    <w:rsid w:val="00A744C6"/>
    <w:rsid w:val="00A75A24"/>
    <w:rsid w:val="00A77833"/>
    <w:rsid w:val="00A80E58"/>
    <w:rsid w:val="00A81E58"/>
    <w:rsid w:val="00A821F9"/>
    <w:rsid w:val="00A825E7"/>
    <w:rsid w:val="00A82B46"/>
    <w:rsid w:val="00A8426B"/>
    <w:rsid w:val="00A85D01"/>
    <w:rsid w:val="00A91265"/>
    <w:rsid w:val="00AA06A9"/>
    <w:rsid w:val="00AA2AC1"/>
    <w:rsid w:val="00AA7D42"/>
    <w:rsid w:val="00AB0685"/>
    <w:rsid w:val="00AB1630"/>
    <w:rsid w:val="00AB49A9"/>
    <w:rsid w:val="00AB72FD"/>
    <w:rsid w:val="00AB7FAB"/>
    <w:rsid w:val="00AC3803"/>
    <w:rsid w:val="00AC5585"/>
    <w:rsid w:val="00AD2BF1"/>
    <w:rsid w:val="00AD3087"/>
    <w:rsid w:val="00AD3709"/>
    <w:rsid w:val="00AD400F"/>
    <w:rsid w:val="00AD40C9"/>
    <w:rsid w:val="00AD4A51"/>
    <w:rsid w:val="00AD69D6"/>
    <w:rsid w:val="00AD7BCC"/>
    <w:rsid w:val="00AE170F"/>
    <w:rsid w:val="00AE34A2"/>
    <w:rsid w:val="00AE34F2"/>
    <w:rsid w:val="00AE4160"/>
    <w:rsid w:val="00AE423E"/>
    <w:rsid w:val="00AE543F"/>
    <w:rsid w:val="00AE6244"/>
    <w:rsid w:val="00AE741C"/>
    <w:rsid w:val="00AF14E0"/>
    <w:rsid w:val="00AF1642"/>
    <w:rsid w:val="00B02F64"/>
    <w:rsid w:val="00B03511"/>
    <w:rsid w:val="00B03FEA"/>
    <w:rsid w:val="00B05BEC"/>
    <w:rsid w:val="00B12135"/>
    <w:rsid w:val="00B125AC"/>
    <w:rsid w:val="00B13739"/>
    <w:rsid w:val="00B14362"/>
    <w:rsid w:val="00B15A8E"/>
    <w:rsid w:val="00B17AAE"/>
    <w:rsid w:val="00B17E86"/>
    <w:rsid w:val="00B20620"/>
    <w:rsid w:val="00B21DB4"/>
    <w:rsid w:val="00B25293"/>
    <w:rsid w:val="00B2577A"/>
    <w:rsid w:val="00B2620C"/>
    <w:rsid w:val="00B2624F"/>
    <w:rsid w:val="00B27B34"/>
    <w:rsid w:val="00B31CEB"/>
    <w:rsid w:val="00B34874"/>
    <w:rsid w:val="00B3738C"/>
    <w:rsid w:val="00B4513E"/>
    <w:rsid w:val="00B45F7E"/>
    <w:rsid w:val="00B46761"/>
    <w:rsid w:val="00B47251"/>
    <w:rsid w:val="00B50D23"/>
    <w:rsid w:val="00B51651"/>
    <w:rsid w:val="00B537F3"/>
    <w:rsid w:val="00B53C4F"/>
    <w:rsid w:val="00B57A23"/>
    <w:rsid w:val="00B60304"/>
    <w:rsid w:val="00B607EA"/>
    <w:rsid w:val="00B6262D"/>
    <w:rsid w:val="00B63812"/>
    <w:rsid w:val="00B63BCB"/>
    <w:rsid w:val="00B63F92"/>
    <w:rsid w:val="00B646D2"/>
    <w:rsid w:val="00B6655F"/>
    <w:rsid w:val="00B6693B"/>
    <w:rsid w:val="00B70261"/>
    <w:rsid w:val="00B70D02"/>
    <w:rsid w:val="00B728F3"/>
    <w:rsid w:val="00B72E98"/>
    <w:rsid w:val="00B806C8"/>
    <w:rsid w:val="00B82C60"/>
    <w:rsid w:val="00B8333B"/>
    <w:rsid w:val="00B84288"/>
    <w:rsid w:val="00B8512A"/>
    <w:rsid w:val="00B8520C"/>
    <w:rsid w:val="00B8603D"/>
    <w:rsid w:val="00B959D2"/>
    <w:rsid w:val="00B95B38"/>
    <w:rsid w:val="00B96947"/>
    <w:rsid w:val="00B96B0B"/>
    <w:rsid w:val="00B96D4F"/>
    <w:rsid w:val="00B971E7"/>
    <w:rsid w:val="00BA0229"/>
    <w:rsid w:val="00BA2259"/>
    <w:rsid w:val="00BA2FE9"/>
    <w:rsid w:val="00BA39C4"/>
    <w:rsid w:val="00BB04C7"/>
    <w:rsid w:val="00BB1B4A"/>
    <w:rsid w:val="00BB23D8"/>
    <w:rsid w:val="00BB3693"/>
    <w:rsid w:val="00BB3ECE"/>
    <w:rsid w:val="00BB48B1"/>
    <w:rsid w:val="00BB5414"/>
    <w:rsid w:val="00BB5425"/>
    <w:rsid w:val="00BB54DB"/>
    <w:rsid w:val="00BB57D9"/>
    <w:rsid w:val="00BB7C6E"/>
    <w:rsid w:val="00BC0D5A"/>
    <w:rsid w:val="00BC1DA0"/>
    <w:rsid w:val="00BC4AE0"/>
    <w:rsid w:val="00BC5485"/>
    <w:rsid w:val="00BC7016"/>
    <w:rsid w:val="00BC794E"/>
    <w:rsid w:val="00BD007C"/>
    <w:rsid w:val="00BD09A5"/>
    <w:rsid w:val="00BD0B11"/>
    <w:rsid w:val="00BD23A3"/>
    <w:rsid w:val="00BD4313"/>
    <w:rsid w:val="00BD46B3"/>
    <w:rsid w:val="00BD4901"/>
    <w:rsid w:val="00BD5A3C"/>
    <w:rsid w:val="00BD62CF"/>
    <w:rsid w:val="00BE0A83"/>
    <w:rsid w:val="00BE0D4D"/>
    <w:rsid w:val="00BE2C7D"/>
    <w:rsid w:val="00BE4384"/>
    <w:rsid w:val="00BE60D8"/>
    <w:rsid w:val="00BE7CBF"/>
    <w:rsid w:val="00BF095D"/>
    <w:rsid w:val="00BF231A"/>
    <w:rsid w:val="00BF3C41"/>
    <w:rsid w:val="00BF5769"/>
    <w:rsid w:val="00BF592B"/>
    <w:rsid w:val="00BF5F3A"/>
    <w:rsid w:val="00C03AB2"/>
    <w:rsid w:val="00C06D1B"/>
    <w:rsid w:val="00C0712F"/>
    <w:rsid w:val="00C12DA6"/>
    <w:rsid w:val="00C1301C"/>
    <w:rsid w:val="00C149FE"/>
    <w:rsid w:val="00C14AF0"/>
    <w:rsid w:val="00C154A3"/>
    <w:rsid w:val="00C164C8"/>
    <w:rsid w:val="00C204D3"/>
    <w:rsid w:val="00C20F8B"/>
    <w:rsid w:val="00C242D6"/>
    <w:rsid w:val="00C24A75"/>
    <w:rsid w:val="00C251B1"/>
    <w:rsid w:val="00C26022"/>
    <w:rsid w:val="00C26A06"/>
    <w:rsid w:val="00C270EC"/>
    <w:rsid w:val="00C27A89"/>
    <w:rsid w:val="00C32C6F"/>
    <w:rsid w:val="00C3313D"/>
    <w:rsid w:val="00C33A64"/>
    <w:rsid w:val="00C3443A"/>
    <w:rsid w:val="00C36A05"/>
    <w:rsid w:val="00C36A86"/>
    <w:rsid w:val="00C36B7A"/>
    <w:rsid w:val="00C41186"/>
    <w:rsid w:val="00C437BD"/>
    <w:rsid w:val="00C4559D"/>
    <w:rsid w:val="00C45B29"/>
    <w:rsid w:val="00C45BF2"/>
    <w:rsid w:val="00C46B47"/>
    <w:rsid w:val="00C50B44"/>
    <w:rsid w:val="00C51408"/>
    <w:rsid w:val="00C53510"/>
    <w:rsid w:val="00C53C8E"/>
    <w:rsid w:val="00C5646D"/>
    <w:rsid w:val="00C565C6"/>
    <w:rsid w:val="00C62692"/>
    <w:rsid w:val="00C644FE"/>
    <w:rsid w:val="00C65ED9"/>
    <w:rsid w:val="00C662E1"/>
    <w:rsid w:val="00C66AF0"/>
    <w:rsid w:val="00C66EC2"/>
    <w:rsid w:val="00C701FB"/>
    <w:rsid w:val="00C70823"/>
    <w:rsid w:val="00C70F56"/>
    <w:rsid w:val="00C720EC"/>
    <w:rsid w:val="00C75B26"/>
    <w:rsid w:val="00C770AE"/>
    <w:rsid w:val="00C77744"/>
    <w:rsid w:val="00C777E5"/>
    <w:rsid w:val="00C81FD4"/>
    <w:rsid w:val="00C82987"/>
    <w:rsid w:val="00C87CB8"/>
    <w:rsid w:val="00C93291"/>
    <w:rsid w:val="00C93BF6"/>
    <w:rsid w:val="00C9443A"/>
    <w:rsid w:val="00CA03C5"/>
    <w:rsid w:val="00CA1329"/>
    <w:rsid w:val="00CA3A68"/>
    <w:rsid w:val="00CA6836"/>
    <w:rsid w:val="00CA6DD9"/>
    <w:rsid w:val="00CA7451"/>
    <w:rsid w:val="00CB0070"/>
    <w:rsid w:val="00CB12C0"/>
    <w:rsid w:val="00CB18BC"/>
    <w:rsid w:val="00CB212F"/>
    <w:rsid w:val="00CB223C"/>
    <w:rsid w:val="00CB35D9"/>
    <w:rsid w:val="00CB63D5"/>
    <w:rsid w:val="00CB6701"/>
    <w:rsid w:val="00CB7DDA"/>
    <w:rsid w:val="00CC1C60"/>
    <w:rsid w:val="00CC202F"/>
    <w:rsid w:val="00CC297E"/>
    <w:rsid w:val="00CC2BF4"/>
    <w:rsid w:val="00CC3A2D"/>
    <w:rsid w:val="00CC52F4"/>
    <w:rsid w:val="00CC576E"/>
    <w:rsid w:val="00CC5B0E"/>
    <w:rsid w:val="00CC7345"/>
    <w:rsid w:val="00CD24F7"/>
    <w:rsid w:val="00CD36C5"/>
    <w:rsid w:val="00CD7C13"/>
    <w:rsid w:val="00CE0559"/>
    <w:rsid w:val="00CE147C"/>
    <w:rsid w:val="00CE1A52"/>
    <w:rsid w:val="00CE48A3"/>
    <w:rsid w:val="00CE5457"/>
    <w:rsid w:val="00CF0BBA"/>
    <w:rsid w:val="00CF380E"/>
    <w:rsid w:val="00CF3E12"/>
    <w:rsid w:val="00CF3E62"/>
    <w:rsid w:val="00CF4EF4"/>
    <w:rsid w:val="00CF5D71"/>
    <w:rsid w:val="00CF7749"/>
    <w:rsid w:val="00D0097E"/>
    <w:rsid w:val="00D010E7"/>
    <w:rsid w:val="00D02514"/>
    <w:rsid w:val="00D04FF9"/>
    <w:rsid w:val="00D065B7"/>
    <w:rsid w:val="00D1098C"/>
    <w:rsid w:val="00D11700"/>
    <w:rsid w:val="00D15A0A"/>
    <w:rsid w:val="00D163A1"/>
    <w:rsid w:val="00D163FB"/>
    <w:rsid w:val="00D16776"/>
    <w:rsid w:val="00D1683A"/>
    <w:rsid w:val="00D20309"/>
    <w:rsid w:val="00D20604"/>
    <w:rsid w:val="00D221D7"/>
    <w:rsid w:val="00D23B4B"/>
    <w:rsid w:val="00D245EF"/>
    <w:rsid w:val="00D26B05"/>
    <w:rsid w:val="00D30F18"/>
    <w:rsid w:val="00D37BDA"/>
    <w:rsid w:val="00D404BE"/>
    <w:rsid w:val="00D40F27"/>
    <w:rsid w:val="00D425FF"/>
    <w:rsid w:val="00D4439E"/>
    <w:rsid w:val="00D4681B"/>
    <w:rsid w:val="00D46F5F"/>
    <w:rsid w:val="00D47A69"/>
    <w:rsid w:val="00D47E49"/>
    <w:rsid w:val="00D50510"/>
    <w:rsid w:val="00D508FF"/>
    <w:rsid w:val="00D51DFF"/>
    <w:rsid w:val="00D54977"/>
    <w:rsid w:val="00D54E6F"/>
    <w:rsid w:val="00D57531"/>
    <w:rsid w:val="00D622BF"/>
    <w:rsid w:val="00D62F6B"/>
    <w:rsid w:val="00D6320F"/>
    <w:rsid w:val="00D63CA4"/>
    <w:rsid w:val="00D647AD"/>
    <w:rsid w:val="00D652BB"/>
    <w:rsid w:val="00D66C31"/>
    <w:rsid w:val="00D66D30"/>
    <w:rsid w:val="00D67AA7"/>
    <w:rsid w:val="00D72DFE"/>
    <w:rsid w:val="00D74B46"/>
    <w:rsid w:val="00D74F80"/>
    <w:rsid w:val="00D8183B"/>
    <w:rsid w:val="00D82500"/>
    <w:rsid w:val="00D84BAF"/>
    <w:rsid w:val="00D87062"/>
    <w:rsid w:val="00D9094E"/>
    <w:rsid w:val="00D90E84"/>
    <w:rsid w:val="00D9181A"/>
    <w:rsid w:val="00D91FF6"/>
    <w:rsid w:val="00D92C2F"/>
    <w:rsid w:val="00D92F45"/>
    <w:rsid w:val="00D93AA7"/>
    <w:rsid w:val="00D94EA2"/>
    <w:rsid w:val="00D9502C"/>
    <w:rsid w:val="00D953AE"/>
    <w:rsid w:val="00D96E64"/>
    <w:rsid w:val="00DA13EF"/>
    <w:rsid w:val="00DA5F99"/>
    <w:rsid w:val="00DA6D88"/>
    <w:rsid w:val="00DB1D88"/>
    <w:rsid w:val="00DB78E5"/>
    <w:rsid w:val="00DC02EA"/>
    <w:rsid w:val="00DC038F"/>
    <w:rsid w:val="00DC09E2"/>
    <w:rsid w:val="00DC1274"/>
    <w:rsid w:val="00DC32DD"/>
    <w:rsid w:val="00DC339C"/>
    <w:rsid w:val="00DC3411"/>
    <w:rsid w:val="00DC3D0A"/>
    <w:rsid w:val="00DC66F5"/>
    <w:rsid w:val="00DC67A1"/>
    <w:rsid w:val="00DD0003"/>
    <w:rsid w:val="00DD01D1"/>
    <w:rsid w:val="00DD3B22"/>
    <w:rsid w:val="00DD3F36"/>
    <w:rsid w:val="00DD64E3"/>
    <w:rsid w:val="00DD68B7"/>
    <w:rsid w:val="00DD6D88"/>
    <w:rsid w:val="00DD7A0F"/>
    <w:rsid w:val="00DD7EA1"/>
    <w:rsid w:val="00DE1CCE"/>
    <w:rsid w:val="00DE38F1"/>
    <w:rsid w:val="00DE422B"/>
    <w:rsid w:val="00DE46B4"/>
    <w:rsid w:val="00DE5ADB"/>
    <w:rsid w:val="00DF12DC"/>
    <w:rsid w:val="00DF2770"/>
    <w:rsid w:val="00DF5346"/>
    <w:rsid w:val="00E0063A"/>
    <w:rsid w:val="00E00C27"/>
    <w:rsid w:val="00E02D63"/>
    <w:rsid w:val="00E02D66"/>
    <w:rsid w:val="00E04483"/>
    <w:rsid w:val="00E047F5"/>
    <w:rsid w:val="00E06514"/>
    <w:rsid w:val="00E06583"/>
    <w:rsid w:val="00E06B24"/>
    <w:rsid w:val="00E07C2B"/>
    <w:rsid w:val="00E11CF4"/>
    <w:rsid w:val="00E12ACE"/>
    <w:rsid w:val="00E12EBF"/>
    <w:rsid w:val="00E13336"/>
    <w:rsid w:val="00E154CF"/>
    <w:rsid w:val="00E1639E"/>
    <w:rsid w:val="00E165A1"/>
    <w:rsid w:val="00E170A1"/>
    <w:rsid w:val="00E235A6"/>
    <w:rsid w:val="00E240D3"/>
    <w:rsid w:val="00E24403"/>
    <w:rsid w:val="00E26C3D"/>
    <w:rsid w:val="00E37DC7"/>
    <w:rsid w:val="00E40B40"/>
    <w:rsid w:val="00E4122B"/>
    <w:rsid w:val="00E41D15"/>
    <w:rsid w:val="00E4382F"/>
    <w:rsid w:val="00E43932"/>
    <w:rsid w:val="00E4450C"/>
    <w:rsid w:val="00E44E2B"/>
    <w:rsid w:val="00E46427"/>
    <w:rsid w:val="00E4775D"/>
    <w:rsid w:val="00E50CF0"/>
    <w:rsid w:val="00E519D0"/>
    <w:rsid w:val="00E525A0"/>
    <w:rsid w:val="00E52808"/>
    <w:rsid w:val="00E53588"/>
    <w:rsid w:val="00E54E5F"/>
    <w:rsid w:val="00E55273"/>
    <w:rsid w:val="00E55CDF"/>
    <w:rsid w:val="00E55F55"/>
    <w:rsid w:val="00E61CF4"/>
    <w:rsid w:val="00E628F8"/>
    <w:rsid w:val="00E65221"/>
    <w:rsid w:val="00E676E9"/>
    <w:rsid w:val="00E67E42"/>
    <w:rsid w:val="00E72177"/>
    <w:rsid w:val="00E72E42"/>
    <w:rsid w:val="00E73100"/>
    <w:rsid w:val="00E736E9"/>
    <w:rsid w:val="00E73A1C"/>
    <w:rsid w:val="00E77C89"/>
    <w:rsid w:val="00E844FD"/>
    <w:rsid w:val="00E84EA9"/>
    <w:rsid w:val="00E8698D"/>
    <w:rsid w:val="00E96230"/>
    <w:rsid w:val="00E966EE"/>
    <w:rsid w:val="00E9677E"/>
    <w:rsid w:val="00E96CEA"/>
    <w:rsid w:val="00E9734C"/>
    <w:rsid w:val="00E97920"/>
    <w:rsid w:val="00EA2316"/>
    <w:rsid w:val="00EA36C8"/>
    <w:rsid w:val="00EA5622"/>
    <w:rsid w:val="00EA6648"/>
    <w:rsid w:val="00EA6AB9"/>
    <w:rsid w:val="00EB2105"/>
    <w:rsid w:val="00EB2F8B"/>
    <w:rsid w:val="00EB3BA0"/>
    <w:rsid w:val="00EB4008"/>
    <w:rsid w:val="00EB7DA6"/>
    <w:rsid w:val="00EC1234"/>
    <w:rsid w:val="00EC1585"/>
    <w:rsid w:val="00EC3166"/>
    <w:rsid w:val="00EC5084"/>
    <w:rsid w:val="00EC6BC5"/>
    <w:rsid w:val="00EC6FB2"/>
    <w:rsid w:val="00EC7063"/>
    <w:rsid w:val="00ED1138"/>
    <w:rsid w:val="00ED1C35"/>
    <w:rsid w:val="00ED24DA"/>
    <w:rsid w:val="00ED33C0"/>
    <w:rsid w:val="00ED47A2"/>
    <w:rsid w:val="00ED6358"/>
    <w:rsid w:val="00ED710B"/>
    <w:rsid w:val="00EE032F"/>
    <w:rsid w:val="00EE0A88"/>
    <w:rsid w:val="00EE150B"/>
    <w:rsid w:val="00EE632C"/>
    <w:rsid w:val="00EE6D37"/>
    <w:rsid w:val="00EE76A9"/>
    <w:rsid w:val="00EF07CF"/>
    <w:rsid w:val="00EF3054"/>
    <w:rsid w:val="00EF40A7"/>
    <w:rsid w:val="00EF67F6"/>
    <w:rsid w:val="00EF7039"/>
    <w:rsid w:val="00EF7D33"/>
    <w:rsid w:val="00F0010F"/>
    <w:rsid w:val="00F01470"/>
    <w:rsid w:val="00F01D44"/>
    <w:rsid w:val="00F01E15"/>
    <w:rsid w:val="00F02E18"/>
    <w:rsid w:val="00F0355A"/>
    <w:rsid w:val="00F04701"/>
    <w:rsid w:val="00F0481B"/>
    <w:rsid w:val="00F05E4B"/>
    <w:rsid w:val="00F07600"/>
    <w:rsid w:val="00F10927"/>
    <w:rsid w:val="00F115BD"/>
    <w:rsid w:val="00F120AF"/>
    <w:rsid w:val="00F139DF"/>
    <w:rsid w:val="00F148BD"/>
    <w:rsid w:val="00F14CA5"/>
    <w:rsid w:val="00F14E40"/>
    <w:rsid w:val="00F15021"/>
    <w:rsid w:val="00F157CA"/>
    <w:rsid w:val="00F22504"/>
    <w:rsid w:val="00F30B07"/>
    <w:rsid w:val="00F35FA0"/>
    <w:rsid w:val="00F368AA"/>
    <w:rsid w:val="00F401B9"/>
    <w:rsid w:val="00F4100B"/>
    <w:rsid w:val="00F438EF"/>
    <w:rsid w:val="00F45164"/>
    <w:rsid w:val="00F45FFF"/>
    <w:rsid w:val="00F47639"/>
    <w:rsid w:val="00F50C82"/>
    <w:rsid w:val="00F528F6"/>
    <w:rsid w:val="00F570CC"/>
    <w:rsid w:val="00F5755E"/>
    <w:rsid w:val="00F60CEB"/>
    <w:rsid w:val="00F6339A"/>
    <w:rsid w:val="00F646E9"/>
    <w:rsid w:val="00F65175"/>
    <w:rsid w:val="00F65C2C"/>
    <w:rsid w:val="00F65E59"/>
    <w:rsid w:val="00F65F9A"/>
    <w:rsid w:val="00F671CE"/>
    <w:rsid w:val="00F67A25"/>
    <w:rsid w:val="00F70FF7"/>
    <w:rsid w:val="00F719C1"/>
    <w:rsid w:val="00F7268F"/>
    <w:rsid w:val="00F72E9D"/>
    <w:rsid w:val="00F75D07"/>
    <w:rsid w:val="00F76237"/>
    <w:rsid w:val="00F7672B"/>
    <w:rsid w:val="00F80F47"/>
    <w:rsid w:val="00F81011"/>
    <w:rsid w:val="00F82D97"/>
    <w:rsid w:val="00F8390C"/>
    <w:rsid w:val="00F8460A"/>
    <w:rsid w:val="00F8557F"/>
    <w:rsid w:val="00F85DB4"/>
    <w:rsid w:val="00F86CED"/>
    <w:rsid w:val="00F86E8E"/>
    <w:rsid w:val="00F87DAA"/>
    <w:rsid w:val="00F93358"/>
    <w:rsid w:val="00F93700"/>
    <w:rsid w:val="00F94116"/>
    <w:rsid w:val="00F96766"/>
    <w:rsid w:val="00FA14A4"/>
    <w:rsid w:val="00FA211E"/>
    <w:rsid w:val="00FA2378"/>
    <w:rsid w:val="00FA4108"/>
    <w:rsid w:val="00FA4C3E"/>
    <w:rsid w:val="00FA574B"/>
    <w:rsid w:val="00FA6E44"/>
    <w:rsid w:val="00FA7F5D"/>
    <w:rsid w:val="00FB021F"/>
    <w:rsid w:val="00FB1950"/>
    <w:rsid w:val="00FB1FA0"/>
    <w:rsid w:val="00FB22FA"/>
    <w:rsid w:val="00FB28DB"/>
    <w:rsid w:val="00FB4C2B"/>
    <w:rsid w:val="00FB54F2"/>
    <w:rsid w:val="00FB5949"/>
    <w:rsid w:val="00FB714A"/>
    <w:rsid w:val="00FC067A"/>
    <w:rsid w:val="00FC4AB8"/>
    <w:rsid w:val="00FC5C79"/>
    <w:rsid w:val="00FC6FAF"/>
    <w:rsid w:val="00FD0772"/>
    <w:rsid w:val="00FD0C59"/>
    <w:rsid w:val="00FD300A"/>
    <w:rsid w:val="00FD4496"/>
    <w:rsid w:val="00FD668D"/>
    <w:rsid w:val="00FD6BBC"/>
    <w:rsid w:val="00FD7D37"/>
    <w:rsid w:val="00FE06C8"/>
    <w:rsid w:val="00FE097D"/>
    <w:rsid w:val="00FE20FA"/>
    <w:rsid w:val="00FE211D"/>
    <w:rsid w:val="00FE29E6"/>
    <w:rsid w:val="00FE30AB"/>
    <w:rsid w:val="00FE4B39"/>
    <w:rsid w:val="00FE520B"/>
    <w:rsid w:val="00FE649D"/>
    <w:rsid w:val="00FE7E7D"/>
    <w:rsid w:val="00FF5501"/>
    <w:rsid w:val="00FF5C8B"/>
    <w:rsid w:val="00FF78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08B54AA"/>
  <w15:docId w15:val="{29B4A77A-B3A4-4D83-9500-51B4D4228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lsdException w:name="heading 2" w:locked="1" w:semiHidden="1" w:uiPriority="0" w:unhideWhenUsed="1"/>
    <w:lsdException w:name="heading 3" w:locked="1" w:semiHidden="1" w:uiPriority="0" w:unhideWhenUsed="1"/>
    <w:lsdException w:name="heading 4" w:locked="1" w:semiHidden="1" w:uiPriority="0" w:unhideWhenUsed="1" w:qFormat="1"/>
    <w:lsdException w:name="heading 5" w:locked="1" w:semiHidden="1" w:uiPriority="0" w:unhideWhenUsed="1" w:qFormat="1"/>
    <w:lsdException w:name="heading 6" w:locked="1" w:uiPriority="0" w:qFormat="1"/>
    <w:lsdException w:name="heading 7" w:locked="1" w:semiHidden="1" w:uiPriority="0" w:unhideWhenUsed="1"/>
    <w:lsdException w:name="heading 8" w:locked="1" w:semiHidden="1" w:uiPriority="0" w:unhideWhenUsed="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iPriority="0" w:unhideWhenUsed="1"/>
    <w:lsdException w:name="header" w:lock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uiPriority="0"/>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locked="1" w:uiPriority="0"/>
    <w:lsdException w:name="Emphasis" w:locked="1"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66DF"/>
    <w:pPr>
      <w:spacing w:line="276" w:lineRule="auto"/>
    </w:pPr>
    <w:rPr>
      <w:sz w:val="22"/>
      <w:szCs w:val="22"/>
      <w:lang w:eastAsia="en-US"/>
    </w:rPr>
  </w:style>
  <w:style w:type="paragraph" w:styleId="Heading1">
    <w:name w:val="heading 1"/>
    <w:basedOn w:val="Normal"/>
    <w:next w:val="Normal"/>
    <w:link w:val="Heading1Char"/>
    <w:locked/>
    <w:rsid w:val="00866FEA"/>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nhideWhenUsed/>
    <w:locked/>
    <w:rsid w:val="00F85DB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locked/>
    <w:rsid w:val="00F85DB4"/>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locked/>
    <w:rsid w:val="00F115BD"/>
    <w:pPr>
      <w:keepNext/>
      <w:tabs>
        <w:tab w:val="num" w:pos="864"/>
      </w:tabs>
      <w:spacing w:line="240" w:lineRule="auto"/>
      <w:ind w:left="864" w:hanging="864"/>
      <w:outlineLvl w:val="3"/>
    </w:pPr>
    <w:rPr>
      <w:rFonts w:ascii="Arial" w:eastAsia="Times New Roman" w:hAnsi="Arial" w:cs="Arial"/>
      <w:b/>
      <w:bCs/>
      <w:color w:val="000080"/>
      <w:sz w:val="20"/>
      <w:szCs w:val="20"/>
    </w:rPr>
  </w:style>
  <w:style w:type="paragraph" w:styleId="Heading5">
    <w:name w:val="heading 5"/>
    <w:basedOn w:val="Normal"/>
    <w:next w:val="Normal"/>
    <w:link w:val="Heading5Char"/>
    <w:qFormat/>
    <w:locked/>
    <w:rsid w:val="00866FEA"/>
    <w:pPr>
      <w:spacing w:before="240" w:after="60" w:line="240" w:lineRule="auto"/>
      <w:outlineLvl w:val="4"/>
    </w:pPr>
    <w:rPr>
      <w:rFonts w:ascii="Century Gothic" w:eastAsia="Times New Roman" w:hAnsi="Century Gothic"/>
      <w:b/>
      <w:bCs/>
      <w:i/>
      <w:iCs/>
      <w:sz w:val="26"/>
      <w:szCs w:val="26"/>
    </w:rPr>
  </w:style>
  <w:style w:type="paragraph" w:styleId="Heading6">
    <w:name w:val="heading 6"/>
    <w:basedOn w:val="Normal"/>
    <w:next w:val="Normal"/>
    <w:link w:val="Heading6Char"/>
    <w:qFormat/>
    <w:locked/>
    <w:rsid w:val="00200286"/>
    <w:pPr>
      <w:keepNext/>
      <w:spacing w:line="240" w:lineRule="auto"/>
      <w:outlineLvl w:val="5"/>
    </w:pPr>
    <w:rPr>
      <w:rFonts w:ascii="Century Gothic" w:eastAsia="Times New Roman" w:hAnsi="Century Gothic"/>
      <w:b/>
      <w:szCs w:val="20"/>
    </w:rPr>
  </w:style>
  <w:style w:type="paragraph" w:styleId="Heading7">
    <w:name w:val="heading 7"/>
    <w:basedOn w:val="Normal"/>
    <w:next w:val="Normal"/>
    <w:link w:val="Heading7Char"/>
    <w:locked/>
    <w:rsid w:val="00866FEA"/>
    <w:pPr>
      <w:spacing w:before="240" w:after="60" w:line="240" w:lineRule="auto"/>
      <w:outlineLvl w:val="6"/>
    </w:pPr>
    <w:rPr>
      <w:rFonts w:ascii="Times New Roman" w:eastAsia="Times New Roman" w:hAnsi="Times New Roman"/>
      <w:sz w:val="24"/>
      <w:szCs w:val="24"/>
    </w:rPr>
  </w:style>
  <w:style w:type="paragraph" w:styleId="Heading8">
    <w:name w:val="heading 8"/>
    <w:basedOn w:val="Normal"/>
    <w:next w:val="Normal"/>
    <w:link w:val="Heading8Char"/>
    <w:locked/>
    <w:rsid w:val="00866FEA"/>
    <w:pPr>
      <w:spacing w:before="240" w:after="60" w:line="240" w:lineRule="auto"/>
      <w:outlineLvl w:val="7"/>
    </w:pPr>
    <w:rPr>
      <w:rFonts w:ascii="Times New Roman" w:eastAsia="Times New Roman" w:hAnsi="Times New Roman"/>
      <w:i/>
      <w:iCs/>
      <w:sz w:val="24"/>
      <w:szCs w:val="24"/>
    </w:rPr>
  </w:style>
  <w:style w:type="paragraph" w:styleId="Heading9">
    <w:name w:val="heading 9"/>
    <w:basedOn w:val="Normal"/>
    <w:next w:val="Normal"/>
    <w:link w:val="Heading9Char"/>
    <w:qFormat/>
    <w:locked/>
    <w:rsid w:val="00F115BD"/>
    <w:pPr>
      <w:tabs>
        <w:tab w:val="num" w:pos="1584"/>
      </w:tabs>
      <w:spacing w:before="240" w:after="60" w:line="240" w:lineRule="auto"/>
      <w:ind w:left="1584" w:hanging="1584"/>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uiPriority w:val="99"/>
    <w:locked/>
    <w:rsid w:val="00200286"/>
    <w:rPr>
      <w:rFonts w:ascii="Century Gothic" w:hAnsi="Century Gothic" w:cs="Times New Roman"/>
      <w:b/>
      <w:sz w:val="20"/>
      <w:szCs w:val="20"/>
      <w:lang w:eastAsia="en-US"/>
    </w:rPr>
  </w:style>
  <w:style w:type="paragraph" w:styleId="Header">
    <w:name w:val="header"/>
    <w:aliases w:val="MEL Header"/>
    <w:basedOn w:val="Normal"/>
    <w:link w:val="HeaderChar"/>
    <w:uiPriority w:val="99"/>
    <w:rsid w:val="008B7473"/>
    <w:pPr>
      <w:tabs>
        <w:tab w:val="center" w:pos="4513"/>
        <w:tab w:val="right" w:pos="9026"/>
      </w:tabs>
      <w:spacing w:line="240" w:lineRule="auto"/>
    </w:pPr>
  </w:style>
  <w:style w:type="character" w:customStyle="1" w:styleId="HeaderChar">
    <w:name w:val="Header Char"/>
    <w:aliases w:val="MEL Header Char"/>
    <w:link w:val="Header"/>
    <w:uiPriority w:val="99"/>
    <w:locked/>
    <w:rsid w:val="008B7473"/>
    <w:rPr>
      <w:rFonts w:cs="Times New Roman"/>
    </w:rPr>
  </w:style>
  <w:style w:type="paragraph" w:styleId="Footer">
    <w:name w:val="footer"/>
    <w:basedOn w:val="Normal"/>
    <w:link w:val="FooterChar"/>
    <w:uiPriority w:val="99"/>
    <w:rsid w:val="008B7473"/>
    <w:pPr>
      <w:tabs>
        <w:tab w:val="center" w:pos="4513"/>
        <w:tab w:val="right" w:pos="9026"/>
      </w:tabs>
      <w:spacing w:line="240" w:lineRule="auto"/>
    </w:pPr>
  </w:style>
  <w:style w:type="character" w:customStyle="1" w:styleId="FooterChar">
    <w:name w:val="Footer Char"/>
    <w:link w:val="Footer"/>
    <w:uiPriority w:val="99"/>
    <w:locked/>
    <w:rsid w:val="008B7473"/>
    <w:rPr>
      <w:rFonts w:cs="Times New Roman"/>
    </w:rPr>
  </w:style>
  <w:style w:type="paragraph" w:styleId="ListParagraph">
    <w:name w:val="List Paragraph"/>
    <w:basedOn w:val="Normal"/>
    <w:link w:val="ListParagraphChar"/>
    <w:uiPriority w:val="34"/>
    <w:qFormat/>
    <w:rsid w:val="00101736"/>
    <w:pPr>
      <w:ind w:left="720"/>
      <w:contextualSpacing/>
    </w:pPr>
  </w:style>
  <w:style w:type="table" w:styleId="TableGrid">
    <w:name w:val="Table Grid"/>
    <w:basedOn w:val="TableNormal"/>
    <w:uiPriority w:val="39"/>
    <w:rsid w:val="004F754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4F754D"/>
    <w:pPr>
      <w:spacing w:line="240" w:lineRule="auto"/>
    </w:pPr>
    <w:rPr>
      <w:rFonts w:ascii="Tahoma" w:hAnsi="Tahoma" w:cs="Tahoma"/>
      <w:sz w:val="16"/>
      <w:szCs w:val="16"/>
    </w:rPr>
  </w:style>
  <w:style w:type="character" w:customStyle="1" w:styleId="BalloonTextChar">
    <w:name w:val="Balloon Text Char"/>
    <w:link w:val="BalloonText"/>
    <w:uiPriority w:val="99"/>
    <w:semiHidden/>
    <w:locked/>
    <w:rsid w:val="004F754D"/>
    <w:rPr>
      <w:rFonts w:ascii="Tahoma" w:hAnsi="Tahoma" w:cs="Tahoma"/>
      <w:sz w:val="16"/>
      <w:szCs w:val="16"/>
    </w:rPr>
  </w:style>
  <w:style w:type="character" w:styleId="CommentReference">
    <w:name w:val="annotation reference"/>
    <w:rsid w:val="00F6339A"/>
    <w:rPr>
      <w:rFonts w:cs="Times New Roman"/>
      <w:sz w:val="16"/>
      <w:szCs w:val="16"/>
    </w:rPr>
  </w:style>
  <w:style w:type="paragraph" w:styleId="CommentText">
    <w:name w:val="annotation text"/>
    <w:basedOn w:val="Normal"/>
    <w:link w:val="CommentTextChar"/>
    <w:rsid w:val="00F6339A"/>
    <w:pPr>
      <w:spacing w:line="240" w:lineRule="auto"/>
    </w:pPr>
    <w:rPr>
      <w:sz w:val="20"/>
      <w:szCs w:val="20"/>
    </w:rPr>
  </w:style>
  <w:style w:type="character" w:customStyle="1" w:styleId="CommentTextChar">
    <w:name w:val="Comment Text Char"/>
    <w:link w:val="CommentText"/>
    <w:locked/>
    <w:rsid w:val="00F6339A"/>
    <w:rPr>
      <w:rFonts w:cs="Times New Roman"/>
      <w:sz w:val="20"/>
      <w:szCs w:val="20"/>
    </w:rPr>
  </w:style>
  <w:style w:type="paragraph" w:styleId="CommentSubject">
    <w:name w:val="annotation subject"/>
    <w:basedOn w:val="CommentText"/>
    <w:next w:val="CommentText"/>
    <w:link w:val="CommentSubjectChar"/>
    <w:rsid w:val="00F6339A"/>
    <w:rPr>
      <w:b/>
      <w:bCs/>
    </w:rPr>
  </w:style>
  <w:style w:type="character" w:customStyle="1" w:styleId="CommentSubjectChar">
    <w:name w:val="Comment Subject Char"/>
    <w:link w:val="CommentSubject"/>
    <w:locked/>
    <w:rsid w:val="00F6339A"/>
    <w:rPr>
      <w:rFonts w:cs="Times New Roman"/>
      <w:b/>
      <w:bCs/>
      <w:sz w:val="20"/>
      <w:szCs w:val="20"/>
    </w:rPr>
  </w:style>
  <w:style w:type="paragraph" w:styleId="BodyText">
    <w:name w:val="Body Text"/>
    <w:basedOn w:val="Normal"/>
    <w:link w:val="BodyTextChar"/>
    <w:uiPriority w:val="99"/>
    <w:semiHidden/>
    <w:rsid w:val="00BE60D8"/>
    <w:pPr>
      <w:spacing w:after="120"/>
    </w:pPr>
  </w:style>
  <w:style w:type="character" w:customStyle="1" w:styleId="BodyTextChar">
    <w:name w:val="Body Text Char"/>
    <w:link w:val="BodyText"/>
    <w:uiPriority w:val="99"/>
    <w:semiHidden/>
    <w:locked/>
    <w:rsid w:val="00BE60D8"/>
    <w:rPr>
      <w:rFonts w:cs="Times New Roman"/>
    </w:rPr>
  </w:style>
  <w:style w:type="character" w:styleId="Hyperlink">
    <w:name w:val="Hyperlink"/>
    <w:uiPriority w:val="99"/>
    <w:rsid w:val="003B7D5D"/>
    <w:rPr>
      <w:rFonts w:cs="Times New Roman"/>
      <w:color w:val="0000FF"/>
      <w:u w:val="single"/>
    </w:rPr>
  </w:style>
  <w:style w:type="paragraph" w:styleId="BodyTextIndent2">
    <w:name w:val="Body Text Indent 2"/>
    <w:basedOn w:val="Normal"/>
    <w:link w:val="BodyTextIndent2Char"/>
    <w:rsid w:val="00173107"/>
    <w:pPr>
      <w:spacing w:after="120" w:line="480" w:lineRule="auto"/>
      <w:ind w:left="283"/>
    </w:pPr>
    <w:rPr>
      <w:rFonts w:ascii="Century Gothic" w:eastAsia="Times New Roman" w:hAnsi="Century Gothic"/>
      <w:sz w:val="20"/>
      <w:szCs w:val="20"/>
    </w:rPr>
  </w:style>
  <w:style w:type="character" w:customStyle="1" w:styleId="BodyTextIndent2Char">
    <w:name w:val="Body Text Indent 2 Char"/>
    <w:link w:val="BodyTextIndent2"/>
    <w:uiPriority w:val="99"/>
    <w:locked/>
    <w:rsid w:val="00173107"/>
    <w:rPr>
      <w:rFonts w:ascii="Century Gothic" w:hAnsi="Century Gothic" w:cs="Times New Roman"/>
      <w:sz w:val="20"/>
      <w:szCs w:val="20"/>
      <w:lang w:eastAsia="en-US"/>
    </w:rPr>
  </w:style>
  <w:style w:type="paragraph" w:styleId="NoSpacing">
    <w:name w:val="No Spacing"/>
    <w:uiPriority w:val="1"/>
    <w:qFormat/>
    <w:rsid w:val="001946E0"/>
    <w:rPr>
      <w:sz w:val="22"/>
      <w:szCs w:val="22"/>
      <w:lang w:eastAsia="en-US"/>
    </w:rPr>
  </w:style>
  <w:style w:type="character" w:customStyle="1" w:styleId="emailstyle17">
    <w:name w:val="emailstyle17"/>
    <w:uiPriority w:val="99"/>
    <w:semiHidden/>
    <w:rsid w:val="005737F1"/>
    <w:rPr>
      <w:rFonts w:ascii="Arial" w:hAnsi="Arial" w:cs="Arial"/>
      <w:color w:val="auto"/>
      <w:sz w:val="20"/>
      <w:szCs w:val="20"/>
    </w:rPr>
  </w:style>
  <w:style w:type="paragraph" w:customStyle="1" w:styleId="Default">
    <w:name w:val="Default"/>
    <w:rsid w:val="008462AC"/>
    <w:pPr>
      <w:autoSpaceDE w:val="0"/>
      <w:autoSpaceDN w:val="0"/>
      <w:adjustRightInd w:val="0"/>
    </w:pPr>
    <w:rPr>
      <w:rFonts w:ascii="Arial" w:hAnsi="Arial" w:cs="Arial"/>
      <w:color w:val="000000"/>
      <w:sz w:val="24"/>
      <w:szCs w:val="24"/>
    </w:rPr>
  </w:style>
  <w:style w:type="paragraph" w:styleId="NormalWeb">
    <w:name w:val="Normal (Web)"/>
    <w:basedOn w:val="Normal"/>
    <w:uiPriority w:val="99"/>
    <w:semiHidden/>
    <w:unhideWhenUsed/>
    <w:rsid w:val="00327ADF"/>
    <w:pPr>
      <w:spacing w:before="100" w:beforeAutospacing="1" w:after="100" w:afterAutospacing="1" w:line="240" w:lineRule="auto"/>
    </w:pPr>
    <w:rPr>
      <w:rFonts w:ascii="Times New Roman" w:eastAsiaTheme="minorHAnsi" w:hAnsi="Times New Roman"/>
      <w:sz w:val="24"/>
      <w:szCs w:val="24"/>
      <w:lang w:eastAsia="en-GB"/>
    </w:rPr>
  </w:style>
  <w:style w:type="character" w:customStyle="1" w:styleId="Heading1Char">
    <w:name w:val="Heading 1 Char"/>
    <w:basedOn w:val="DefaultParagraphFont"/>
    <w:link w:val="Heading1"/>
    <w:rsid w:val="00866FEA"/>
    <w:rPr>
      <w:rFonts w:ascii="Arial" w:eastAsia="Times New Roman" w:hAnsi="Arial" w:cs="Arial"/>
      <w:b/>
      <w:bCs/>
      <w:kern w:val="32"/>
      <w:sz w:val="32"/>
      <w:szCs w:val="32"/>
      <w:lang w:eastAsia="en-US"/>
    </w:rPr>
  </w:style>
  <w:style w:type="character" w:customStyle="1" w:styleId="Heading5Char">
    <w:name w:val="Heading 5 Char"/>
    <w:basedOn w:val="DefaultParagraphFont"/>
    <w:link w:val="Heading5"/>
    <w:rsid w:val="00866FEA"/>
    <w:rPr>
      <w:rFonts w:ascii="Century Gothic" w:eastAsia="Times New Roman" w:hAnsi="Century Gothic"/>
      <w:b/>
      <w:bCs/>
      <w:i/>
      <w:iCs/>
      <w:sz w:val="26"/>
      <w:szCs w:val="26"/>
      <w:lang w:eastAsia="en-US"/>
    </w:rPr>
  </w:style>
  <w:style w:type="character" w:customStyle="1" w:styleId="Heading7Char">
    <w:name w:val="Heading 7 Char"/>
    <w:basedOn w:val="DefaultParagraphFont"/>
    <w:link w:val="Heading7"/>
    <w:rsid w:val="00866FEA"/>
    <w:rPr>
      <w:rFonts w:ascii="Times New Roman" w:eastAsia="Times New Roman" w:hAnsi="Times New Roman"/>
      <w:sz w:val="24"/>
      <w:szCs w:val="24"/>
      <w:lang w:eastAsia="en-US"/>
    </w:rPr>
  </w:style>
  <w:style w:type="character" w:customStyle="1" w:styleId="Heading8Char">
    <w:name w:val="Heading 8 Char"/>
    <w:basedOn w:val="DefaultParagraphFont"/>
    <w:link w:val="Heading8"/>
    <w:rsid w:val="00866FEA"/>
    <w:rPr>
      <w:rFonts w:ascii="Times New Roman" w:eastAsia="Times New Roman" w:hAnsi="Times New Roman"/>
      <w:i/>
      <w:iCs/>
      <w:sz w:val="24"/>
      <w:szCs w:val="24"/>
      <w:lang w:eastAsia="en-US"/>
    </w:rPr>
  </w:style>
  <w:style w:type="paragraph" w:styleId="BodyTextIndent">
    <w:name w:val="Body Text Indent"/>
    <w:basedOn w:val="Normal"/>
    <w:link w:val="BodyTextIndentChar"/>
    <w:rsid w:val="00866FEA"/>
    <w:pPr>
      <w:spacing w:after="120" w:line="240" w:lineRule="auto"/>
      <w:ind w:left="283"/>
    </w:pPr>
    <w:rPr>
      <w:rFonts w:ascii="Century Gothic" w:eastAsia="Times New Roman" w:hAnsi="Century Gothic"/>
      <w:sz w:val="20"/>
      <w:szCs w:val="20"/>
    </w:rPr>
  </w:style>
  <w:style w:type="character" w:customStyle="1" w:styleId="BodyTextIndentChar">
    <w:name w:val="Body Text Indent Char"/>
    <w:basedOn w:val="DefaultParagraphFont"/>
    <w:link w:val="BodyTextIndent"/>
    <w:rsid w:val="00866FEA"/>
    <w:rPr>
      <w:rFonts w:ascii="Century Gothic" w:eastAsia="Times New Roman" w:hAnsi="Century Gothic"/>
      <w:lang w:eastAsia="en-US"/>
    </w:rPr>
  </w:style>
  <w:style w:type="paragraph" w:styleId="FootnoteText">
    <w:name w:val="footnote text"/>
    <w:basedOn w:val="Normal"/>
    <w:link w:val="FootnoteTextChar"/>
    <w:uiPriority w:val="99"/>
    <w:semiHidden/>
    <w:unhideWhenUsed/>
    <w:rsid w:val="002D6993"/>
    <w:pPr>
      <w:spacing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2D6993"/>
    <w:rPr>
      <w:rFonts w:asciiTheme="minorHAnsi" w:hAnsiTheme="minorHAnsi" w:cstheme="minorBidi"/>
      <w:lang w:eastAsia="en-US"/>
    </w:rPr>
  </w:style>
  <w:style w:type="character" w:styleId="FootnoteReference">
    <w:name w:val="footnote reference"/>
    <w:basedOn w:val="DefaultParagraphFont"/>
    <w:uiPriority w:val="99"/>
    <w:semiHidden/>
    <w:unhideWhenUsed/>
    <w:rsid w:val="002D6993"/>
    <w:rPr>
      <w:vertAlign w:val="superscript"/>
    </w:rPr>
  </w:style>
  <w:style w:type="table" w:customStyle="1" w:styleId="TableGrid1">
    <w:name w:val="Table Grid1"/>
    <w:basedOn w:val="TableNormal"/>
    <w:next w:val="TableGrid"/>
    <w:uiPriority w:val="99"/>
    <w:rsid w:val="00430AD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semiHidden/>
    <w:rsid w:val="00F85DB4"/>
    <w:rPr>
      <w:rFonts w:asciiTheme="majorHAnsi" w:eastAsiaTheme="majorEastAsia" w:hAnsiTheme="majorHAnsi" w:cstheme="majorBidi"/>
      <w:color w:val="365F91" w:themeColor="accent1" w:themeShade="BF"/>
      <w:sz w:val="26"/>
      <w:szCs w:val="26"/>
      <w:lang w:eastAsia="en-US"/>
    </w:rPr>
  </w:style>
  <w:style w:type="character" w:customStyle="1" w:styleId="Heading3Char">
    <w:name w:val="Heading 3 Char"/>
    <w:basedOn w:val="DefaultParagraphFont"/>
    <w:link w:val="Heading3"/>
    <w:semiHidden/>
    <w:rsid w:val="00F85DB4"/>
    <w:rPr>
      <w:rFonts w:asciiTheme="majorHAnsi" w:eastAsiaTheme="majorEastAsia" w:hAnsiTheme="majorHAnsi" w:cstheme="majorBidi"/>
      <w:color w:val="243F60" w:themeColor="accent1" w:themeShade="7F"/>
      <w:sz w:val="24"/>
      <w:szCs w:val="24"/>
      <w:lang w:eastAsia="en-US"/>
    </w:rPr>
  </w:style>
  <w:style w:type="character" w:styleId="UnresolvedMention">
    <w:name w:val="Unresolved Mention"/>
    <w:basedOn w:val="DefaultParagraphFont"/>
    <w:uiPriority w:val="99"/>
    <w:semiHidden/>
    <w:unhideWhenUsed/>
    <w:rsid w:val="00663A14"/>
    <w:rPr>
      <w:color w:val="605E5C"/>
      <w:shd w:val="clear" w:color="auto" w:fill="E1DFDD"/>
    </w:rPr>
  </w:style>
  <w:style w:type="character" w:customStyle="1" w:styleId="Heading4Char">
    <w:name w:val="Heading 4 Char"/>
    <w:basedOn w:val="DefaultParagraphFont"/>
    <w:link w:val="Heading4"/>
    <w:rsid w:val="00F115BD"/>
    <w:rPr>
      <w:rFonts w:ascii="Arial" w:eastAsia="Times New Roman" w:hAnsi="Arial" w:cs="Arial"/>
      <w:b/>
      <w:bCs/>
      <w:color w:val="000080"/>
      <w:lang w:eastAsia="en-US"/>
    </w:rPr>
  </w:style>
  <w:style w:type="character" w:customStyle="1" w:styleId="Heading9Char">
    <w:name w:val="Heading 9 Char"/>
    <w:basedOn w:val="DefaultParagraphFont"/>
    <w:link w:val="Heading9"/>
    <w:rsid w:val="00F115BD"/>
    <w:rPr>
      <w:rFonts w:ascii="Arial" w:eastAsia="Times New Roman" w:hAnsi="Arial" w:cs="Arial"/>
      <w:sz w:val="22"/>
      <w:szCs w:val="22"/>
      <w:lang w:eastAsia="en-US"/>
    </w:rPr>
  </w:style>
  <w:style w:type="paragraph" w:styleId="BodyTextIndent3">
    <w:name w:val="Body Text Indent 3"/>
    <w:basedOn w:val="Normal"/>
    <w:link w:val="BodyTextIndent3Char"/>
    <w:rsid w:val="00F115BD"/>
    <w:pPr>
      <w:spacing w:line="240" w:lineRule="auto"/>
      <w:ind w:left="576"/>
      <w:jc w:val="both"/>
    </w:pPr>
    <w:rPr>
      <w:rFonts w:ascii="Arial" w:eastAsia="Times New Roman" w:hAnsi="Arial"/>
      <w:lang w:val="en"/>
    </w:rPr>
  </w:style>
  <w:style w:type="character" w:customStyle="1" w:styleId="BodyTextIndent3Char">
    <w:name w:val="Body Text Indent 3 Char"/>
    <w:basedOn w:val="DefaultParagraphFont"/>
    <w:link w:val="BodyTextIndent3"/>
    <w:rsid w:val="00F115BD"/>
    <w:rPr>
      <w:rFonts w:ascii="Arial" w:eastAsia="Times New Roman" w:hAnsi="Arial"/>
      <w:sz w:val="22"/>
      <w:szCs w:val="22"/>
      <w:lang w:val="en" w:eastAsia="en-US"/>
    </w:rPr>
  </w:style>
  <w:style w:type="character" w:styleId="PageNumber">
    <w:name w:val="page number"/>
    <w:basedOn w:val="DefaultParagraphFont"/>
    <w:rsid w:val="00F115BD"/>
  </w:style>
  <w:style w:type="paragraph" w:customStyle="1" w:styleId="StyleCCC">
    <w:name w:val="StyleCCC"/>
    <w:basedOn w:val="Normal"/>
    <w:rsid w:val="00F115BD"/>
    <w:pPr>
      <w:tabs>
        <w:tab w:val="num" w:pos="360"/>
      </w:tabs>
      <w:spacing w:line="240" w:lineRule="auto"/>
      <w:ind w:left="360" w:hanging="360"/>
    </w:pPr>
    <w:rPr>
      <w:rFonts w:ascii="Arial" w:eastAsia="Times New Roman" w:hAnsi="Arial"/>
      <w:sz w:val="24"/>
      <w:szCs w:val="20"/>
    </w:rPr>
  </w:style>
  <w:style w:type="paragraph" w:customStyle="1" w:styleId="Char">
    <w:name w:val="Char"/>
    <w:basedOn w:val="Normal"/>
    <w:rsid w:val="00F115BD"/>
    <w:pPr>
      <w:spacing w:after="160" w:line="240" w:lineRule="exact"/>
    </w:pPr>
    <w:rPr>
      <w:rFonts w:ascii="Verdana" w:eastAsia="Times New Roman" w:hAnsi="Verdana" w:cs="Verdana"/>
      <w:sz w:val="20"/>
      <w:szCs w:val="20"/>
      <w:lang w:val="en-US"/>
    </w:rPr>
  </w:style>
  <w:style w:type="paragraph" w:styleId="Title">
    <w:name w:val="Title"/>
    <w:basedOn w:val="Normal"/>
    <w:next w:val="Normal"/>
    <w:link w:val="TitleChar"/>
    <w:qFormat/>
    <w:locked/>
    <w:rsid w:val="00F115BD"/>
    <w:pPr>
      <w:spacing w:before="240" w:after="60" w:line="240" w:lineRule="auto"/>
      <w:jc w:val="center"/>
      <w:outlineLvl w:val="0"/>
    </w:pPr>
    <w:rPr>
      <w:rFonts w:ascii="Calibri Light" w:eastAsia="Times New Roman" w:hAnsi="Calibri Light"/>
      <w:b/>
      <w:bCs/>
      <w:kern w:val="28"/>
      <w:sz w:val="32"/>
      <w:szCs w:val="32"/>
    </w:rPr>
  </w:style>
  <w:style w:type="character" w:customStyle="1" w:styleId="TitleChar">
    <w:name w:val="Title Char"/>
    <w:basedOn w:val="DefaultParagraphFont"/>
    <w:link w:val="Title"/>
    <w:rsid w:val="00F115BD"/>
    <w:rPr>
      <w:rFonts w:ascii="Calibri Light" w:eastAsia="Times New Roman" w:hAnsi="Calibri Light"/>
      <w:b/>
      <w:bCs/>
      <w:kern w:val="28"/>
      <w:sz w:val="32"/>
      <w:szCs w:val="32"/>
      <w:lang w:eastAsia="en-US"/>
    </w:rPr>
  </w:style>
  <w:style w:type="paragraph" w:styleId="Revision">
    <w:name w:val="Revision"/>
    <w:hidden/>
    <w:uiPriority w:val="99"/>
    <w:semiHidden/>
    <w:rsid w:val="004C5989"/>
    <w:rPr>
      <w:sz w:val="22"/>
      <w:szCs w:val="22"/>
      <w:lang w:eastAsia="en-US"/>
    </w:rPr>
  </w:style>
  <w:style w:type="paragraph" w:customStyle="1" w:styleId="PanelPara">
    <w:name w:val="Panel Para"/>
    <w:basedOn w:val="ListParagraph"/>
    <w:link w:val="PanelParaChar"/>
    <w:qFormat/>
    <w:rsid w:val="00BD46B3"/>
    <w:pPr>
      <w:numPr>
        <w:numId w:val="6"/>
      </w:numPr>
      <w:spacing w:after="240" w:line="240" w:lineRule="auto"/>
      <w:ind w:left="567" w:hanging="567"/>
      <w:contextualSpacing w:val="0"/>
      <w:jc w:val="both"/>
    </w:pPr>
    <w:rPr>
      <w:rFonts w:asciiTheme="minorHAnsi" w:hAnsiTheme="minorHAnsi" w:cstheme="minorHAnsi"/>
      <w:sz w:val="24"/>
      <w:szCs w:val="24"/>
    </w:rPr>
  </w:style>
  <w:style w:type="character" w:customStyle="1" w:styleId="PanelParaChar">
    <w:name w:val="Panel Para Char"/>
    <w:basedOn w:val="DefaultParagraphFont"/>
    <w:link w:val="PanelPara"/>
    <w:rsid w:val="00BD46B3"/>
    <w:rPr>
      <w:rFonts w:asciiTheme="minorHAnsi" w:hAnsiTheme="minorHAnsi" w:cstheme="minorHAnsi"/>
      <w:sz w:val="24"/>
      <w:szCs w:val="24"/>
      <w:lang w:eastAsia="en-US"/>
    </w:rPr>
  </w:style>
  <w:style w:type="paragraph" w:customStyle="1" w:styleId="PanelHeading">
    <w:name w:val="Panel Heading"/>
    <w:basedOn w:val="Normal"/>
    <w:link w:val="PanelHeadingChar"/>
    <w:qFormat/>
    <w:rsid w:val="00095FC7"/>
    <w:pPr>
      <w:spacing w:after="240"/>
      <w:jc w:val="both"/>
    </w:pPr>
    <w:rPr>
      <w:rFonts w:asciiTheme="minorHAnsi" w:hAnsiTheme="minorHAnsi" w:cstheme="minorHAnsi"/>
      <w:b/>
      <w:sz w:val="24"/>
      <w:szCs w:val="24"/>
    </w:rPr>
  </w:style>
  <w:style w:type="paragraph" w:customStyle="1" w:styleId="PanelPara2">
    <w:name w:val="Panel Para 2"/>
    <w:basedOn w:val="PanelPara"/>
    <w:link w:val="PanelPara2Char"/>
    <w:qFormat/>
    <w:rsid w:val="00FC067A"/>
    <w:pPr>
      <w:numPr>
        <w:ilvl w:val="1"/>
      </w:numPr>
      <w:ind w:left="1134" w:hanging="567"/>
    </w:pPr>
  </w:style>
  <w:style w:type="character" w:customStyle="1" w:styleId="PanelHeadingChar">
    <w:name w:val="Panel Heading Char"/>
    <w:basedOn w:val="DefaultParagraphFont"/>
    <w:link w:val="PanelHeading"/>
    <w:rsid w:val="00095FC7"/>
    <w:rPr>
      <w:rFonts w:asciiTheme="minorHAnsi" w:hAnsiTheme="minorHAnsi" w:cstheme="minorHAnsi"/>
      <w:b/>
      <w:sz w:val="24"/>
      <w:szCs w:val="24"/>
      <w:lang w:eastAsia="en-US"/>
    </w:rPr>
  </w:style>
  <w:style w:type="paragraph" w:customStyle="1" w:styleId="PanelBullet">
    <w:name w:val="Panel Bullet"/>
    <w:basedOn w:val="PanelPara2"/>
    <w:link w:val="PanelBulletChar"/>
    <w:qFormat/>
    <w:rsid w:val="008C66D2"/>
    <w:pPr>
      <w:numPr>
        <w:ilvl w:val="2"/>
      </w:numPr>
      <w:spacing w:after="120"/>
      <w:ind w:left="1701" w:hanging="567"/>
    </w:pPr>
  </w:style>
  <w:style w:type="character" w:customStyle="1" w:styleId="PanelPara2Char">
    <w:name w:val="Panel Para 2 Char"/>
    <w:basedOn w:val="PanelParaChar"/>
    <w:link w:val="PanelPara2"/>
    <w:rsid w:val="00FC067A"/>
    <w:rPr>
      <w:rFonts w:asciiTheme="minorHAnsi" w:hAnsiTheme="minorHAnsi" w:cstheme="minorHAnsi"/>
      <w:sz w:val="24"/>
      <w:szCs w:val="24"/>
      <w:lang w:eastAsia="en-US"/>
    </w:rPr>
  </w:style>
  <w:style w:type="character" w:customStyle="1" w:styleId="PanelBulletChar">
    <w:name w:val="Panel Bullet Char"/>
    <w:basedOn w:val="PanelPara2Char"/>
    <w:link w:val="PanelBullet"/>
    <w:rsid w:val="008C66D2"/>
    <w:rPr>
      <w:rFonts w:asciiTheme="minorHAnsi" w:hAnsiTheme="minorHAnsi" w:cstheme="minorHAnsi"/>
      <w:sz w:val="24"/>
      <w:szCs w:val="24"/>
      <w:lang w:eastAsia="en-US"/>
    </w:rPr>
  </w:style>
  <w:style w:type="paragraph" w:customStyle="1" w:styleId="ReservesHeading">
    <w:name w:val="Reserves Heading"/>
    <w:basedOn w:val="Normal"/>
    <w:link w:val="ReservesHeadingChar"/>
    <w:qFormat/>
    <w:rsid w:val="009428A9"/>
    <w:pPr>
      <w:numPr>
        <w:numId w:val="8"/>
      </w:numPr>
      <w:spacing w:after="240" w:line="240" w:lineRule="auto"/>
      <w:ind w:left="567" w:hanging="567"/>
      <w:jc w:val="both"/>
    </w:pPr>
    <w:rPr>
      <w:rFonts w:eastAsia="Times New Roman" w:cs="Calibri"/>
      <w:b/>
      <w:bCs/>
      <w:sz w:val="24"/>
      <w:szCs w:val="24"/>
    </w:rPr>
  </w:style>
  <w:style w:type="paragraph" w:customStyle="1" w:styleId="ReservesBody">
    <w:name w:val="Reserves Body"/>
    <w:basedOn w:val="ReservesHeading"/>
    <w:link w:val="ReservesBodyChar"/>
    <w:qFormat/>
    <w:rsid w:val="009428A9"/>
    <w:pPr>
      <w:numPr>
        <w:ilvl w:val="1"/>
      </w:numPr>
      <w:ind w:left="567" w:hanging="567"/>
    </w:pPr>
    <w:rPr>
      <w:b w:val="0"/>
      <w:bCs w:val="0"/>
    </w:rPr>
  </w:style>
  <w:style w:type="character" w:customStyle="1" w:styleId="ReservesHeadingChar">
    <w:name w:val="Reserves Heading Char"/>
    <w:basedOn w:val="DefaultParagraphFont"/>
    <w:link w:val="ReservesHeading"/>
    <w:rsid w:val="009428A9"/>
    <w:rPr>
      <w:rFonts w:eastAsia="Times New Roman" w:cs="Calibri"/>
      <w:b/>
      <w:bCs/>
      <w:sz w:val="24"/>
      <w:szCs w:val="24"/>
      <w:lang w:eastAsia="en-US"/>
    </w:rPr>
  </w:style>
  <w:style w:type="paragraph" w:customStyle="1" w:styleId="Reservesbullet">
    <w:name w:val="Reserves bullet"/>
    <w:basedOn w:val="ReservesBody"/>
    <w:link w:val="ReservesbulletChar"/>
    <w:qFormat/>
    <w:rsid w:val="009428A9"/>
    <w:pPr>
      <w:numPr>
        <w:ilvl w:val="2"/>
      </w:numPr>
      <w:spacing w:after="120"/>
      <w:ind w:left="1077" w:hanging="357"/>
    </w:pPr>
  </w:style>
  <w:style w:type="character" w:customStyle="1" w:styleId="ReservesBodyChar">
    <w:name w:val="Reserves Body Char"/>
    <w:basedOn w:val="ReservesHeadingChar"/>
    <w:link w:val="ReservesBody"/>
    <w:rsid w:val="009428A9"/>
    <w:rPr>
      <w:rFonts w:eastAsia="Times New Roman" w:cs="Calibri"/>
      <w:b w:val="0"/>
      <w:bCs w:val="0"/>
      <w:sz w:val="24"/>
      <w:szCs w:val="24"/>
      <w:lang w:eastAsia="en-US"/>
    </w:rPr>
  </w:style>
  <w:style w:type="character" w:customStyle="1" w:styleId="ReservesbulletChar">
    <w:name w:val="Reserves bullet Char"/>
    <w:basedOn w:val="ReservesBodyChar"/>
    <w:link w:val="Reservesbullet"/>
    <w:rsid w:val="009428A9"/>
    <w:rPr>
      <w:rFonts w:eastAsia="Times New Roman" w:cs="Calibri"/>
      <w:b w:val="0"/>
      <w:bCs w:val="0"/>
      <w:sz w:val="24"/>
      <w:szCs w:val="24"/>
      <w:lang w:eastAsia="en-US"/>
    </w:rPr>
  </w:style>
  <w:style w:type="character" w:customStyle="1" w:styleId="ListParagraphChar">
    <w:name w:val="List Paragraph Char"/>
    <w:basedOn w:val="DefaultParagraphFont"/>
    <w:link w:val="ListParagraph"/>
    <w:uiPriority w:val="34"/>
    <w:rsid w:val="007868AD"/>
    <w:rPr>
      <w:sz w:val="22"/>
      <w:szCs w:val="22"/>
      <w:lang w:eastAsia="en-US"/>
    </w:rPr>
  </w:style>
  <w:style w:type="table" w:customStyle="1" w:styleId="TableGrid2">
    <w:name w:val="Table Grid2"/>
    <w:basedOn w:val="TableNormal"/>
    <w:next w:val="TableGrid"/>
    <w:uiPriority w:val="39"/>
    <w:rsid w:val="00681A95"/>
    <w:rPr>
      <w:rFonts w:ascii="Aptos" w:eastAsia="Aptos" w:hAnsi="Aptos"/>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4583">
      <w:bodyDiv w:val="1"/>
      <w:marLeft w:val="0"/>
      <w:marRight w:val="0"/>
      <w:marTop w:val="0"/>
      <w:marBottom w:val="0"/>
      <w:divBdr>
        <w:top w:val="none" w:sz="0" w:space="0" w:color="auto"/>
        <w:left w:val="none" w:sz="0" w:space="0" w:color="auto"/>
        <w:bottom w:val="none" w:sz="0" w:space="0" w:color="auto"/>
        <w:right w:val="none" w:sz="0" w:space="0" w:color="auto"/>
      </w:divBdr>
    </w:div>
    <w:div w:id="9069304">
      <w:bodyDiv w:val="1"/>
      <w:marLeft w:val="0"/>
      <w:marRight w:val="0"/>
      <w:marTop w:val="0"/>
      <w:marBottom w:val="0"/>
      <w:divBdr>
        <w:top w:val="none" w:sz="0" w:space="0" w:color="auto"/>
        <w:left w:val="none" w:sz="0" w:space="0" w:color="auto"/>
        <w:bottom w:val="none" w:sz="0" w:space="0" w:color="auto"/>
        <w:right w:val="none" w:sz="0" w:space="0" w:color="auto"/>
      </w:divBdr>
    </w:div>
    <w:div w:id="13384480">
      <w:bodyDiv w:val="1"/>
      <w:marLeft w:val="0"/>
      <w:marRight w:val="0"/>
      <w:marTop w:val="0"/>
      <w:marBottom w:val="0"/>
      <w:divBdr>
        <w:top w:val="none" w:sz="0" w:space="0" w:color="auto"/>
        <w:left w:val="none" w:sz="0" w:space="0" w:color="auto"/>
        <w:bottom w:val="none" w:sz="0" w:space="0" w:color="auto"/>
        <w:right w:val="none" w:sz="0" w:space="0" w:color="auto"/>
      </w:divBdr>
    </w:div>
    <w:div w:id="16129193">
      <w:bodyDiv w:val="1"/>
      <w:marLeft w:val="0"/>
      <w:marRight w:val="0"/>
      <w:marTop w:val="0"/>
      <w:marBottom w:val="0"/>
      <w:divBdr>
        <w:top w:val="none" w:sz="0" w:space="0" w:color="auto"/>
        <w:left w:val="none" w:sz="0" w:space="0" w:color="auto"/>
        <w:bottom w:val="none" w:sz="0" w:space="0" w:color="auto"/>
        <w:right w:val="none" w:sz="0" w:space="0" w:color="auto"/>
      </w:divBdr>
    </w:div>
    <w:div w:id="70542213">
      <w:bodyDiv w:val="1"/>
      <w:marLeft w:val="0"/>
      <w:marRight w:val="0"/>
      <w:marTop w:val="0"/>
      <w:marBottom w:val="0"/>
      <w:divBdr>
        <w:top w:val="none" w:sz="0" w:space="0" w:color="auto"/>
        <w:left w:val="none" w:sz="0" w:space="0" w:color="auto"/>
        <w:bottom w:val="none" w:sz="0" w:space="0" w:color="auto"/>
        <w:right w:val="none" w:sz="0" w:space="0" w:color="auto"/>
      </w:divBdr>
    </w:div>
    <w:div w:id="77875207">
      <w:bodyDiv w:val="1"/>
      <w:marLeft w:val="0"/>
      <w:marRight w:val="0"/>
      <w:marTop w:val="0"/>
      <w:marBottom w:val="0"/>
      <w:divBdr>
        <w:top w:val="none" w:sz="0" w:space="0" w:color="auto"/>
        <w:left w:val="none" w:sz="0" w:space="0" w:color="auto"/>
        <w:bottom w:val="none" w:sz="0" w:space="0" w:color="auto"/>
        <w:right w:val="none" w:sz="0" w:space="0" w:color="auto"/>
      </w:divBdr>
    </w:div>
    <w:div w:id="95518438">
      <w:bodyDiv w:val="1"/>
      <w:marLeft w:val="0"/>
      <w:marRight w:val="0"/>
      <w:marTop w:val="0"/>
      <w:marBottom w:val="0"/>
      <w:divBdr>
        <w:top w:val="none" w:sz="0" w:space="0" w:color="auto"/>
        <w:left w:val="none" w:sz="0" w:space="0" w:color="auto"/>
        <w:bottom w:val="none" w:sz="0" w:space="0" w:color="auto"/>
        <w:right w:val="none" w:sz="0" w:space="0" w:color="auto"/>
      </w:divBdr>
    </w:div>
    <w:div w:id="126431824">
      <w:bodyDiv w:val="1"/>
      <w:marLeft w:val="0"/>
      <w:marRight w:val="0"/>
      <w:marTop w:val="0"/>
      <w:marBottom w:val="0"/>
      <w:divBdr>
        <w:top w:val="none" w:sz="0" w:space="0" w:color="auto"/>
        <w:left w:val="none" w:sz="0" w:space="0" w:color="auto"/>
        <w:bottom w:val="none" w:sz="0" w:space="0" w:color="auto"/>
        <w:right w:val="none" w:sz="0" w:space="0" w:color="auto"/>
      </w:divBdr>
    </w:div>
    <w:div w:id="130296754">
      <w:bodyDiv w:val="1"/>
      <w:marLeft w:val="0"/>
      <w:marRight w:val="0"/>
      <w:marTop w:val="0"/>
      <w:marBottom w:val="0"/>
      <w:divBdr>
        <w:top w:val="none" w:sz="0" w:space="0" w:color="auto"/>
        <w:left w:val="none" w:sz="0" w:space="0" w:color="auto"/>
        <w:bottom w:val="none" w:sz="0" w:space="0" w:color="auto"/>
        <w:right w:val="none" w:sz="0" w:space="0" w:color="auto"/>
      </w:divBdr>
    </w:div>
    <w:div w:id="139621000">
      <w:bodyDiv w:val="1"/>
      <w:marLeft w:val="0"/>
      <w:marRight w:val="0"/>
      <w:marTop w:val="0"/>
      <w:marBottom w:val="0"/>
      <w:divBdr>
        <w:top w:val="none" w:sz="0" w:space="0" w:color="auto"/>
        <w:left w:val="none" w:sz="0" w:space="0" w:color="auto"/>
        <w:bottom w:val="none" w:sz="0" w:space="0" w:color="auto"/>
        <w:right w:val="none" w:sz="0" w:space="0" w:color="auto"/>
      </w:divBdr>
    </w:div>
    <w:div w:id="176385196">
      <w:bodyDiv w:val="1"/>
      <w:marLeft w:val="0"/>
      <w:marRight w:val="0"/>
      <w:marTop w:val="0"/>
      <w:marBottom w:val="0"/>
      <w:divBdr>
        <w:top w:val="none" w:sz="0" w:space="0" w:color="auto"/>
        <w:left w:val="none" w:sz="0" w:space="0" w:color="auto"/>
        <w:bottom w:val="none" w:sz="0" w:space="0" w:color="auto"/>
        <w:right w:val="none" w:sz="0" w:space="0" w:color="auto"/>
      </w:divBdr>
    </w:div>
    <w:div w:id="203055843">
      <w:bodyDiv w:val="1"/>
      <w:marLeft w:val="0"/>
      <w:marRight w:val="0"/>
      <w:marTop w:val="0"/>
      <w:marBottom w:val="0"/>
      <w:divBdr>
        <w:top w:val="none" w:sz="0" w:space="0" w:color="auto"/>
        <w:left w:val="none" w:sz="0" w:space="0" w:color="auto"/>
        <w:bottom w:val="none" w:sz="0" w:space="0" w:color="auto"/>
        <w:right w:val="none" w:sz="0" w:space="0" w:color="auto"/>
      </w:divBdr>
    </w:div>
    <w:div w:id="210852648">
      <w:bodyDiv w:val="1"/>
      <w:marLeft w:val="0"/>
      <w:marRight w:val="0"/>
      <w:marTop w:val="0"/>
      <w:marBottom w:val="0"/>
      <w:divBdr>
        <w:top w:val="none" w:sz="0" w:space="0" w:color="auto"/>
        <w:left w:val="none" w:sz="0" w:space="0" w:color="auto"/>
        <w:bottom w:val="none" w:sz="0" w:space="0" w:color="auto"/>
        <w:right w:val="none" w:sz="0" w:space="0" w:color="auto"/>
      </w:divBdr>
    </w:div>
    <w:div w:id="225148805">
      <w:bodyDiv w:val="1"/>
      <w:marLeft w:val="0"/>
      <w:marRight w:val="0"/>
      <w:marTop w:val="0"/>
      <w:marBottom w:val="0"/>
      <w:divBdr>
        <w:top w:val="none" w:sz="0" w:space="0" w:color="auto"/>
        <w:left w:val="none" w:sz="0" w:space="0" w:color="auto"/>
        <w:bottom w:val="none" w:sz="0" w:space="0" w:color="auto"/>
        <w:right w:val="none" w:sz="0" w:space="0" w:color="auto"/>
      </w:divBdr>
    </w:div>
    <w:div w:id="253981878">
      <w:bodyDiv w:val="1"/>
      <w:marLeft w:val="0"/>
      <w:marRight w:val="0"/>
      <w:marTop w:val="0"/>
      <w:marBottom w:val="0"/>
      <w:divBdr>
        <w:top w:val="none" w:sz="0" w:space="0" w:color="auto"/>
        <w:left w:val="none" w:sz="0" w:space="0" w:color="auto"/>
        <w:bottom w:val="none" w:sz="0" w:space="0" w:color="auto"/>
        <w:right w:val="none" w:sz="0" w:space="0" w:color="auto"/>
      </w:divBdr>
    </w:div>
    <w:div w:id="282082967">
      <w:bodyDiv w:val="1"/>
      <w:marLeft w:val="0"/>
      <w:marRight w:val="0"/>
      <w:marTop w:val="0"/>
      <w:marBottom w:val="0"/>
      <w:divBdr>
        <w:top w:val="none" w:sz="0" w:space="0" w:color="auto"/>
        <w:left w:val="none" w:sz="0" w:space="0" w:color="auto"/>
        <w:bottom w:val="none" w:sz="0" w:space="0" w:color="auto"/>
        <w:right w:val="none" w:sz="0" w:space="0" w:color="auto"/>
      </w:divBdr>
    </w:div>
    <w:div w:id="283200012">
      <w:bodyDiv w:val="1"/>
      <w:marLeft w:val="0"/>
      <w:marRight w:val="0"/>
      <w:marTop w:val="0"/>
      <w:marBottom w:val="0"/>
      <w:divBdr>
        <w:top w:val="none" w:sz="0" w:space="0" w:color="auto"/>
        <w:left w:val="none" w:sz="0" w:space="0" w:color="auto"/>
        <w:bottom w:val="none" w:sz="0" w:space="0" w:color="auto"/>
        <w:right w:val="none" w:sz="0" w:space="0" w:color="auto"/>
      </w:divBdr>
    </w:div>
    <w:div w:id="283927998">
      <w:bodyDiv w:val="1"/>
      <w:marLeft w:val="0"/>
      <w:marRight w:val="0"/>
      <w:marTop w:val="0"/>
      <w:marBottom w:val="0"/>
      <w:divBdr>
        <w:top w:val="none" w:sz="0" w:space="0" w:color="auto"/>
        <w:left w:val="none" w:sz="0" w:space="0" w:color="auto"/>
        <w:bottom w:val="none" w:sz="0" w:space="0" w:color="auto"/>
        <w:right w:val="none" w:sz="0" w:space="0" w:color="auto"/>
      </w:divBdr>
    </w:div>
    <w:div w:id="286860873">
      <w:bodyDiv w:val="1"/>
      <w:marLeft w:val="0"/>
      <w:marRight w:val="0"/>
      <w:marTop w:val="0"/>
      <w:marBottom w:val="0"/>
      <w:divBdr>
        <w:top w:val="none" w:sz="0" w:space="0" w:color="auto"/>
        <w:left w:val="none" w:sz="0" w:space="0" w:color="auto"/>
        <w:bottom w:val="none" w:sz="0" w:space="0" w:color="auto"/>
        <w:right w:val="none" w:sz="0" w:space="0" w:color="auto"/>
      </w:divBdr>
    </w:div>
    <w:div w:id="289282779">
      <w:bodyDiv w:val="1"/>
      <w:marLeft w:val="0"/>
      <w:marRight w:val="0"/>
      <w:marTop w:val="0"/>
      <w:marBottom w:val="0"/>
      <w:divBdr>
        <w:top w:val="none" w:sz="0" w:space="0" w:color="auto"/>
        <w:left w:val="none" w:sz="0" w:space="0" w:color="auto"/>
        <w:bottom w:val="none" w:sz="0" w:space="0" w:color="auto"/>
        <w:right w:val="none" w:sz="0" w:space="0" w:color="auto"/>
      </w:divBdr>
    </w:div>
    <w:div w:id="329409941">
      <w:bodyDiv w:val="1"/>
      <w:marLeft w:val="0"/>
      <w:marRight w:val="0"/>
      <w:marTop w:val="0"/>
      <w:marBottom w:val="0"/>
      <w:divBdr>
        <w:top w:val="none" w:sz="0" w:space="0" w:color="auto"/>
        <w:left w:val="none" w:sz="0" w:space="0" w:color="auto"/>
        <w:bottom w:val="none" w:sz="0" w:space="0" w:color="auto"/>
        <w:right w:val="none" w:sz="0" w:space="0" w:color="auto"/>
      </w:divBdr>
    </w:div>
    <w:div w:id="331958090">
      <w:bodyDiv w:val="1"/>
      <w:marLeft w:val="0"/>
      <w:marRight w:val="0"/>
      <w:marTop w:val="0"/>
      <w:marBottom w:val="0"/>
      <w:divBdr>
        <w:top w:val="none" w:sz="0" w:space="0" w:color="auto"/>
        <w:left w:val="none" w:sz="0" w:space="0" w:color="auto"/>
        <w:bottom w:val="none" w:sz="0" w:space="0" w:color="auto"/>
        <w:right w:val="none" w:sz="0" w:space="0" w:color="auto"/>
      </w:divBdr>
    </w:div>
    <w:div w:id="336005959">
      <w:bodyDiv w:val="1"/>
      <w:marLeft w:val="0"/>
      <w:marRight w:val="0"/>
      <w:marTop w:val="0"/>
      <w:marBottom w:val="0"/>
      <w:divBdr>
        <w:top w:val="none" w:sz="0" w:space="0" w:color="auto"/>
        <w:left w:val="none" w:sz="0" w:space="0" w:color="auto"/>
        <w:bottom w:val="none" w:sz="0" w:space="0" w:color="auto"/>
        <w:right w:val="none" w:sz="0" w:space="0" w:color="auto"/>
      </w:divBdr>
    </w:div>
    <w:div w:id="349188941">
      <w:bodyDiv w:val="1"/>
      <w:marLeft w:val="0"/>
      <w:marRight w:val="0"/>
      <w:marTop w:val="0"/>
      <w:marBottom w:val="0"/>
      <w:divBdr>
        <w:top w:val="none" w:sz="0" w:space="0" w:color="auto"/>
        <w:left w:val="none" w:sz="0" w:space="0" w:color="auto"/>
        <w:bottom w:val="none" w:sz="0" w:space="0" w:color="auto"/>
        <w:right w:val="none" w:sz="0" w:space="0" w:color="auto"/>
      </w:divBdr>
    </w:div>
    <w:div w:id="382217880">
      <w:bodyDiv w:val="1"/>
      <w:marLeft w:val="0"/>
      <w:marRight w:val="0"/>
      <w:marTop w:val="0"/>
      <w:marBottom w:val="0"/>
      <w:divBdr>
        <w:top w:val="none" w:sz="0" w:space="0" w:color="auto"/>
        <w:left w:val="none" w:sz="0" w:space="0" w:color="auto"/>
        <w:bottom w:val="none" w:sz="0" w:space="0" w:color="auto"/>
        <w:right w:val="none" w:sz="0" w:space="0" w:color="auto"/>
      </w:divBdr>
    </w:div>
    <w:div w:id="387343775">
      <w:bodyDiv w:val="1"/>
      <w:marLeft w:val="0"/>
      <w:marRight w:val="0"/>
      <w:marTop w:val="0"/>
      <w:marBottom w:val="0"/>
      <w:divBdr>
        <w:top w:val="none" w:sz="0" w:space="0" w:color="auto"/>
        <w:left w:val="none" w:sz="0" w:space="0" w:color="auto"/>
        <w:bottom w:val="none" w:sz="0" w:space="0" w:color="auto"/>
        <w:right w:val="none" w:sz="0" w:space="0" w:color="auto"/>
      </w:divBdr>
    </w:div>
    <w:div w:id="395396756">
      <w:bodyDiv w:val="1"/>
      <w:marLeft w:val="0"/>
      <w:marRight w:val="0"/>
      <w:marTop w:val="0"/>
      <w:marBottom w:val="0"/>
      <w:divBdr>
        <w:top w:val="none" w:sz="0" w:space="0" w:color="auto"/>
        <w:left w:val="none" w:sz="0" w:space="0" w:color="auto"/>
        <w:bottom w:val="none" w:sz="0" w:space="0" w:color="auto"/>
        <w:right w:val="none" w:sz="0" w:space="0" w:color="auto"/>
      </w:divBdr>
    </w:div>
    <w:div w:id="402338239">
      <w:bodyDiv w:val="1"/>
      <w:marLeft w:val="0"/>
      <w:marRight w:val="0"/>
      <w:marTop w:val="0"/>
      <w:marBottom w:val="0"/>
      <w:divBdr>
        <w:top w:val="none" w:sz="0" w:space="0" w:color="auto"/>
        <w:left w:val="none" w:sz="0" w:space="0" w:color="auto"/>
        <w:bottom w:val="none" w:sz="0" w:space="0" w:color="auto"/>
        <w:right w:val="none" w:sz="0" w:space="0" w:color="auto"/>
      </w:divBdr>
    </w:div>
    <w:div w:id="403725861">
      <w:bodyDiv w:val="1"/>
      <w:marLeft w:val="0"/>
      <w:marRight w:val="0"/>
      <w:marTop w:val="0"/>
      <w:marBottom w:val="0"/>
      <w:divBdr>
        <w:top w:val="none" w:sz="0" w:space="0" w:color="auto"/>
        <w:left w:val="none" w:sz="0" w:space="0" w:color="auto"/>
        <w:bottom w:val="none" w:sz="0" w:space="0" w:color="auto"/>
        <w:right w:val="none" w:sz="0" w:space="0" w:color="auto"/>
      </w:divBdr>
    </w:div>
    <w:div w:id="406222546">
      <w:marLeft w:val="0"/>
      <w:marRight w:val="0"/>
      <w:marTop w:val="0"/>
      <w:marBottom w:val="0"/>
      <w:divBdr>
        <w:top w:val="none" w:sz="0" w:space="0" w:color="auto"/>
        <w:left w:val="none" w:sz="0" w:space="0" w:color="auto"/>
        <w:bottom w:val="none" w:sz="0" w:space="0" w:color="auto"/>
        <w:right w:val="none" w:sz="0" w:space="0" w:color="auto"/>
      </w:divBdr>
    </w:div>
    <w:div w:id="406222547">
      <w:marLeft w:val="0"/>
      <w:marRight w:val="0"/>
      <w:marTop w:val="0"/>
      <w:marBottom w:val="0"/>
      <w:divBdr>
        <w:top w:val="none" w:sz="0" w:space="0" w:color="auto"/>
        <w:left w:val="none" w:sz="0" w:space="0" w:color="auto"/>
        <w:bottom w:val="none" w:sz="0" w:space="0" w:color="auto"/>
        <w:right w:val="none" w:sz="0" w:space="0" w:color="auto"/>
      </w:divBdr>
    </w:div>
    <w:div w:id="406222549">
      <w:marLeft w:val="0"/>
      <w:marRight w:val="0"/>
      <w:marTop w:val="0"/>
      <w:marBottom w:val="0"/>
      <w:divBdr>
        <w:top w:val="none" w:sz="0" w:space="0" w:color="auto"/>
        <w:left w:val="none" w:sz="0" w:space="0" w:color="auto"/>
        <w:bottom w:val="none" w:sz="0" w:space="0" w:color="auto"/>
        <w:right w:val="none" w:sz="0" w:space="0" w:color="auto"/>
      </w:divBdr>
      <w:divsChild>
        <w:div w:id="406222548">
          <w:marLeft w:val="0"/>
          <w:marRight w:val="0"/>
          <w:marTop w:val="0"/>
          <w:marBottom w:val="0"/>
          <w:divBdr>
            <w:top w:val="none" w:sz="0" w:space="0" w:color="auto"/>
            <w:left w:val="none" w:sz="0" w:space="0" w:color="auto"/>
            <w:bottom w:val="none" w:sz="0" w:space="0" w:color="auto"/>
            <w:right w:val="none" w:sz="0" w:space="0" w:color="auto"/>
          </w:divBdr>
        </w:div>
      </w:divsChild>
    </w:div>
    <w:div w:id="406729602">
      <w:bodyDiv w:val="1"/>
      <w:marLeft w:val="0"/>
      <w:marRight w:val="0"/>
      <w:marTop w:val="0"/>
      <w:marBottom w:val="0"/>
      <w:divBdr>
        <w:top w:val="none" w:sz="0" w:space="0" w:color="auto"/>
        <w:left w:val="none" w:sz="0" w:space="0" w:color="auto"/>
        <w:bottom w:val="none" w:sz="0" w:space="0" w:color="auto"/>
        <w:right w:val="none" w:sz="0" w:space="0" w:color="auto"/>
      </w:divBdr>
    </w:div>
    <w:div w:id="428896094">
      <w:bodyDiv w:val="1"/>
      <w:marLeft w:val="0"/>
      <w:marRight w:val="0"/>
      <w:marTop w:val="0"/>
      <w:marBottom w:val="0"/>
      <w:divBdr>
        <w:top w:val="none" w:sz="0" w:space="0" w:color="auto"/>
        <w:left w:val="none" w:sz="0" w:space="0" w:color="auto"/>
        <w:bottom w:val="none" w:sz="0" w:space="0" w:color="auto"/>
        <w:right w:val="none" w:sz="0" w:space="0" w:color="auto"/>
      </w:divBdr>
    </w:div>
    <w:div w:id="451091945">
      <w:bodyDiv w:val="1"/>
      <w:marLeft w:val="0"/>
      <w:marRight w:val="0"/>
      <w:marTop w:val="0"/>
      <w:marBottom w:val="0"/>
      <w:divBdr>
        <w:top w:val="none" w:sz="0" w:space="0" w:color="auto"/>
        <w:left w:val="none" w:sz="0" w:space="0" w:color="auto"/>
        <w:bottom w:val="none" w:sz="0" w:space="0" w:color="auto"/>
        <w:right w:val="none" w:sz="0" w:space="0" w:color="auto"/>
      </w:divBdr>
    </w:div>
    <w:div w:id="465587344">
      <w:bodyDiv w:val="1"/>
      <w:marLeft w:val="0"/>
      <w:marRight w:val="0"/>
      <w:marTop w:val="0"/>
      <w:marBottom w:val="0"/>
      <w:divBdr>
        <w:top w:val="none" w:sz="0" w:space="0" w:color="auto"/>
        <w:left w:val="none" w:sz="0" w:space="0" w:color="auto"/>
        <w:bottom w:val="none" w:sz="0" w:space="0" w:color="auto"/>
        <w:right w:val="none" w:sz="0" w:space="0" w:color="auto"/>
      </w:divBdr>
    </w:div>
    <w:div w:id="471482221">
      <w:bodyDiv w:val="1"/>
      <w:marLeft w:val="0"/>
      <w:marRight w:val="0"/>
      <w:marTop w:val="0"/>
      <w:marBottom w:val="0"/>
      <w:divBdr>
        <w:top w:val="none" w:sz="0" w:space="0" w:color="auto"/>
        <w:left w:val="none" w:sz="0" w:space="0" w:color="auto"/>
        <w:bottom w:val="none" w:sz="0" w:space="0" w:color="auto"/>
        <w:right w:val="none" w:sz="0" w:space="0" w:color="auto"/>
      </w:divBdr>
    </w:div>
    <w:div w:id="477498690">
      <w:bodyDiv w:val="1"/>
      <w:marLeft w:val="0"/>
      <w:marRight w:val="0"/>
      <w:marTop w:val="0"/>
      <w:marBottom w:val="0"/>
      <w:divBdr>
        <w:top w:val="none" w:sz="0" w:space="0" w:color="auto"/>
        <w:left w:val="none" w:sz="0" w:space="0" w:color="auto"/>
        <w:bottom w:val="none" w:sz="0" w:space="0" w:color="auto"/>
        <w:right w:val="none" w:sz="0" w:space="0" w:color="auto"/>
      </w:divBdr>
    </w:div>
    <w:div w:id="500583293">
      <w:bodyDiv w:val="1"/>
      <w:marLeft w:val="0"/>
      <w:marRight w:val="0"/>
      <w:marTop w:val="0"/>
      <w:marBottom w:val="0"/>
      <w:divBdr>
        <w:top w:val="none" w:sz="0" w:space="0" w:color="auto"/>
        <w:left w:val="none" w:sz="0" w:space="0" w:color="auto"/>
        <w:bottom w:val="none" w:sz="0" w:space="0" w:color="auto"/>
        <w:right w:val="none" w:sz="0" w:space="0" w:color="auto"/>
      </w:divBdr>
    </w:div>
    <w:div w:id="509292832">
      <w:bodyDiv w:val="1"/>
      <w:marLeft w:val="0"/>
      <w:marRight w:val="0"/>
      <w:marTop w:val="0"/>
      <w:marBottom w:val="0"/>
      <w:divBdr>
        <w:top w:val="none" w:sz="0" w:space="0" w:color="auto"/>
        <w:left w:val="none" w:sz="0" w:space="0" w:color="auto"/>
        <w:bottom w:val="none" w:sz="0" w:space="0" w:color="auto"/>
        <w:right w:val="none" w:sz="0" w:space="0" w:color="auto"/>
      </w:divBdr>
    </w:div>
    <w:div w:id="513542817">
      <w:bodyDiv w:val="1"/>
      <w:marLeft w:val="0"/>
      <w:marRight w:val="0"/>
      <w:marTop w:val="0"/>
      <w:marBottom w:val="0"/>
      <w:divBdr>
        <w:top w:val="none" w:sz="0" w:space="0" w:color="auto"/>
        <w:left w:val="none" w:sz="0" w:space="0" w:color="auto"/>
        <w:bottom w:val="none" w:sz="0" w:space="0" w:color="auto"/>
        <w:right w:val="none" w:sz="0" w:space="0" w:color="auto"/>
      </w:divBdr>
    </w:div>
    <w:div w:id="548302145">
      <w:bodyDiv w:val="1"/>
      <w:marLeft w:val="0"/>
      <w:marRight w:val="0"/>
      <w:marTop w:val="0"/>
      <w:marBottom w:val="0"/>
      <w:divBdr>
        <w:top w:val="none" w:sz="0" w:space="0" w:color="auto"/>
        <w:left w:val="none" w:sz="0" w:space="0" w:color="auto"/>
        <w:bottom w:val="none" w:sz="0" w:space="0" w:color="auto"/>
        <w:right w:val="none" w:sz="0" w:space="0" w:color="auto"/>
      </w:divBdr>
    </w:div>
    <w:div w:id="551579603">
      <w:bodyDiv w:val="1"/>
      <w:marLeft w:val="0"/>
      <w:marRight w:val="0"/>
      <w:marTop w:val="0"/>
      <w:marBottom w:val="0"/>
      <w:divBdr>
        <w:top w:val="none" w:sz="0" w:space="0" w:color="auto"/>
        <w:left w:val="none" w:sz="0" w:space="0" w:color="auto"/>
        <w:bottom w:val="none" w:sz="0" w:space="0" w:color="auto"/>
        <w:right w:val="none" w:sz="0" w:space="0" w:color="auto"/>
      </w:divBdr>
    </w:div>
    <w:div w:id="582302081">
      <w:bodyDiv w:val="1"/>
      <w:marLeft w:val="0"/>
      <w:marRight w:val="0"/>
      <w:marTop w:val="0"/>
      <w:marBottom w:val="0"/>
      <w:divBdr>
        <w:top w:val="none" w:sz="0" w:space="0" w:color="auto"/>
        <w:left w:val="none" w:sz="0" w:space="0" w:color="auto"/>
        <w:bottom w:val="none" w:sz="0" w:space="0" w:color="auto"/>
        <w:right w:val="none" w:sz="0" w:space="0" w:color="auto"/>
      </w:divBdr>
    </w:div>
    <w:div w:id="595015623">
      <w:bodyDiv w:val="1"/>
      <w:marLeft w:val="0"/>
      <w:marRight w:val="0"/>
      <w:marTop w:val="0"/>
      <w:marBottom w:val="0"/>
      <w:divBdr>
        <w:top w:val="none" w:sz="0" w:space="0" w:color="auto"/>
        <w:left w:val="none" w:sz="0" w:space="0" w:color="auto"/>
        <w:bottom w:val="none" w:sz="0" w:space="0" w:color="auto"/>
        <w:right w:val="none" w:sz="0" w:space="0" w:color="auto"/>
      </w:divBdr>
    </w:div>
    <w:div w:id="615406144">
      <w:bodyDiv w:val="1"/>
      <w:marLeft w:val="0"/>
      <w:marRight w:val="0"/>
      <w:marTop w:val="0"/>
      <w:marBottom w:val="0"/>
      <w:divBdr>
        <w:top w:val="none" w:sz="0" w:space="0" w:color="auto"/>
        <w:left w:val="none" w:sz="0" w:space="0" w:color="auto"/>
        <w:bottom w:val="none" w:sz="0" w:space="0" w:color="auto"/>
        <w:right w:val="none" w:sz="0" w:space="0" w:color="auto"/>
      </w:divBdr>
      <w:divsChild>
        <w:div w:id="98068100">
          <w:marLeft w:val="547"/>
          <w:marRight w:val="0"/>
          <w:marTop w:val="0"/>
          <w:marBottom w:val="0"/>
          <w:divBdr>
            <w:top w:val="none" w:sz="0" w:space="0" w:color="auto"/>
            <w:left w:val="none" w:sz="0" w:space="0" w:color="auto"/>
            <w:bottom w:val="none" w:sz="0" w:space="0" w:color="auto"/>
            <w:right w:val="none" w:sz="0" w:space="0" w:color="auto"/>
          </w:divBdr>
        </w:div>
        <w:div w:id="1340084514">
          <w:marLeft w:val="1267"/>
          <w:marRight w:val="0"/>
          <w:marTop w:val="0"/>
          <w:marBottom w:val="0"/>
          <w:divBdr>
            <w:top w:val="none" w:sz="0" w:space="0" w:color="auto"/>
            <w:left w:val="none" w:sz="0" w:space="0" w:color="auto"/>
            <w:bottom w:val="none" w:sz="0" w:space="0" w:color="auto"/>
            <w:right w:val="none" w:sz="0" w:space="0" w:color="auto"/>
          </w:divBdr>
        </w:div>
        <w:div w:id="1574853183">
          <w:marLeft w:val="1267"/>
          <w:marRight w:val="0"/>
          <w:marTop w:val="0"/>
          <w:marBottom w:val="0"/>
          <w:divBdr>
            <w:top w:val="none" w:sz="0" w:space="0" w:color="auto"/>
            <w:left w:val="none" w:sz="0" w:space="0" w:color="auto"/>
            <w:bottom w:val="none" w:sz="0" w:space="0" w:color="auto"/>
            <w:right w:val="none" w:sz="0" w:space="0" w:color="auto"/>
          </w:divBdr>
        </w:div>
        <w:div w:id="543255615">
          <w:marLeft w:val="547"/>
          <w:marRight w:val="0"/>
          <w:marTop w:val="0"/>
          <w:marBottom w:val="0"/>
          <w:divBdr>
            <w:top w:val="none" w:sz="0" w:space="0" w:color="auto"/>
            <w:left w:val="none" w:sz="0" w:space="0" w:color="auto"/>
            <w:bottom w:val="none" w:sz="0" w:space="0" w:color="auto"/>
            <w:right w:val="none" w:sz="0" w:space="0" w:color="auto"/>
          </w:divBdr>
        </w:div>
        <w:div w:id="1419641908">
          <w:marLeft w:val="547"/>
          <w:marRight w:val="0"/>
          <w:marTop w:val="0"/>
          <w:marBottom w:val="0"/>
          <w:divBdr>
            <w:top w:val="none" w:sz="0" w:space="0" w:color="auto"/>
            <w:left w:val="none" w:sz="0" w:space="0" w:color="auto"/>
            <w:bottom w:val="none" w:sz="0" w:space="0" w:color="auto"/>
            <w:right w:val="none" w:sz="0" w:space="0" w:color="auto"/>
          </w:divBdr>
        </w:div>
        <w:div w:id="1656295882">
          <w:marLeft w:val="547"/>
          <w:marRight w:val="0"/>
          <w:marTop w:val="0"/>
          <w:marBottom w:val="0"/>
          <w:divBdr>
            <w:top w:val="none" w:sz="0" w:space="0" w:color="auto"/>
            <w:left w:val="none" w:sz="0" w:space="0" w:color="auto"/>
            <w:bottom w:val="none" w:sz="0" w:space="0" w:color="auto"/>
            <w:right w:val="none" w:sz="0" w:space="0" w:color="auto"/>
          </w:divBdr>
        </w:div>
        <w:div w:id="1853295621">
          <w:marLeft w:val="547"/>
          <w:marRight w:val="0"/>
          <w:marTop w:val="0"/>
          <w:marBottom w:val="0"/>
          <w:divBdr>
            <w:top w:val="none" w:sz="0" w:space="0" w:color="auto"/>
            <w:left w:val="none" w:sz="0" w:space="0" w:color="auto"/>
            <w:bottom w:val="none" w:sz="0" w:space="0" w:color="auto"/>
            <w:right w:val="none" w:sz="0" w:space="0" w:color="auto"/>
          </w:divBdr>
        </w:div>
        <w:div w:id="500971328">
          <w:marLeft w:val="547"/>
          <w:marRight w:val="0"/>
          <w:marTop w:val="0"/>
          <w:marBottom w:val="0"/>
          <w:divBdr>
            <w:top w:val="none" w:sz="0" w:space="0" w:color="auto"/>
            <w:left w:val="none" w:sz="0" w:space="0" w:color="auto"/>
            <w:bottom w:val="none" w:sz="0" w:space="0" w:color="auto"/>
            <w:right w:val="none" w:sz="0" w:space="0" w:color="auto"/>
          </w:divBdr>
        </w:div>
      </w:divsChild>
    </w:div>
    <w:div w:id="616108431">
      <w:bodyDiv w:val="1"/>
      <w:marLeft w:val="0"/>
      <w:marRight w:val="0"/>
      <w:marTop w:val="0"/>
      <w:marBottom w:val="0"/>
      <w:divBdr>
        <w:top w:val="none" w:sz="0" w:space="0" w:color="auto"/>
        <w:left w:val="none" w:sz="0" w:space="0" w:color="auto"/>
        <w:bottom w:val="none" w:sz="0" w:space="0" w:color="auto"/>
        <w:right w:val="none" w:sz="0" w:space="0" w:color="auto"/>
      </w:divBdr>
    </w:div>
    <w:div w:id="617109390">
      <w:bodyDiv w:val="1"/>
      <w:marLeft w:val="0"/>
      <w:marRight w:val="0"/>
      <w:marTop w:val="0"/>
      <w:marBottom w:val="0"/>
      <w:divBdr>
        <w:top w:val="none" w:sz="0" w:space="0" w:color="auto"/>
        <w:left w:val="none" w:sz="0" w:space="0" w:color="auto"/>
        <w:bottom w:val="none" w:sz="0" w:space="0" w:color="auto"/>
        <w:right w:val="none" w:sz="0" w:space="0" w:color="auto"/>
      </w:divBdr>
    </w:div>
    <w:div w:id="631591335">
      <w:bodyDiv w:val="1"/>
      <w:marLeft w:val="0"/>
      <w:marRight w:val="0"/>
      <w:marTop w:val="0"/>
      <w:marBottom w:val="0"/>
      <w:divBdr>
        <w:top w:val="none" w:sz="0" w:space="0" w:color="auto"/>
        <w:left w:val="none" w:sz="0" w:space="0" w:color="auto"/>
        <w:bottom w:val="none" w:sz="0" w:space="0" w:color="auto"/>
        <w:right w:val="none" w:sz="0" w:space="0" w:color="auto"/>
      </w:divBdr>
    </w:div>
    <w:div w:id="641154720">
      <w:bodyDiv w:val="1"/>
      <w:marLeft w:val="0"/>
      <w:marRight w:val="0"/>
      <w:marTop w:val="0"/>
      <w:marBottom w:val="0"/>
      <w:divBdr>
        <w:top w:val="none" w:sz="0" w:space="0" w:color="auto"/>
        <w:left w:val="none" w:sz="0" w:space="0" w:color="auto"/>
        <w:bottom w:val="none" w:sz="0" w:space="0" w:color="auto"/>
        <w:right w:val="none" w:sz="0" w:space="0" w:color="auto"/>
      </w:divBdr>
    </w:div>
    <w:div w:id="652758950">
      <w:bodyDiv w:val="1"/>
      <w:marLeft w:val="0"/>
      <w:marRight w:val="0"/>
      <w:marTop w:val="0"/>
      <w:marBottom w:val="0"/>
      <w:divBdr>
        <w:top w:val="none" w:sz="0" w:space="0" w:color="auto"/>
        <w:left w:val="none" w:sz="0" w:space="0" w:color="auto"/>
        <w:bottom w:val="none" w:sz="0" w:space="0" w:color="auto"/>
        <w:right w:val="none" w:sz="0" w:space="0" w:color="auto"/>
      </w:divBdr>
    </w:div>
    <w:div w:id="680548251">
      <w:bodyDiv w:val="1"/>
      <w:marLeft w:val="0"/>
      <w:marRight w:val="0"/>
      <w:marTop w:val="0"/>
      <w:marBottom w:val="0"/>
      <w:divBdr>
        <w:top w:val="none" w:sz="0" w:space="0" w:color="auto"/>
        <w:left w:val="none" w:sz="0" w:space="0" w:color="auto"/>
        <w:bottom w:val="none" w:sz="0" w:space="0" w:color="auto"/>
        <w:right w:val="none" w:sz="0" w:space="0" w:color="auto"/>
      </w:divBdr>
      <w:divsChild>
        <w:div w:id="1173179612">
          <w:marLeft w:val="1440"/>
          <w:marRight w:val="0"/>
          <w:marTop w:val="0"/>
          <w:marBottom w:val="0"/>
          <w:divBdr>
            <w:top w:val="none" w:sz="0" w:space="0" w:color="auto"/>
            <w:left w:val="none" w:sz="0" w:space="0" w:color="auto"/>
            <w:bottom w:val="none" w:sz="0" w:space="0" w:color="auto"/>
            <w:right w:val="none" w:sz="0" w:space="0" w:color="auto"/>
          </w:divBdr>
        </w:div>
        <w:div w:id="558899631">
          <w:marLeft w:val="1440"/>
          <w:marRight w:val="0"/>
          <w:marTop w:val="0"/>
          <w:marBottom w:val="0"/>
          <w:divBdr>
            <w:top w:val="none" w:sz="0" w:space="0" w:color="auto"/>
            <w:left w:val="none" w:sz="0" w:space="0" w:color="auto"/>
            <w:bottom w:val="none" w:sz="0" w:space="0" w:color="auto"/>
            <w:right w:val="none" w:sz="0" w:space="0" w:color="auto"/>
          </w:divBdr>
        </w:div>
        <w:div w:id="1377506054">
          <w:marLeft w:val="1440"/>
          <w:marRight w:val="0"/>
          <w:marTop w:val="0"/>
          <w:marBottom w:val="0"/>
          <w:divBdr>
            <w:top w:val="none" w:sz="0" w:space="0" w:color="auto"/>
            <w:left w:val="none" w:sz="0" w:space="0" w:color="auto"/>
            <w:bottom w:val="none" w:sz="0" w:space="0" w:color="auto"/>
            <w:right w:val="none" w:sz="0" w:space="0" w:color="auto"/>
          </w:divBdr>
        </w:div>
        <w:div w:id="216359848">
          <w:marLeft w:val="1440"/>
          <w:marRight w:val="0"/>
          <w:marTop w:val="0"/>
          <w:marBottom w:val="0"/>
          <w:divBdr>
            <w:top w:val="none" w:sz="0" w:space="0" w:color="auto"/>
            <w:left w:val="none" w:sz="0" w:space="0" w:color="auto"/>
            <w:bottom w:val="none" w:sz="0" w:space="0" w:color="auto"/>
            <w:right w:val="none" w:sz="0" w:space="0" w:color="auto"/>
          </w:divBdr>
        </w:div>
        <w:div w:id="1775245735">
          <w:marLeft w:val="1440"/>
          <w:marRight w:val="0"/>
          <w:marTop w:val="0"/>
          <w:marBottom w:val="0"/>
          <w:divBdr>
            <w:top w:val="none" w:sz="0" w:space="0" w:color="auto"/>
            <w:left w:val="none" w:sz="0" w:space="0" w:color="auto"/>
            <w:bottom w:val="none" w:sz="0" w:space="0" w:color="auto"/>
            <w:right w:val="none" w:sz="0" w:space="0" w:color="auto"/>
          </w:divBdr>
        </w:div>
        <w:div w:id="744650911">
          <w:marLeft w:val="1440"/>
          <w:marRight w:val="0"/>
          <w:marTop w:val="0"/>
          <w:marBottom w:val="0"/>
          <w:divBdr>
            <w:top w:val="none" w:sz="0" w:space="0" w:color="auto"/>
            <w:left w:val="none" w:sz="0" w:space="0" w:color="auto"/>
            <w:bottom w:val="none" w:sz="0" w:space="0" w:color="auto"/>
            <w:right w:val="none" w:sz="0" w:space="0" w:color="auto"/>
          </w:divBdr>
        </w:div>
      </w:divsChild>
    </w:div>
    <w:div w:id="682903776">
      <w:bodyDiv w:val="1"/>
      <w:marLeft w:val="0"/>
      <w:marRight w:val="0"/>
      <w:marTop w:val="0"/>
      <w:marBottom w:val="0"/>
      <w:divBdr>
        <w:top w:val="none" w:sz="0" w:space="0" w:color="auto"/>
        <w:left w:val="none" w:sz="0" w:space="0" w:color="auto"/>
        <w:bottom w:val="none" w:sz="0" w:space="0" w:color="auto"/>
        <w:right w:val="none" w:sz="0" w:space="0" w:color="auto"/>
      </w:divBdr>
    </w:div>
    <w:div w:id="710619393">
      <w:bodyDiv w:val="1"/>
      <w:marLeft w:val="0"/>
      <w:marRight w:val="0"/>
      <w:marTop w:val="0"/>
      <w:marBottom w:val="0"/>
      <w:divBdr>
        <w:top w:val="none" w:sz="0" w:space="0" w:color="auto"/>
        <w:left w:val="none" w:sz="0" w:space="0" w:color="auto"/>
        <w:bottom w:val="none" w:sz="0" w:space="0" w:color="auto"/>
        <w:right w:val="none" w:sz="0" w:space="0" w:color="auto"/>
      </w:divBdr>
    </w:div>
    <w:div w:id="714961804">
      <w:bodyDiv w:val="1"/>
      <w:marLeft w:val="0"/>
      <w:marRight w:val="0"/>
      <w:marTop w:val="0"/>
      <w:marBottom w:val="0"/>
      <w:divBdr>
        <w:top w:val="none" w:sz="0" w:space="0" w:color="auto"/>
        <w:left w:val="none" w:sz="0" w:space="0" w:color="auto"/>
        <w:bottom w:val="none" w:sz="0" w:space="0" w:color="auto"/>
        <w:right w:val="none" w:sz="0" w:space="0" w:color="auto"/>
      </w:divBdr>
    </w:div>
    <w:div w:id="734544886">
      <w:bodyDiv w:val="1"/>
      <w:marLeft w:val="0"/>
      <w:marRight w:val="0"/>
      <w:marTop w:val="0"/>
      <w:marBottom w:val="0"/>
      <w:divBdr>
        <w:top w:val="none" w:sz="0" w:space="0" w:color="auto"/>
        <w:left w:val="none" w:sz="0" w:space="0" w:color="auto"/>
        <w:bottom w:val="none" w:sz="0" w:space="0" w:color="auto"/>
        <w:right w:val="none" w:sz="0" w:space="0" w:color="auto"/>
      </w:divBdr>
    </w:div>
    <w:div w:id="748312665">
      <w:bodyDiv w:val="1"/>
      <w:marLeft w:val="0"/>
      <w:marRight w:val="0"/>
      <w:marTop w:val="0"/>
      <w:marBottom w:val="0"/>
      <w:divBdr>
        <w:top w:val="none" w:sz="0" w:space="0" w:color="auto"/>
        <w:left w:val="none" w:sz="0" w:space="0" w:color="auto"/>
        <w:bottom w:val="none" w:sz="0" w:space="0" w:color="auto"/>
        <w:right w:val="none" w:sz="0" w:space="0" w:color="auto"/>
      </w:divBdr>
    </w:div>
    <w:div w:id="773675783">
      <w:bodyDiv w:val="1"/>
      <w:marLeft w:val="0"/>
      <w:marRight w:val="0"/>
      <w:marTop w:val="0"/>
      <w:marBottom w:val="0"/>
      <w:divBdr>
        <w:top w:val="none" w:sz="0" w:space="0" w:color="auto"/>
        <w:left w:val="none" w:sz="0" w:space="0" w:color="auto"/>
        <w:bottom w:val="none" w:sz="0" w:space="0" w:color="auto"/>
        <w:right w:val="none" w:sz="0" w:space="0" w:color="auto"/>
      </w:divBdr>
    </w:div>
    <w:div w:id="818692444">
      <w:bodyDiv w:val="1"/>
      <w:marLeft w:val="0"/>
      <w:marRight w:val="0"/>
      <w:marTop w:val="0"/>
      <w:marBottom w:val="0"/>
      <w:divBdr>
        <w:top w:val="none" w:sz="0" w:space="0" w:color="auto"/>
        <w:left w:val="none" w:sz="0" w:space="0" w:color="auto"/>
        <w:bottom w:val="none" w:sz="0" w:space="0" w:color="auto"/>
        <w:right w:val="none" w:sz="0" w:space="0" w:color="auto"/>
      </w:divBdr>
    </w:div>
    <w:div w:id="826165251">
      <w:bodyDiv w:val="1"/>
      <w:marLeft w:val="0"/>
      <w:marRight w:val="0"/>
      <w:marTop w:val="0"/>
      <w:marBottom w:val="0"/>
      <w:divBdr>
        <w:top w:val="none" w:sz="0" w:space="0" w:color="auto"/>
        <w:left w:val="none" w:sz="0" w:space="0" w:color="auto"/>
        <w:bottom w:val="none" w:sz="0" w:space="0" w:color="auto"/>
        <w:right w:val="none" w:sz="0" w:space="0" w:color="auto"/>
      </w:divBdr>
    </w:div>
    <w:div w:id="856044619">
      <w:bodyDiv w:val="1"/>
      <w:marLeft w:val="0"/>
      <w:marRight w:val="0"/>
      <w:marTop w:val="0"/>
      <w:marBottom w:val="0"/>
      <w:divBdr>
        <w:top w:val="none" w:sz="0" w:space="0" w:color="auto"/>
        <w:left w:val="none" w:sz="0" w:space="0" w:color="auto"/>
        <w:bottom w:val="none" w:sz="0" w:space="0" w:color="auto"/>
        <w:right w:val="none" w:sz="0" w:space="0" w:color="auto"/>
      </w:divBdr>
    </w:div>
    <w:div w:id="857238972">
      <w:bodyDiv w:val="1"/>
      <w:marLeft w:val="0"/>
      <w:marRight w:val="0"/>
      <w:marTop w:val="0"/>
      <w:marBottom w:val="0"/>
      <w:divBdr>
        <w:top w:val="none" w:sz="0" w:space="0" w:color="auto"/>
        <w:left w:val="none" w:sz="0" w:space="0" w:color="auto"/>
        <w:bottom w:val="none" w:sz="0" w:space="0" w:color="auto"/>
        <w:right w:val="none" w:sz="0" w:space="0" w:color="auto"/>
      </w:divBdr>
    </w:div>
    <w:div w:id="857738666">
      <w:bodyDiv w:val="1"/>
      <w:marLeft w:val="0"/>
      <w:marRight w:val="0"/>
      <w:marTop w:val="0"/>
      <w:marBottom w:val="0"/>
      <w:divBdr>
        <w:top w:val="none" w:sz="0" w:space="0" w:color="auto"/>
        <w:left w:val="none" w:sz="0" w:space="0" w:color="auto"/>
        <w:bottom w:val="none" w:sz="0" w:space="0" w:color="auto"/>
        <w:right w:val="none" w:sz="0" w:space="0" w:color="auto"/>
      </w:divBdr>
    </w:div>
    <w:div w:id="897473710">
      <w:bodyDiv w:val="1"/>
      <w:marLeft w:val="0"/>
      <w:marRight w:val="0"/>
      <w:marTop w:val="0"/>
      <w:marBottom w:val="0"/>
      <w:divBdr>
        <w:top w:val="none" w:sz="0" w:space="0" w:color="auto"/>
        <w:left w:val="none" w:sz="0" w:space="0" w:color="auto"/>
        <w:bottom w:val="none" w:sz="0" w:space="0" w:color="auto"/>
        <w:right w:val="none" w:sz="0" w:space="0" w:color="auto"/>
      </w:divBdr>
    </w:div>
    <w:div w:id="926964302">
      <w:bodyDiv w:val="1"/>
      <w:marLeft w:val="0"/>
      <w:marRight w:val="0"/>
      <w:marTop w:val="0"/>
      <w:marBottom w:val="0"/>
      <w:divBdr>
        <w:top w:val="none" w:sz="0" w:space="0" w:color="auto"/>
        <w:left w:val="none" w:sz="0" w:space="0" w:color="auto"/>
        <w:bottom w:val="none" w:sz="0" w:space="0" w:color="auto"/>
        <w:right w:val="none" w:sz="0" w:space="0" w:color="auto"/>
      </w:divBdr>
    </w:div>
    <w:div w:id="956570337">
      <w:bodyDiv w:val="1"/>
      <w:marLeft w:val="0"/>
      <w:marRight w:val="0"/>
      <w:marTop w:val="0"/>
      <w:marBottom w:val="0"/>
      <w:divBdr>
        <w:top w:val="none" w:sz="0" w:space="0" w:color="auto"/>
        <w:left w:val="none" w:sz="0" w:space="0" w:color="auto"/>
        <w:bottom w:val="none" w:sz="0" w:space="0" w:color="auto"/>
        <w:right w:val="none" w:sz="0" w:space="0" w:color="auto"/>
      </w:divBdr>
    </w:div>
    <w:div w:id="986276046">
      <w:bodyDiv w:val="1"/>
      <w:marLeft w:val="0"/>
      <w:marRight w:val="0"/>
      <w:marTop w:val="0"/>
      <w:marBottom w:val="0"/>
      <w:divBdr>
        <w:top w:val="none" w:sz="0" w:space="0" w:color="auto"/>
        <w:left w:val="none" w:sz="0" w:space="0" w:color="auto"/>
        <w:bottom w:val="none" w:sz="0" w:space="0" w:color="auto"/>
        <w:right w:val="none" w:sz="0" w:space="0" w:color="auto"/>
      </w:divBdr>
    </w:div>
    <w:div w:id="1013187263">
      <w:bodyDiv w:val="1"/>
      <w:marLeft w:val="0"/>
      <w:marRight w:val="0"/>
      <w:marTop w:val="0"/>
      <w:marBottom w:val="0"/>
      <w:divBdr>
        <w:top w:val="none" w:sz="0" w:space="0" w:color="auto"/>
        <w:left w:val="none" w:sz="0" w:space="0" w:color="auto"/>
        <w:bottom w:val="none" w:sz="0" w:space="0" w:color="auto"/>
        <w:right w:val="none" w:sz="0" w:space="0" w:color="auto"/>
      </w:divBdr>
    </w:div>
    <w:div w:id="1042055092">
      <w:bodyDiv w:val="1"/>
      <w:marLeft w:val="0"/>
      <w:marRight w:val="0"/>
      <w:marTop w:val="0"/>
      <w:marBottom w:val="0"/>
      <w:divBdr>
        <w:top w:val="none" w:sz="0" w:space="0" w:color="auto"/>
        <w:left w:val="none" w:sz="0" w:space="0" w:color="auto"/>
        <w:bottom w:val="none" w:sz="0" w:space="0" w:color="auto"/>
        <w:right w:val="none" w:sz="0" w:space="0" w:color="auto"/>
      </w:divBdr>
    </w:div>
    <w:div w:id="1050805000">
      <w:bodyDiv w:val="1"/>
      <w:marLeft w:val="0"/>
      <w:marRight w:val="0"/>
      <w:marTop w:val="0"/>
      <w:marBottom w:val="0"/>
      <w:divBdr>
        <w:top w:val="none" w:sz="0" w:space="0" w:color="auto"/>
        <w:left w:val="none" w:sz="0" w:space="0" w:color="auto"/>
        <w:bottom w:val="none" w:sz="0" w:space="0" w:color="auto"/>
        <w:right w:val="none" w:sz="0" w:space="0" w:color="auto"/>
      </w:divBdr>
    </w:div>
    <w:div w:id="1059478166">
      <w:bodyDiv w:val="1"/>
      <w:marLeft w:val="0"/>
      <w:marRight w:val="0"/>
      <w:marTop w:val="0"/>
      <w:marBottom w:val="0"/>
      <w:divBdr>
        <w:top w:val="none" w:sz="0" w:space="0" w:color="auto"/>
        <w:left w:val="none" w:sz="0" w:space="0" w:color="auto"/>
        <w:bottom w:val="none" w:sz="0" w:space="0" w:color="auto"/>
        <w:right w:val="none" w:sz="0" w:space="0" w:color="auto"/>
      </w:divBdr>
    </w:div>
    <w:div w:id="1059749505">
      <w:bodyDiv w:val="1"/>
      <w:marLeft w:val="0"/>
      <w:marRight w:val="0"/>
      <w:marTop w:val="0"/>
      <w:marBottom w:val="0"/>
      <w:divBdr>
        <w:top w:val="none" w:sz="0" w:space="0" w:color="auto"/>
        <w:left w:val="none" w:sz="0" w:space="0" w:color="auto"/>
        <w:bottom w:val="none" w:sz="0" w:space="0" w:color="auto"/>
        <w:right w:val="none" w:sz="0" w:space="0" w:color="auto"/>
      </w:divBdr>
    </w:div>
    <w:div w:id="1094328982">
      <w:bodyDiv w:val="1"/>
      <w:marLeft w:val="0"/>
      <w:marRight w:val="0"/>
      <w:marTop w:val="0"/>
      <w:marBottom w:val="0"/>
      <w:divBdr>
        <w:top w:val="none" w:sz="0" w:space="0" w:color="auto"/>
        <w:left w:val="none" w:sz="0" w:space="0" w:color="auto"/>
        <w:bottom w:val="none" w:sz="0" w:space="0" w:color="auto"/>
        <w:right w:val="none" w:sz="0" w:space="0" w:color="auto"/>
      </w:divBdr>
    </w:div>
    <w:div w:id="1094984086">
      <w:bodyDiv w:val="1"/>
      <w:marLeft w:val="0"/>
      <w:marRight w:val="0"/>
      <w:marTop w:val="0"/>
      <w:marBottom w:val="0"/>
      <w:divBdr>
        <w:top w:val="none" w:sz="0" w:space="0" w:color="auto"/>
        <w:left w:val="none" w:sz="0" w:space="0" w:color="auto"/>
        <w:bottom w:val="none" w:sz="0" w:space="0" w:color="auto"/>
        <w:right w:val="none" w:sz="0" w:space="0" w:color="auto"/>
      </w:divBdr>
    </w:div>
    <w:div w:id="1104300807">
      <w:bodyDiv w:val="1"/>
      <w:marLeft w:val="0"/>
      <w:marRight w:val="0"/>
      <w:marTop w:val="0"/>
      <w:marBottom w:val="0"/>
      <w:divBdr>
        <w:top w:val="none" w:sz="0" w:space="0" w:color="auto"/>
        <w:left w:val="none" w:sz="0" w:space="0" w:color="auto"/>
        <w:bottom w:val="none" w:sz="0" w:space="0" w:color="auto"/>
        <w:right w:val="none" w:sz="0" w:space="0" w:color="auto"/>
      </w:divBdr>
    </w:div>
    <w:div w:id="1117913933">
      <w:bodyDiv w:val="1"/>
      <w:marLeft w:val="0"/>
      <w:marRight w:val="0"/>
      <w:marTop w:val="0"/>
      <w:marBottom w:val="0"/>
      <w:divBdr>
        <w:top w:val="none" w:sz="0" w:space="0" w:color="auto"/>
        <w:left w:val="none" w:sz="0" w:space="0" w:color="auto"/>
        <w:bottom w:val="none" w:sz="0" w:space="0" w:color="auto"/>
        <w:right w:val="none" w:sz="0" w:space="0" w:color="auto"/>
      </w:divBdr>
    </w:div>
    <w:div w:id="1133333483">
      <w:bodyDiv w:val="1"/>
      <w:marLeft w:val="0"/>
      <w:marRight w:val="0"/>
      <w:marTop w:val="0"/>
      <w:marBottom w:val="0"/>
      <w:divBdr>
        <w:top w:val="none" w:sz="0" w:space="0" w:color="auto"/>
        <w:left w:val="none" w:sz="0" w:space="0" w:color="auto"/>
        <w:bottom w:val="none" w:sz="0" w:space="0" w:color="auto"/>
        <w:right w:val="none" w:sz="0" w:space="0" w:color="auto"/>
      </w:divBdr>
    </w:div>
    <w:div w:id="1156648911">
      <w:bodyDiv w:val="1"/>
      <w:marLeft w:val="0"/>
      <w:marRight w:val="0"/>
      <w:marTop w:val="0"/>
      <w:marBottom w:val="0"/>
      <w:divBdr>
        <w:top w:val="none" w:sz="0" w:space="0" w:color="auto"/>
        <w:left w:val="none" w:sz="0" w:space="0" w:color="auto"/>
        <w:bottom w:val="none" w:sz="0" w:space="0" w:color="auto"/>
        <w:right w:val="none" w:sz="0" w:space="0" w:color="auto"/>
      </w:divBdr>
    </w:div>
    <w:div w:id="1172453084">
      <w:bodyDiv w:val="1"/>
      <w:marLeft w:val="0"/>
      <w:marRight w:val="0"/>
      <w:marTop w:val="0"/>
      <w:marBottom w:val="0"/>
      <w:divBdr>
        <w:top w:val="none" w:sz="0" w:space="0" w:color="auto"/>
        <w:left w:val="none" w:sz="0" w:space="0" w:color="auto"/>
        <w:bottom w:val="none" w:sz="0" w:space="0" w:color="auto"/>
        <w:right w:val="none" w:sz="0" w:space="0" w:color="auto"/>
      </w:divBdr>
    </w:div>
    <w:div w:id="1185704494">
      <w:bodyDiv w:val="1"/>
      <w:marLeft w:val="0"/>
      <w:marRight w:val="0"/>
      <w:marTop w:val="0"/>
      <w:marBottom w:val="0"/>
      <w:divBdr>
        <w:top w:val="none" w:sz="0" w:space="0" w:color="auto"/>
        <w:left w:val="none" w:sz="0" w:space="0" w:color="auto"/>
        <w:bottom w:val="none" w:sz="0" w:space="0" w:color="auto"/>
        <w:right w:val="none" w:sz="0" w:space="0" w:color="auto"/>
      </w:divBdr>
    </w:div>
    <w:div w:id="1189832104">
      <w:bodyDiv w:val="1"/>
      <w:marLeft w:val="0"/>
      <w:marRight w:val="0"/>
      <w:marTop w:val="0"/>
      <w:marBottom w:val="0"/>
      <w:divBdr>
        <w:top w:val="none" w:sz="0" w:space="0" w:color="auto"/>
        <w:left w:val="none" w:sz="0" w:space="0" w:color="auto"/>
        <w:bottom w:val="none" w:sz="0" w:space="0" w:color="auto"/>
        <w:right w:val="none" w:sz="0" w:space="0" w:color="auto"/>
      </w:divBdr>
    </w:div>
    <w:div w:id="1254777381">
      <w:bodyDiv w:val="1"/>
      <w:marLeft w:val="0"/>
      <w:marRight w:val="0"/>
      <w:marTop w:val="0"/>
      <w:marBottom w:val="0"/>
      <w:divBdr>
        <w:top w:val="none" w:sz="0" w:space="0" w:color="auto"/>
        <w:left w:val="none" w:sz="0" w:space="0" w:color="auto"/>
        <w:bottom w:val="none" w:sz="0" w:space="0" w:color="auto"/>
        <w:right w:val="none" w:sz="0" w:space="0" w:color="auto"/>
      </w:divBdr>
    </w:div>
    <w:div w:id="1274435864">
      <w:bodyDiv w:val="1"/>
      <w:marLeft w:val="0"/>
      <w:marRight w:val="0"/>
      <w:marTop w:val="0"/>
      <w:marBottom w:val="0"/>
      <w:divBdr>
        <w:top w:val="none" w:sz="0" w:space="0" w:color="auto"/>
        <w:left w:val="none" w:sz="0" w:space="0" w:color="auto"/>
        <w:bottom w:val="none" w:sz="0" w:space="0" w:color="auto"/>
        <w:right w:val="none" w:sz="0" w:space="0" w:color="auto"/>
      </w:divBdr>
    </w:div>
    <w:div w:id="1275819915">
      <w:bodyDiv w:val="1"/>
      <w:marLeft w:val="0"/>
      <w:marRight w:val="0"/>
      <w:marTop w:val="0"/>
      <w:marBottom w:val="0"/>
      <w:divBdr>
        <w:top w:val="none" w:sz="0" w:space="0" w:color="auto"/>
        <w:left w:val="none" w:sz="0" w:space="0" w:color="auto"/>
        <w:bottom w:val="none" w:sz="0" w:space="0" w:color="auto"/>
        <w:right w:val="none" w:sz="0" w:space="0" w:color="auto"/>
      </w:divBdr>
    </w:div>
    <w:div w:id="1283146336">
      <w:bodyDiv w:val="1"/>
      <w:marLeft w:val="0"/>
      <w:marRight w:val="0"/>
      <w:marTop w:val="0"/>
      <w:marBottom w:val="0"/>
      <w:divBdr>
        <w:top w:val="none" w:sz="0" w:space="0" w:color="auto"/>
        <w:left w:val="none" w:sz="0" w:space="0" w:color="auto"/>
        <w:bottom w:val="none" w:sz="0" w:space="0" w:color="auto"/>
        <w:right w:val="none" w:sz="0" w:space="0" w:color="auto"/>
      </w:divBdr>
    </w:div>
    <w:div w:id="1301152300">
      <w:bodyDiv w:val="1"/>
      <w:marLeft w:val="0"/>
      <w:marRight w:val="0"/>
      <w:marTop w:val="0"/>
      <w:marBottom w:val="0"/>
      <w:divBdr>
        <w:top w:val="none" w:sz="0" w:space="0" w:color="auto"/>
        <w:left w:val="none" w:sz="0" w:space="0" w:color="auto"/>
        <w:bottom w:val="none" w:sz="0" w:space="0" w:color="auto"/>
        <w:right w:val="none" w:sz="0" w:space="0" w:color="auto"/>
      </w:divBdr>
    </w:div>
    <w:div w:id="1311906649">
      <w:bodyDiv w:val="1"/>
      <w:marLeft w:val="0"/>
      <w:marRight w:val="0"/>
      <w:marTop w:val="0"/>
      <w:marBottom w:val="0"/>
      <w:divBdr>
        <w:top w:val="none" w:sz="0" w:space="0" w:color="auto"/>
        <w:left w:val="none" w:sz="0" w:space="0" w:color="auto"/>
        <w:bottom w:val="none" w:sz="0" w:space="0" w:color="auto"/>
        <w:right w:val="none" w:sz="0" w:space="0" w:color="auto"/>
      </w:divBdr>
    </w:div>
    <w:div w:id="1336885411">
      <w:bodyDiv w:val="1"/>
      <w:marLeft w:val="0"/>
      <w:marRight w:val="0"/>
      <w:marTop w:val="0"/>
      <w:marBottom w:val="0"/>
      <w:divBdr>
        <w:top w:val="none" w:sz="0" w:space="0" w:color="auto"/>
        <w:left w:val="none" w:sz="0" w:space="0" w:color="auto"/>
        <w:bottom w:val="none" w:sz="0" w:space="0" w:color="auto"/>
        <w:right w:val="none" w:sz="0" w:space="0" w:color="auto"/>
      </w:divBdr>
    </w:div>
    <w:div w:id="1354308835">
      <w:bodyDiv w:val="1"/>
      <w:marLeft w:val="0"/>
      <w:marRight w:val="0"/>
      <w:marTop w:val="0"/>
      <w:marBottom w:val="0"/>
      <w:divBdr>
        <w:top w:val="none" w:sz="0" w:space="0" w:color="auto"/>
        <w:left w:val="none" w:sz="0" w:space="0" w:color="auto"/>
        <w:bottom w:val="none" w:sz="0" w:space="0" w:color="auto"/>
        <w:right w:val="none" w:sz="0" w:space="0" w:color="auto"/>
      </w:divBdr>
    </w:div>
    <w:div w:id="1357806503">
      <w:bodyDiv w:val="1"/>
      <w:marLeft w:val="0"/>
      <w:marRight w:val="0"/>
      <w:marTop w:val="0"/>
      <w:marBottom w:val="0"/>
      <w:divBdr>
        <w:top w:val="none" w:sz="0" w:space="0" w:color="auto"/>
        <w:left w:val="none" w:sz="0" w:space="0" w:color="auto"/>
        <w:bottom w:val="none" w:sz="0" w:space="0" w:color="auto"/>
        <w:right w:val="none" w:sz="0" w:space="0" w:color="auto"/>
      </w:divBdr>
    </w:div>
    <w:div w:id="1374117012">
      <w:bodyDiv w:val="1"/>
      <w:marLeft w:val="0"/>
      <w:marRight w:val="0"/>
      <w:marTop w:val="0"/>
      <w:marBottom w:val="0"/>
      <w:divBdr>
        <w:top w:val="none" w:sz="0" w:space="0" w:color="auto"/>
        <w:left w:val="none" w:sz="0" w:space="0" w:color="auto"/>
        <w:bottom w:val="none" w:sz="0" w:space="0" w:color="auto"/>
        <w:right w:val="none" w:sz="0" w:space="0" w:color="auto"/>
      </w:divBdr>
    </w:div>
    <w:div w:id="1384327888">
      <w:bodyDiv w:val="1"/>
      <w:marLeft w:val="0"/>
      <w:marRight w:val="0"/>
      <w:marTop w:val="0"/>
      <w:marBottom w:val="0"/>
      <w:divBdr>
        <w:top w:val="none" w:sz="0" w:space="0" w:color="auto"/>
        <w:left w:val="none" w:sz="0" w:space="0" w:color="auto"/>
        <w:bottom w:val="none" w:sz="0" w:space="0" w:color="auto"/>
        <w:right w:val="none" w:sz="0" w:space="0" w:color="auto"/>
      </w:divBdr>
    </w:div>
    <w:div w:id="1391228892">
      <w:bodyDiv w:val="1"/>
      <w:marLeft w:val="0"/>
      <w:marRight w:val="0"/>
      <w:marTop w:val="0"/>
      <w:marBottom w:val="0"/>
      <w:divBdr>
        <w:top w:val="none" w:sz="0" w:space="0" w:color="auto"/>
        <w:left w:val="none" w:sz="0" w:space="0" w:color="auto"/>
        <w:bottom w:val="none" w:sz="0" w:space="0" w:color="auto"/>
        <w:right w:val="none" w:sz="0" w:space="0" w:color="auto"/>
      </w:divBdr>
    </w:div>
    <w:div w:id="1487818127">
      <w:bodyDiv w:val="1"/>
      <w:marLeft w:val="0"/>
      <w:marRight w:val="0"/>
      <w:marTop w:val="0"/>
      <w:marBottom w:val="0"/>
      <w:divBdr>
        <w:top w:val="none" w:sz="0" w:space="0" w:color="auto"/>
        <w:left w:val="none" w:sz="0" w:space="0" w:color="auto"/>
        <w:bottom w:val="none" w:sz="0" w:space="0" w:color="auto"/>
        <w:right w:val="none" w:sz="0" w:space="0" w:color="auto"/>
      </w:divBdr>
    </w:div>
    <w:div w:id="1512256237">
      <w:bodyDiv w:val="1"/>
      <w:marLeft w:val="0"/>
      <w:marRight w:val="0"/>
      <w:marTop w:val="0"/>
      <w:marBottom w:val="0"/>
      <w:divBdr>
        <w:top w:val="none" w:sz="0" w:space="0" w:color="auto"/>
        <w:left w:val="none" w:sz="0" w:space="0" w:color="auto"/>
        <w:bottom w:val="none" w:sz="0" w:space="0" w:color="auto"/>
        <w:right w:val="none" w:sz="0" w:space="0" w:color="auto"/>
      </w:divBdr>
    </w:div>
    <w:div w:id="1533962033">
      <w:bodyDiv w:val="1"/>
      <w:marLeft w:val="0"/>
      <w:marRight w:val="0"/>
      <w:marTop w:val="0"/>
      <w:marBottom w:val="0"/>
      <w:divBdr>
        <w:top w:val="none" w:sz="0" w:space="0" w:color="auto"/>
        <w:left w:val="none" w:sz="0" w:space="0" w:color="auto"/>
        <w:bottom w:val="none" w:sz="0" w:space="0" w:color="auto"/>
        <w:right w:val="none" w:sz="0" w:space="0" w:color="auto"/>
      </w:divBdr>
    </w:div>
    <w:div w:id="1549142943">
      <w:bodyDiv w:val="1"/>
      <w:marLeft w:val="0"/>
      <w:marRight w:val="0"/>
      <w:marTop w:val="0"/>
      <w:marBottom w:val="0"/>
      <w:divBdr>
        <w:top w:val="none" w:sz="0" w:space="0" w:color="auto"/>
        <w:left w:val="none" w:sz="0" w:space="0" w:color="auto"/>
        <w:bottom w:val="none" w:sz="0" w:space="0" w:color="auto"/>
        <w:right w:val="none" w:sz="0" w:space="0" w:color="auto"/>
      </w:divBdr>
    </w:div>
    <w:div w:id="1549417330">
      <w:bodyDiv w:val="1"/>
      <w:marLeft w:val="0"/>
      <w:marRight w:val="0"/>
      <w:marTop w:val="0"/>
      <w:marBottom w:val="0"/>
      <w:divBdr>
        <w:top w:val="none" w:sz="0" w:space="0" w:color="auto"/>
        <w:left w:val="none" w:sz="0" w:space="0" w:color="auto"/>
        <w:bottom w:val="none" w:sz="0" w:space="0" w:color="auto"/>
        <w:right w:val="none" w:sz="0" w:space="0" w:color="auto"/>
      </w:divBdr>
    </w:div>
    <w:div w:id="1565334182">
      <w:bodyDiv w:val="1"/>
      <w:marLeft w:val="0"/>
      <w:marRight w:val="0"/>
      <w:marTop w:val="0"/>
      <w:marBottom w:val="0"/>
      <w:divBdr>
        <w:top w:val="none" w:sz="0" w:space="0" w:color="auto"/>
        <w:left w:val="none" w:sz="0" w:space="0" w:color="auto"/>
        <w:bottom w:val="none" w:sz="0" w:space="0" w:color="auto"/>
        <w:right w:val="none" w:sz="0" w:space="0" w:color="auto"/>
      </w:divBdr>
    </w:div>
    <w:div w:id="1584413932">
      <w:bodyDiv w:val="1"/>
      <w:marLeft w:val="0"/>
      <w:marRight w:val="0"/>
      <w:marTop w:val="0"/>
      <w:marBottom w:val="0"/>
      <w:divBdr>
        <w:top w:val="none" w:sz="0" w:space="0" w:color="auto"/>
        <w:left w:val="none" w:sz="0" w:space="0" w:color="auto"/>
        <w:bottom w:val="none" w:sz="0" w:space="0" w:color="auto"/>
        <w:right w:val="none" w:sz="0" w:space="0" w:color="auto"/>
      </w:divBdr>
    </w:div>
    <w:div w:id="1587036780">
      <w:bodyDiv w:val="1"/>
      <w:marLeft w:val="0"/>
      <w:marRight w:val="0"/>
      <w:marTop w:val="0"/>
      <w:marBottom w:val="0"/>
      <w:divBdr>
        <w:top w:val="none" w:sz="0" w:space="0" w:color="auto"/>
        <w:left w:val="none" w:sz="0" w:space="0" w:color="auto"/>
        <w:bottom w:val="none" w:sz="0" w:space="0" w:color="auto"/>
        <w:right w:val="none" w:sz="0" w:space="0" w:color="auto"/>
      </w:divBdr>
    </w:div>
    <w:div w:id="1593124022">
      <w:bodyDiv w:val="1"/>
      <w:marLeft w:val="0"/>
      <w:marRight w:val="0"/>
      <w:marTop w:val="0"/>
      <w:marBottom w:val="0"/>
      <w:divBdr>
        <w:top w:val="none" w:sz="0" w:space="0" w:color="auto"/>
        <w:left w:val="none" w:sz="0" w:space="0" w:color="auto"/>
        <w:bottom w:val="none" w:sz="0" w:space="0" w:color="auto"/>
        <w:right w:val="none" w:sz="0" w:space="0" w:color="auto"/>
      </w:divBdr>
    </w:div>
    <w:div w:id="1608384670">
      <w:bodyDiv w:val="1"/>
      <w:marLeft w:val="0"/>
      <w:marRight w:val="0"/>
      <w:marTop w:val="0"/>
      <w:marBottom w:val="0"/>
      <w:divBdr>
        <w:top w:val="none" w:sz="0" w:space="0" w:color="auto"/>
        <w:left w:val="none" w:sz="0" w:space="0" w:color="auto"/>
        <w:bottom w:val="none" w:sz="0" w:space="0" w:color="auto"/>
        <w:right w:val="none" w:sz="0" w:space="0" w:color="auto"/>
      </w:divBdr>
    </w:div>
    <w:div w:id="1617524406">
      <w:bodyDiv w:val="1"/>
      <w:marLeft w:val="0"/>
      <w:marRight w:val="0"/>
      <w:marTop w:val="0"/>
      <w:marBottom w:val="0"/>
      <w:divBdr>
        <w:top w:val="none" w:sz="0" w:space="0" w:color="auto"/>
        <w:left w:val="none" w:sz="0" w:space="0" w:color="auto"/>
        <w:bottom w:val="none" w:sz="0" w:space="0" w:color="auto"/>
        <w:right w:val="none" w:sz="0" w:space="0" w:color="auto"/>
      </w:divBdr>
    </w:div>
    <w:div w:id="1621955198">
      <w:bodyDiv w:val="1"/>
      <w:marLeft w:val="0"/>
      <w:marRight w:val="0"/>
      <w:marTop w:val="0"/>
      <w:marBottom w:val="0"/>
      <w:divBdr>
        <w:top w:val="none" w:sz="0" w:space="0" w:color="auto"/>
        <w:left w:val="none" w:sz="0" w:space="0" w:color="auto"/>
        <w:bottom w:val="none" w:sz="0" w:space="0" w:color="auto"/>
        <w:right w:val="none" w:sz="0" w:space="0" w:color="auto"/>
      </w:divBdr>
    </w:div>
    <w:div w:id="1640114712">
      <w:bodyDiv w:val="1"/>
      <w:marLeft w:val="0"/>
      <w:marRight w:val="0"/>
      <w:marTop w:val="0"/>
      <w:marBottom w:val="0"/>
      <w:divBdr>
        <w:top w:val="none" w:sz="0" w:space="0" w:color="auto"/>
        <w:left w:val="none" w:sz="0" w:space="0" w:color="auto"/>
        <w:bottom w:val="none" w:sz="0" w:space="0" w:color="auto"/>
        <w:right w:val="none" w:sz="0" w:space="0" w:color="auto"/>
      </w:divBdr>
    </w:div>
    <w:div w:id="1650986513">
      <w:bodyDiv w:val="1"/>
      <w:marLeft w:val="0"/>
      <w:marRight w:val="0"/>
      <w:marTop w:val="0"/>
      <w:marBottom w:val="0"/>
      <w:divBdr>
        <w:top w:val="none" w:sz="0" w:space="0" w:color="auto"/>
        <w:left w:val="none" w:sz="0" w:space="0" w:color="auto"/>
        <w:bottom w:val="none" w:sz="0" w:space="0" w:color="auto"/>
        <w:right w:val="none" w:sz="0" w:space="0" w:color="auto"/>
      </w:divBdr>
    </w:div>
    <w:div w:id="1656641466">
      <w:bodyDiv w:val="1"/>
      <w:marLeft w:val="0"/>
      <w:marRight w:val="0"/>
      <w:marTop w:val="0"/>
      <w:marBottom w:val="0"/>
      <w:divBdr>
        <w:top w:val="none" w:sz="0" w:space="0" w:color="auto"/>
        <w:left w:val="none" w:sz="0" w:space="0" w:color="auto"/>
        <w:bottom w:val="none" w:sz="0" w:space="0" w:color="auto"/>
        <w:right w:val="none" w:sz="0" w:space="0" w:color="auto"/>
      </w:divBdr>
    </w:div>
    <w:div w:id="1681854313">
      <w:bodyDiv w:val="1"/>
      <w:marLeft w:val="0"/>
      <w:marRight w:val="0"/>
      <w:marTop w:val="0"/>
      <w:marBottom w:val="0"/>
      <w:divBdr>
        <w:top w:val="none" w:sz="0" w:space="0" w:color="auto"/>
        <w:left w:val="none" w:sz="0" w:space="0" w:color="auto"/>
        <w:bottom w:val="none" w:sz="0" w:space="0" w:color="auto"/>
        <w:right w:val="none" w:sz="0" w:space="0" w:color="auto"/>
      </w:divBdr>
    </w:div>
    <w:div w:id="1702365279">
      <w:bodyDiv w:val="1"/>
      <w:marLeft w:val="0"/>
      <w:marRight w:val="0"/>
      <w:marTop w:val="0"/>
      <w:marBottom w:val="0"/>
      <w:divBdr>
        <w:top w:val="none" w:sz="0" w:space="0" w:color="auto"/>
        <w:left w:val="none" w:sz="0" w:space="0" w:color="auto"/>
        <w:bottom w:val="none" w:sz="0" w:space="0" w:color="auto"/>
        <w:right w:val="none" w:sz="0" w:space="0" w:color="auto"/>
      </w:divBdr>
      <w:divsChild>
        <w:div w:id="1380784282">
          <w:marLeft w:val="0"/>
          <w:marRight w:val="0"/>
          <w:marTop w:val="0"/>
          <w:marBottom w:val="0"/>
          <w:divBdr>
            <w:top w:val="none" w:sz="0" w:space="0" w:color="auto"/>
            <w:left w:val="none" w:sz="0" w:space="0" w:color="auto"/>
            <w:bottom w:val="none" w:sz="0" w:space="0" w:color="auto"/>
            <w:right w:val="none" w:sz="0" w:space="0" w:color="auto"/>
          </w:divBdr>
        </w:div>
      </w:divsChild>
    </w:div>
    <w:div w:id="1711681238">
      <w:bodyDiv w:val="1"/>
      <w:marLeft w:val="0"/>
      <w:marRight w:val="0"/>
      <w:marTop w:val="0"/>
      <w:marBottom w:val="0"/>
      <w:divBdr>
        <w:top w:val="none" w:sz="0" w:space="0" w:color="auto"/>
        <w:left w:val="none" w:sz="0" w:space="0" w:color="auto"/>
        <w:bottom w:val="none" w:sz="0" w:space="0" w:color="auto"/>
        <w:right w:val="none" w:sz="0" w:space="0" w:color="auto"/>
      </w:divBdr>
    </w:div>
    <w:div w:id="1722359641">
      <w:bodyDiv w:val="1"/>
      <w:marLeft w:val="0"/>
      <w:marRight w:val="0"/>
      <w:marTop w:val="0"/>
      <w:marBottom w:val="0"/>
      <w:divBdr>
        <w:top w:val="none" w:sz="0" w:space="0" w:color="auto"/>
        <w:left w:val="none" w:sz="0" w:space="0" w:color="auto"/>
        <w:bottom w:val="none" w:sz="0" w:space="0" w:color="auto"/>
        <w:right w:val="none" w:sz="0" w:space="0" w:color="auto"/>
      </w:divBdr>
    </w:div>
    <w:div w:id="1724282857">
      <w:bodyDiv w:val="1"/>
      <w:marLeft w:val="0"/>
      <w:marRight w:val="0"/>
      <w:marTop w:val="0"/>
      <w:marBottom w:val="0"/>
      <w:divBdr>
        <w:top w:val="none" w:sz="0" w:space="0" w:color="auto"/>
        <w:left w:val="none" w:sz="0" w:space="0" w:color="auto"/>
        <w:bottom w:val="none" w:sz="0" w:space="0" w:color="auto"/>
        <w:right w:val="none" w:sz="0" w:space="0" w:color="auto"/>
      </w:divBdr>
    </w:div>
    <w:div w:id="1754930664">
      <w:bodyDiv w:val="1"/>
      <w:marLeft w:val="0"/>
      <w:marRight w:val="0"/>
      <w:marTop w:val="0"/>
      <w:marBottom w:val="0"/>
      <w:divBdr>
        <w:top w:val="none" w:sz="0" w:space="0" w:color="auto"/>
        <w:left w:val="none" w:sz="0" w:space="0" w:color="auto"/>
        <w:bottom w:val="none" w:sz="0" w:space="0" w:color="auto"/>
        <w:right w:val="none" w:sz="0" w:space="0" w:color="auto"/>
      </w:divBdr>
    </w:div>
    <w:div w:id="1779368326">
      <w:bodyDiv w:val="1"/>
      <w:marLeft w:val="0"/>
      <w:marRight w:val="0"/>
      <w:marTop w:val="0"/>
      <w:marBottom w:val="0"/>
      <w:divBdr>
        <w:top w:val="none" w:sz="0" w:space="0" w:color="auto"/>
        <w:left w:val="none" w:sz="0" w:space="0" w:color="auto"/>
        <w:bottom w:val="none" w:sz="0" w:space="0" w:color="auto"/>
        <w:right w:val="none" w:sz="0" w:space="0" w:color="auto"/>
      </w:divBdr>
    </w:div>
    <w:div w:id="1781223680">
      <w:bodyDiv w:val="1"/>
      <w:marLeft w:val="0"/>
      <w:marRight w:val="0"/>
      <w:marTop w:val="0"/>
      <w:marBottom w:val="0"/>
      <w:divBdr>
        <w:top w:val="none" w:sz="0" w:space="0" w:color="auto"/>
        <w:left w:val="none" w:sz="0" w:space="0" w:color="auto"/>
        <w:bottom w:val="none" w:sz="0" w:space="0" w:color="auto"/>
        <w:right w:val="none" w:sz="0" w:space="0" w:color="auto"/>
      </w:divBdr>
    </w:div>
    <w:div w:id="1786272985">
      <w:bodyDiv w:val="1"/>
      <w:marLeft w:val="0"/>
      <w:marRight w:val="0"/>
      <w:marTop w:val="0"/>
      <w:marBottom w:val="0"/>
      <w:divBdr>
        <w:top w:val="none" w:sz="0" w:space="0" w:color="auto"/>
        <w:left w:val="none" w:sz="0" w:space="0" w:color="auto"/>
        <w:bottom w:val="none" w:sz="0" w:space="0" w:color="auto"/>
        <w:right w:val="none" w:sz="0" w:space="0" w:color="auto"/>
      </w:divBdr>
    </w:div>
    <w:div w:id="1797260608">
      <w:bodyDiv w:val="1"/>
      <w:marLeft w:val="0"/>
      <w:marRight w:val="0"/>
      <w:marTop w:val="0"/>
      <w:marBottom w:val="0"/>
      <w:divBdr>
        <w:top w:val="none" w:sz="0" w:space="0" w:color="auto"/>
        <w:left w:val="none" w:sz="0" w:space="0" w:color="auto"/>
        <w:bottom w:val="none" w:sz="0" w:space="0" w:color="auto"/>
        <w:right w:val="none" w:sz="0" w:space="0" w:color="auto"/>
      </w:divBdr>
    </w:div>
    <w:div w:id="1816097839">
      <w:bodyDiv w:val="1"/>
      <w:marLeft w:val="0"/>
      <w:marRight w:val="0"/>
      <w:marTop w:val="0"/>
      <w:marBottom w:val="0"/>
      <w:divBdr>
        <w:top w:val="none" w:sz="0" w:space="0" w:color="auto"/>
        <w:left w:val="none" w:sz="0" w:space="0" w:color="auto"/>
        <w:bottom w:val="none" w:sz="0" w:space="0" w:color="auto"/>
        <w:right w:val="none" w:sz="0" w:space="0" w:color="auto"/>
      </w:divBdr>
    </w:div>
    <w:div w:id="1856117596">
      <w:bodyDiv w:val="1"/>
      <w:marLeft w:val="0"/>
      <w:marRight w:val="0"/>
      <w:marTop w:val="0"/>
      <w:marBottom w:val="0"/>
      <w:divBdr>
        <w:top w:val="none" w:sz="0" w:space="0" w:color="auto"/>
        <w:left w:val="none" w:sz="0" w:space="0" w:color="auto"/>
        <w:bottom w:val="none" w:sz="0" w:space="0" w:color="auto"/>
        <w:right w:val="none" w:sz="0" w:space="0" w:color="auto"/>
      </w:divBdr>
    </w:div>
    <w:div w:id="1888251328">
      <w:bodyDiv w:val="1"/>
      <w:marLeft w:val="0"/>
      <w:marRight w:val="0"/>
      <w:marTop w:val="0"/>
      <w:marBottom w:val="0"/>
      <w:divBdr>
        <w:top w:val="none" w:sz="0" w:space="0" w:color="auto"/>
        <w:left w:val="none" w:sz="0" w:space="0" w:color="auto"/>
        <w:bottom w:val="none" w:sz="0" w:space="0" w:color="auto"/>
        <w:right w:val="none" w:sz="0" w:space="0" w:color="auto"/>
      </w:divBdr>
    </w:div>
    <w:div w:id="1891185243">
      <w:bodyDiv w:val="1"/>
      <w:marLeft w:val="0"/>
      <w:marRight w:val="0"/>
      <w:marTop w:val="0"/>
      <w:marBottom w:val="0"/>
      <w:divBdr>
        <w:top w:val="none" w:sz="0" w:space="0" w:color="auto"/>
        <w:left w:val="none" w:sz="0" w:space="0" w:color="auto"/>
        <w:bottom w:val="none" w:sz="0" w:space="0" w:color="auto"/>
        <w:right w:val="none" w:sz="0" w:space="0" w:color="auto"/>
      </w:divBdr>
    </w:div>
    <w:div w:id="1898514003">
      <w:bodyDiv w:val="1"/>
      <w:marLeft w:val="0"/>
      <w:marRight w:val="0"/>
      <w:marTop w:val="0"/>
      <w:marBottom w:val="0"/>
      <w:divBdr>
        <w:top w:val="none" w:sz="0" w:space="0" w:color="auto"/>
        <w:left w:val="none" w:sz="0" w:space="0" w:color="auto"/>
        <w:bottom w:val="none" w:sz="0" w:space="0" w:color="auto"/>
        <w:right w:val="none" w:sz="0" w:space="0" w:color="auto"/>
      </w:divBdr>
    </w:div>
    <w:div w:id="1900431792">
      <w:bodyDiv w:val="1"/>
      <w:marLeft w:val="0"/>
      <w:marRight w:val="0"/>
      <w:marTop w:val="0"/>
      <w:marBottom w:val="0"/>
      <w:divBdr>
        <w:top w:val="none" w:sz="0" w:space="0" w:color="auto"/>
        <w:left w:val="none" w:sz="0" w:space="0" w:color="auto"/>
        <w:bottom w:val="none" w:sz="0" w:space="0" w:color="auto"/>
        <w:right w:val="none" w:sz="0" w:space="0" w:color="auto"/>
      </w:divBdr>
    </w:div>
    <w:div w:id="1917787990">
      <w:bodyDiv w:val="1"/>
      <w:marLeft w:val="0"/>
      <w:marRight w:val="0"/>
      <w:marTop w:val="0"/>
      <w:marBottom w:val="0"/>
      <w:divBdr>
        <w:top w:val="none" w:sz="0" w:space="0" w:color="auto"/>
        <w:left w:val="none" w:sz="0" w:space="0" w:color="auto"/>
        <w:bottom w:val="none" w:sz="0" w:space="0" w:color="auto"/>
        <w:right w:val="none" w:sz="0" w:space="0" w:color="auto"/>
      </w:divBdr>
    </w:div>
    <w:div w:id="1935168779">
      <w:bodyDiv w:val="1"/>
      <w:marLeft w:val="0"/>
      <w:marRight w:val="0"/>
      <w:marTop w:val="0"/>
      <w:marBottom w:val="0"/>
      <w:divBdr>
        <w:top w:val="none" w:sz="0" w:space="0" w:color="auto"/>
        <w:left w:val="none" w:sz="0" w:space="0" w:color="auto"/>
        <w:bottom w:val="none" w:sz="0" w:space="0" w:color="auto"/>
        <w:right w:val="none" w:sz="0" w:space="0" w:color="auto"/>
      </w:divBdr>
    </w:div>
    <w:div w:id="1940063948">
      <w:bodyDiv w:val="1"/>
      <w:marLeft w:val="0"/>
      <w:marRight w:val="0"/>
      <w:marTop w:val="0"/>
      <w:marBottom w:val="0"/>
      <w:divBdr>
        <w:top w:val="none" w:sz="0" w:space="0" w:color="auto"/>
        <w:left w:val="none" w:sz="0" w:space="0" w:color="auto"/>
        <w:bottom w:val="none" w:sz="0" w:space="0" w:color="auto"/>
        <w:right w:val="none" w:sz="0" w:space="0" w:color="auto"/>
      </w:divBdr>
    </w:div>
    <w:div w:id="1964728389">
      <w:bodyDiv w:val="1"/>
      <w:marLeft w:val="0"/>
      <w:marRight w:val="0"/>
      <w:marTop w:val="0"/>
      <w:marBottom w:val="0"/>
      <w:divBdr>
        <w:top w:val="none" w:sz="0" w:space="0" w:color="auto"/>
        <w:left w:val="none" w:sz="0" w:space="0" w:color="auto"/>
        <w:bottom w:val="none" w:sz="0" w:space="0" w:color="auto"/>
        <w:right w:val="none" w:sz="0" w:space="0" w:color="auto"/>
      </w:divBdr>
    </w:div>
    <w:div w:id="1995334968">
      <w:bodyDiv w:val="1"/>
      <w:marLeft w:val="0"/>
      <w:marRight w:val="0"/>
      <w:marTop w:val="0"/>
      <w:marBottom w:val="0"/>
      <w:divBdr>
        <w:top w:val="none" w:sz="0" w:space="0" w:color="auto"/>
        <w:left w:val="none" w:sz="0" w:space="0" w:color="auto"/>
        <w:bottom w:val="none" w:sz="0" w:space="0" w:color="auto"/>
        <w:right w:val="none" w:sz="0" w:space="0" w:color="auto"/>
      </w:divBdr>
    </w:div>
    <w:div w:id="2017924803">
      <w:bodyDiv w:val="1"/>
      <w:marLeft w:val="0"/>
      <w:marRight w:val="0"/>
      <w:marTop w:val="0"/>
      <w:marBottom w:val="0"/>
      <w:divBdr>
        <w:top w:val="none" w:sz="0" w:space="0" w:color="auto"/>
        <w:left w:val="none" w:sz="0" w:space="0" w:color="auto"/>
        <w:bottom w:val="none" w:sz="0" w:space="0" w:color="auto"/>
        <w:right w:val="none" w:sz="0" w:space="0" w:color="auto"/>
      </w:divBdr>
    </w:div>
    <w:div w:id="2108189507">
      <w:bodyDiv w:val="1"/>
      <w:marLeft w:val="0"/>
      <w:marRight w:val="0"/>
      <w:marTop w:val="0"/>
      <w:marBottom w:val="0"/>
      <w:divBdr>
        <w:top w:val="none" w:sz="0" w:space="0" w:color="auto"/>
        <w:left w:val="none" w:sz="0" w:space="0" w:color="auto"/>
        <w:bottom w:val="none" w:sz="0" w:space="0" w:color="auto"/>
        <w:right w:val="none" w:sz="0" w:space="0" w:color="auto"/>
      </w:divBdr>
    </w:div>
    <w:div w:id="2110467211">
      <w:bodyDiv w:val="1"/>
      <w:marLeft w:val="0"/>
      <w:marRight w:val="0"/>
      <w:marTop w:val="0"/>
      <w:marBottom w:val="0"/>
      <w:divBdr>
        <w:top w:val="none" w:sz="0" w:space="0" w:color="auto"/>
        <w:left w:val="none" w:sz="0" w:space="0" w:color="auto"/>
        <w:bottom w:val="none" w:sz="0" w:space="0" w:color="auto"/>
        <w:right w:val="none" w:sz="0" w:space="0" w:color="auto"/>
      </w:divBdr>
    </w:div>
    <w:div w:id="2114781910">
      <w:bodyDiv w:val="1"/>
      <w:marLeft w:val="0"/>
      <w:marRight w:val="0"/>
      <w:marTop w:val="0"/>
      <w:marBottom w:val="0"/>
      <w:divBdr>
        <w:top w:val="none" w:sz="0" w:space="0" w:color="auto"/>
        <w:left w:val="none" w:sz="0" w:space="0" w:color="auto"/>
        <w:bottom w:val="none" w:sz="0" w:space="0" w:color="auto"/>
        <w:right w:val="none" w:sz="0" w:space="0" w:color="auto"/>
      </w:divBdr>
    </w:div>
    <w:div w:id="2123761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C73A71-A630-4B0A-BAE1-DB45A3150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3987</Words>
  <Characters>22016</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POLICE AND CRIME COMMISSIONER FOR LEICESTERSHIRE</vt:lpstr>
    </vt:vector>
  </TitlesOfParts>
  <Company>Leicestershire Police</Company>
  <LinksUpToDate>false</LinksUpToDate>
  <CharactersWithSpaces>25952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POLICE AND CRIME COMMISSIONER FOR LEICESTERSHIRE</dc:title>
  <dc:creator>Vickers Robert</dc:creator>
  <cp:lastModifiedBy>Ashcroft Vaughan</cp:lastModifiedBy>
  <cp:revision>4</cp:revision>
  <cp:lastPrinted>2026-01-26T11:06:00Z</cp:lastPrinted>
  <dcterms:created xsi:type="dcterms:W3CDTF">2026-02-10T16:24:00Z</dcterms:created>
  <dcterms:modified xsi:type="dcterms:W3CDTF">2026-02-10T16:27:00Z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9cd4a6a-7014-48d6-b119-9b8b87129a7e_Enabled">
    <vt:lpwstr>True</vt:lpwstr>
  </property>
  <property fmtid="{D5CDD505-2E9C-101B-9397-08002B2CF9AE}" pid="3" name="MSIP_Label_d9cd4a6a-7014-48d6-b119-9b8b87129a7e_SiteId">
    <vt:lpwstr>bf91f36f-ab89-4503-8c3f-04a029f837d3</vt:lpwstr>
  </property>
  <property fmtid="{D5CDD505-2E9C-101B-9397-08002B2CF9AE}" pid="4" name="MSIP_Label_d9cd4a6a-7014-48d6-b119-9b8b87129a7e_Owner">
    <vt:lpwstr>Helen.King@northantspfcc.gov.uk</vt:lpwstr>
  </property>
  <property fmtid="{D5CDD505-2E9C-101B-9397-08002B2CF9AE}" pid="5" name="MSIP_Label_d9cd4a6a-7014-48d6-b119-9b8b87129a7e_SetDate">
    <vt:lpwstr>2021-01-19T14:42:00.9311210Z</vt:lpwstr>
  </property>
  <property fmtid="{D5CDD505-2E9C-101B-9397-08002B2CF9AE}" pid="6" name="MSIP_Label_d9cd4a6a-7014-48d6-b119-9b8b87129a7e_Name">
    <vt:lpwstr>OFFICIAL</vt:lpwstr>
  </property>
  <property fmtid="{D5CDD505-2E9C-101B-9397-08002B2CF9AE}" pid="7" name="MSIP_Label_d9cd4a6a-7014-48d6-b119-9b8b87129a7e_Application">
    <vt:lpwstr>Microsoft Azure Information Protection</vt:lpwstr>
  </property>
  <property fmtid="{D5CDD505-2E9C-101B-9397-08002B2CF9AE}" pid="8" name="MSIP_Label_d9cd4a6a-7014-48d6-b119-9b8b87129a7e_Extended_MSFT_Method">
    <vt:lpwstr>Automatic</vt:lpwstr>
  </property>
  <property fmtid="{D5CDD505-2E9C-101B-9397-08002B2CF9AE}" pid="9" name="Sensitivity">
    <vt:lpwstr>OFFICIAL</vt:lpwstr>
  </property>
</Properties>
</file>