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28A0" w14:textId="1E3C4D39" w:rsidR="00D87668" w:rsidRDefault="00D87668" w:rsidP="00027BEB">
      <w:pPr>
        <w:rPr>
          <w:noProof/>
        </w:rPr>
      </w:pPr>
    </w:p>
    <w:p w14:paraId="0D639DB6" w14:textId="0A6B36E3" w:rsidR="002F5416" w:rsidRPr="002F5416" w:rsidRDefault="00CC4D5C" w:rsidP="006A6EC6">
      <w:pPr>
        <w:spacing w:after="120"/>
        <w:rPr>
          <w:rFonts w:cstheme="minorHAnsi"/>
          <w:b/>
          <w:bCs/>
        </w:rPr>
      </w:pPr>
      <w:r>
        <w:rPr>
          <w:noProof/>
        </w:rPr>
        <mc:AlternateContent>
          <mc:Choice Requires="wps">
            <w:drawing>
              <wp:anchor distT="45720" distB="45720" distL="114300" distR="114300" simplePos="0" relativeHeight="251660288" behindDoc="0" locked="0" layoutInCell="1" allowOverlap="1" wp14:anchorId="4AF3E007" wp14:editId="7DB60693">
                <wp:simplePos x="0" y="0"/>
                <wp:positionH relativeFrom="margin">
                  <wp:posOffset>274320</wp:posOffset>
                </wp:positionH>
                <wp:positionV relativeFrom="paragraph">
                  <wp:posOffset>1238885</wp:posOffset>
                </wp:positionV>
                <wp:extent cx="5372100" cy="4160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160520"/>
                        </a:xfrm>
                        <a:prstGeom prst="rect">
                          <a:avLst/>
                        </a:prstGeom>
                        <a:noFill/>
                        <a:ln w="9525">
                          <a:noFill/>
                          <a:miter lim="800000"/>
                          <a:headEnd/>
                          <a:tailEnd/>
                        </a:ln>
                      </wps:spPr>
                      <wps:txbx>
                        <w:txbxContent>
                          <w:p w14:paraId="3C89B02C" w14:textId="77777777" w:rsidR="004D09FC" w:rsidRPr="00A73661" w:rsidRDefault="002F5416" w:rsidP="00D87668">
                            <w:pPr>
                              <w:rPr>
                                <w:rFonts w:ascii="Calibri" w:hAnsi="Calibri" w:cs="Calibri"/>
                                <w:b/>
                                <w:sz w:val="44"/>
                                <w:szCs w:val="44"/>
                              </w:rPr>
                            </w:pPr>
                            <w:r w:rsidRPr="00A73661">
                              <w:rPr>
                                <w:rFonts w:ascii="Calibri" w:hAnsi="Calibri" w:cs="Calibri"/>
                                <w:b/>
                                <w:sz w:val="44"/>
                                <w:szCs w:val="44"/>
                              </w:rPr>
                              <w:t>Northamptonshire Police Fire and Crime Commissioner</w:t>
                            </w:r>
                          </w:p>
                          <w:p w14:paraId="50A68900" w14:textId="77777777" w:rsidR="004D09FC" w:rsidRPr="00A73661" w:rsidRDefault="004D09FC" w:rsidP="00D87668">
                            <w:pPr>
                              <w:rPr>
                                <w:rFonts w:ascii="Calibri" w:hAnsi="Calibri" w:cs="Calibri"/>
                                <w:b/>
                                <w:sz w:val="44"/>
                                <w:szCs w:val="44"/>
                              </w:rPr>
                            </w:pPr>
                          </w:p>
                          <w:p w14:paraId="2DEF820E" w14:textId="0E9DF8CF" w:rsidR="00D87668" w:rsidRPr="00A73661" w:rsidRDefault="002F5416" w:rsidP="00D87668">
                            <w:pPr>
                              <w:rPr>
                                <w:rFonts w:ascii="Calibri" w:hAnsi="Calibri" w:cs="Calibri"/>
                                <w:b/>
                                <w:sz w:val="44"/>
                                <w:szCs w:val="44"/>
                              </w:rPr>
                            </w:pPr>
                            <w:r w:rsidRPr="00A73661">
                              <w:rPr>
                                <w:rFonts w:ascii="Calibri" w:hAnsi="Calibri" w:cs="Calibri"/>
                                <w:b/>
                                <w:sz w:val="44"/>
                                <w:szCs w:val="44"/>
                              </w:rPr>
                              <w:t>Policing Capital Strategy 202</w:t>
                            </w:r>
                            <w:r w:rsidR="00CC4D5C">
                              <w:rPr>
                                <w:rFonts w:ascii="Calibri" w:hAnsi="Calibri" w:cs="Calibri"/>
                                <w:b/>
                                <w:sz w:val="44"/>
                                <w:szCs w:val="44"/>
                              </w:rPr>
                              <w:t>6</w:t>
                            </w:r>
                            <w:r w:rsidRPr="00A73661">
                              <w:rPr>
                                <w:rFonts w:ascii="Calibri" w:hAnsi="Calibri" w:cs="Calibri"/>
                                <w:b/>
                                <w:sz w:val="44"/>
                                <w:szCs w:val="44"/>
                              </w:rPr>
                              <w:t>/2</w:t>
                            </w:r>
                            <w:r w:rsidR="00CC4D5C">
                              <w:rPr>
                                <w:rFonts w:ascii="Calibri" w:hAnsi="Calibri" w:cs="Calibri"/>
                                <w:b/>
                                <w:sz w:val="44"/>
                                <w:szCs w:val="44"/>
                              </w:rPr>
                              <w:t>7</w:t>
                            </w:r>
                            <w:r w:rsidR="004D09FC" w:rsidRPr="00A73661">
                              <w:rPr>
                                <w:rFonts w:ascii="Calibri" w:hAnsi="Calibri" w:cs="Calibri"/>
                                <w:b/>
                                <w:sz w:val="44"/>
                                <w:szCs w:val="44"/>
                              </w:rPr>
                              <w:t xml:space="preserve"> </w:t>
                            </w:r>
                            <w:r w:rsidRPr="00A73661">
                              <w:rPr>
                                <w:rFonts w:ascii="Calibri" w:hAnsi="Calibri" w:cs="Calibri"/>
                                <w:b/>
                                <w:sz w:val="44"/>
                                <w:szCs w:val="44"/>
                              </w:rPr>
                              <w:t>-</w:t>
                            </w:r>
                            <w:r w:rsidR="00166ED4">
                              <w:rPr>
                                <w:rFonts w:ascii="Calibri" w:hAnsi="Calibri" w:cs="Calibri"/>
                                <w:b/>
                                <w:sz w:val="44"/>
                                <w:szCs w:val="44"/>
                              </w:rPr>
                              <w:t xml:space="preserve"> </w:t>
                            </w:r>
                            <w:r w:rsidR="004D09FC" w:rsidRPr="00A73661">
                              <w:rPr>
                                <w:rFonts w:ascii="Calibri" w:hAnsi="Calibri" w:cs="Calibri"/>
                                <w:b/>
                                <w:sz w:val="44"/>
                                <w:szCs w:val="44"/>
                              </w:rPr>
                              <w:t>20</w:t>
                            </w:r>
                            <w:r w:rsidR="00CC4D5C">
                              <w:rPr>
                                <w:rFonts w:ascii="Calibri" w:hAnsi="Calibri" w:cs="Calibri"/>
                                <w:b/>
                                <w:sz w:val="44"/>
                                <w:szCs w:val="44"/>
                              </w:rPr>
                              <w:t>29</w:t>
                            </w:r>
                            <w:r w:rsidR="004D09FC" w:rsidRPr="00A73661">
                              <w:rPr>
                                <w:rFonts w:ascii="Calibri" w:hAnsi="Calibri" w:cs="Calibri"/>
                                <w:b/>
                                <w:sz w:val="44"/>
                                <w:szCs w:val="44"/>
                              </w:rPr>
                              <w:t>/</w:t>
                            </w:r>
                            <w:r w:rsidR="00CC4D5C">
                              <w:rPr>
                                <w:rFonts w:ascii="Calibri" w:hAnsi="Calibri" w:cs="Calibri"/>
                                <w:b/>
                                <w:sz w:val="44"/>
                                <w:szCs w:val="44"/>
                              </w:rPr>
                              <w:t>30</w:t>
                            </w:r>
                          </w:p>
                          <w:p w14:paraId="096353D8" w14:textId="77777777" w:rsidR="00D87668" w:rsidRPr="00A73661" w:rsidRDefault="00D87668" w:rsidP="00D87668">
                            <w:pPr>
                              <w:rPr>
                                <w:rFonts w:ascii="Calibri" w:hAnsi="Calibri" w:cs="Calibri"/>
                                <w:b/>
                                <w:sz w:val="52"/>
                                <w:szCs w:val="52"/>
                              </w:rPr>
                            </w:pPr>
                          </w:p>
                          <w:p w14:paraId="42942DB5" w14:textId="77777777" w:rsidR="00D87668" w:rsidRPr="00A73661" w:rsidRDefault="00D87668" w:rsidP="00D87668">
                            <w:pPr>
                              <w:rPr>
                                <w:rFonts w:ascii="Calibri" w:hAnsi="Calibri" w:cs="Calibri"/>
                                <w:b/>
                                <w:sz w:val="28"/>
                                <w:szCs w:val="28"/>
                              </w:rPr>
                            </w:pPr>
                          </w:p>
                          <w:p w14:paraId="49AA40FC" w14:textId="123AB253" w:rsidR="00D87668" w:rsidRPr="00A73661" w:rsidRDefault="00D87668" w:rsidP="00D87668">
                            <w:pPr>
                              <w:rPr>
                                <w:rFonts w:ascii="Calibri" w:hAnsi="Calibri" w:cs="Calibri"/>
                                <w:sz w:val="28"/>
                                <w:szCs w:val="28"/>
                              </w:rPr>
                            </w:pPr>
                            <w:r w:rsidRPr="00A73661">
                              <w:rPr>
                                <w:rFonts w:ascii="Calibri" w:hAnsi="Calibri" w:cs="Calibri"/>
                                <w:sz w:val="28"/>
                                <w:szCs w:val="28"/>
                              </w:rPr>
                              <w:t>Author:</w:t>
                            </w:r>
                            <w:r w:rsidR="00FC07E6" w:rsidRPr="00A73661">
                              <w:rPr>
                                <w:rFonts w:ascii="Calibri" w:hAnsi="Calibri" w:cs="Calibri"/>
                                <w:sz w:val="28"/>
                                <w:szCs w:val="28"/>
                              </w:rPr>
                              <w:t xml:space="preserve"> Vaughan Ashcroft</w:t>
                            </w:r>
                            <w:r w:rsidR="00CC4D5C">
                              <w:rPr>
                                <w:rFonts w:ascii="Calibri" w:hAnsi="Calibri" w:cs="Calibri"/>
                                <w:sz w:val="28"/>
                                <w:szCs w:val="28"/>
                              </w:rPr>
                              <w:t xml:space="preserve"> / Nick Alexander</w:t>
                            </w:r>
                          </w:p>
                          <w:p w14:paraId="6A22A0B6" w14:textId="77777777" w:rsidR="00D87668" w:rsidRPr="00A73661" w:rsidRDefault="00D87668" w:rsidP="00D87668">
                            <w:pPr>
                              <w:rPr>
                                <w:rFonts w:ascii="Calibri" w:hAnsi="Calibri" w:cs="Calibri"/>
                                <w:sz w:val="28"/>
                                <w:szCs w:val="28"/>
                              </w:rPr>
                            </w:pPr>
                          </w:p>
                          <w:p w14:paraId="4D7C4BCB" w14:textId="73DF61BA" w:rsidR="00D87668" w:rsidRPr="00A73661" w:rsidRDefault="00D87668" w:rsidP="00D87668">
                            <w:pPr>
                              <w:rPr>
                                <w:rFonts w:ascii="Calibri" w:hAnsi="Calibri" w:cs="Calibri"/>
                                <w:sz w:val="28"/>
                                <w:szCs w:val="28"/>
                              </w:rPr>
                            </w:pPr>
                            <w:r w:rsidRPr="00A73661">
                              <w:rPr>
                                <w:rFonts w:ascii="Calibri" w:hAnsi="Calibri" w:cs="Calibri"/>
                                <w:sz w:val="28"/>
                                <w:szCs w:val="28"/>
                              </w:rPr>
                              <w:t>Date</w:t>
                            </w:r>
                            <w:r w:rsidRPr="00184136">
                              <w:rPr>
                                <w:rFonts w:ascii="Calibri" w:hAnsi="Calibri" w:cs="Calibri"/>
                                <w:sz w:val="28"/>
                                <w:szCs w:val="28"/>
                              </w:rPr>
                              <w:t>:</w:t>
                            </w:r>
                            <w:r w:rsidR="00BB1C05" w:rsidRPr="00184136">
                              <w:rPr>
                                <w:rFonts w:ascii="Calibri" w:hAnsi="Calibri" w:cs="Calibri"/>
                                <w:sz w:val="28"/>
                                <w:szCs w:val="28"/>
                              </w:rPr>
                              <w:t xml:space="preserve"> </w:t>
                            </w:r>
                            <w:r w:rsidR="00184136" w:rsidRPr="00184136">
                              <w:rPr>
                                <w:rFonts w:ascii="Calibri" w:hAnsi="Calibri" w:cs="Calibri"/>
                                <w:sz w:val="28"/>
                                <w:szCs w:val="28"/>
                              </w:rPr>
                              <w:t>10</w:t>
                            </w:r>
                            <w:r w:rsidR="00184136" w:rsidRPr="00184136">
                              <w:rPr>
                                <w:rFonts w:ascii="Calibri" w:hAnsi="Calibri" w:cs="Calibri"/>
                                <w:sz w:val="28"/>
                                <w:szCs w:val="28"/>
                                <w:vertAlign w:val="superscript"/>
                              </w:rPr>
                              <w:t>th</w:t>
                            </w:r>
                            <w:r w:rsidR="00184136" w:rsidRPr="00184136">
                              <w:rPr>
                                <w:rFonts w:ascii="Calibri" w:hAnsi="Calibri" w:cs="Calibri"/>
                                <w:sz w:val="28"/>
                                <w:szCs w:val="28"/>
                              </w:rPr>
                              <w:t xml:space="preserve"> April</w:t>
                            </w:r>
                            <w:r w:rsidR="00BB1C05" w:rsidRPr="00184136">
                              <w:rPr>
                                <w:rFonts w:ascii="Calibri" w:hAnsi="Calibri" w:cs="Calibri"/>
                                <w:sz w:val="28"/>
                                <w:szCs w:val="28"/>
                              </w:rPr>
                              <w:t xml:space="preserve"> 202</w:t>
                            </w:r>
                            <w:r w:rsidR="006A6EC6" w:rsidRPr="00184136">
                              <w:rPr>
                                <w:rFonts w:ascii="Calibri" w:hAnsi="Calibri" w:cs="Calibri"/>
                                <w:sz w:val="28"/>
                                <w:szCs w:val="28"/>
                              </w:rPr>
                              <w:t>6</w:t>
                            </w:r>
                          </w:p>
                          <w:p w14:paraId="3474973E" w14:textId="77777777" w:rsidR="00D87668" w:rsidRPr="00A73661" w:rsidRDefault="00D87668" w:rsidP="00D87668">
                            <w:pPr>
                              <w:rPr>
                                <w:rFonts w:ascii="Calibri" w:hAnsi="Calibri" w:cs="Calibri"/>
                                <w:sz w:val="28"/>
                                <w:szCs w:val="28"/>
                              </w:rPr>
                            </w:pPr>
                          </w:p>
                          <w:p w14:paraId="77DAFFF5" w14:textId="6F89AB2A" w:rsidR="00D87668" w:rsidRPr="00D002EA" w:rsidRDefault="00D87668" w:rsidP="00D87668">
                            <w:pPr>
                              <w:rPr>
                                <w:rFonts w:ascii="Verdana" w:hAnsi="Verdana"/>
                                <w:sz w:val="36"/>
                                <w:szCs w:val="36"/>
                              </w:rPr>
                            </w:pPr>
                            <w:r w:rsidRPr="00A73661">
                              <w:rPr>
                                <w:rFonts w:ascii="Calibri" w:hAnsi="Calibri" w:cs="Calibri"/>
                                <w:sz w:val="28"/>
                                <w:szCs w:val="28"/>
                              </w:rPr>
                              <w:t>Version Control:</w:t>
                            </w:r>
                            <w:r w:rsidR="00FC07E6" w:rsidRPr="00A73661">
                              <w:rPr>
                                <w:rFonts w:ascii="Calibri" w:hAnsi="Calibri" w:cs="Calibri"/>
                                <w:sz w:val="28"/>
                                <w:szCs w:val="28"/>
                              </w:rPr>
                              <w:t xml:space="preserve"> 1</w:t>
                            </w:r>
                            <w:r>
                              <w:rPr>
                                <w:rFonts w:ascii="Verdana" w:hAnsi="Verdana"/>
                                <w:sz w:val="22"/>
                                <w:szCs w:val="22"/>
                              </w:rPr>
                              <w:br w:type="page"/>
                            </w:r>
                          </w:p>
                          <w:p w14:paraId="065FF53C" w14:textId="34B6FF04" w:rsidR="00D87668" w:rsidRDefault="00D876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3E007" id="_x0000_t202" coordsize="21600,21600" o:spt="202" path="m,l,21600r21600,l21600,xe">
                <v:stroke joinstyle="miter"/>
                <v:path gradientshapeok="t" o:connecttype="rect"/>
              </v:shapetype>
              <v:shape id="Text Box 2" o:spid="_x0000_s1026" type="#_x0000_t202" style="position:absolute;margin-left:21.6pt;margin-top:97.55pt;width:423pt;height:327.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" filled="f" stroked="f">
                <v:textbox>
                  <w:txbxContent>
                    <w:p w14:paraId="3C89B02C" w14:textId="77777777" w:rsidR="004D09FC" w:rsidRPr="00A73661" w:rsidRDefault="002F5416" w:rsidP="00D87668">
                      <w:pPr>
                        <w:rPr>
                          <w:rFonts w:ascii="Calibri" w:hAnsi="Calibri" w:cs="Calibri"/>
                          <w:b/>
                          <w:sz w:val="44"/>
                          <w:szCs w:val="44"/>
                        </w:rPr>
                      </w:pPr>
                      <w:r w:rsidRPr="00A73661">
                        <w:rPr>
                          <w:rFonts w:ascii="Calibri" w:hAnsi="Calibri" w:cs="Calibri"/>
                          <w:b/>
                          <w:sz w:val="44"/>
                          <w:szCs w:val="44"/>
                        </w:rPr>
                        <w:t>Northamptonshire Police Fire and Crime Commissioner</w:t>
                      </w:r>
                    </w:p>
                    <w:p w14:paraId="50A68900" w14:textId="77777777" w:rsidR="004D09FC" w:rsidRPr="00A73661" w:rsidRDefault="004D09FC" w:rsidP="00D87668">
                      <w:pPr>
                        <w:rPr>
                          <w:rFonts w:ascii="Calibri" w:hAnsi="Calibri" w:cs="Calibri"/>
                          <w:b/>
                          <w:sz w:val="44"/>
                          <w:szCs w:val="44"/>
                        </w:rPr>
                      </w:pPr>
                    </w:p>
                    <w:p w14:paraId="2DEF820E" w14:textId="0E9DF8CF" w:rsidR="00D87668" w:rsidRPr="00A73661" w:rsidRDefault="002F5416" w:rsidP="00D87668">
                      <w:pPr>
                        <w:rPr>
                          <w:rFonts w:ascii="Calibri" w:hAnsi="Calibri" w:cs="Calibri"/>
                          <w:b/>
                          <w:sz w:val="44"/>
                          <w:szCs w:val="44"/>
                        </w:rPr>
                      </w:pPr>
                      <w:r w:rsidRPr="00A73661">
                        <w:rPr>
                          <w:rFonts w:ascii="Calibri" w:hAnsi="Calibri" w:cs="Calibri"/>
                          <w:b/>
                          <w:sz w:val="44"/>
                          <w:szCs w:val="44"/>
                        </w:rPr>
                        <w:t>Policing Capital Strategy 202</w:t>
                      </w:r>
                      <w:r w:rsidR="00CC4D5C">
                        <w:rPr>
                          <w:rFonts w:ascii="Calibri" w:hAnsi="Calibri" w:cs="Calibri"/>
                          <w:b/>
                          <w:sz w:val="44"/>
                          <w:szCs w:val="44"/>
                        </w:rPr>
                        <w:t>6</w:t>
                      </w:r>
                      <w:r w:rsidRPr="00A73661">
                        <w:rPr>
                          <w:rFonts w:ascii="Calibri" w:hAnsi="Calibri" w:cs="Calibri"/>
                          <w:b/>
                          <w:sz w:val="44"/>
                          <w:szCs w:val="44"/>
                        </w:rPr>
                        <w:t>/2</w:t>
                      </w:r>
                      <w:r w:rsidR="00CC4D5C">
                        <w:rPr>
                          <w:rFonts w:ascii="Calibri" w:hAnsi="Calibri" w:cs="Calibri"/>
                          <w:b/>
                          <w:sz w:val="44"/>
                          <w:szCs w:val="44"/>
                        </w:rPr>
                        <w:t>7</w:t>
                      </w:r>
                      <w:r w:rsidR="004D09FC" w:rsidRPr="00A73661">
                        <w:rPr>
                          <w:rFonts w:ascii="Calibri" w:hAnsi="Calibri" w:cs="Calibri"/>
                          <w:b/>
                          <w:sz w:val="44"/>
                          <w:szCs w:val="44"/>
                        </w:rPr>
                        <w:t xml:space="preserve"> </w:t>
                      </w:r>
                      <w:r w:rsidRPr="00A73661">
                        <w:rPr>
                          <w:rFonts w:ascii="Calibri" w:hAnsi="Calibri" w:cs="Calibri"/>
                          <w:b/>
                          <w:sz w:val="44"/>
                          <w:szCs w:val="44"/>
                        </w:rPr>
                        <w:t>-</w:t>
                      </w:r>
                      <w:r w:rsidR="00166ED4">
                        <w:rPr>
                          <w:rFonts w:ascii="Calibri" w:hAnsi="Calibri" w:cs="Calibri"/>
                          <w:b/>
                          <w:sz w:val="44"/>
                          <w:szCs w:val="44"/>
                        </w:rPr>
                        <w:t xml:space="preserve"> </w:t>
                      </w:r>
                      <w:r w:rsidR="004D09FC" w:rsidRPr="00A73661">
                        <w:rPr>
                          <w:rFonts w:ascii="Calibri" w:hAnsi="Calibri" w:cs="Calibri"/>
                          <w:b/>
                          <w:sz w:val="44"/>
                          <w:szCs w:val="44"/>
                        </w:rPr>
                        <w:t>20</w:t>
                      </w:r>
                      <w:r w:rsidR="00CC4D5C">
                        <w:rPr>
                          <w:rFonts w:ascii="Calibri" w:hAnsi="Calibri" w:cs="Calibri"/>
                          <w:b/>
                          <w:sz w:val="44"/>
                          <w:szCs w:val="44"/>
                        </w:rPr>
                        <w:t>29</w:t>
                      </w:r>
                      <w:r w:rsidR="004D09FC" w:rsidRPr="00A73661">
                        <w:rPr>
                          <w:rFonts w:ascii="Calibri" w:hAnsi="Calibri" w:cs="Calibri"/>
                          <w:b/>
                          <w:sz w:val="44"/>
                          <w:szCs w:val="44"/>
                        </w:rPr>
                        <w:t>/</w:t>
                      </w:r>
                      <w:r w:rsidR="00CC4D5C">
                        <w:rPr>
                          <w:rFonts w:ascii="Calibri" w:hAnsi="Calibri" w:cs="Calibri"/>
                          <w:b/>
                          <w:sz w:val="44"/>
                          <w:szCs w:val="44"/>
                        </w:rPr>
                        <w:t>30</w:t>
                      </w:r>
                    </w:p>
                    <w:p w14:paraId="096353D8" w14:textId="77777777" w:rsidR="00D87668" w:rsidRPr="00A73661" w:rsidRDefault="00D87668" w:rsidP="00D87668">
                      <w:pPr>
                        <w:rPr>
                          <w:rFonts w:ascii="Calibri" w:hAnsi="Calibri" w:cs="Calibri"/>
                          <w:b/>
                          <w:sz w:val="52"/>
                          <w:szCs w:val="52"/>
                        </w:rPr>
                      </w:pPr>
                    </w:p>
                    <w:p w14:paraId="42942DB5" w14:textId="77777777" w:rsidR="00D87668" w:rsidRPr="00A73661" w:rsidRDefault="00D87668" w:rsidP="00D87668">
                      <w:pPr>
                        <w:rPr>
                          <w:rFonts w:ascii="Calibri" w:hAnsi="Calibri" w:cs="Calibri"/>
                          <w:b/>
                          <w:sz w:val="28"/>
                          <w:szCs w:val="28"/>
                        </w:rPr>
                      </w:pPr>
                    </w:p>
                    <w:p w14:paraId="49AA40FC" w14:textId="123AB253" w:rsidR="00D87668" w:rsidRPr="00A73661" w:rsidRDefault="00D87668" w:rsidP="00D87668">
                      <w:pPr>
                        <w:rPr>
                          <w:rFonts w:ascii="Calibri" w:hAnsi="Calibri" w:cs="Calibri"/>
                          <w:sz w:val="28"/>
                          <w:szCs w:val="28"/>
                        </w:rPr>
                      </w:pPr>
                      <w:r w:rsidRPr="00A73661">
                        <w:rPr>
                          <w:rFonts w:ascii="Calibri" w:hAnsi="Calibri" w:cs="Calibri"/>
                          <w:sz w:val="28"/>
                          <w:szCs w:val="28"/>
                        </w:rPr>
                        <w:t>Author:</w:t>
                      </w:r>
                      <w:r w:rsidR="00FC07E6" w:rsidRPr="00A73661">
                        <w:rPr>
                          <w:rFonts w:ascii="Calibri" w:hAnsi="Calibri" w:cs="Calibri"/>
                          <w:sz w:val="28"/>
                          <w:szCs w:val="28"/>
                        </w:rPr>
                        <w:t xml:space="preserve"> Vaughan Ashcroft</w:t>
                      </w:r>
                      <w:r w:rsidR="00CC4D5C">
                        <w:rPr>
                          <w:rFonts w:ascii="Calibri" w:hAnsi="Calibri" w:cs="Calibri"/>
                          <w:sz w:val="28"/>
                          <w:szCs w:val="28"/>
                        </w:rPr>
                        <w:t xml:space="preserve"> / Nick Alexander</w:t>
                      </w:r>
                    </w:p>
                    <w:p w14:paraId="6A22A0B6" w14:textId="77777777" w:rsidR="00D87668" w:rsidRPr="00A73661" w:rsidRDefault="00D87668" w:rsidP="00D87668">
                      <w:pPr>
                        <w:rPr>
                          <w:rFonts w:ascii="Calibri" w:hAnsi="Calibri" w:cs="Calibri"/>
                          <w:sz w:val="28"/>
                          <w:szCs w:val="28"/>
                        </w:rPr>
                      </w:pPr>
                    </w:p>
                    <w:p w14:paraId="4D7C4BCB" w14:textId="73DF61BA" w:rsidR="00D87668" w:rsidRPr="00A73661" w:rsidRDefault="00D87668" w:rsidP="00D87668">
                      <w:pPr>
                        <w:rPr>
                          <w:rFonts w:ascii="Calibri" w:hAnsi="Calibri" w:cs="Calibri"/>
                          <w:sz w:val="28"/>
                          <w:szCs w:val="28"/>
                        </w:rPr>
                      </w:pPr>
                      <w:r w:rsidRPr="00A73661">
                        <w:rPr>
                          <w:rFonts w:ascii="Calibri" w:hAnsi="Calibri" w:cs="Calibri"/>
                          <w:sz w:val="28"/>
                          <w:szCs w:val="28"/>
                        </w:rPr>
                        <w:t>Date</w:t>
                      </w:r>
                      <w:r w:rsidRPr="00184136">
                        <w:rPr>
                          <w:rFonts w:ascii="Calibri" w:hAnsi="Calibri" w:cs="Calibri"/>
                          <w:sz w:val="28"/>
                          <w:szCs w:val="28"/>
                        </w:rPr>
                        <w:t>:</w:t>
                      </w:r>
                      <w:r w:rsidR="00BB1C05" w:rsidRPr="00184136">
                        <w:rPr>
                          <w:rFonts w:ascii="Calibri" w:hAnsi="Calibri" w:cs="Calibri"/>
                          <w:sz w:val="28"/>
                          <w:szCs w:val="28"/>
                        </w:rPr>
                        <w:t xml:space="preserve"> </w:t>
                      </w:r>
                      <w:r w:rsidR="00184136" w:rsidRPr="00184136">
                        <w:rPr>
                          <w:rFonts w:ascii="Calibri" w:hAnsi="Calibri" w:cs="Calibri"/>
                          <w:sz w:val="28"/>
                          <w:szCs w:val="28"/>
                        </w:rPr>
                        <w:t>10</w:t>
                      </w:r>
                      <w:r w:rsidR="00184136" w:rsidRPr="00184136">
                        <w:rPr>
                          <w:rFonts w:ascii="Calibri" w:hAnsi="Calibri" w:cs="Calibri"/>
                          <w:sz w:val="28"/>
                          <w:szCs w:val="28"/>
                          <w:vertAlign w:val="superscript"/>
                        </w:rPr>
                        <w:t>th</w:t>
                      </w:r>
                      <w:r w:rsidR="00184136" w:rsidRPr="00184136">
                        <w:rPr>
                          <w:rFonts w:ascii="Calibri" w:hAnsi="Calibri" w:cs="Calibri"/>
                          <w:sz w:val="28"/>
                          <w:szCs w:val="28"/>
                        </w:rPr>
                        <w:t xml:space="preserve"> April</w:t>
                      </w:r>
                      <w:r w:rsidR="00BB1C05" w:rsidRPr="00184136">
                        <w:rPr>
                          <w:rFonts w:ascii="Calibri" w:hAnsi="Calibri" w:cs="Calibri"/>
                          <w:sz w:val="28"/>
                          <w:szCs w:val="28"/>
                        </w:rPr>
                        <w:t xml:space="preserve"> 202</w:t>
                      </w:r>
                      <w:r w:rsidR="006A6EC6" w:rsidRPr="00184136">
                        <w:rPr>
                          <w:rFonts w:ascii="Calibri" w:hAnsi="Calibri" w:cs="Calibri"/>
                          <w:sz w:val="28"/>
                          <w:szCs w:val="28"/>
                        </w:rPr>
                        <w:t>6</w:t>
                      </w:r>
                    </w:p>
                    <w:p w14:paraId="3474973E" w14:textId="77777777" w:rsidR="00D87668" w:rsidRPr="00A73661" w:rsidRDefault="00D87668" w:rsidP="00D87668">
                      <w:pPr>
                        <w:rPr>
                          <w:rFonts w:ascii="Calibri" w:hAnsi="Calibri" w:cs="Calibri"/>
                          <w:sz w:val="28"/>
                          <w:szCs w:val="28"/>
                        </w:rPr>
                      </w:pPr>
                    </w:p>
                    <w:p w14:paraId="77DAFFF5" w14:textId="6F89AB2A" w:rsidR="00D87668" w:rsidRPr="00D002EA" w:rsidRDefault="00D87668" w:rsidP="00D87668">
                      <w:pPr>
                        <w:rPr>
                          <w:rFonts w:ascii="Verdana" w:hAnsi="Verdana"/>
                          <w:sz w:val="36"/>
                          <w:szCs w:val="36"/>
                        </w:rPr>
                      </w:pPr>
                      <w:r w:rsidRPr="00A73661">
                        <w:rPr>
                          <w:rFonts w:ascii="Calibri" w:hAnsi="Calibri" w:cs="Calibri"/>
                          <w:sz w:val="28"/>
                          <w:szCs w:val="28"/>
                        </w:rPr>
                        <w:t>Version Control:</w:t>
                      </w:r>
                      <w:r w:rsidR="00FC07E6" w:rsidRPr="00A73661">
                        <w:rPr>
                          <w:rFonts w:ascii="Calibri" w:hAnsi="Calibri" w:cs="Calibri"/>
                          <w:sz w:val="28"/>
                          <w:szCs w:val="28"/>
                        </w:rPr>
                        <w:t xml:space="preserve"> 1</w:t>
                      </w:r>
                      <w:r>
                        <w:rPr>
                          <w:rFonts w:ascii="Verdana" w:hAnsi="Verdana"/>
                          <w:sz w:val="22"/>
                          <w:szCs w:val="22"/>
                        </w:rPr>
                        <w:br w:type="page"/>
                      </w:r>
                    </w:p>
                    <w:p w14:paraId="065FF53C" w14:textId="34B6FF04" w:rsidR="00D87668" w:rsidRDefault="00D87668"/>
                  </w:txbxContent>
                </v:textbox>
                <w10:wrap type="square" anchorx="margin"/>
              </v:shape>
            </w:pict>
          </mc:Fallback>
        </mc:AlternateContent>
      </w:r>
      <w:r>
        <w:rPr>
          <w:noProof/>
        </w:rPr>
        <w:drawing>
          <wp:anchor distT="0" distB="0" distL="114300" distR="114300" simplePos="0" relativeHeight="251662336" behindDoc="0" locked="0" layoutInCell="1" allowOverlap="1" wp14:anchorId="4D6F8208" wp14:editId="075A551C">
            <wp:simplePos x="0" y="0"/>
            <wp:positionH relativeFrom="page">
              <wp:align>left</wp:align>
            </wp:positionH>
            <wp:positionV relativeFrom="margin">
              <wp:posOffset>5962706</wp:posOffset>
            </wp:positionV>
            <wp:extent cx="7559040" cy="20478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59040" cy="20478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rPr>
        <w:br w:type="page"/>
      </w:r>
      <w:r w:rsidR="002F5416" w:rsidRPr="002F5416">
        <w:rPr>
          <w:rFonts w:cstheme="minorHAnsi"/>
          <w:b/>
          <w:bCs/>
        </w:rPr>
        <w:lastRenderedPageBreak/>
        <w:t>Introduction</w:t>
      </w:r>
    </w:p>
    <w:p w14:paraId="35DDF80C" w14:textId="3864B6A8" w:rsidR="0012005A" w:rsidRPr="0012005A" w:rsidRDefault="002F5416" w:rsidP="0012005A">
      <w:pPr>
        <w:pStyle w:val="ListParagraph"/>
      </w:pPr>
      <w:r w:rsidRPr="002F5416">
        <w:t xml:space="preserve">This capital strategy provides a high-level overview of how capital expenditure, capital financing and treasury </w:t>
      </w:r>
      <w:r w:rsidRPr="0012005A">
        <w:t>management</w:t>
      </w:r>
      <w:r w:rsidRPr="002F5416">
        <w:t xml:space="preserve"> activity contribute to the provision of policing services along with an overview of how associated risk is managed and the implications for future financial sustainability.</w:t>
      </w:r>
    </w:p>
    <w:p w14:paraId="5510792A" w14:textId="458BBF8F" w:rsidR="004B2F16" w:rsidRPr="00613A00" w:rsidRDefault="002F5416" w:rsidP="0012005A">
      <w:pPr>
        <w:pStyle w:val="ListParagraph"/>
      </w:pPr>
      <w:r w:rsidRPr="002F5416">
        <w:t xml:space="preserve">Decisions made this year on capital and treasury management will have financial consequences for the </w:t>
      </w:r>
      <w:r w:rsidR="004D09FC">
        <w:t>organisation</w:t>
      </w:r>
      <w:r w:rsidRPr="002F5416">
        <w:t xml:space="preserve"> for many years into the future.  They are therefore subject to both a national regulatory framework and to local policy framework, summarised in this report.</w:t>
      </w:r>
    </w:p>
    <w:p w14:paraId="0DCD9CD9" w14:textId="546B55EB" w:rsidR="006A6EC6" w:rsidRPr="00A8368C" w:rsidRDefault="006A6EC6" w:rsidP="006A6EC6">
      <w:pPr>
        <w:pStyle w:val="ListParagraph"/>
        <w:rPr>
          <w:b/>
          <w:sz w:val="22"/>
          <w:szCs w:val="22"/>
        </w:rPr>
      </w:pPr>
      <w:r w:rsidRPr="008F291A">
        <w:t xml:space="preserve">The Capital Strategy </w:t>
      </w:r>
      <w:r w:rsidRPr="006509AA">
        <w:t>supports</w:t>
      </w:r>
      <w:r w:rsidRPr="008F291A">
        <w:t xml:space="preserve"> the strategic direction set out within the Police, Fire and Crime Plan and the Chief </w:t>
      </w:r>
      <w:r>
        <w:t>Constable’s</w:t>
      </w:r>
      <w:r w:rsidRPr="008F291A">
        <w:t xml:space="preserve"> Strategic Plan.  These strategic documents are supported by other documents including the Treasury Management Strategy, Digital Strategy and a Joint </w:t>
      </w:r>
      <w:r w:rsidRPr="006A6EC6">
        <w:t>Police</w:t>
      </w:r>
      <w:r w:rsidRPr="008F291A">
        <w:t>/Fire Assets Strategy.  The Assets Strategy incorporates Fleet, Estates and Commercial across both police and fire</w:t>
      </w:r>
      <w:r>
        <w:t>,</w:t>
      </w:r>
      <w:r w:rsidRPr="008F291A">
        <w:t xml:space="preserve"> and </w:t>
      </w:r>
      <w:proofErr w:type="gramStart"/>
      <w:r w:rsidRPr="008F291A">
        <w:t>sign-posts</w:t>
      </w:r>
      <w:proofErr w:type="gramEnd"/>
      <w:r w:rsidRPr="008F291A">
        <w:t xml:space="preserve"> to governance processes and structures that facilitate robust delivery.</w:t>
      </w:r>
    </w:p>
    <w:p w14:paraId="1E6A69C0" w14:textId="1E9CA080" w:rsidR="002F5416" w:rsidRPr="002F5416" w:rsidRDefault="002F5416" w:rsidP="00A73661">
      <w:pPr>
        <w:spacing w:after="120"/>
        <w:rPr>
          <w:rFonts w:cstheme="minorHAnsi"/>
          <w:b/>
          <w:bCs/>
        </w:rPr>
      </w:pPr>
      <w:r w:rsidRPr="002F5416">
        <w:rPr>
          <w:rFonts w:cstheme="minorHAnsi"/>
          <w:b/>
          <w:bCs/>
        </w:rPr>
        <w:t>Capital Expenditure</w:t>
      </w:r>
    </w:p>
    <w:p w14:paraId="005C3FFC" w14:textId="0EA5492A" w:rsidR="00711538" w:rsidRPr="002F5416" w:rsidRDefault="002F5416" w:rsidP="0012005A">
      <w:pPr>
        <w:pStyle w:val="ListParagraph"/>
      </w:pPr>
      <w:r w:rsidRPr="002F5416">
        <w:t xml:space="preserve">Capital expenditure is where the Police, Fire and Crime Commissioner (PFCC) spends money on assets, such as property, IT or vehicles that will be used for more than one year.  The PFCC has some discretion on what counts as capital expenditure.  </w:t>
      </w:r>
      <w:r w:rsidR="00613A00">
        <w:t>The current policy sets out that</w:t>
      </w:r>
      <w:r w:rsidRPr="002F5416">
        <w:t xml:space="preserve"> assets costing less than £10k are not capitalised and are charged to revenue in</w:t>
      </w:r>
      <w:r w:rsidR="00613A00">
        <w:t>-</w:t>
      </w:r>
      <w:r w:rsidRPr="002F5416">
        <w:t>year.</w:t>
      </w:r>
    </w:p>
    <w:p w14:paraId="18F02087" w14:textId="77777777" w:rsidR="000A598F" w:rsidRDefault="00711538" w:rsidP="000A598F">
      <w:pPr>
        <w:pStyle w:val="ListParagraph"/>
        <w:spacing w:after="120"/>
        <w:contextualSpacing/>
      </w:pPr>
      <w:r>
        <w:t xml:space="preserve">The programme is regularly updated to reflect year end outturn, in year progress and changes to operational and strategic delivery requirements.  </w:t>
      </w:r>
      <w:r w:rsidRPr="002F5416">
        <w:t>The capital projects included in the expenditure above are detailed later in this strategy.</w:t>
      </w:r>
      <w:r w:rsidR="000A598F">
        <w:t xml:space="preserve">  Should these materially change for whatever reason, this document will be formally reviewed and updated.</w:t>
      </w:r>
    </w:p>
    <w:p w14:paraId="1D72C805" w14:textId="4F1CA11A" w:rsidR="002F5416" w:rsidRPr="002F5416" w:rsidRDefault="002F5416" w:rsidP="000A598F"/>
    <w:p w14:paraId="634506DB" w14:textId="2E93FC3C" w:rsidR="002F5416" w:rsidRPr="002F5416" w:rsidRDefault="002F5416" w:rsidP="0012005A">
      <w:pPr>
        <w:pStyle w:val="ListParagraph"/>
      </w:pPr>
      <w:r w:rsidRPr="002F5416">
        <w:t xml:space="preserve">In </w:t>
      </w:r>
      <w:r w:rsidR="00B93416">
        <w:t>202</w:t>
      </w:r>
      <w:r w:rsidR="006A6EC6">
        <w:t>6</w:t>
      </w:r>
      <w:r w:rsidR="00B93416">
        <w:t>/2</w:t>
      </w:r>
      <w:r w:rsidR="006A6EC6">
        <w:t>7</w:t>
      </w:r>
      <w:r w:rsidRPr="002F5416">
        <w:t xml:space="preserve"> and across the period of the Police, Fire and Crime Plan and the Medium Term Financial Plan (MTFP), capital </w:t>
      </w:r>
      <w:r w:rsidRPr="008A7AAB">
        <w:t>expenditure of £</w:t>
      </w:r>
      <w:r w:rsidR="008A7AAB" w:rsidRPr="008A7AAB">
        <w:t>102</w:t>
      </w:r>
      <w:r w:rsidR="00FC07E6" w:rsidRPr="008A7AAB">
        <w:t>.</w:t>
      </w:r>
      <w:r w:rsidR="008A7AAB" w:rsidRPr="008A7AAB">
        <w:t>3</w:t>
      </w:r>
      <w:r w:rsidRPr="008A7AAB">
        <w:t>m is</w:t>
      </w:r>
      <w:r w:rsidRPr="002F5416">
        <w:t xml:space="preserve"> intended as follows: </w:t>
      </w:r>
    </w:p>
    <w:p w14:paraId="5BCAB1C3" w14:textId="33C47B01" w:rsidR="002F5416" w:rsidRPr="008A7AAB" w:rsidRDefault="002F5416" w:rsidP="002F5416">
      <w:pPr>
        <w:jc w:val="both"/>
        <w:rPr>
          <w:rFonts w:cstheme="minorHAnsi"/>
          <w:i/>
          <w:iCs/>
          <w:sz w:val="22"/>
          <w:szCs w:val="22"/>
        </w:rPr>
      </w:pPr>
      <w:r w:rsidRPr="008A7AAB">
        <w:rPr>
          <w:rFonts w:cstheme="minorHAnsi"/>
          <w:i/>
          <w:iCs/>
          <w:sz w:val="22"/>
          <w:szCs w:val="22"/>
        </w:rPr>
        <w:t>Table 1: Estimates of Capital Expenditure in £ millions</w:t>
      </w:r>
    </w:p>
    <w:tbl>
      <w:tblPr>
        <w:tblW w:w="8240" w:type="dxa"/>
        <w:tblLook w:val="04A0" w:firstRow="1" w:lastRow="0" w:firstColumn="1" w:lastColumn="0" w:noHBand="0" w:noVBand="1"/>
      </w:tblPr>
      <w:tblGrid>
        <w:gridCol w:w="2840"/>
        <w:gridCol w:w="1080"/>
        <w:gridCol w:w="1080"/>
        <w:gridCol w:w="1080"/>
        <w:gridCol w:w="1080"/>
        <w:gridCol w:w="1080"/>
      </w:tblGrid>
      <w:tr w:rsidR="008A7AAB" w:rsidRPr="008A7AAB" w14:paraId="7325A484" w14:textId="77777777" w:rsidTr="008A7AAB">
        <w:trPr>
          <w:trHeight w:val="624"/>
        </w:trPr>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EAECB" w14:textId="77777777" w:rsidR="008A7AAB" w:rsidRPr="008A7AAB" w:rsidRDefault="008A7AAB" w:rsidP="008A7AAB">
            <w:pPr>
              <w:jc w:val="cente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Programme</w:t>
            </w:r>
          </w:p>
        </w:tc>
        <w:tc>
          <w:tcPr>
            <w:tcW w:w="1080" w:type="dxa"/>
            <w:tcBorders>
              <w:top w:val="single" w:sz="4" w:space="0" w:color="auto"/>
              <w:left w:val="nil"/>
              <w:bottom w:val="single" w:sz="4" w:space="0" w:color="auto"/>
              <w:right w:val="single" w:sz="4" w:space="0" w:color="auto"/>
            </w:tcBorders>
            <w:shd w:val="clear" w:color="000000" w:fill="DDEBF7"/>
            <w:vAlign w:val="center"/>
            <w:hideMark/>
          </w:tcPr>
          <w:p w14:paraId="1E146BDA" w14:textId="77777777" w:rsidR="008A7AAB" w:rsidRPr="008A7AAB" w:rsidRDefault="008A7AAB" w:rsidP="008A7AAB">
            <w:pPr>
              <w:jc w:val="cente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2026/27</w:t>
            </w:r>
            <w:r w:rsidRPr="008A7AAB">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7A5653" w14:textId="77777777" w:rsidR="008A7AAB" w:rsidRPr="008A7AAB" w:rsidRDefault="008A7AAB" w:rsidP="008A7AAB">
            <w:pPr>
              <w:jc w:val="cente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2027/28</w:t>
            </w:r>
            <w:r w:rsidRPr="008A7AAB">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4E769C" w14:textId="77777777" w:rsidR="008A7AAB" w:rsidRPr="008A7AAB" w:rsidRDefault="008A7AAB" w:rsidP="008A7AAB">
            <w:pPr>
              <w:jc w:val="cente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2028/29</w:t>
            </w:r>
            <w:r w:rsidRPr="008A7AAB">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D290AF4" w14:textId="77777777" w:rsidR="008A7AAB" w:rsidRPr="008A7AAB" w:rsidRDefault="008A7AAB" w:rsidP="008A7AAB">
            <w:pPr>
              <w:jc w:val="cente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2029/30</w:t>
            </w:r>
            <w:r w:rsidRPr="008A7AAB">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A95E2AB" w14:textId="77777777" w:rsidR="008A7AAB" w:rsidRPr="008A7AAB" w:rsidRDefault="008A7AAB" w:rsidP="008A7AAB">
            <w:pPr>
              <w:jc w:val="cente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2030/31</w:t>
            </w:r>
            <w:r w:rsidRPr="008A7AAB">
              <w:rPr>
                <w:rFonts w:ascii="Calibri" w:eastAsia="Times New Roman" w:hAnsi="Calibri" w:cs="Calibri"/>
                <w:b/>
                <w:bCs/>
                <w:color w:val="000000"/>
                <w:sz w:val="22"/>
                <w:szCs w:val="22"/>
                <w:lang w:eastAsia="en-GB"/>
              </w:rPr>
              <w:br/>
              <w:t>£m</w:t>
            </w:r>
          </w:p>
        </w:tc>
      </w:tr>
      <w:tr w:rsidR="008A7AAB" w:rsidRPr="008A7AAB" w14:paraId="5A9CC57F" w14:textId="77777777" w:rsidTr="008A7AAB">
        <w:trPr>
          <w:trHeight w:val="312"/>
        </w:trPr>
        <w:tc>
          <w:tcPr>
            <w:tcW w:w="2840" w:type="dxa"/>
            <w:tcBorders>
              <w:top w:val="nil"/>
              <w:left w:val="single" w:sz="4" w:space="0" w:color="auto"/>
              <w:bottom w:val="nil"/>
              <w:right w:val="single" w:sz="4" w:space="0" w:color="auto"/>
            </w:tcBorders>
            <w:shd w:val="clear" w:color="000000" w:fill="FFFFFF"/>
            <w:noWrap/>
            <w:vAlign w:val="bottom"/>
            <w:hideMark/>
          </w:tcPr>
          <w:p w14:paraId="06255976" w14:textId="77777777" w:rsidR="008A7AAB" w:rsidRPr="008A7AAB" w:rsidRDefault="008A7AAB" w:rsidP="008A7AAB">
            <w:pPr>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Estates</w:t>
            </w:r>
          </w:p>
        </w:tc>
        <w:tc>
          <w:tcPr>
            <w:tcW w:w="1080" w:type="dxa"/>
            <w:tcBorders>
              <w:top w:val="nil"/>
              <w:left w:val="nil"/>
              <w:bottom w:val="nil"/>
              <w:right w:val="single" w:sz="4" w:space="0" w:color="auto"/>
            </w:tcBorders>
            <w:shd w:val="clear" w:color="000000" w:fill="DDEBF7"/>
            <w:noWrap/>
            <w:vAlign w:val="bottom"/>
            <w:hideMark/>
          </w:tcPr>
          <w:p w14:paraId="61E5C0EF"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14.7</w:t>
            </w:r>
          </w:p>
        </w:tc>
        <w:tc>
          <w:tcPr>
            <w:tcW w:w="1080" w:type="dxa"/>
            <w:tcBorders>
              <w:top w:val="nil"/>
              <w:left w:val="nil"/>
              <w:bottom w:val="nil"/>
              <w:right w:val="single" w:sz="4" w:space="0" w:color="auto"/>
            </w:tcBorders>
            <w:shd w:val="clear" w:color="000000" w:fill="FFFFFF"/>
            <w:noWrap/>
            <w:vAlign w:val="bottom"/>
            <w:hideMark/>
          </w:tcPr>
          <w:p w14:paraId="46276C16"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14.4</w:t>
            </w:r>
          </w:p>
        </w:tc>
        <w:tc>
          <w:tcPr>
            <w:tcW w:w="1080" w:type="dxa"/>
            <w:tcBorders>
              <w:top w:val="nil"/>
              <w:left w:val="nil"/>
              <w:bottom w:val="nil"/>
              <w:right w:val="single" w:sz="4" w:space="0" w:color="auto"/>
            </w:tcBorders>
            <w:shd w:val="clear" w:color="000000" w:fill="FFFFFF"/>
            <w:noWrap/>
            <w:vAlign w:val="bottom"/>
            <w:hideMark/>
          </w:tcPr>
          <w:p w14:paraId="716A6AF8"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8.9</w:t>
            </w:r>
          </w:p>
        </w:tc>
        <w:tc>
          <w:tcPr>
            <w:tcW w:w="1080" w:type="dxa"/>
            <w:tcBorders>
              <w:top w:val="nil"/>
              <w:left w:val="nil"/>
              <w:bottom w:val="nil"/>
              <w:right w:val="single" w:sz="4" w:space="0" w:color="auto"/>
            </w:tcBorders>
            <w:shd w:val="clear" w:color="000000" w:fill="FFFFFF"/>
            <w:noWrap/>
            <w:vAlign w:val="bottom"/>
            <w:hideMark/>
          </w:tcPr>
          <w:p w14:paraId="1A96AA47"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8.2</w:t>
            </w:r>
          </w:p>
        </w:tc>
        <w:tc>
          <w:tcPr>
            <w:tcW w:w="1080" w:type="dxa"/>
            <w:tcBorders>
              <w:top w:val="nil"/>
              <w:left w:val="nil"/>
              <w:bottom w:val="nil"/>
              <w:right w:val="single" w:sz="4" w:space="0" w:color="auto"/>
            </w:tcBorders>
            <w:shd w:val="clear" w:color="000000" w:fill="FFFFFF"/>
            <w:noWrap/>
            <w:vAlign w:val="bottom"/>
            <w:hideMark/>
          </w:tcPr>
          <w:p w14:paraId="210F14C6"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6.4</w:t>
            </w:r>
          </w:p>
        </w:tc>
      </w:tr>
      <w:tr w:rsidR="008A7AAB" w:rsidRPr="008A7AAB" w14:paraId="641304F2" w14:textId="77777777" w:rsidTr="008A7AAB">
        <w:trPr>
          <w:trHeight w:val="312"/>
        </w:trPr>
        <w:tc>
          <w:tcPr>
            <w:tcW w:w="2840" w:type="dxa"/>
            <w:tcBorders>
              <w:top w:val="nil"/>
              <w:left w:val="single" w:sz="4" w:space="0" w:color="auto"/>
              <w:bottom w:val="nil"/>
              <w:right w:val="single" w:sz="4" w:space="0" w:color="auto"/>
            </w:tcBorders>
            <w:shd w:val="clear" w:color="000000" w:fill="FFFFFF"/>
            <w:noWrap/>
            <w:vAlign w:val="bottom"/>
            <w:hideMark/>
          </w:tcPr>
          <w:p w14:paraId="4B51839C" w14:textId="77777777" w:rsidR="008A7AAB" w:rsidRPr="008A7AAB" w:rsidRDefault="008A7AAB" w:rsidP="008A7AAB">
            <w:pPr>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ICT</w:t>
            </w:r>
          </w:p>
        </w:tc>
        <w:tc>
          <w:tcPr>
            <w:tcW w:w="1080" w:type="dxa"/>
            <w:tcBorders>
              <w:top w:val="nil"/>
              <w:left w:val="nil"/>
              <w:bottom w:val="nil"/>
              <w:right w:val="single" w:sz="4" w:space="0" w:color="auto"/>
            </w:tcBorders>
            <w:shd w:val="clear" w:color="000000" w:fill="DDEBF7"/>
            <w:noWrap/>
            <w:vAlign w:val="bottom"/>
            <w:hideMark/>
          </w:tcPr>
          <w:p w14:paraId="1132D5C9"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11.1</w:t>
            </w:r>
          </w:p>
        </w:tc>
        <w:tc>
          <w:tcPr>
            <w:tcW w:w="1080" w:type="dxa"/>
            <w:tcBorders>
              <w:top w:val="nil"/>
              <w:left w:val="nil"/>
              <w:bottom w:val="nil"/>
              <w:right w:val="single" w:sz="4" w:space="0" w:color="auto"/>
            </w:tcBorders>
            <w:shd w:val="clear" w:color="000000" w:fill="FFFFFF"/>
            <w:noWrap/>
            <w:vAlign w:val="bottom"/>
            <w:hideMark/>
          </w:tcPr>
          <w:p w14:paraId="664038E3"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9.5</w:t>
            </w:r>
          </w:p>
        </w:tc>
        <w:tc>
          <w:tcPr>
            <w:tcW w:w="1080" w:type="dxa"/>
            <w:tcBorders>
              <w:top w:val="nil"/>
              <w:left w:val="nil"/>
              <w:bottom w:val="nil"/>
              <w:right w:val="single" w:sz="4" w:space="0" w:color="auto"/>
            </w:tcBorders>
            <w:shd w:val="clear" w:color="000000" w:fill="FFFFFF"/>
            <w:noWrap/>
            <w:vAlign w:val="bottom"/>
            <w:hideMark/>
          </w:tcPr>
          <w:p w14:paraId="48D3577F"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3.5</w:t>
            </w:r>
          </w:p>
        </w:tc>
        <w:tc>
          <w:tcPr>
            <w:tcW w:w="1080" w:type="dxa"/>
            <w:tcBorders>
              <w:top w:val="nil"/>
              <w:left w:val="nil"/>
              <w:bottom w:val="nil"/>
              <w:right w:val="single" w:sz="4" w:space="0" w:color="auto"/>
            </w:tcBorders>
            <w:shd w:val="clear" w:color="000000" w:fill="FFFFFF"/>
            <w:noWrap/>
            <w:vAlign w:val="bottom"/>
            <w:hideMark/>
          </w:tcPr>
          <w:p w14:paraId="6ED086B7"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6.6</w:t>
            </w:r>
          </w:p>
        </w:tc>
        <w:tc>
          <w:tcPr>
            <w:tcW w:w="1080" w:type="dxa"/>
            <w:tcBorders>
              <w:top w:val="nil"/>
              <w:left w:val="nil"/>
              <w:bottom w:val="nil"/>
              <w:right w:val="single" w:sz="4" w:space="0" w:color="auto"/>
            </w:tcBorders>
            <w:shd w:val="clear" w:color="000000" w:fill="FFFFFF"/>
            <w:noWrap/>
            <w:vAlign w:val="bottom"/>
            <w:hideMark/>
          </w:tcPr>
          <w:p w14:paraId="50CD03AE"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2.2</w:t>
            </w:r>
          </w:p>
        </w:tc>
      </w:tr>
      <w:tr w:rsidR="008A7AAB" w:rsidRPr="008A7AAB" w14:paraId="0DFBA0A1" w14:textId="77777777" w:rsidTr="008A7AAB">
        <w:trPr>
          <w:trHeight w:val="312"/>
        </w:trPr>
        <w:tc>
          <w:tcPr>
            <w:tcW w:w="2840" w:type="dxa"/>
            <w:tcBorders>
              <w:top w:val="nil"/>
              <w:left w:val="single" w:sz="4" w:space="0" w:color="auto"/>
              <w:bottom w:val="nil"/>
              <w:right w:val="single" w:sz="4" w:space="0" w:color="auto"/>
            </w:tcBorders>
            <w:shd w:val="clear" w:color="000000" w:fill="FFFFFF"/>
            <w:noWrap/>
            <w:vAlign w:val="bottom"/>
            <w:hideMark/>
          </w:tcPr>
          <w:p w14:paraId="48B1B6D8" w14:textId="77777777" w:rsidR="008A7AAB" w:rsidRPr="008A7AAB" w:rsidRDefault="008A7AAB" w:rsidP="008A7AAB">
            <w:pPr>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Vehicles &amp; Equipment</w:t>
            </w:r>
          </w:p>
        </w:tc>
        <w:tc>
          <w:tcPr>
            <w:tcW w:w="1080" w:type="dxa"/>
            <w:tcBorders>
              <w:top w:val="nil"/>
              <w:left w:val="nil"/>
              <w:bottom w:val="nil"/>
              <w:right w:val="single" w:sz="4" w:space="0" w:color="auto"/>
            </w:tcBorders>
            <w:shd w:val="clear" w:color="000000" w:fill="DDEBF7"/>
            <w:noWrap/>
            <w:vAlign w:val="bottom"/>
            <w:hideMark/>
          </w:tcPr>
          <w:p w14:paraId="64C04AC4"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4.0</w:t>
            </w:r>
          </w:p>
        </w:tc>
        <w:tc>
          <w:tcPr>
            <w:tcW w:w="1080" w:type="dxa"/>
            <w:tcBorders>
              <w:top w:val="nil"/>
              <w:left w:val="nil"/>
              <w:bottom w:val="nil"/>
              <w:right w:val="single" w:sz="4" w:space="0" w:color="auto"/>
            </w:tcBorders>
            <w:shd w:val="clear" w:color="000000" w:fill="FFFFFF"/>
            <w:noWrap/>
            <w:vAlign w:val="bottom"/>
            <w:hideMark/>
          </w:tcPr>
          <w:p w14:paraId="40013A4A"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3.3</w:t>
            </w:r>
          </w:p>
        </w:tc>
        <w:tc>
          <w:tcPr>
            <w:tcW w:w="1080" w:type="dxa"/>
            <w:tcBorders>
              <w:top w:val="nil"/>
              <w:left w:val="nil"/>
              <w:bottom w:val="nil"/>
              <w:right w:val="single" w:sz="4" w:space="0" w:color="auto"/>
            </w:tcBorders>
            <w:shd w:val="clear" w:color="000000" w:fill="FFFFFF"/>
            <w:noWrap/>
            <w:vAlign w:val="bottom"/>
            <w:hideMark/>
          </w:tcPr>
          <w:p w14:paraId="0A25F0BE"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2.8</w:t>
            </w:r>
          </w:p>
        </w:tc>
        <w:tc>
          <w:tcPr>
            <w:tcW w:w="1080" w:type="dxa"/>
            <w:tcBorders>
              <w:top w:val="nil"/>
              <w:left w:val="nil"/>
              <w:bottom w:val="nil"/>
              <w:right w:val="single" w:sz="4" w:space="0" w:color="auto"/>
            </w:tcBorders>
            <w:shd w:val="clear" w:color="000000" w:fill="FFFFFF"/>
            <w:noWrap/>
            <w:vAlign w:val="bottom"/>
            <w:hideMark/>
          </w:tcPr>
          <w:p w14:paraId="6C9163EA"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2.8</w:t>
            </w:r>
          </w:p>
        </w:tc>
        <w:tc>
          <w:tcPr>
            <w:tcW w:w="1080" w:type="dxa"/>
            <w:tcBorders>
              <w:top w:val="nil"/>
              <w:left w:val="nil"/>
              <w:bottom w:val="nil"/>
              <w:right w:val="single" w:sz="4" w:space="0" w:color="auto"/>
            </w:tcBorders>
            <w:shd w:val="clear" w:color="000000" w:fill="FFFFFF"/>
            <w:noWrap/>
            <w:vAlign w:val="bottom"/>
            <w:hideMark/>
          </w:tcPr>
          <w:p w14:paraId="20B2FF5F" w14:textId="77777777" w:rsidR="008A7AAB" w:rsidRPr="008A7AAB" w:rsidRDefault="008A7AAB" w:rsidP="008A7AAB">
            <w:pPr>
              <w:jc w:val="right"/>
              <w:rPr>
                <w:rFonts w:ascii="Calibri" w:eastAsia="Times New Roman" w:hAnsi="Calibri" w:cs="Calibri"/>
                <w:color w:val="000000"/>
                <w:sz w:val="22"/>
                <w:szCs w:val="22"/>
                <w:lang w:eastAsia="en-GB"/>
              </w:rPr>
            </w:pPr>
            <w:r w:rsidRPr="008A7AAB">
              <w:rPr>
                <w:rFonts w:ascii="Calibri" w:eastAsia="Times New Roman" w:hAnsi="Calibri" w:cs="Calibri"/>
                <w:color w:val="000000"/>
                <w:sz w:val="22"/>
                <w:szCs w:val="22"/>
                <w:lang w:eastAsia="en-GB"/>
              </w:rPr>
              <w:t>3.9</w:t>
            </w:r>
          </w:p>
        </w:tc>
      </w:tr>
      <w:tr w:rsidR="008A7AAB" w:rsidRPr="008A7AAB" w14:paraId="0606B777" w14:textId="77777777" w:rsidTr="008A7AAB">
        <w:trPr>
          <w:trHeight w:val="312"/>
        </w:trPr>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4DEE0C" w14:textId="77777777" w:rsidR="008A7AAB" w:rsidRPr="008A7AAB" w:rsidRDefault="008A7AAB" w:rsidP="008A7AAB">
            <w:pPr>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TOTAL</w:t>
            </w:r>
          </w:p>
        </w:tc>
        <w:tc>
          <w:tcPr>
            <w:tcW w:w="1080" w:type="dxa"/>
            <w:tcBorders>
              <w:top w:val="single" w:sz="4" w:space="0" w:color="auto"/>
              <w:left w:val="nil"/>
              <w:bottom w:val="single" w:sz="4" w:space="0" w:color="auto"/>
              <w:right w:val="single" w:sz="4" w:space="0" w:color="auto"/>
            </w:tcBorders>
            <w:shd w:val="clear" w:color="000000" w:fill="DDEBF7"/>
            <w:noWrap/>
            <w:vAlign w:val="bottom"/>
            <w:hideMark/>
          </w:tcPr>
          <w:p w14:paraId="0DB2069F" w14:textId="77777777" w:rsidR="008A7AAB" w:rsidRPr="008A7AAB" w:rsidRDefault="008A7AAB" w:rsidP="008A7AAB">
            <w:pPr>
              <w:jc w:val="right"/>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29.8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1B4C773" w14:textId="77777777" w:rsidR="008A7AAB" w:rsidRPr="008A7AAB" w:rsidRDefault="008A7AAB" w:rsidP="008A7AAB">
            <w:pPr>
              <w:jc w:val="right"/>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27.2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F543769" w14:textId="77777777" w:rsidR="008A7AAB" w:rsidRPr="008A7AAB" w:rsidRDefault="008A7AAB" w:rsidP="008A7AAB">
            <w:pPr>
              <w:jc w:val="right"/>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15.2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CDE6634" w14:textId="77777777" w:rsidR="008A7AAB" w:rsidRPr="008A7AAB" w:rsidRDefault="008A7AAB" w:rsidP="008A7AAB">
            <w:pPr>
              <w:jc w:val="right"/>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17.6</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03A611" w14:textId="77777777" w:rsidR="008A7AAB" w:rsidRPr="008A7AAB" w:rsidRDefault="008A7AAB" w:rsidP="008A7AAB">
            <w:pPr>
              <w:jc w:val="right"/>
              <w:rPr>
                <w:rFonts w:ascii="Calibri" w:eastAsia="Times New Roman" w:hAnsi="Calibri" w:cs="Calibri"/>
                <w:b/>
                <w:bCs/>
                <w:color w:val="000000"/>
                <w:sz w:val="22"/>
                <w:szCs w:val="22"/>
                <w:lang w:eastAsia="en-GB"/>
              </w:rPr>
            </w:pPr>
            <w:r w:rsidRPr="008A7AAB">
              <w:rPr>
                <w:rFonts w:ascii="Calibri" w:eastAsia="Times New Roman" w:hAnsi="Calibri" w:cs="Calibri"/>
                <w:b/>
                <w:bCs/>
                <w:color w:val="000000"/>
                <w:sz w:val="22"/>
                <w:szCs w:val="22"/>
                <w:lang w:eastAsia="en-GB"/>
              </w:rPr>
              <w:t>12.5</w:t>
            </w:r>
          </w:p>
        </w:tc>
      </w:tr>
    </w:tbl>
    <w:p w14:paraId="13AF95BB" w14:textId="77777777" w:rsidR="009A59FF" w:rsidRPr="002F5416" w:rsidRDefault="009A59FF" w:rsidP="002F5416">
      <w:pPr>
        <w:jc w:val="both"/>
        <w:rPr>
          <w:rFonts w:cstheme="minorHAnsi"/>
        </w:rPr>
      </w:pPr>
    </w:p>
    <w:p w14:paraId="5E2D83F0" w14:textId="039E22D7" w:rsidR="00711538" w:rsidRDefault="00711538" w:rsidP="0012005A">
      <w:pPr>
        <w:jc w:val="both"/>
        <w:rPr>
          <w:rFonts w:cstheme="minorHAnsi"/>
        </w:rPr>
      </w:pPr>
      <w:r w:rsidRPr="00E71B2C">
        <w:rPr>
          <w:rFonts w:cstheme="minorHAnsi"/>
        </w:rPr>
        <w:t>The capital programme set out above includes:</w:t>
      </w:r>
    </w:p>
    <w:p w14:paraId="6714D1DA" w14:textId="77777777" w:rsidR="000A598F" w:rsidRDefault="000A598F" w:rsidP="0012005A">
      <w:pPr>
        <w:jc w:val="both"/>
        <w:rPr>
          <w:rFonts w:cstheme="minorHAnsi"/>
        </w:rPr>
      </w:pPr>
    </w:p>
    <w:p w14:paraId="3247A59A" w14:textId="77777777" w:rsidR="00711538" w:rsidRPr="008A7AAB" w:rsidRDefault="00711538" w:rsidP="005C0B3C">
      <w:pPr>
        <w:pStyle w:val="subpara"/>
        <w:ind w:left="567"/>
      </w:pPr>
      <w:r w:rsidRPr="008A7AAB">
        <w:t>Estates Programme</w:t>
      </w:r>
    </w:p>
    <w:p w14:paraId="45E7D961" w14:textId="77777777" w:rsidR="008A7AAB" w:rsidRPr="006D1FDB" w:rsidRDefault="008A7AAB" w:rsidP="008A7AAB">
      <w:r w:rsidRPr="006D1FDB">
        <w:t xml:space="preserve">The Estates programme is based on the approved </w:t>
      </w:r>
      <w:r>
        <w:t>Asset</w:t>
      </w:r>
      <w:r w:rsidRPr="006D1FDB">
        <w:t xml:space="preserve"> Strategy</w:t>
      </w:r>
      <w:r>
        <w:t xml:space="preserve"> and Estates delivery plan,</w:t>
      </w:r>
      <w:r w:rsidRPr="006D1FDB">
        <w:t xml:space="preserve"> and includes:</w:t>
      </w:r>
    </w:p>
    <w:p w14:paraId="036E3D43" w14:textId="77777777" w:rsidR="003D72A6" w:rsidRDefault="003D72A6" w:rsidP="003D72A6">
      <w:pPr>
        <w:pStyle w:val="NoSpacing"/>
        <w:numPr>
          <w:ilvl w:val="0"/>
          <w:numId w:val="13"/>
        </w:numPr>
        <w:spacing w:line="276" w:lineRule="auto"/>
      </w:pPr>
      <w:bookmarkStart w:id="0" w:name="_Hlk224214637"/>
      <w:r>
        <w:t>A new shared vehicle workshop with Fire</w:t>
      </w:r>
    </w:p>
    <w:bookmarkEnd w:id="0"/>
    <w:p w14:paraId="3552481B" w14:textId="77777777" w:rsidR="003D72A6" w:rsidRDefault="003D72A6" w:rsidP="003D72A6">
      <w:pPr>
        <w:pStyle w:val="NoSpacing"/>
        <w:numPr>
          <w:ilvl w:val="0"/>
          <w:numId w:val="13"/>
        </w:numPr>
        <w:spacing w:line="276" w:lineRule="auto"/>
      </w:pPr>
      <w:r>
        <w:t>New accessible police buildings at Corby, Kettering and Towcester</w:t>
      </w:r>
    </w:p>
    <w:p w14:paraId="3B5BAE6F" w14:textId="77777777" w:rsidR="003D72A6" w:rsidRDefault="003D72A6" w:rsidP="003D72A6">
      <w:pPr>
        <w:pStyle w:val="NoSpacing"/>
        <w:numPr>
          <w:ilvl w:val="0"/>
          <w:numId w:val="13"/>
        </w:numPr>
        <w:spacing w:line="276" w:lineRule="auto"/>
      </w:pPr>
      <w:r>
        <w:t>Improvements or replacement of Weston Favel Police Station</w:t>
      </w:r>
    </w:p>
    <w:p w14:paraId="394C25E2" w14:textId="77777777" w:rsidR="003D72A6" w:rsidRDefault="00711538" w:rsidP="003D72A6">
      <w:pPr>
        <w:pStyle w:val="NoSpacing"/>
        <w:numPr>
          <w:ilvl w:val="0"/>
          <w:numId w:val="13"/>
        </w:numPr>
        <w:spacing w:line="276" w:lineRule="auto"/>
      </w:pPr>
      <w:r>
        <w:t>Property Enhancements and Improvements</w:t>
      </w:r>
    </w:p>
    <w:p w14:paraId="2ECF06AC" w14:textId="4DE3DAC2" w:rsidR="003D72A6" w:rsidRDefault="003D72A6" w:rsidP="003D72A6">
      <w:pPr>
        <w:pStyle w:val="NoSpacing"/>
        <w:numPr>
          <w:ilvl w:val="0"/>
          <w:numId w:val="13"/>
        </w:numPr>
        <w:spacing w:line="276" w:lineRule="auto"/>
      </w:pPr>
      <w:r w:rsidRPr="003D72A6">
        <w:t>Investment in training facilities</w:t>
      </w:r>
    </w:p>
    <w:p w14:paraId="3A30EE6E" w14:textId="77777777" w:rsidR="003D72A6" w:rsidRPr="003D72A6" w:rsidRDefault="003D72A6" w:rsidP="003D72A6">
      <w:pPr>
        <w:pStyle w:val="NoSpacing"/>
        <w:spacing w:line="276" w:lineRule="auto"/>
        <w:ind w:left="720"/>
      </w:pPr>
    </w:p>
    <w:p w14:paraId="179FEBE2" w14:textId="42F29E1E" w:rsidR="00711538" w:rsidRPr="003D72A6" w:rsidRDefault="000A598F" w:rsidP="005C0B3C">
      <w:pPr>
        <w:pStyle w:val="subpara"/>
        <w:ind w:left="567"/>
      </w:pPr>
      <w:r>
        <w:t>DDaT</w:t>
      </w:r>
      <w:r w:rsidR="00711538" w:rsidRPr="003D72A6">
        <w:t xml:space="preserve"> (ICT) Programme</w:t>
      </w:r>
    </w:p>
    <w:p w14:paraId="64BED361" w14:textId="18A7AD17" w:rsidR="003D72A6" w:rsidRDefault="003D72A6" w:rsidP="003D72A6">
      <w:pPr>
        <w:jc w:val="both"/>
        <w:rPr>
          <w:rFonts w:cstheme="minorHAnsi"/>
        </w:rPr>
      </w:pPr>
      <w:r w:rsidRPr="006D1FDB">
        <w:rPr>
          <w:rFonts w:cstheme="minorHAnsi"/>
        </w:rPr>
        <w:t xml:space="preserve">The </w:t>
      </w:r>
      <w:r>
        <w:rPr>
          <w:rFonts w:cstheme="minorHAnsi"/>
        </w:rPr>
        <w:t>D</w:t>
      </w:r>
      <w:r w:rsidR="000A598F">
        <w:rPr>
          <w:rFonts w:cstheme="minorHAnsi"/>
        </w:rPr>
        <w:t>DaT</w:t>
      </w:r>
      <w:r w:rsidRPr="006D1FDB">
        <w:rPr>
          <w:rFonts w:cstheme="minorHAnsi"/>
        </w:rPr>
        <w:t xml:space="preserve"> programme is based in the </w:t>
      </w:r>
      <w:r>
        <w:rPr>
          <w:rFonts w:cstheme="minorHAnsi"/>
        </w:rPr>
        <w:t>D</w:t>
      </w:r>
      <w:r w:rsidRPr="006D1FDB">
        <w:rPr>
          <w:rFonts w:cstheme="minorHAnsi"/>
        </w:rPr>
        <w:t xml:space="preserve">igital </w:t>
      </w:r>
      <w:r>
        <w:rPr>
          <w:rFonts w:cstheme="minorHAnsi"/>
        </w:rPr>
        <w:t>S</w:t>
      </w:r>
      <w:r w:rsidRPr="006D1FDB">
        <w:rPr>
          <w:rFonts w:cstheme="minorHAnsi"/>
        </w:rPr>
        <w:t>trategy and includes:</w:t>
      </w:r>
    </w:p>
    <w:p w14:paraId="07C0147F" w14:textId="77777777" w:rsidR="003D72A6" w:rsidRPr="006D1FDB" w:rsidRDefault="003D72A6" w:rsidP="003D72A6">
      <w:pPr>
        <w:pStyle w:val="NoSpacing"/>
        <w:numPr>
          <w:ilvl w:val="0"/>
          <w:numId w:val="13"/>
        </w:numPr>
        <w:spacing w:line="276" w:lineRule="auto"/>
      </w:pPr>
      <w:r w:rsidRPr="006D1FDB">
        <w:t>Ongoing replacement of laptops, mobile devices and monitors</w:t>
      </w:r>
    </w:p>
    <w:p w14:paraId="6EDF00F5" w14:textId="77777777" w:rsidR="003D72A6" w:rsidRPr="006D1FDB" w:rsidRDefault="003D72A6" w:rsidP="003D72A6">
      <w:pPr>
        <w:pStyle w:val="NoSpacing"/>
        <w:numPr>
          <w:ilvl w:val="0"/>
          <w:numId w:val="13"/>
        </w:numPr>
        <w:spacing w:line="276" w:lineRule="auto"/>
      </w:pPr>
      <w:r>
        <w:t>Digital radios</w:t>
      </w:r>
      <w:r w:rsidRPr="006D1FDB">
        <w:t xml:space="preserve"> and infrastructure</w:t>
      </w:r>
    </w:p>
    <w:p w14:paraId="667B5EFC" w14:textId="77777777" w:rsidR="000A598F" w:rsidRDefault="000A598F" w:rsidP="000A598F">
      <w:pPr>
        <w:pStyle w:val="NoSpacing"/>
        <w:numPr>
          <w:ilvl w:val="0"/>
          <w:numId w:val="13"/>
        </w:numPr>
        <w:spacing w:line="276" w:lineRule="auto"/>
      </w:pPr>
      <w:r w:rsidRPr="000A598F">
        <w:t>Control Room and other essential systems</w:t>
      </w:r>
    </w:p>
    <w:p w14:paraId="0DB89A2E" w14:textId="16FF981D" w:rsidR="003D72A6" w:rsidRPr="000A598F" w:rsidRDefault="003D72A6" w:rsidP="000A598F">
      <w:pPr>
        <w:pStyle w:val="NoSpacing"/>
        <w:numPr>
          <w:ilvl w:val="0"/>
          <w:numId w:val="13"/>
        </w:numPr>
        <w:spacing w:line="276" w:lineRule="auto"/>
      </w:pPr>
      <w:r w:rsidRPr="006D1FDB">
        <w:t>IT hardware, servers, technical equipment &amp; infrastructure</w:t>
      </w:r>
    </w:p>
    <w:p w14:paraId="58A8E8BE" w14:textId="77777777" w:rsidR="003D72A6" w:rsidRPr="006D1FDB" w:rsidRDefault="003D72A6" w:rsidP="003D72A6">
      <w:pPr>
        <w:pStyle w:val="NoSpacing"/>
        <w:spacing w:line="276" w:lineRule="auto"/>
        <w:ind w:left="720"/>
      </w:pPr>
    </w:p>
    <w:p w14:paraId="4C2FEC1F" w14:textId="77777777" w:rsidR="00711538" w:rsidRPr="003D72A6" w:rsidRDefault="00711538" w:rsidP="005C0B3C">
      <w:pPr>
        <w:pStyle w:val="subpara"/>
        <w:ind w:left="567"/>
      </w:pPr>
      <w:r w:rsidRPr="003D72A6">
        <w:t>Vehicle replacement</w:t>
      </w:r>
    </w:p>
    <w:p w14:paraId="027C8AE2" w14:textId="77777777" w:rsidR="003D72A6" w:rsidRDefault="003D72A6" w:rsidP="00747DE3">
      <w:r w:rsidRPr="00A155D6">
        <w:t xml:space="preserve">The </w:t>
      </w:r>
      <w:r>
        <w:t xml:space="preserve">programme </w:t>
      </w:r>
      <w:r w:rsidRPr="00A155D6">
        <w:t>provides for planned vehicle replacements and the cost of vehicle replacements below the insurance threshold as a result of accidents</w:t>
      </w:r>
      <w:r>
        <w:t>, along with operational equipment replacement including:</w:t>
      </w:r>
    </w:p>
    <w:p w14:paraId="53556142" w14:textId="77777777" w:rsidR="00711538" w:rsidRPr="00A155D6" w:rsidRDefault="00711538" w:rsidP="003D72A6">
      <w:pPr>
        <w:pStyle w:val="NoSpacing"/>
        <w:numPr>
          <w:ilvl w:val="0"/>
          <w:numId w:val="13"/>
        </w:numPr>
        <w:spacing w:line="276" w:lineRule="auto"/>
      </w:pPr>
      <w:r w:rsidRPr="00A155D6">
        <w:t>Body Worn Video devices</w:t>
      </w:r>
    </w:p>
    <w:p w14:paraId="0D810921" w14:textId="67B2DD12" w:rsidR="00711538" w:rsidRPr="00A155D6" w:rsidRDefault="00B93416" w:rsidP="003D72A6">
      <w:pPr>
        <w:pStyle w:val="NoSpacing"/>
        <w:numPr>
          <w:ilvl w:val="0"/>
          <w:numId w:val="13"/>
        </w:numPr>
        <w:spacing w:line="276" w:lineRule="auto"/>
      </w:pPr>
      <w:r>
        <w:t>Drones</w:t>
      </w:r>
    </w:p>
    <w:p w14:paraId="2A47FCE6" w14:textId="77777777" w:rsidR="00711538" w:rsidRPr="00A155D6" w:rsidRDefault="00711538" w:rsidP="003D72A6">
      <w:pPr>
        <w:pStyle w:val="NoSpacing"/>
        <w:numPr>
          <w:ilvl w:val="0"/>
          <w:numId w:val="13"/>
        </w:numPr>
        <w:spacing w:line="276" w:lineRule="auto"/>
      </w:pPr>
      <w:r w:rsidRPr="00A155D6">
        <w:t>Safer Roads vehicles</w:t>
      </w:r>
    </w:p>
    <w:p w14:paraId="7CD14E37" w14:textId="2D9A543C" w:rsidR="00711538" w:rsidRDefault="00711538" w:rsidP="00711538">
      <w:pPr>
        <w:jc w:val="both"/>
        <w:rPr>
          <w:rFonts w:cstheme="minorHAnsi"/>
        </w:rPr>
      </w:pPr>
    </w:p>
    <w:p w14:paraId="6FC023EA" w14:textId="0B00B21F" w:rsidR="008645D0" w:rsidRPr="008645D0" w:rsidRDefault="00711538" w:rsidP="008645D0">
      <w:pPr>
        <w:spacing w:after="120"/>
        <w:rPr>
          <w:rFonts w:cstheme="minorHAnsi"/>
          <w:b/>
          <w:bCs/>
        </w:rPr>
      </w:pPr>
      <w:r w:rsidRPr="007A4F78">
        <w:rPr>
          <w:rFonts w:cstheme="minorHAnsi"/>
          <w:b/>
          <w:bCs/>
        </w:rPr>
        <w:t xml:space="preserve">Capital </w:t>
      </w:r>
      <w:r>
        <w:rPr>
          <w:rFonts w:cstheme="minorHAnsi"/>
          <w:b/>
          <w:bCs/>
        </w:rPr>
        <w:t>Programme Governance</w:t>
      </w:r>
    </w:p>
    <w:p w14:paraId="43CF368B" w14:textId="77777777" w:rsidR="00747DE3" w:rsidRDefault="00747DE3" w:rsidP="00747DE3">
      <w:pPr>
        <w:pStyle w:val="ListParagraph"/>
        <w:spacing w:after="120"/>
        <w:contextualSpacing/>
      </w:pPr>
      <w:r>
        <w:t>Decisions on planned capital expenditure should be made in accordance to all relevant and approved strategies.  These include:</w:t>
      </w:r>
    </w:p>
    <w:p w14:paraId="7F6C38ED" w14:textId="77777777" w:rsidR="00747DE3" w:rsidRDefault="00747DE3" w:rsidP="00747DE3">
      <w:pPr>
        <w:pStyle w:val="SubPara0"/>
        <w:numPr>
          <w:ilvl w:val="1"/>
          <w:numId w:val="3"/>
        </w:numPr>
        <w:ind w:left="1276" w:hanging="715"/>
      </w:pPr>
      <w:r w:rsidRPr="007B4FA7">
        <w:rPr>
          <w:i/>
          <w:iCs/>
        </w:rPr>
        <w:t>The Police, Fire and Crime Plan: ‘Safe and Sound’</w:t>
      </w:r>
      <w:r>
        <w:t xml:space="preserve"> – As the overarching strategic </w:t>
      </w:r>
      <w:proofErr w:type="spellStart"/>
      <w:r>
        <w:t>documentacross</w:t>
      </w:r>
      <w:proofErr w:type="spellEnd"/>
      <w:r>
        <w:t xml:space="preserve"> both fire and police, it is vital that all major cost decisions can be tested against it to ensure they are made in support of its primary objectives.</w:t>
      </w:r>
    </w:p>
    <w:p w14:paraId="75D0D268" w14:textId="2550A75C" w:rsidR="00747DE3" w:rsidRDefault="00747DE3" w:rsidP="00747DE3">
      <w:pPr>
        <w:pStyle w:val="SubPara0"/>
        <w:numPr>
          <w:ilvl w:val="1"/>
          <w:numId w:val="3"/>
        </w:numPr>
        <w:ind w:left="1276" w:hanging="715"/>
      </w:pPr>
      <w:r>
        <w:rPr>
          <w:i/>
          <w:iCs/>
        </w:rPr>
        <w:t>Control Strategy</w:t>
      </w:r>
      <w:r w:rsidRPr="007B4FA7">
        <w:rPr>
          <w:i/>
          <w:iCs/>
        </w:rPr>
        <w:t xml:space="preserve"> </w:t>
      </w:r>
      <w:r>
        <w:t>– As a primary operational strategic document for Northamptonshire Police, it is important that capital spending results in operational assets and benefits that underpin its objectives.</w:t>
      </w:r>
    </w:p>
    <w:p w14:paraId="6724D8CA" w14:textId="77777777" w:rsidR="00747DE3" w:rsidRDefault="00747DE3" w:rsidP="00747DE3">
      <w:pPr>
        <w:pStyle w:val="SubPara0"/>
        <w:numPr>
          <w:ilvl w:val="1"/>
          <w:numId w:val="3"/>
        </w:numPr>
        <w:ind w:left="1276" w:hanging="715"/>
      </w:pPr>
      <w:r w:rsidRPr="007B4FA7">
        <w:rPr>
          <w:i/>
          <w:iCs/>
        </w:rPr>
        <w:lastRenderedPageBreak/>
        <w:t xml:space="preserve">Sustainability Strategy </w:t>
      </w:r>
      <w:r>
        <w:t>– Most capital projects will have an environmental impact and should be made in support of sustainability objectives.</w:t>
      </w:r>
    </w:p>
    <w:p w14:paraId="0B9DA4B6" w14:textId="77777777" w:rsidR="00747DE3" w:rsidRDefault="00747DE3" w:rsidP="00747DE3">
      <w:pPr>
        <w:pStyle w:val="SubPara0"/>
        <w:numPr>
          <w:ilvl w:val="1"/>
          <w:numId w:val="3"/>
        </w:numPr>
        <w:ind w:left="1276" w:hanging="715"/>
      </w:pPr>
      <w:r w:rsidRPr="007B4FA7">
        <w:rPr>
          <w:i/>
          <w:iCs/>
        </w:rPr>
        <w:t xml:space="preserve">Assets Strategy </w:t>
      </w:r>
      <w:r>
        <w:t>– This provides the basis for strategic decisions on estate, vehicles and commercial activity.</w:t>
      </w:r>
    </w:p>
    <w:p w14:paraId="39C4A01A" w14:textId="77777777" w:rsidR="00747DE3" w:rsidRDefault="00747DE3" w:rsidP="00747DE3">
      <w:pPr>
        <w:pStyle w:val="SubPara0"/>
        <w:numPr>
          <w:ilvl w:val="1"/>
          <w:numId w:val="3"/>
        </w:numPr>
        <w:ind w:left="1276" w:hanging="715"/>
      </w:pPr>
      <w:r w:rsidRPr="007B4FA7">
        <w:rPr>
          <w:i/>
          <w:iCs/>
        </w:rPr>
        <w:t xml:space="preserve">Digital Strategy </w:t>
      </w:r>
      <w:r>
        <w:t xml:space="preserve">– This provides the basis for strategic decisions on Information </w:t>
      </w:r>
      <w:proofErr w:type="spellStart"/>
      <w:r>
        <w:t>Techology</w:t>
      </w:r>
      <w:proofErr w:type="spellEnd"/>
      <w:r>
        <w:t xml:space="preserve"> and Data projects.</w:t>
      </w:r>
    </w:p>
    <w:p w14:paraId="473ED1F2" w14:textId="77777777" w:rsidR="00747DE3" w:rsidRDefault="00747DE3" w:rsidP="00747DE3">
      <w:pPr>
        <w:pStyle w:val="SubPara0"/>
        <w:numPr>
          <w:ilvl w:val="1"/>
          <w:numId w:val="3"/>
        </w:numPr>
        <w:ind w:left="1276" w:hanging="715"/>
      </w:pPr>
      <w:r w:rsidRPr="007B4FA7">
        <w:rPr>
          <w:i/>
          <w:iCs/>
        </w:rPr>
        <w:t xml:space="preserve">Treasury Management Strategy </w:t>
      </w:r>
      <w:r>
        <w:t>– Capital expenditure should be affordable, sustainable and prudent, and tested against prudential indicators as detailed later in this document.</w:t>
      </w:r>
    </w:p>
    <w:p w14:paraId="56C846B4" w14:textId="77777777" w:rsidR="00747DE3" w:rsidRDefault="00747DE3" w:rsidP="00747DE3">
      <w:pPr>
        <w:pStyle w:val="ListParagraph"/>
      </w:pPr>
      <w:bookmarkStart w:id="1" w:name="_Hlk226468938"/>
      <w:r>
        <w:t>As described within these strategies, investment in and disposal of capital items should be made with consideration to improving social value, providing value-for-money and protecting public assets.</w:t>
      </w:r>
    </w:p>
    <w:p w14:paraId="2D03D3E2" w14:textId="77777777" w:rsidR="00C23332" w:rsidRDefault="00C23332" w:rsidP="00C23332">
      <w:pPr>
        <w:pStyle w:val="ListParagraph"/>
      </w:pPr>
      <w:bookmarkStart w:id="2" w:name="_Hlk225934286"/>
      <w:bookmarkEnd w:id="1"/>
      <w:r>
        <w:t>At least once per year</w:t>
      </w:r>
      <w:r w:rsidRPr="00B10231">
        <w:t>, the PFCC chairs an Estates Board with the Chief Constable and Chief Fire Officer in attendance to consider strategic estates requirements.  The intention of a joint estates board is to explore all joint accommodation needs, options and opportunities across both Fire and Police.</w:t>
      </w:r>
    </w:p>
    <w:p w14:paraId="06E43FD9" w14:textId="77777777" w:rsidR="00C23332" w:rsidRPr="00B10231" w:rsidRDefault="00C23332" w:rsidP="00C23332">
      <w:pPr>
        <w:pStyle w:val="ListParagraph"/>
      </w:pPr>
      <w:r w:rsidRPr="00B10231">
        <w:t xml:space="preserve">Every </w:t>
      </w:r>
      <w:r>
        <w:t>year</w:t>
      </w:r>
      <w:r w:rsidRPr="00B10231">
        <w:t xml:space="preserve">, all other capital proposals are further refined and challenged and are included within the </w:t>
      </w:r>
      <w:r>
        <w:t>r</w:t>
      </w:r>
      <w:r w:rsidRPr="00B10231">
        <w:t xml:space="preserve">evenue and </w:t>
      </w:r>
      <w:r>
        <w:t>c</w:t>
      </w:r>
      <w:r w:rsidRPr="00B10231">
        <w:t xml:space="preserve">apital budget proposals. </w:t>
      </w:r>
    </w:p>
    <w:p w14:paraId="7D722AE4" w14:textId="77777777" w:rsidR="00C23332" w:rsidRPr="00B10231" w:rsidRDefault="00C23332" w:rsidP="00C23332">
      <w:pPr>
        <w:pStyle w:val="ListParagraph"/>
      </w:pPr>
      <w:r w:rsidRPr="00B10231">
        <w:t xml:space="preserve">The programme is collated by the Joint </w:t>
      </w:r>
      <w:r>
        <w:t>F</w:t>
      </w:r>
      <w:r w:rsidRPr="00B10231">
        <w:t xml:space="preserve">inance </w:t>
      </w:r>
      <w:r>
        <w:t>T</w:t>
      </w:r>
      <w:r w:rsidRPr="00B10231">
        <w:t xml:space="preserve">eam who calculate the financing cost (which can be nil if the project is fully funded from other resources). </w:t>
      </w:r>
    </w:p>
    <w:p w14:paraId="1FE45C79" w14:textId="1AA41C40" w:rsidR="00C23332" w:rsidRDefault="00C23332" w:rsidP="00C23332">
      <w:pPr>
        <w:pStyle w:val="ListParagraph"/>
      </w:pPr>
      <w:r w:rsidRPr="002F5416">
        <w:t xml:space="preserve">The proposed capital programme is then reviewed by Chief Officers and the </w:t>
      </w:r>
      <w:r w:rsidR="00132E23">
        <w:t>O</w:t>
      </w:r>
      <w:r w:rsidRPr="002F5416">
        <w:t xml:space="preserve">PFCC. </w:t>
      </w:r>
      <w:r>
        <w:t xml:space="preserve"> </w:t>
      </w:r>
      <w:r w:rsidRPr="002F5416">
        <w:t>The final capital programme is then presented to the Accountability Board in January of each year for approval</w:t>
      </w:r>
      <w:r>
        <w:t xml:space="preserve"> by the PFCC as part of the budget discussions</w:t>
      </w:r>
      <w:r w:rsidRPr="002F5416">
        <w:t xml:space="preserve">. </w:t>
      </w:r>
      <w:r>
        <w:t xml:space="preserve"> This Strategy refers to the version of the programme approved in January 2025.</w:t>
      </w:r>
    </w:p>
    <w:p w14:paraId="420FA9E6" w14:textId="58A15F46" w:rsidR="00C23332" w:rsidRDefault="00C23332" w:rsidP="00747DE3">
      <w:pPr>
        <w:pStyle w:val="ListParagraph"/>
      </w:pPr>
      <w:r>
        <w:t>Detailed monitoring will be shared and discussed by finance personnel and budget holders regularly.  An overview of expenditure and progress will be</w:t>
      </w:r>
      <w:r w:rsidRPr="002F5416">
        <w:t xml:space="preserve"> included as part of the</w:t>
      </w:r>
      <w:r>
        <w:t xml:space="preserve"> monthly</w:t>
      </w:r>
      <w:r w:rsidRPr="002F5416">
        <w:t xml:space="preserve"> Budget </w:t>
      </w:r>
      <w:r>
        <w:t>M</w:t>
      </w:r>
      <w:r w:rsidRPr="002F5416">
        <w:t xml:space="preserve">onitoring </w:t>
      </w:r>
      <w:r>
        <w:t>R</w:t>
      </w:r>
      <w:r w:rsidRPr="002F5416">
        <w:t xml:space="preserve">eport which is shared with the Chief Constable and Senior Officers, the PFCC </w:t>
      </w:r>
      <w:r>
        <w:t>s</w:t>
      </w:r>
      <w:r w:rsidRPr="002F5416">
        <w:t>151 Officer and the PFCC.</w:t>
      </w:r>
      <w:r>
        <w:t xml:space="preserve">  This includes a formal mid-year and outturn review at the Accountability Board, chaired by the PFCC.</w:t>
      </w:r>
    </w:p>
    <w:p w14:paraId="77F8D977" w14:textId="48280333" w:rsidR="00E71B2C" w:rsidRPr="00E71B2C" w:rsidRDefault="002F5416" w:rsidP="00747DE3">
      <w:pPr>
        <w:pStyle w:val="ListParagraph"/>
      </w:pPr>
      <w:r w:rsidRPr="002F5416">
        <w:t xml:space="preserve">The Joint Fire and Police Assistant Chief Officer meets quarterly with all departmental Heads of Department to review requirements and progress against the plans. </w:t>
      </w:r>
      <w:bookmarkEnd w:id="2"/>
      <w:r w:rsidR="00B93416">
        <w:t xml:space="preserve"> </w:t>
      </w:r>
    </w:p>
    <w:p w14:paraId="2F6AC61E" w14:textId="77777777" w:rsidR="00A8368C" w:rsidRDefault="00A8368C" w:rsidP="00A8368C"/>
    <w:p w14:paraId="505CB7DC" w14:textId="77777777" w:rsidR="000A598F" w:rsidRDefault="000A598F" w:rsidP="00A8368C"/>
    <w:p w14:paraId="5B79B4FF" w14:textId="77777777" w:rsidR="000A598F" w:rsidRDefault="000A598F" w:rsidP="00A8368C"/>
    <w:p w14:paraId="099AFCB4" w14:textId="77777777" w:rsidR="000A598F" w:rsidRPr="001E1BE7" w:rsidRDefault="000A598F" w:rsidP="00A8368C"/>
    <w:p w14:paraId="627A00CF" w14:textId="209A64CC" w:rsidR="002F5416" w:rsidRPr="00E71B2C" w:rsidRDefault="002F5416" w:rsidP="00E71B2C">
      <w:pPr>
        <w:spacing w:after="120"/>
        <w:rPr>
          <w:rFonts w:cstheme="minorHAnsi"/>
          <w:b/>
          <w:bCs/>
        </w:rPr>
      </w:pPr>
      <w:r w:rsidRPr="00E71B2C">
        <w:rPr>
          <w:rFonts w:cstheme="minorHAnsi"/>
          <w:b/>
          <w:bCs/>
        </w:rPr>
        <w:lastRenderedPageBreak/>
        <w:t>Capital Financing</w:t>
      </w:r>
    </w:p>
    <w:p w14:paraId="700DFF61" w14:textId="16B4C7FB" w:rsidR="0079394C" w:rsidRDefault="002F5416" w:rsidP="0012005A">
      <w:pPr>
        <w:pStyle w:val="ListParagraph"/>
      </w:pPr>
      <w:r w:rsidRPr="007A4F78">
        <w:t xml:space="preserve">All capital expenditure must be financed either from external sources (government grants and other contributions), the PFCC’s own resources (revenue, reserves and capital receipts) or debt (borrowing, leasing and Private Finance Initiative). </w:t>
      </w:r>
      <w:r w:rsidR="00B10231" w:rsidRPr="007A4F78">
        <w:t xml:space="preserve"> </w:t>
      </w:r>
    </w:p>
    <w:p w14:paraId="7CBF01A9" w14:textId="4529A3BD" w:rsidR="0079394C" w:rsidRPr="0079394C" w:rsidRDefault="00747DE3" w:rsidP="0012005A">
      <w:pPr>
        <w:pStyle w:val="ListParagraph"/>
      </w:pPr>
      <w:r>
        <w:t>W</w:t>
      </w:r>
      <w:r w:rsidR="0079394C" w:rsidRPr="00280B04">
        <w:t>hen a capital asset is no longer needed, it may be sold so that the proceeds, known as capital receipts, can be spent on new assets or to repay debt.</w:t>
      </w:r>
    </w:p>
    <w:p w14:paraId="380743EF" w14:textId="69D8E29A" w:rsidR="00B10231" w:rsidRPr="007A4F78" w:rsidRDefault="002F5416" w:rsidP="0012005A">
      <w:pPr>
        <w:pStyle w:val="ListParagraph"/>
      </w:pPr>
      <w:r w:rsidRPr="007A4F78">
        <w:t>The planned financing of the above expenditure is as follows:</w:t>
      </w:r>
    </w:p>
    <w:p w14:paraId="65DE9AE2" w14:textId="08A22915" w:rsidR="002F5416" w:rsidRPr="00747DE3" w:rsidRDefault="002F5416" w:rsidP="00C23332">
      <w:pPr>
        <w:rPr>
          <w:rFonts w:cstheme="minorHAnsi"/>
          <w:i/>
          <w:iCs/>
          <w:sz w:val="22"/>
          <w:szCs w:val="22"/>
        </w:rPr>
      </w:pPr>
      <w:r w:rsidRPr="00747DE3">
        <w:rPr>
          <w:rFonts w:cstheme="minorHAnsi"/>
          <w:i/>
          <w:iCs/>
          <w:sz w:val="22"/>
          <w:szCs w:val="22"/>
        </w:rPr>
        <w:t xml:space="preserve">Table 2: </w:t>
      </w:r>
      <w:r w:rsidR="000F7A16" w:rsidRPr="00747DE3">
        <w:rPr>
          <w:rFonts w:cstheme="minorHAnsi"/>
          <w:i/>
          <w:iCs/>
          <w:sz w:val="22"/>
          <w:szCs w:val="22"/>
        </w:rPr>
        <w:t>Financing of the Capital Programme</w:t>
      </w:r>
    </w:p>
    <w:tbl>
      <w:tblPr>
        <w:tblW w:w="9209" w:type="dxa"/>
        <w:tblLayout w:type="fixed"/>
        <w:tblLook w:val="04A0" w:firstRow="1" w:lastRow="0" w:firstColumn="1" w:lastColumn="0" w:noHBand="0" w:noVBand="1"/>
      </w:tblPr>
      <w:tblGrid>
        <w:gridCol w:w="3256"/>
        <w:gridCol w:w="1190"/>
        <w:gridCol w:w="1191"/>
        <w:gridCol w:w="1190"/>
        <w:gridCol w:w="1191"/>
        <w:gridCol w:w="1191"/>
      </w:tblGrid>
      <w:tr w:rsidR="00A8368C" w:rsidRPr="00747DE3" w14:paraId="1D9C10E0" w14:textId="77777777" w:rsidTr="00A8368C">
        <w:trPr>
          <w:trHeight w:val="624"/>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60D2F" w14:textId="77777777" w:rsidR="00747DE3" w:rsidRPr="00747DE3" w:rsidRDefault="00747DE3" w:rsidP="00747DE3">
            <w:pPr>
              <w:jc w:val="cente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Programme</w:t>
            </w:r>
          </w:p>
        </w:tc>
        <w:tc>
          <w:tcPr>
            <w:tcW w:w="1190" w:type="dxa"/>
            <w:tcBorders>
              <w:top w:val="single" w:sz="4" w:space="0" w:color="auto"/>
              <w:left w:val="nil"/>
              <w:bottom w:val="single" w:sz="4" w:space="0" w:color="auto"/>
              <w:right w:val="single" w:sz="4" w:space="0" w:color="auto"/>
            </w:tcBorders>
            <w:shd w:val="clear" w:color="000000" w:fill="DDEBF7"/>
            <w:vAlign w:val="center"/>
            <w:hideMark/>
          </w:tcPr>
          <w:p w14:paraId="1D247F7F" w14:textId="77777777" w:rsidR="00747DE3" w:rsidRPr="00747DE3" w:rsidRDefault="00747DE3" w:rsidP="00747DE3">
            <w:pPr>
              <w:jc w:val="cente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2026/27</w:t>
            </w:r>
            <w:r w:rsidRPr="00747DE3">
              <w:rPr>
                <w:rFonts w:ascii="Calibri" w:eastAsia="Times New Roman" w:hAnsi="Calibri" w:cs="Calibri"/>
                <w:b/>
                <w:bCs/>
                <w:color w:val="000000"/>
                <w:sz w:val="22"/>
                <w:szCs w:val="22"/>
                <w:lang w:eastAsia="en-GB"/>
              </w:rPr>
              <w:br/>
              <w:t>£m</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1C3BE031" w14:textId="77777777" w:rsidR="00747DE3" w:rsidRPr="00747DE3" w:rsidRDefault="00747DE3" w:rsidP="00747DE3">
            <w:pPr>
              <w:jc w:val="cente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2027/28</w:t>
            </w:r>
            <w:r w:rsidRPr="00747DE3">
              <w:rPr>
                <w:rFonts w:ascii="Calibri" w:eastAsia="Times New Roman" w:hAnsi="Calibri" w:cs="Calibri"/>
                <w:b/>
                <w:bCs/>
                <w:color w:val="000000"/>
                <w:sz w:val="22"/>
                <w:szCs w:val="22"/>
                <w:lang w:eastAsia="en-GB"/>
              </w:rPr>
              <w:br/>
              <w:t>£m</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401472FF" w14:textId="77777777" w:rsidR="00747DE3" w:rsidRPr="00747DE3" w:rsidRDefault="00747DE3" w:rsidP="00747DE3">
            <w:pPr>
              <w:jc w:val="cente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2028/29</w:t>
            </w:r>
            <w:r w:rsidRPr="00747DE3">
              <w:rPr>
                <w:rFonts w:ascii="Calibri" w:eastAsia="Times New Roman" w:hAnsi="Calibri" w:cs="Calibri"/>
                <w:b/>
                <w:bCs/>
                <w:color w:val="000000"/>
                <w:sz w:val="22"/>
                <w:szCs w:val="22"/>
                <w:lang w:eastAsia="en-GB"/>
              </w:rPr>
              <w:br/>
              <w:t>£m</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6B8C6724" w14:textId="77777777" w:rsidR="00747DE3" w:rsidRPr="00747DE3" w:rsidRDefault="00747DE3" w:rsidP="00747DE3">
            <w:pPr>
              <w:jc w:val="cente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2029/30</w:t>
            </w:r>
            <w:r w:rsidRPr="00747DE3">
              <w:rPr>
                <w:rFonts w:ascii="Calibri" w:eastAsia="Times New Roman" w:hAnsi="Calibri" w:cs="Calibri"/>
                <w:b/>
                <w:bCs/>
                <w:color w:val="000000"/>
                <w:sz w:val="22"/>
                <w:szCs w:val="22"/>
                <w:lang w:eastAsia="en-GB"/>
              </w:rPr>
              <w:br/>
              <w:t>£m</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045DCD5D" w14:textId="77777777" w:rsidR="00747DE3" w:rsidRPr="00747DE3" w:rsidRDefault="00747DE3" w:rsidP="00747DE3">
            <w:pPr>
              <w:jc w:val="cente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2030/31</w:t>
            </w:r>
            <w:r w:rsidRPr="00747DE3">
              <w:rPr>
                <w:rFonts w:ascii="Calibri" w:eastAsia="Times New Roman" w:hAnsi="Calibri" w:cs="Calibri"/>
                <w:b/>
                <w:bCs/>
                <w:color w:val="000000"/>
                <w:sz w:val="22"/>
                <w:szCs w:val="22"/>
                <w:lang w:eastAsia="en-GB"/>
              </w:rPr>
              <w:br/>
              <w:t>£m</w:t>
            </w:r>
          </w:p>
        </w:tc>
      </w:tr>
      <w:tr w:rsidR="00A8368C" w:rsidRPr="00747DE3" w14:paraId="3FA87F97" w14:textId="77777777" w:rsidTr="00A8368C">
        <w:trPr>
          <w:trHeight w:val="312"/>
        </w:trPr>
        <w:tc>
          <w:tcPr>
            <w:tcW w:w="3256" w:type="dxa"/>
            <w:tcBorders>
              <w:top w:val="nil"/>
              <w:left w:val="single" w:sz="4" w:space="0" w:color="auto"/>
              <w:bottom w:val="nil"/>
              <w:right w:val="single" w:sz="4" w:space="0" w:color="auto"/>
            </w:tcBorders>
            <w:shd w:val="clear" w:color="000000" w:fill="FFFFFF"/>
            <w:noWrap/>
            <w:vAlign w:val="bottom"/>
            <w:hideMark/>
          </w:tcPr>
          <w:p w14:paraId="07401BAC" w14:textId="77777777" w:rsidR="00747DE3" w:rsidRPr="00747DE3" w:rsidRDefault="00747DE3" w:rsidP="00747DE3">
            <w:pPr>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Grants</w:t>
            </w:r>
          </w:p>
        </w:tc>
        <w:tc>
          <w:tcPr>
            <w:tcW w:w="1190" w:type="dxa"/>
            <w:tcBorders>
              <w:top w:val="nil"/>
              <w:left w:val="nil"/>
              <w:bottom w:val="nil"/>
              <w:right w:val="single" w:sz="4" w:space="0" w:color="auto"/>
            </w:tcBorders>
            <w:shd w:val="clear" w:color="000000" w:fill="DDEBF7"/>
            <w:noWrap/>
            <w:vAlign w:val="bottom"/>
            <w:hideMark/>
          </w:tcPr>
          <w:p w14:paraId="41725519"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5A378216"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0" w:type="dxa"/>
            <w:tcBorders>
              <w:top w:val="nil"/>
              <w:left w:val="nil"/>
              <w:bottom w:val="nil"/>
              <w:right w:val="single" w:sz="4" w:space="0" w:color="auto"/>
            </w:tcBorders>
            <w:shd w:val="clear" w:color="000000" w:fill="FFFFFF"/>
            <w:noWrap/>
            <w:vAlign w:val="bottom"/>
            <w:hideMark/>
          </w:tcPr>
          <w:p w14:paraId="1E867650"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27759941"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6585234F"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r>
      <w:tr w:rsidR="00A8368C" w:rsidRPr="00747DE3" w14:paraId="085C160C" w14:textId="77777777" w:rsidTr="00A8368C">
        <w:trPr>
          <w:trHeight w:val="312"/>
        </w:trPr>
        <w:tc>
          <w:tcPr>
            <w:tcW w:w="3256" w:type="dxa"/>
            <w:tcBorders>
              <w:top w:val="nil"/>
              <w:left w:val="single" w:sz="4" w:space="0" w:color="auto"/>
              <w:bottom w:val="nil"/>
              <w:right w:val="single" w:sz="4" w:space="0" w:color="auto"/>
            </w:tcBorders>
            <w:shd w:val="clear" w:color="000000" w:fill="FFFFFF"/>
            <w:noWrap/>
            <w:vAlign w:val="bottom"/>
            <w:hideMark/>
          </w:tcPr>
          <w:p w14:paraId="3E33A14B" w14:textId="77777777" w:rsidR="00747DE3" w:rsidRPr="00747DE3" w:rsidRDefault="00747DE3" w:rsidP="00747DE3">
            <w:pPr>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S106</w:t>
            </w:r>
          </w:p>
        </w:tc>
        <w:tc>
          <w:tcPr>
            <w:tcW w:w="1190" w:type="dxa"/>
            <w:tcBorders>
              <w:top w:val="nil"/>
              <w:left w:val="nil"/>
              <w:bottom w:val="nil"/>
              <w:right w:val="single" w:sz="4" w:space="0" w:color="auto"/>
            </w:tcBorders>
            <w:shd w:val="clear" w:color="000000" w:fill="DDEBF7"/>
            <w:noWrap/>
            <w:vAlign w:val="bottom"/>
            <w:hideMark/>
          </w:tcPr>
          <w:p w14:paraId="5DBF8120"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16C9A263"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0" w:type="dxa"/>
            <w:tcBorders>
              <w:top w:val="nil"/>
              <w:left w:val="nil"/>
              <w:bottom w:val="nil"/>
              <w:right w:val="single" w:sz="4" w:space="0" w:color="auto"/>
            </w:tcBorders>
            <w:shd w:val="clear" w:color="000000" w:fill="FFFFFF"/>
            <w:noWrap/>
            <w:vAlign w:val="bottom"/>
            <w:hideMark/>
          </w:tcPr>
          <w:p w14:paraId="506769CF"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2A530CBB"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4F1C364D"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r>
      <w:tr w:rsidR="00A8368C" w:rsidRPr="00747DE3" w14:paraId="5093E4B5" w14:textId="77777777" w:rsidTr="00A8368C">
        <w:trPr>
          <w:trHeight w:val="312"/>
        </w:trPr>
        <w:tc>
          <w:tcPr>
            <w:tcW w:w="3256" w:type="dxa"/>
            <w:tcBorders>
              <w:top w:val="nil"/>
              <w:left w:val="single" w:sz="4" w:space="0" w:color="auto"/>
              <w:bottom w:val="nil"/>
              <w:right w:val="single" w:sz="4" w:space="0" w:color="auto"/>
            </w:tcBorders>
            <w:shd w:val="clear" w:color="000000" w:fill="FFFFFF"/>
            <w:noWrap/>
            <w:vAlign w:val="bottom"/>
            <w:hideMark/>
          </w:tcPr>
          <w:p w14:paraId="4FC67751" w14:textId="77777777" w:rsidR="00747DE3" w:rsidRPr="00747DE3" w:rsidRDefault="00747DE3" w:rsidP="00747DE3">
            <w:pPr>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Revenue Contributions</w:t>
            </w:r>
          </w:p>
        </w:tc>
        <w:tc>
          <w:tcPr>
            <w:tcW w:w="1190" w:type="dxa"/>
            <w:tcBorders>
              <w:top w:val="nil"/>
              <w:left w:val="nil"/>
              <w:bottom w:val="nil"/>
              <w:right w:val="single" w:sz="4" w:space="0" w:color="auto"/>
            </w:tcBorders>
            <w:shd w:val="clear" w:color="000000" w:fill="DDEBF7"/>
            <w:noWrap/>
            <w:vAlign w:val="bottom"/>
            <w:hideMark/>
          </w:tcPr>
          <w:p w14:paraId="0BDC37AB"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(1.1)</w:t>
            </w:r>
          </w:p>
        </w:tc>
        <w:tc>
          <w:tcPr>
            <w:tcW w:w="1191" w:type="dxa"/>
            <w:tcBorders>
              <w:top w:val="nil"/>
              <w:left w:val="nil"/>
              <w:bottom w:val="nil"/>
              <w:right w:val="single" w:sz="4" w:space="0" w:color="auto"/>
            </w:tcBorders>
            <w:shd w:val="clear" w:color="000000" w:fill="FFFFFF"/>
            <w:noWrap/>
            <w:vAlign w:val="bottom"/>
            <w:hideMark/>
          </w:tcPr>
          <w:p w14:paraId="1A505B6A"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(1.1)</w:t>
            </w:r>
          </w:p>
        </w:tc>
        <w:tc>
          <w:tcPr>
            <w:tcW w:w="1190" w:type="dxa"/>
            <w:tcBorders>
              <w:top w:val="nil"/>
              <w:left w:val="nil"/>
              <w:bottom w:val="nil"/>
              <w:right w:val="single" w:sz="4" w:space="0" w:color="auto"/>
            </w:tcBorders>
            <w:shd w:val="clear" w:color="000000" w:fill="FFFFFF"/>
            <w:noWrap/>
            <w:vAlign w:val="bottom"/>
            <w:hideMark/>
          </w:tcPr>
          <w:p w14:paraId="17CF9F24"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(1.1)</w:t>
            </w:r>
          </w:p>
        </w:tc>
        <w:tc>
          <w:tcPr>
            <w:tcW w:w="1191" w:type="dxa"/>
            <w:tcBorders>
              <w:top w:val="nil"/>
              <w:left w:val="nil"/>
              <w:bottom w:val="nil"/>
              <w:right w:val="single" w:sz="4" w:space="0" w:color="auto"/>
            </w:tcBorders>
            <w:shd w:val="clear" w:color="000000" w:fill="FFFFFF"/>
            <w:noWrap/>
            <w:vAlign w:val="bottom"/>
            <w:hideMark/>
          </w:tcPr>
          <w:p w14:paraId="1318F34F"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(1.1)</w:t>
            </w:r>
          </w:p>
        </w:tc>
        <w:tc>
          <w:tcPr>
            <w:tcW w:w="1191" w:type="dxa"/>
            <w:tcBorders>
              <w:top w:val="nil"/>
              <w:left w:val="nil"/>
              <w:bottom w:val="nil"/>
              <w:right w:val="single" w:sz="4" w:space="0" w:color="auto"/>
            </w:tcBorders>
            <w:shd w:val="clear" w:color="000000" w:fill="FFFFFF"/>
            <w:noWrap/>
            <w:vAlign w:val="bottom"/>
            <w:hideMark/>
          </w:tcPr>
          <w:p w14:paraId="3F3ADF43"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(1.1)</w:t>
            </w:r>
          </w:p>
        </w:tc>
      </w:tr>
      <w:tr w:rsidR="00A8368C" w:rsidRPr="00747DE3" w14:paraId="65B05BEB" w14:textId="77777777" w:rsidTr="00A8368C">
        <w:trPr>
          <w:trHeight w:val="312"/>
        </w:trPr>
        <w:tc>
          <w:tcPr>
            <w:tcW w:w="3256" w:type="dxa"/>
            <w:tcBorders>
              <w:top w:val="nil"/>
              <w:left w:val="single" w:sz="4" w:space="0" w:color="auto"/>
              <w:bottom w:val="nil"/>
              <w:right w:val="single" w:sz="4" w:space="0" w:color="auto"/>
            </w:tcBorders>
            <w:shd w:val="clear" w:color="000000" w:fill="FFFFFF"/>
            <w:noWrap/>
            <w:vAlign w:val="bottom"/>
            <w:hideMark/>
          </w:tcPr>
          <w:p w14:paraId="54B9C5A6" w14:textId="77777777" w:rsidR="00747DE3" w:rsidRPr="00747DE3" w:rsidRDefault="00747DE3" w:rsidP="00747DE3">
            <w:pPr>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Receipts from Property</w:t>
            </w:r>
          </w:p>
        </w:tc>
        <w:tc>
          <w:tcPr>
            <w:tcW w:w="1190" w:type="dxa"/>
            <w:tcBorders>
              <w:top w:val="nil"/>
              <w:left w:val="nil"/>
              <w:bottom w:val="nil"/>
              <w:right w:val="single" w:sz="4" w:space="0" w:color="auto"/>
            </w:tcBorders>
            <w:shd w:val="clear" w:color="000000" w:fill="DDEBF7"/>
            <w:noWrap/>
            <w:vAlign w:val="bottom"/>
            <w:hideMark/>
          </w:tcPr>
          <w:p w14:paraId="75E05F99"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3BC058CF"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(0.4)</w:t>
            </w:r>
          </w:p>
        </w:tc>
        <w:tc>
          <w:tcPr>
            <w:tcW w:w="1190" w:type="dxa"/>
            <w:tcBorders>
              <w:top w:val="nil"/>
              <w:left w:val="nil"/>
              <w:bottom w:val="nil"/>
              <w:right w:val="single" w:sz="4" w:space="0" w:color="auto"/>
            </w:tcBorders>
            <w:shd w:val="clear" w:color="000000" w:fill="FFFFFF"/>
            <w:noWrap/>
            <w:vAlign w:val="bottom"/>
            <w:hideMark/>
          </w:tcPr>
          <w:p w14:paraId="5D1BCA26"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0E27028D"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0999A089"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r>
      <w:tr w:rsidR="00A8368C" w:rsidRPr="00747DE3" w14:paraId="779D2EE1" w14:textId="77777777" w:rsidTr="00A8368C">
        <w:trPr>
          <w:trHeight w:val="312"/>
        </w:trPr>
        <w:tc>
          <w:tcPr>
            <w:tcW w:w="3256" w:type="dxa"/>
            <w:tcBorders>
              <w:top w:val="nil"/>
              <w:left w:val="single" w:sz="4" w:space="0" w:color="auto"/>
              <w:bottom w:val="nil"/>
              <w:right w:val="single" w:sz="4" w:space="0" w:color="auto"/>
            </w:tcBorders>
            <w:shd w:val="clear" w:color="000000" w:fill="FFFFFF"/>
            <w:noWrap/>
            <w:vAlign w:val="bottom"/>
            <w:hideMark/>
          </w:tcPr>
          <w:p w14:paraId="39C33065" w14:textId="77777777" w:rsidR="00747DE3" w:rsidRPr="00747DE3" w:rsidRDefault="00747DE3" w:rsidP="00747DE3">
            <w:pPr>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Reserves</w:t>
            </w:r>
          </w:p>
        </w:tc>
        <w:tc>
          <w:tcPr>
            <w:tcW w:w="1190" w:type="dxa"/>
            <w:tcBorders>
              <w:top w:val="nil"/>
              <w:left w:val="nil"/>
              <w:bottom w:val="nil"/>
              <w:right w:val="single" w:sz="4" w:space="0" w:color="auto"/>
            </w:tcBorders>
            <w:shd w:val="clear" w:color="000000" w:fill="DDEBF7"/>
            <w:noWrap/>
            <w:vAlign w:val="bottom"/>
            <w:hideMark/>
          </w:tcPr>
          <w:p w14:paraId="10246D5C"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60840DA7"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0" w:type="dxa"/>
            <w:tcBorders>
              <w:top w:val="nil"/>
              <w:left w:val="nil"/>
              <w:bottom w:val="nil"/>
              <w:right w:val="single" w:sz="4" w:space="0" w:color="auto"/>
            </w:tcBorders>
            <w:shd w:val="clear" w:color="000000" w:fill="FFFFFF"/>
            <w:noWrap/>
            <w:vAlign w:val="bottom"/>
            <w:hideMark/>
          </w:tcPr>
          <w:p w14:paraId="450CB874"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140D0C7D"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c>
          <w:tcPr>
            <w:tcW w:w="1191" w:type="dxa"/>
            <w:tcBorders>
              <w:top w:val="nil"/>
              <w:left w:val="nil"/>
              <w:bottom w:val="nil"/>
              <w:right w:val="single" w:sz="4" w:space="0" w:color="auto"/>
            </w:tcBorders>
            <w:shd w:val="clear" w:color="000000" w:fill="FFFFFF"/>
            <w:noWrap/>
            <w:vAlign w:val="bottom"/>
            <w:hideMark/>
          </w:tcPr>
          <w:p w14:paraId="53A4E2CA"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w:t>
            </w:r>
          </w:p>
        </w:tc>
      </w:tr>
      <w:tr w:rsidR="00A8368C" w:rsidRPr="00747DE3" w14:paraId="758B3EB1" w14:textId="77777777" w:rsidTr="00A8368C">
        <w:trPr>
          <w:trHeight w:val="312"/>
        </w:trPr>
        <w:tc>
          <w:tcPr>
            <w:tcW w:w="3256" w:type="dxa"/>
            <w:tcBorders>
              <w:top w:val="nil"/>
              <w:left w:val="single" w:sz="4" w:space="0" w:color="auto"/>
              <w:bottom w:val="nil"/>
              <w:right w:val="single" w:sz="4" w:space="0" w:color="auto"/>
            </w:tcBorders>
            <w:shd w:val="clear" w:color="000000" w:fill="FFFFFF"/>
            <w:noWrap/>
            <w:vAlign w:val="bottom"/>
            <w:hideMark/>
          </w:tcPr>
          <w:p w14:paraId="641C6339" w14:textId="77777777" w:rsidR="00747DE3" w:rsidRPr="00747DE3" w:rsidRDefault="00747DE3" w:rsidP="00747DE3">
            <w:pPr>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Debt</w:t>
            </w:r>
          </w:p>
        </w:tc>
        <w:tc>
          <w:tcPr>
            <w:tcW w:w="1190" w:type="dxa"/>
            <w:tcBorders>
              <w:top w:val="nil"/>
              <w:left w:val="nil"/>
              <w:bottom w:val="nil"/>
              <w:right w:val="single" w:sz="4" w:space="0" w:color="auto"/>
            </w:tcBorders>
            <w:shd w:val="clear" w:color="000000" w:fill="DDEBF7"/>
            <w:noWrap/>
            <w:vAlign w:val="bottom"/>
            <w:hideMark/>
          </w:tcPr>
          <w:p w14:paraId="30177AB8"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(28.7)</w:t>
            </w:r>
          </w:p>
        </w:tc>
        <w:tc>
          <w:tcPr>
            <w:tcW w:w="1191" w:type="dxa"/>
            <w:tcBorders>
              <w:top w:val="nil"/>
              <w:left w:val="nil"/>
              <w:bottom w:val="nil"/>
              <w:right w:val="single" w:sz="4" w:space="0" w:color="auto"/>
            </w:tcBorders>
            <w:shd w:val="clear" w:color="000000" w:fill="FFFFFF"/>
            <w:noWrap/>
            <w:vAlign w:val="bottom"/>
            <w:hideMark/>
          </w:tcPr>
          <w:p w14:paraId="0FCBA5BC"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(25.7)</w:t>
            </w:r>
          </w:p>
        </w:tc>
        <w:tc>
          <w:tcPr>
            <w:tcW w:w="1190" w:type="dxa"/>
            <w:tcBorders>
              <w:top w:val="nil"/>
              <w:left w:val="nil"/>
              <w:bottom w:val="nil"/>
              <w:right w:val="single" w:sz="4" w:space="0" w:color="auto"/>
            </w:tcBorders>
            <w:shd w:val="clear" w:color="000000" w:fill="FFFFFF"/>
            <w:noWrap/>
            <w:vAlign w:val="bottom"/>
            <w:hideMark/>
          </w:tcPr>
          <w:p w14:paraId="12A1DC51"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(14.1)</w:t>
            </w:r>
          </w:p>
        </w:tc>
        <w:tc>
          <w:tcPr>
            <w:tcW w:w="1191" w:type="dxa"/>
            <w:tcBorders>
              <w:top w:val="nil"/>
              <w:left w:val="nil"/>
              <w:bottom w:val="nil"/>
              <w:right w:val="single" w:sz="4" w:space="0" w:color="auto"/>
            </w:tcBorders>
            <w:shd w:val="clear" w:color="000000" w:fill="FFFFFF"/>
            <w:noWrap/>
            <w:vAlign w:val="bottom"/>
            <w:hideMark/>
          </w:tcPr>
          <w:p w14:paraId="668DB9AF"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(16.5)</w:t>
            </w:r>
          </w:p>
        </w:tc>
        <w:tc>
          <w:tcPr>
            <w:tcW w:w="1191" w:type="dxa"/>
            <w:tcBorders>
              <w:top w:val="nil"/>
              <w:left w:val="nil"/>
              <w:bottom w:val="nil"/>
              <w:right w:val="single" w:sz="4" w:space="0" w:color="auto"/>
            </w:tcBorders>
            <w:shd w:val="clear" w:color="000000" w:fill="FFFFFF"/>
            <w:noWrap/>
            <w:vAlign w:val="bottom"/>
            <w:hideMark/>
          </w:tcPr>
          <w:p w14:paraId="6619597F" w14:textId="77777777" w:rsidR="00747DE3" w:rsidRPr="00747DE3" w:rsidRDefault="00747DE3" w:rsidP="00747DE3">
            <w:pPr>
              <w:jc w:val="right"/>
              <w:rPr>
                <w:rFonts w:ascii="Calibri" w:eastAsia="Times New Roman" w:hAnsi="Calibri" w:cs="Calibri"/>
                <w:color w:val="000000"/>
                <w:sz w:val="22"/>
                <w:szCs w:val="22"/>
                <w:lang w:eastAsia="en-GB"/>
              </w:rPr>
            </w:pPr>
            <w:r w:rsidRPr="00747DE3">
              <w:rPr>
                <w:rFonts w:ascii="Calibri" w:eastAsia="Times New Roman" w:hAnsi="Calibri" w:cs="Calibri"/>
                <w:color w:val="000000"/>
                <w:sz w:val="22"/>
                <w:szCs w:val="22"/>
                <w:lang w:eastAsia="en-GB"/>
              </w:rPr>
              <w:t>(11.4)</w:t>
            </w:r>
          </w:p>
        </w:tc>
      </w:tr>
      <w:tr w:rsidR="00A8368C" w:rsidRPr="00747DE3" w14:paraId="7DAB6323" w14:textId="77777777" w:rsidTr="00A8368C">
        <w:trPr>
          <w:trHeight w:val="312"/>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0F92B" w14:textId="77777777" w:rsidR="00747DE3" w:rsidRPr="00747DE3" w:rsidRDefault="00747DE3" w:rsidP="00747DE3">
            <w:pPr>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TOTAL</w:t>
            </w:r>
          </w:p>
        </w:tc>
        <w:tc>
          <w:tcPr>
            <w:tcW w:w="1190" w:type="dxa"/>
            <w:tcBorders>
              <w:top w:val="single" w:sz="4" w:space="0" w:color="auto"/>
              <w:left w:val="nil"/>
              <w:bottom w:val="single" w:sz="4" w:space="0" w:color="auto"/>
              <w:right w:val="single" w:sz="4" w:space="0" w:color="auto"/>
            </w:tcBorders>
            <w:shd w:val="clear" w:color="000000" w:fill="DDEBF7"/>
            <w:noWrap/>
            <w:vAlign w:val="bottom"/>
            <w:hideMark/>
          </w:tcPr>
          <w:p w14:paraId="2C93E3FA" w14:textId="77777777" w:rsidR="00747DE3" w:rsidRPr="00747DE3" w:rsidRDefault="00747DE3" w:rsidP="00747DE3">
            <w:pPr>
              <w:jc w:val="right"/>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(29.8)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409DC350" w14:textId="77777777" w:rsidR="00747DE3" w:rsidRPr="00747DE3" w:rsidRDefault="00747DE3" w:rsidP="00747DE3">
            <w:pPr>
              <w:jc w:val="right"/>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(27.2)</w:t>
            </w:r>
          </w:p>
        </w:tc>
        <w:tc>
          <w:tcPr>
            <w:tcW w:w="1190" w:type="dxa"/>
            <w:tcBorders>
              <w:top w:val="single" w:sz="4" w:space="0" w:color="auto"/>
              <w:left w:val="nil"/>
              <w:bottom w:val="single" w:sz="4" w:space="0" w:color="auto"/>
              <w:right w:val="single" w:sz="4" w:space="0" w:color="auto"/>
            </w:tcBorders>
            <w:shd w:val="clear" w:color="000000" w:fill="FFFFFF"/>
            <w:noWrap/>
            <w:vAlign w:val="bottom"/>
            <w:hideMark/>
          </w:tcPr>
          <w:p w14:paraId="7F5AB790" w14:textId="77777777" w:rsidR="00747DE3" w:rsidRPr="00747DE3" w:rsidRDefault="00747DE3" w:rsidP="00747DE3">
            <w:pPr>
              <w:jc w:val="right"/>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(15.2)</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564117E8" w14:textId="77777777" w:rsidR="00747DE3" w:rsidRPr="00747DE3" w:rsidRDefault="00747DE3" w:rsidP="00747DE3">
            <w:pPr>
              <w:jc w:val="right"/>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(17.6)</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1A3EFE38" w14:textId="77777777" w:rsidR="00747DE3" w:rsidRPr="00747DE3" w:rsidRDefault="00747DE3" w:rsidP="00747DE3">
            <w:pPr>
              <w:jc w:val="right"/>
              <w:rPr>
                <w:rFonts w:ascii="Calibri" w:eastAsia="Times New Roman" w:hAnsi="Calibri" w:cs="Calibri"/>
                <w:b/>
                <w:bCs/>
                <w:color w:val="000000"/>
                <w:sz w:val="22"/>
                <w:szCs w:val="22"/>
                <w:lang w:eastAsia="en-GB"/>
              </w:rPr>
            </w:pPr>
            <w:r w:rsidRPr="00747DE3">
              <w:rPr>
                <w:rFonts w:ascii="Calibri" w:eastAsia="Times New Roman" w:hAnsi="Calibri" w:cs="Calibri"/>
                <w:b/>
                <w:bCs/>
                <w:color w:val="000000"/>
                <w:sz w:val="22"/>
                <w:szCs w:val="22"/>
                <w:lang w:eastAsia="en-GB"/>
              </w:rPr>
              <w:t>(12.5)</w:t>
            </w:r>
          </w:p>
        </w:tc>
      </w:tr>
    </w:tbl>
    <w:p w14:paraId="2F2AF84C" w14:textId="77777777" w:rsidR="0079394C" w:rsidRDefault="0079394C" w:rsidP="00A73661">
      <w:pPr>
        <w:jc w:val="both"/>
        <w:rPr>
          <w:rFonts w:cstheme="minorHAnsi"/>
        </w:rPr>
      </w:pPr>
    </w:p>
    <w:p w14:paraId="2ED90454" w14:textId="77777777" w:rsidR="00A8368C" w:rsidRDefault="00A8368C" w:rsidP="00A73661">
      <w:pPr>
        <w:spacing w:after="120"/>
        <w:rPr>
          <w:rFonts w:cstheme="minorHAnsi"/>
          <w:b/>
          <w:bCs/>
        </w:rPr>
      </w:pPr>
    </w:p>
    <w:p w14:paraId="44AD512D" w14:textId="704F5767" w:rsidR="002F5416" w:rsidRPr="00A73661" w:rsidRDefault="00280B04" w:rsidP="00A73661">
      <w:pPr>
        <w:spacing w:after="120"/>
        <w:rPr>
          <w:rFonts w:cstheme="minorHAnsi"/>
          <w:b/>
          <w:bCs/>
        </w:rPr>
      </w:pPr>
      <w:r>
        <w:rPr>
          <w:rFonts w:cstheme="minorHAnsi"/>
          <w:b/>
          <w:bCs/>
        </w:rPr>
        <w:t>Revenue Impact of the Capital Programme</w:t>
      </w:r>
      <w:r w:rsidR="008645D0">
        <w:rPr>
          <w:rFonts w:cstheme="minorHAnsi"/>
          <w:b/>
          <w:bCs/>
        </w:rPr>
        <w:t xml:space="preserve"> (inc. </w:t>
      </w:r>
      <w:r w:rsidR="008645D0" w:rsidRPr="00A73661">
        <w:rPr>
          <w:rFonts w:cstheme="minorHAnsi"/>
          <w:b/>
          <w:bCs/>
        </w:rPr>
        <w:t>Minimum Revenue Provision</w:t>
      </w:r>
      <w:r w:rsidR="008645D0">
        <w:rPr>
          <w:rFonts w:cstheme="minorHAnsi"/>
          <w:b/>
          <w:bCs/>
        </w:rPr>
        <w:t>)</w:t>
      </w:r>
    </w:p>
    <w:p w14:paraId="480FF959" w14:textId="0C5A554C" w:rsidR="002F5416" w:rsidRDefault="002F5416" w:rsidP="0012005A">
      <w:pPr>
        <w:pStyle w:val="ListParagraph"/>
      </w:pPr>
      <w:r w:rsidRPr="002F5416">
        <w:t xml:space="preserve">Where the PFCC finances capital expenditure through borrowing (debt) resources must be set aside to repay that debt from the revenue account. </w:t>
      </w:r>
      <w:r w:rsidR="00DA0506">
        <w:t xml:space="preserve"> </w:t>
      </w:r>
      <w:r w:rsidRPr="002F5416">
        <w:t xml:space="preserve">The amount charged to revenue account for the repayment of borrowing is known as the Minimum Revenue Provision (MRP). </w:t>
      </w:r>
      <w:r w:rsidR="00DA0506">
        <w:t xml:space="preserve"> </w:t>
      </w:r>
      <w:r w:rsidRPr="002F5416">
        <w:t xml:space="preserve">Planned MRP is </w:t>
      </w:r>
      <w:r w:rsidR="006C5E00">
        <w:t xml:space="preserve">included along with the other </w:t>
      </w:r>
      <w:r w:rsidR="00AB1874">
        <w:t xml:space="preserve">budgeted </w:t>
      </w:r>
      <w:r w:rsidR="006C5E00">
        <w:t xml:space="preserve">revenue implications of the capital programme </w:t>
      </w:r>
      <w:r w:rsidRPr="002F5416">
        <w:t>as follows:</w:t>
      </w:r>
    </w:p>
    <w:p w14:paraId="0087086C" w14:textId="254B15AD" w:rsidR="000F7A16" w:rsidRPr="004C76A7" w:rsidRDefault="000F7A16" w:rsidP="000F7A16">
      <w:pPr>
        <w:jc w:val="both"/>
        <w:rPr>
          <w:rFonts w:cstheme="minorHAnsi"/>
          <w:i/>
          <w:iCs/>
          <w:sz w:val="22"/>
          <w:szCs w:val="22"/>
        </w:rPr>
      </w:pPr>
      <w:r w:rsidRPr="004C76A7">
        <w:rPr>
          <w:rFonts w:cstheme="minorHAnsi"/>
          <w:i/>
          <w:iCs/>
          <w:sz w:val="22"/>
          <w:szCs w:val="22"/>
        </w:rPr>
        <w:t>Table 3: Revenue Impact of Capital Financing</w:t>
      </w:r>
    </w:p>
    <w:tbl>
      <w:tblPr>
        <w:tblW w:w="9336" w:type="dxa"/>
        <w:tblLook w:val="04A0" w:firstRow="1" w:lastRow="0" w:firstColumn="1" w:lastColumn="0" w:noHBand="0" w:noVBand="1"/>
      </w:tblPr>
      <w:tblGrid>
        <w:gridCol w:w="3256"/>
        <w:gridCol w:w="1000"/>
        <w:gridCol w:w="1016"/>
        <w:gridCol w:w="1016"/>
        <w:gridCol w:w="1016"/>
        <w:gridCol w:w="1016"/>
        <w:gridCol w:w="1016"/>
      </w:tblGrid>
      <w:tr w:rsidR="004C76A7" w:rsidRPr="004C76A7" w14:paraId="4D63F573" w14:textId="77777777" w:rsidTr="004C76A7">
        <w:trPr>
          <w:trHeight w:val="1104"/>
        </w:trPr>
        <w:tc>
          <w:tcPr>
            <w:tcW w:w="3256" w:type="dxa"/>
            <w:tcBorders>
              <w:top w:val="single" w:sz="4" w:space="0" w:color="auto"/>
              <w:left w:val="single" w:sz="4" w:space="0" w:color="auto"/>
              <w:bottom w:val="nil"/>
              <w:right w:val="single" w:sz="4" w:space="0" w:color="auto"/>
            </w:tcBorders>
            <w:shd w:val="clear" w:color="auto" w:fill="FFFFFF" w:themeFill="background1"/>
            <w:vAlign w:val="center"/>
            <w:hideMark/>
          </w:tcPr>
          <w:p w14:paraId="5CC79638" w14:textId="77777777" w:rsidR="00747DE3" w:rsidRPr="004C76A7" w:rsidRDefault="00747DE3" w:rsidP="005C7D46">
            <w:pP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Treasury Management Budget</w:t>
            </w:r>
          </w:p>
        </w:tc>
        <w:tc>
          <w:tcPr>
            <w:tcW w:w="1000" w:type="dxa"/>
            <w:tcBorders>
              <w:top w:val="single" w:sz="4" w:space="0" w:color="auto"/>
              <w:left w:val="nil"/>
              <w:bottom w:val="nil"/>
              <w:right w:val="single" w:sz="4" w:space="0" w:color="auto"/>
            </w:tcBorders>
            <w:shd w:val="clear" w:color="auto" w:fill="DDEBF7"/>
            <w:vAlign w:val="center"/>
            <w:hideMark/>
          </w:tcPr>
          <w:p w14:paraId="6FDABC68" w14:textId="4B2440FF" w:rsidR="00747DE3" w:rsidRPr="004C76A7" w:rsidRDefault="00747DE3" w:rsidP="004C76A7">
            <w:pPr>
              <w:jc w:val="cente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2025</w:t>
            </w:r>
            <w:r w:rsidR="004C76A7" w:rsidRPr="004C76A7">
              <w:rPr>
                <w:rFonts w:ascii="Calibri" w:eastAsia="Times New Roman" w:hAnsi="Calibri" w:cs="Calibri"/>
                <w:b/>
                <w:bCs/>
                <w:sz w:val="22"/>
                <w:szCs w:val="22"/>
                <w:lang w:eastAsia="en-GB"/>
              </w:rPr>
              <w:t>/</w:t>
            </w:r>
            <w:r w:rsidRPr="004C76A7">
              <w:rPr>
                <w:rFonts w:ascii="Calibri" w:eastAsia="Times New Roman" w:hAnsi="Calibri" w:cs="Calibri"/>
                <w:b/>
                <w:bCs/>
                <w:sz w:val="22"/>
                <w:szCs w:val="22"/>
                <w:lang w:eastAsia="en-GB"/>
              </w:rPr>
              <w:t>26</w:t>
            </w:r>
            <w:r w:rsidRPr="004C76A7">
              <w:rPr>
                <w:rFonts w:ascii="Calibri" w:eastAsia="Times New Roman" w:hAnsi="Calibri" w:cs="Calibri"/>
                <w:b/>
                <w:bCs/>
                <w:sz w:val="22"/>
                <w:szCs w:val="22"/>
                <w:lang w:eastAsia="en-GB"/>
              </w:rPr>
              <w:br/>
            </w:r>
            <w:r w:rsidR="004C76A7" w:rsidRPr="004C76A7">
              <w:rPr>
                <w:rFonts w:ascii="Calibri" w:eastAsia="Times New Roman" w:hAnsi="Calibri" w:cs="Calibri"/>
                <w:b/>
                <w:bCs/>
                <w:sz w:val="22"/>
                <w:szCs w:val="22"/>
                <w:lang w:eastAsia="en-GB"/>
              </w:rPr>
              <w:t>Forecast</w:t>
            </w:r>
            <w:r w:rsidRPr="004C76A7">
              <w:rPr>
                <w:rFonts w:ascii="Calibri" w:eastAsia="Times New Roman" w:hAnsi="Calibri" w:cs="Calibri"/>
                <w:b/>
                <w:bCs/>
                <w:sz w:val="22"/>
                <w:szCs w:val="22"/>
                <w:lang w:eastAsia="en-GB"/>
              </w:rPr>
              <w:br/>
              <w:t>£'000</w:t>
            </w:r>
          </w:p>
        </w:tc>
        <w:tc>
          <w:tcPr>
            <w:tcW w:w="1016" w:type="dxa"/>
            <w:tcBorders>
              <w:top w:val="single" w:sz="4" w:space="0" w:color="auto"/>
              <w:left w:val="nil"/>
              <w:bottom w:val="nil"/>
              <w:right w:val="single" w:sz="4" w:space="0" w:color="auto"/>
            </w:tcBorders>
            <w:shd w:val="clear" w:color="auto" w:fill="DDEBF7"/>
            <w:vAlign w:val="center"/>
            <w:hideMark/>
          </w:tcPr>
          <w:p w14:paraId="357ADF5D" w14:textId="15013BA4" w:rsidR="00747DE3" w:rsidRPr="004C76A7" w:rsidRDefault="00747DE3" w:rsidP="004C76A7">
            <w:pPr>
              <w:jc w:val="cente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2026</w:t>
            </w:r>
            <w:r w:rsidR="004C76A7" w:rsidRPr="004C76A7">
              <w:rPr>
                <w:rFonts w:ascii="Calibri" w:eastAsia="Times New Roman" w:hAnsi="Calibri" w:cs="Calibri"/>
                <w:b/>
                <w:bCs/>
                <w:sz w:val="22"/>
                <w:szCs w:val="22"/>
                <w:lang w:eastAsia="en-GB"/>
              </w:rPr>
              <w:t>/</w:t>
            </w:r>
            <w:r w:rsidRPr="004C76A7">
              <w:rPr>
                <w:rFonts w:ascii="Calibri" w:eastAsia="Times New Roman" w:hAnsi="Calibri" w:cs="Calibri"/>
                <w:b/>
                <w:bCs/>
                <w:sz w:val="22"/>
                <w:szCs w:val="22"/>
                <w:lang w:eastAsia="en-GB"/>
              </w:rPr>
              <w:t>27</w:t>
            </w:r>
            <w:r w:rsidRPr="004C76A7">
              <w:rPr>
                <w:rFonts w:ascii="Calibri" w:eastAsia="Times New Roman" w:hAnsi="Calibri" w:cs="Calibri"/>
                <w:b/>
                <w:bCs/>
                <w:sz w:val="22"/>
                <w:szCs w:val="22"/>
                <w:lang w:eastAsia="en-GB"/>
              </w:rPr>
              <w:br/>
            </w:r>
            <w:r w:rsidR="004C76A7" w:rsidRPr="004C76A7">
              <w:rPr>
                <w:rFonts w:ascii="Calibri" w:eastAsia="Times New Roman" w:hAnsi="Calibri" w:cs="Calibri"/>
                <w:b/>
                <w:bCs/>
                <w:sz w:val="22"/>
                <w:szCs w:val="22"/>
                <w:lang w:eastAsia="en-GB"/>
              </w:rPr>
              <w:t>Estimate</w:t>
            </w:r>
            <w:r w:rsidRPr="004C76A7">
              <w:rPr>
                <w:rFonts w:ascii="Calibri" w:eastAsia="Times New Roman" w:hAnsi="Calibri" w:cs="Calibri"/>
                <w:b/>
                <w:bCs/>
                <w:sz w:val="22"/>
                <w:szCs w:val="22"/>
                <w:lang w:eastAsia="en-GB"/>
              </w:rPr>
              <w:br/>
              <w:t>£'000</w:t>
            </w:r>
          </w:p>
        </w:tc>
        <w:tc>
          <w:tcPr>
            <w:tcW w:w="1016" w:type="dxa"/>
            <w:tcBorders>
              <w:top w:val="single" w:sz="4" w:space="0" w:color="auto"/>
              <w:left w:val="nil"/>
              <w:bottom w:val="nil"/>
              <w:right w:val="single" w:sz="4" w:space="0" w:color="auto"/>
            </w:tcBorders>
            <w:shd w:val="clear" w:color="auto" w:fill="FFFFFF" w:themeFill="background1"/>
            <w:vAlign w:val="center"/>
            <w:hideMark/>
          </w:tcPr>
          <w:p w14:paraId="45D7B6BF" w14:textId="6C08E47D" w:rsidR="00747DE3" w:rsidRPr="004C76A7" w:rsidRDefault="00747DE3" w:rsidP="004C76A7">
            <w:pPr>
              <w:jc w:val="cente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2027</w:t>
            </w:r>
            <w:r w:rsidR="004C76A7" w:rsidRPr="004C76A7">
              <w:rPr>
                <w:rFonts w:ascii="Calibri" w:eastAsia="Times New Roman" w:hAnsi="Calibri" w:cs="Calibri"/>
                <w:b/>
                <w:bCs/>
                <w:sz w:val="22"/>
                <w:szCs w:val="22"/>
                <w:lang w:eastAsia="en-GB"/>
              </w:rPr>
              <w:t>/</w:t>
            </w:r>
            <w:r w:rsidRPr="004C76A7">
              <w:rPr>
                <w:rFonts w:ascii="Calibri" w:eastAsia="Times New Roman" w:hAnsi="Calibri" w:cs="Calibri"/>
                <w:b/>
                <w:bCs/>
                <w:sz w:val="22"/>
                <w:szCs w:val="22"/>
                <w:lang w:eastAsia="en-GB"/>
              </w:rPr>
              <w:t>28</w:t>
            </w:r>
            <w:r w:rsidRPr="004C76A7">
              <w:rPr>
                <w:rFonts w:ascii="Calibri" w:eastAsia="Times New Roman" w:hAnsi="Calibri" w:cs="Calibri"/>
                <w:b/>
                <w:bCs/>
                <w:sz w:val="22"/>
                <w:szCs w:val="22"/>
                <w:lang w:eastAsia="en-GB"/>
              </w:rPr>
              <w:br/>
              <w:t>Estimate</w:t>
            </w:r>
            <w:r w:rsidRPr="004C76A7">
              <w:rPr>
                <w:rFonts w:ascii="Calibri" w:eastAsia="Times New Roman" w:hAnsi="Calibri" w:cs="Calibri"/>
                <w:b/>
                <w:bCs/>
                <w:sz w:val="22"/>
                <w:szCs w:val="22"/>
                <w:lang w:eastAsia="en-GB"/>
              </w:rPr>
              <w:br/>
              <w:t>£'000</w:t>
            </w:r>
          </w:p>
        </w:tc>
        <w:tc>
          <w:tcPr>
            <w:tcW w:w="1016" w:type="dxa"/>
            <w:tcBorders>
              <w:top w:val="single" w:sz="4" w:space="0" w:color="auto"/>
              <w:left w:val="nil"/>
              <w:bottom w:val="nil"/>
              <w:right w:val="single" w:sz="4" w:space="0" w:color="auto"/>
            </w:tcBorders>
            <w:shd w:val="clear" w:color="auto" w:fill="FFFFFF" w:themeFill="background1"/>
            <w:vAlign w:val="center"/>
            <w:hideMark/>
          </w:tcPr>
          <w:p w14:paraId="7F8A8D8E" w14:textId="278BF083" w:rsidR="00747DE3" w:rsidRPr="004C76A7" w:rsidRDefault="00747DE3" w:rsidP="004C76A7">
            <w:pPr>
              <w:jc w:val="cente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2028</w:t>
            </w:r>
            <w:r w:rsidR="004C76A7" w:rsidRPr="004C76A7">
              <w:rPr>
                <w:rFonts w:ascii="Calibri" w:eastAsia="Times New Roman" w:hAnsi="Calibri" w:cs="Calibri"/>
                <w:b/>
                <w:bCs/>
                <w:sz w:val="22"/>
                <w:szCs w:val="22"/>
                <w:lang w:eastAsia="en-GB"/>
              </w:rPr>
              <w:t>/</w:t>
            </w:r>
            <w:r w:rsidRPr="004C76A7">
              <w:rPr>
                <w:rFonts w:ascii="Calibri" w:eastAsia="Times New Roman" w:hAnsi="Calibri" w:cs="Calibri"/>
                <w:b/>
                <w:bCs/>
                <w:sz w:val="22"/>
                <w:szCs w:val="22"/>
                <w:lang w:eastAsia="en-GB"/>
              </w:rPr>
              <w:t>29</w:t>
            </w:r>
            <w:r w:rsidRPr="004C76A7">
              <w:rPr>
                <w:rFonts w:ascii="Calibri" w:eastAsia="Times New Roman" w:hAnsi="Calibri" w:cs="Calibri"/>
                <w:b/>
                <w:bCs/>
                <w:sz w:val="22"/>
                <w:szCs w:val="22"/>
                <w:lang w:eastAsia="en-GB"/>
              </w:rPr>
              <w:br/>
              <w:t>Estimate</w:t>
            </w:r>
            <w:r w:rsidRPr="004C76A7">
              <w:rPr>
                <w:rFonts w:ascii="Calibri" w:eastAsia="Times New Roman" w:hAnsi="Calibri" w:cs="Calibri"/>
                <w:b/>
                <w:bCs/>
                <w:sz w:val="22"/>
                <w:szCs w:val="22"/>
                <w:lang w:eastAsia="en-GB"/>
              </w:rPr>
              <w:br/>
              <w:t>£'000</w:t>
            </w:r>
          </w:p>
        </w:tc>
        <w:tc>
          <w:tcPr>
            <w:tcW w:w="1016" w:type="dxa"/>
            <w:tcBorders>
              <w:top w:val="single" w:sz="4" w:space="0" w:color="auto"/>
              <w:left w:val="nil"/>
              <w:bottom w:val="nil"/>
              <w:right w:val="single" w:sz="4" w:space="0" w:color="auto"/>
            </w:tcBorders>
            <w:shd w:val="clear" w:color="auto" w:fill="FFFFFF" w:themeFill="background1"/>
            <w:vAlign w:val="center"/>
            <w:hideMark/>
          </w:tcPr>
          <w:p w14:paraId="01658E6E" w14:textId="336121F9" w:rsidR="00747DE3" w:rsidRPr="004C76A7" w:rsidRDefault="00747DE3" w:rsidP="004C76A7">
            <w:pPr>
              <w:jc w:val="cente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2029</w:t>
            </w:r>
            <w:r w:rsidR="004C76A7" w:rsidRPr="004C76A7">
              <w:rPr>
                <w:rFonts w:ascii="Calibri" w:eastAsia="Times New Roman" w:hAnsi="Calibri" w:cs="Calibri"/>
                <w:b/>
                <w:bCs/>
                <w:sz w:val="22"/>
                <w:szCs w:val="22"/>
                <w:lang w:eastAsia="en-GB"/>
              </w:rPr>
              <w:t>/</w:t>
            </w:r>
            <w:r w:rsidRPr="004C76A7">
              <w:rPr>
                <w:rFonts w:ascii="Calibri" w:eastAsia="Times New Roman" w:hAnsi="Calibri" w:cs="Calibri"/>
                <w:b/>
                <w:bCs/>
                <w:sz w:val="22"/>
                <w:szCs w:val="22"/>
                <w:lang w:eastAsia="en-GB"/>
              </w:rPr>
              <w:t>30</w:t>
            </w:r>
            <w:r w:rsidRPr="004C76A7">
              <w:rPr>
                <w:rFonts w:ascii="Calibri" w:eastAsia="Times New Roman" w:hAnsi="Calibri" w:cs="Calibri"/>
                <w:b/>
                <w:bCs/>
                <w:sz w:val="22"/>
                <w:szCs w:val="22"/>
                <w:lang w:eastAsia="en-GB"/>
              </w:rPr>
              <w:br/>
              <w:t>Estimate</w:t>
            </w:r>
            <w:r w:rsidRPr="004C76A7">
              <w:rPr>
                <w:rFonts w:ascii="Calibri" w:eastAsia="Times New Roman" w:hAnsi="Calibri" w:cs="Calibri"/>
                <w:b/>
                <w:bCs/>
                <w:sz w:val="22"/>
                <w:szCs w:val="22"/>
                <w:lang w:eastAsia="en-GB"/>
              </w:rPr>
              <w:br/>
              <w:t>£'000</w:t>
            </w:r>
          </w:p>
        </w:tc>
        <w:tc>
          <w:tcPr>
            <w:tcW w:w="1016" w:type="dxa"/>
            <w:tcBorders>
              <w:top w:val="single" w:sz="4" w:space="0" w:color="auto"/>
              <w:left w:val="nil"/>
              <w:bottom w:val="nil"/>
              <w:right w:val="single" w:sz="4" w:space="0" w:color="auto"/>
            </w:tcBorders>
            <w:shd w:val="clear" w:color="auto" w:fill="FFFFFF" w:themeFill="background1"/>
            <w:vAlign w:val="center"/>
            <w:hideMark/>
          </w:tcPr>
          <w:p w14:paraId="3015BF98" w14:textId="1886D34B" w:rsidR="00747DE3" w:rsidRPr="004C76A7" w:rsidRDefault="00747DE3" w:rsidP="004C76A7">
            <w:pPr>
              <w:jc w:val="center"/>
              <w:rPr>
                <w:rFonts w:ascii="Calibri" w:eastAsia="Times New Roman" w:hAnsi="Calibri" w:cs="Calibri"/>
                <w:b/>
                <w:bCs/>
                <w:sz w:val="22"/>
                <w:szCs w:val="22"/>
                <w:lang w:eastAsia="en-GB"/>
              </w:rPr>
            </w:pPr>
            <w:r w:rsidRPr="004C76A7">
              <w:rPr>
                <w:rFonts w:ascii="Calibri" w:eastAsia="Times New Roman" w:hAnsi="Calibri" w:cs="Calibri"/>
                <w:b/>
                <w:bCs/>
                <w:sz w:val="22"/>
                <w:szCs w:val="22"/>
                <w:lang w:eastAsia="en-GB"/>
              </w:rPr>
              <w:t>2030</w:t>
            </w:r>
            <w:r w:rsidR="004C76A7" w:rsidRPr="004C76A7">
              <w:rPr>
                <w:rFonts w:ascii="Calibri" w:eastAsia="Times New Roman" w:hAnsi="Calibri" w:cs="Calibri"/>
                <w:b/>
                <w:bCs/>
                <w:sz w:val="22"/>
                <w:szCs w:val="22"/>
                <w:lang w:eastAsia="en-GB"/>
              </w:rPr>
              <w:t>/</w:t>
            </w:r>
            <w:r w:rsidRPr="004C76A7">
              <w:rPr>
                <w:rFonts w:ascii="Calibri" w:eastAsia="Times New Roman" w:hAnsi="Calibri" w:cs="Calibri"/>
                <w:b/>
                <w:bCs/>
                <w:sz w:val="22"/>
                <w:szCs w:val="22"/>
                <w:lang w:eastAsia="en-GB"/>
              </w:rPr>
              <w:t>31</w:t>
            </w:r>
            <w:r w:rsidRPr="004C76A7">
              <w:rPr>
                <w:rFonts w:ascii="Calibri" w:eastAsia="Times New Roman" w:hAnsi="Calibri" w:cs="Calibri"/>
                <w:b/>
                <w:bCs/>
                <w:sz w:val="22"/>
                <w:szCs w:val="22"/>
                <w:lang w:eastAsia="en-GB"/>
              </w:rPr>
              <w:br/>
              <w:t>Estimate</w:t>
            </w:r>
            <w:r w:rsidRPr="004C76A7">
              <w:rPr>
                <w:rFonts w:ascii="Calibri" w:eastAsia="Times New Roman" w:hAnsi="Calibri" w:cs="Calibri"/>
                <w:b/>
                <w:bCs/>
                <w:sz w:val="22"/>
                <w:szCs w:val="22"/>
                <w:lang w:eastAsia="en-GB"/>
              </w:rPr>
              <w:br/>
              <w:t>£'000</w:t>
            </w:r>
          </w:p>
        </w:tc>
      </w:tr>
      <w:tr w:rsidR="00747DE3" w:rsidRPr="00887BDF" w14:paraId="28427F0F" w14:textId="77777777" w:rsidTr="004C76A7">
        <w:trPr>
          <w:trHeight w:val="288"/>
        </w:trPr>
        <w:tc>
          <w:tcPr>
            <w:tcW w:w="3256" w:type="dxa"/>
            <w:tcBorders>
              <w:top w:val="single" w:sz="4" w:space="0" w:color="auto"/>
              <w:left w:val="single" w:sz="4" w:space="0" w:color="auto"/>
              <w:bottom w:val="nil"/>
              <w:right w:val="single" w:sz="4" w:space="0" w:color="auto"/>
            </w:tcBorders>
            <w:shd w:val="clear" w:color="auto" w:fill="auto"/>
            <w:noWrap/>
            <w:vAlign w:val="center"/>
            <w:hideMark/>
          </w:tcPr>
          <w:p w14:paraId="0ECC09D8" w14:textId="77777777" w:rsidR="00747DE3" w:rsidRPr="004C76A7" w:rsidRDefault="00747DE3" w:rsidP="005C7D46">
            <w:pPr>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Interest payable on borrowing</w:t>
            </w:r>
          </w:p>
        </w:tc>
        <w:tc>
          <w:tcPr>
            <w:tcW w:w="1000" w:type="dxa"/>
            <w:tcBorders>
              <w:top w:val="single" w:sz="4" w:space="0" w:color="auto"/>
              <w:left w:val="nil"/>
              <w:bottom w:val="nil"/>
              <w:right w:val="single" w:sz="4" w:space="0" w:color="auto"/>
            </w:tcBorders>
            <w:shd w:val="clear" w:color="auto" w:fill="DDEBF7"/>
            <w:noWrap/>
            <w:vAlign w:val="center"/>
            <w:hideMark/>
          </w:tcPr>
          <w:p w14:paraId="44A26328"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810</w:t>
            </w:r>
          </w:p>
        </w:tc>
        <w:tc>
          <w:tcPr>
            <w:tcW w:w="1016" w:type="dxa"/>
            <w:tcBorders>
              <w:top w:val="single" w:sz="4" w:space="0" w:color="auto"/>
              <w:left w:val="nil"/>
              <w:bottom w:val="nil"/>
              <w:right w:val="single" w:sz="4" w:space="0" w:color="auto"/>
            </w:tcBorders>
            <w:shd w:val="clear" w:color="auto" w:fill="DDEBF7"/>
            <w:noWrap/>
            <w:vAlign w:val="center"/>
            <w:hideMark/>
          </w:tcPr>
          <w:p w14:paraId="24C2DE82"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689</w:t>
            </w:r>
          </w:p>
        </w:tc>
        <w:tc>
          <w:tcPr>
            <w:tcW w:w="1016" w:type="dxa"/>
            <w:tcBorders>
              <w:top w:val="single" w:sz="4" w:space="0" w:color="auto"/>
              <w:left w:val="nil"/>
              <w:bottom w:val="nil"/>
              <w:right w:val="single" w:sz="4" w:space="0" w:color="auto"/>
            </w:tcBorders>
            <w:shd w:val="clear" w:color="auto" w:fill="auto"/>
            <w:noWrap/>
            <w:vAlign w:val="center"/>
            <w:hideMark/>
          </w:tcPr>
          <w:p w14:paraId="62DEE70F"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1,793</w:t>
            </w:r>
          </w:p>
        </w:tc>
        <w:tc>
          <w:tcPr>
            <w:tcW w:w="1016" w:type="dxa"/>
            <w:tcBorders>
              <w:top w:val="single" w:sz="4" w:space="0" w:color="auto"/>
              <w:left w:val="nil"/>
              <w:bottom w:val="nil"/>
              <w:right w:val="single" w:sz="4" w:space="0" w:color="auto"/>
            </w:tcBorders>
            <w:shd w:val="clear" w:color="auto" w:fill="auto"/>
            <w:noWrap/>
            <w:vAlign w:val="center"/>
            <w:hideMark/>
          </w:tcPr>
          <w:p w14:paraId="1C530F61"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2,705</w:t>
            </w:r>
          </w:p>
        </w:tc>
        <w:tc>
          <w:tcPr>
            <w:tcW w:w="1016" w:type="dxa"/>
            <w:tcBorders>
              <w:top w:val="single" w:sz="4" w:space="0" w:color="auto"/>
              <w:left w:val="nil"/>
              <w:bottom w:val="nil"/>
              <w:right w:val="single" w:sz="4" w:space="0" w:color="auto"/>
            </w:tcBorders>
            <w:shd w:val="clear" w:color="auto" w:fill="auto"/>
            <w:noWrap/>
            <w:vAlign w:val="center"/>
            <w:hideMark/>
          </w:tcPr>
          <w:p w14:paraId="3981C96A"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3,291</w:t>
            </w:r>
          </w:p>
        </w:tc>
        <w:tc>
          <w:tcPr>
            <w:tcW w:w="1016" w:type="dxa"/>
            <w:tcBorders>
              <w:top w:val="single" w:sz="4" w:space="0" w:color="auto"/>
              <w:left w:val="nil"/>
              <w:bottom w:val="nil"/>
              <w:right w:val="single" w:sz="4" w:space="0" w:color="auto"/>
            </w:tcBorders>
            <w:shd w:val="clear" w:color="auto" w:fill="auto"/>
            <w:noWrap/>
            <w:vAlign w:val="center"/>
            <w:hideMark/>
          </w:tcPr>
          <w:p w14:paraId="4318C4CB"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3,898</w:t>
            </w:r>
          </w:p>
        </w:tc>
      </w:tr>
      <w:tr w:rsidR="00747DE3" w:rsidRPr="00887BDF" w14:paraId="38135301" w14:textId="77777777" w:rsidTr="004C76A7">
        <w:trPr>
          <w:trHeight w:val="288"/>
        </w:trPr>
        <w:tc>
          <w:tcPr>
            <w:tcW w:w="3256" w:type="dxa"/>
            <w:tcBorders>
              <w:top w:val="nil"/>
              <w:left w:val="single" w:sz="4" w:space="0" w:color="auto"/>
              <w:bottom w:val="nil"/>
              <w:right w:val="single" w:sz="4" w:space="0" w:color="auto"/>
            </w:tcBorders>
            <w:shd w:val="clear" w:color="auto" w:fill="auto"/>
            <w:vAlign w:val="center"/>
            <w:hideMark/>
          </w:tcPr>
          <w:p w14:paraId="1A1117BA" w14:textId="77777777" w:rsidR="00747DE3" w:rsidRPr="004C76A7" w:rsidRDefault="00747DE3" w:rsidP="005C7D46">
            <w:pPr>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Minimum Revenue Provision</w:t>
            </w:r>
          </w:p>
        </w:tc>
        <w:tc>
          <w:tcPr>
            <w:tcW w:w="1000" w:type="dxa"/>
            <w:tcBorders>
              <w:top w:val="nil"/>
              <w:left w:val="nil"/>
              <w:bottom w:val="nil"/>
              <w:right w:val="single" w:sz="4" w:space="0" w:color="auto"/>
            </w:tcBorders>
            <w:shd w:val="clear" w:color="auto" w:fill="DDEBF7"/>
            <w:noWrap/>
            <w:vAlign w:val="center"/>
            <w:hideMark/>
          </w:tcPr>
          <w:p w14:paraId="1CC7F3AB"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2,819</w:t>
            </w:r>
          </w:p>
        </w:tc>
        <w:tc>
          <w:tcPr>
            <w:tcW w:w="1016" w:type="dxa"/>
            <w:tcBorders>
              <w:top w:val="nil"/>
              <w:left w:val="nil"/>
              <w:bottom w:val="nil"/>
              <w:right w:val="single" w:sz="4" w:space="0" w:color="auto"/>
            </w:tcBorders>
            <w:shd w:val="clear" w:color="auto" w:fill="DDEBF7"/>
            <w:noWrap/>
            <w:vAlign w:val="center"/>
            <w:hideMark/>
          </w:tcPr>
          <w:p w14:paraId="3DDBAA55"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2,836</w:t>
            </w:r>
          </w:p>
        </w:tc>
        <w:tc>
          <w:tcPr>
            <w:tcW w:w="1016" w:type="dxa"/>
            <w:tcBorders>
              <w:top w:val="nil"/>
              <w:left w:val="nil"/>
              <w:bottom w:val="nil"/>
              <w:right w:val="single" w:sz="4" w:space="0" w:color="auto"/>
            </w:tcBorders>
            <w:shd w:val="clear" w:color="auto" w:fill="auto"/>
            <w:noWrap/>
            <w:vAlign w:val="center"/>
            <w:hideMark/>
          </w:tcPr>
          <w:p w14:paraId="2F225619"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5,264</w:t>
            </w:r>
          </w:p>
        </w:tc>
        <w:tc>
          <w:tcPr>
            <w:tcW w:w="1016" w:type="dxa"/>
            <w:tcBorders>
              <w:top w:val="nil"/>
              <w:left w:val="nil"/>
              <w:bottom w:val="nil"/>
              <w:right w:val="single" w:sz="4" w:space="0" w:color="auto"/>
            </w:tcBorders>
            <w:shd w:val="clear" w:color="auto" w:fill="auto"/>
            <w:noWrap/>
            <w:vAlign w:val="center"/>
            <w:hideMark/>
          </w:tcPr>
          <w:p w14:paraId="534DC10B"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7,106</w:t>
            </w:r>
          </w:p>
        </w:tc>
        <w:tc>
          <w:tcPr>
            <w:tcW w:w="1016" w:type="dxa"/>
            <w:tcBorders>
              <w:top w:val="nil"/>
              <w:left w:val="nil"/>
              <w:bottom w:val="nil"/>
              <w:right w:val="single" w:sz="4" w:space="0" w:color="auto"/>
            </w:tcBorders>
            <w:shd w:val="clear" w:color="auto" w:fill="auto"/>
            <w:noWrap/>
            <w:vAlign w:val="center"/>
            <w:hideMark/>
          </w:tcPr>
          <w:p w14:paraId="68F3932B"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8,225</w:t>
            </w:r>
          </w:p>
        </w:tc>
        <w:tc>
          <w:tcPr>
            <w:tcW w:w="1016" w:type="dxa"/>
            <w:tcBorders>
              <w:top w:val="nil"/>
              <w:left w:val="nil"/>
              <w:bottom w:val="nil"/>
              <w:right w:val="single" w:sz="4" w:space="0" w:color="auto"/>
            </w:tcBorders>
            <w:shd w:val="clear" w:color="auto" w:fill="auto"/>
            <w:noWrap/>
            <w:vAlign w:val="center"/>
            <w:hideMark/>
          </w:tcPr>
          <w:p w14:paraId="6361C018"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9,086</w:t>
            </w:r>
          </w:p>
        </w:tc>
      </w:tr>
      <w:tr w:rsidR="00747DE3" w:rsidRPr="00887BDF" w14:paraId="7E9DF251" w14:textId="77777777" w:rsidTr="004C76A7">
        <w:trPr>
          <w:trHeight w:val="288"/>
        </w:trPr>
        <w:tc>
          <w:tcPr>
            <w:tcW w:w="3256" w:type="dxa"/>
            <w:tcBorders>
              <w:top w:val="nil"/>
              <w:left w:val="single" w:sz="4" w:space="0" w:color="auto"/>
              <w:bottom w:val="nil"/>
              <w:right w:val="single" w:sz="4" w:space="0" w:color="auto"/>
            </w:tcBorders>
            <w:shd w:val="clear" w:color="auto" w:fill="auto"/>
            <w:vAlign w:val="center"/>
            <w:hideMark/>
          </w:tcPr>
          <w:p w14:paraId="5864119F" w14:textId="116A193F" w:rsidR="00747DE3" w:rsidRPr="004C76A7" w:rsidRDefault="00747DE3" w:rsidP="005C7D46">
            <w:pPr>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Revenue Contribution to Capital</w:t>
            </w:r>
          </w:p>
        </w:tc>
        <w:tc>
          <w:tcPr>
            <w:tcW w:w="1000" w:type="dxa"/>
            <w:tcBorders>
              <w:top w:val="nil"/>
              <w:left w:val="nil"/>
              <w:bottom w:val="nil"/>
              <w:right w:val="single" w:sz="4" w:space="0" w:color="auto"/>
            </w:tcBorders>
            <w:shd w:val="clear" w:color="auto" w:fill="DDEBF7"/>
            <w:noWrap/>
            <w:vAlign w:val="center"/>
            <w:hideMark/>
          </w:tcPr>
          <w:p w14:paraId="1204ECD0"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1,000</w:t>
            </w:r>
          </w:p>
        </w:tc>
        <w:tc>
          <w:tcPr>
            <w:tcW w:w="1016" w:type="dxa"/>
            <w:tcBorders>
              <w:top w:val="nil"/>
              <w:left w:val="nil"/>
              <w:bottom w:val="nil"/>
              <w:right w:val="single" w:sz="4" w:space="0" w:color="auto"/>
            </w:tcBorders>
            <w:shd w:val="clear" w:color="auto" w:fill="DDEBF7"/>
            <w:noWrap/>
            <w:vAlign w:val="center"/>
            <w:hideMark/>
          </w:tcPr>
          <w:p w14:paraId="61FD9830"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1,066</w:t>
            </w:r>
          </w:p>
        </w:tc>
        <w:tc>
          <w:tcPr>
            <w:tcW w:w="1016" w:type="dxa"/>
            <w:tcBorders>
              <w:top w:val="nil"/>
              <w:left w:val="nil"/>
              <w:bottom w:val="nil"/>
              <w:right w:val="single" w:sz="4" w:space="0" w:color="auto"/>
            </w:tcBorders>
            <w:shd w:val="clear" w:color="auto" w:fill="auto"/>
            <w:noWrap/>
            <w:vAlign w:val="center"/>
            <w:hideMark/>
          </w:tcPr>
          <w:p w14:paraId="58C46538"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1,066</w:t>
            </w:r>
          </w:p>
        </w:tc>
        <w:tc>
          <w:tcPr>
            <w:tcW w:w="1016" w:type="dxa"/>
            <w:tcBorders>
              <w:top w:val="nil"/>
              <w:left w:val="nil"/>
              <w:bottom w:val="nil"/>
              <w:right w:val="single" w:sz="4" w:space="0" w:color="auto"/>
            </w:tcBorders>
            <w:shd w:val="clear" w:color="auto" w:fill="auto"/>
            <w:noWrap/>
            <w:vAlign w:val="center"/>
            <w:hideMark/>
          </w:tcPr>
          <w:p w14:paraId="016BF1E2"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1,066</w:t>
            </w:r>
          </w:p>
        </w:tc>
        <w:tc>
          <w:tcPr>
            <w:tcW w:w="1016" w:type="dxa"/>
            <w:tcBorders>
              <w:top w:val="nil"/>
              <w:left w:val="nil"/>
              <w:bottom w:val="nil"/>
              <w:right w:val="single" w:sz="4" w:space="0" w:color="auto"/>
            </w:tcBorders>
            <w:shd w:val="clear" w:color="auto" w:fill="auto"/>
            <w:noWrap/>
            <w:vAlign w:val="center"/>
            <w:hideMark/>
          </w:tcPr>
          <w:p w14:paraId="252B2B18"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1,066</w:t>
            </w:r>
          </w:p>
        </w:tc>
        <w:tc>
          <w:tcPr>
            <w:tcW w:w="1016" w:type="dxa"/>
            <w:tcBorders>
              <w:top w:val="nil"/>
              <w:left w:val="nil"/>
              <w:bottom w:val="nil"/>
              <w:right w:val="single" w:sz="4" w:space="0" w:color="auto"/>
            </w:tcBorders>
            <w:shd w:val="clear" w:color="auto" w:fill="auto"/>
            <w:noWrap/>
            <w:vAlign w:val="center"/>
            <w:hideMark/>
          </w:tcPr>
          <w:p w14:paraId="0420EFD8" w14:textId="77777777" w:rsidR="00747DE3" w:rsidRPr="004C76A7" w:rsidRDefault="00747DE3" w:rsidP="005C7D46">
            <w:pPr>
              <w:jc w:val="right"/>
              <w:rPr>
                <w:rFonts w:ascii="Calibri" w:eastAsia="Times New Roman" w:hAnsi="Calibri" w:cs="Calibri"/>
                <w:color w:val="000000"/>
                <w:sz w:val="22"/>
                <w:szCs w:val="22"/>
                <w:lang w:eastAsia="en-GB"/>
              </w:rPr>
            </w:pPr>
            <w:r w:rsidRPr="004C76A7">
              <w:rPr>
                <w:rFonts w:ascii="Calibri" w:eastAsia="Times New Roman" w:hAnsi="Calibri" w:cs="Calibri"/>
                <w:color w:val="000000"/>
                <w:sz w:val="22"/>
                <w:szCs w:val="22"/>
                <w:lang w:eastAsia="en-GB"/>
              </w:rPr>
              <w:t>1,066</w:t>
            </w:r>
          </w:p>
        </w:tc>
      </w:tr>
      <w:tr w:rsidR="00747DE3" w:rsidRPr="00887BDF" w14:paraId="640B4BC3" w14:textId="77777777" w:rsidTr="004C76A7">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60281" w14:textId="77777777" w:rsidR="00747DE3" w:rsidRPr="004C76A7" w:rsidRDefault="00747DE3" w:rsidP="005C7D46">
            <w:pPr>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Total</w:t>
            </w:r>
          </w:p>
        </w:tc>
        <w:tc>
          <w:tcPr>
            <w:tcW w:w="1000" w:type="dxa"/>
            <w:tcBorders>
              <w:top w:val="single" w:sz="4" w:space="0" w:color="auto"/>
              <w:left w:val="nil"/>
              <w:bottom w:val="single" w:sz="4" w:space="0" w:color="auto"/>
              <w:right w:val="single" w:sz="4" w:space="0" w:color="auto"/>
            </w:tcBorders>
            <w:shd w:val="clear" w:color="auto" w:fill="DDEBF7"/>
            <w:noWrap/>
            <w:vAlign w:val="center"/>
            <w:hideMark/>
          </w:tcPr>
          <w:p w14:paraId="407ACE7A" w14:textId="77777777" w:rsidR="00747DE3" w:rsidRPr="004C76A7" w:rsidRDefault="00747DE3" w:rsidP="005C7D46">
            <w:pPr>
              <w:jc w:val="right"/>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4,629</w:t>
            </w:r>
          </w:p>
        </w:tc>
        <w:tc>
          <w:tcPr>
            <w:tcW w:w="1016" w:type="dxa"/>
            <w:tcBorders>
              <w:top w:val="single" w:sz="4" w:space="0" w:color="auto"/>
              <w:left w:val="nil"/>
              <w:bottom w:val="single" w:sz="4" w:space="0" w:color="auto"/>
              <w:right w:val="single" w:sz="4" w:space="0" w:color="auto"/>
            </w:tcBorders>
            <w:shd w:val="clear" w:color="auto" w:fill="DDEBF7"/>
            <w:noWrap/>
            <w:vAlign w:val="center"/>
            <w:hideMark/>
          </w:tcPr>
          <w:p w14:paraId="42500054" w14:textId="77777777" w:rsidR="00747DE3" w:rsidRPr="004C76A7" w:rsidRDefault="00747DE3" w:rsidP="005C7D46">
            <w:pPr>
              <w:jc w:val="right"/>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5,860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2296079" w14:textId="77777777" w:rsidR="00747DE3" w:rsidRPr="004C76A7" w:rsidRDefault="00747DE3" w:rsidP="005C7D46">
            <w:pPr>
              <w:jc w:val="right"/>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7,901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866C025" w14:textId="77777777" w:rsidR="00747DE3" w:rsidRPr="004C76A7" w:rsidRDefault="00747DE3" w:rsidP="005C7D46">
            <w:pPr>
              <w:jc w:val="right"/>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7,311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8E64280" w14:textId="77777777" w:rsidR="00747DE3" w:rsidRPr="004C76A7" w:rsidRDefault="00747DE3" w:rsidP="005C7D46">
            <w:pPr>
              <w:jc w:val="right"/>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8,901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34921A64" w14:textId="77777777" w:rsidR="00747DE3" w:rsidRPr="004C76A7" w:rsidRDefault="00747DE3" w:rsidP="005C7D46">
            <w:pPr>
              <w:jc w:val="right"/>
              <w:rPr>
                <w:rFonts w:ascii="Calibri" w:eastAsia="Times New Roman" w:hAnsi="Calibri" w:cs="Calibri"/>
                <w:b/>
                <w:bCs/>
                <w:color w:val="000000"/>
                <w:sz w:val="22"/>
                <w:szCs w:val="22"/>
                <w:lang w:eastAsia="en-GB"/>
              </w:rPr>
            </w:pPr>
            <w:r w:rsidRPr="004C76A7">
              <w:rPr>
                <w:rFonts w:ascii="Calibri" w:eastAsia="Times New Roman" w:hAnsi="Calibri" w:cs="Calibri"/>
                <w:b/>
                <w:bCs/>
                <w:color w:val="000000"/>
                <w:sz w:val="22"/>
                <w:szCs w:val="22"/>
                <w:lang w:eastAsia="en-GB"/>
              </w:rPr>
              <w:t>8,901</w:t>
            </w:r>
          </w:p>
        </w:tc>
      </w:tr>
    </w:tbl>
    <w:p w14:paraId="7ED47EBC" w14:textId="384542E9" w:rsidR="00AB1874" w:rsidRDefault="00AB1874" w:rsidP="0036463E">
      <w:pPr>
        <w:jc w:val="both"/>
        <w:rPr>
          <w:rFonts w:cstheme="minorHAnsi"/>
        </w:rPr>
      </w:pPr>
    </w:p>
    <w:p w14:paraId="498E5726" w14:textId="422772FE" w:rsidR="00F436C6" w:rsidRPr="00F436C6" w:rsidRDefault="00AB1874" w:rsidP="004C76A7">
      <w:pPr>
        <w:pStyle w:val="ListParagraph"/>
      </w:pPr>
      <w:r w:rsidRPr="00AB1874">
        <w:t>These budgets and forecasts will be updated in the Treasury Management Strategy each year to take into account changes to the capital programme, prevailing interest rates and other variations to available funding.</w:t>
      </w:r>
    </w:p>
    <w:p w14:paraId="53F16A35" w14:textId="77777777" w:rsidR="004C76A7" w:rsidRDefault="002F5416" w:rsidP="004C76A7">
      <w:pPr>
        <w:pStyle w:val="ListParagraph"/>
      </w:pPr>
      <w:r w:rsidRPr="00DA0506">
        <w:lastRenderedPageBreak/>
        <w:t xml:space="preserve">The </w:t>
      </w:r>
      <w:r w:rsidRPr="004C76A7">
        <w:t>Statutory</w:t>
      </w:r>
      <w:r w:rsidRPr="00DA0506">
        <w:t xml:space="preserve"> Guidance issued by the </w:t>
      </w:r>
      <w:r w:rsidR="00B93416">
        <w:t>MH</w:t>
      </w:r>
      <w:r w:rsidRPr="00DA0506">
        <w:t>CLG sets out the options for calculating the MRP.</w:t>
      </w:r>
      <w:r w:rsidR="00DA0506" w:rsidRPr="00DA0506">
        <w:t xml:space="preserve">  </w:t>
      </w:r>
      <w:r w:rsidRPr="00DA0506">
        <w:t>The recommended MRP policy is</w:t>
      </w:r>
      <w:r w:rsidR="00DA0506" w:rsidRPr="00DA0506">
        <w:t>:</w:t>
      </w:r>
    </w:p>
    <w:p w14:paraId="7FE39315" w14:textId="77777777" w:rsidR="000A598F" w:rsidRPr="000A598F" w:rsidRDefault="000A598F" w:rsidP="000A598F">
      <w:pPr>
        <w:pStyle w:val="subpara"/>
      </w:pPr>
      <w:r w:rsidRPr="000A598F">
        <w:t>For capital expenditure incurred before the 1st April 2008 the policy is based on the 4% reducing balance method, as required under statute.</w:t>
      </w:r>
    </w:p>
    <w:p w14:paraId="66F1ECCA" w14:textId="77777777" w:rsidR="004C76A7" w:rsidRDefault="002F5416" w:rsidP="004C76A7">
      <w:pPr>
        <w:pStyle w:val="subpara"/>
      </w:pPr>
      <w:r w:rsidRPr="00007863">
        <w:t>From the 1st April 2008 for all unsupported borrowing the MRP policy will be the Asset Life Method (Equal instalment approach) – the MRP will</w:t>
      </w:r>
      <w:r w:rsidR="00DA0506" w:rsidRPr="00007863">
        <w:t xml:space="preserve"> </w:t>
      </w:r>
      <w:r w:rsidRPr="00007863">
        <w:t>be based on the estimated life of the assets.</w:t>
      </w:r>
    </w:p>
    <w:p w14:paraId="52D5FA6D" w14:textId="1A205F3A" w:rsidR="002F5416" w:rsidRPr="00007863" w:rsidRDefault="002F5416" w:rsidP="004C76A7">
      <w:pPr>
        <w:pStyle w:val="subpara"/>
      </w:pPr>
      <w:r w:rsidRPr="00007863">
        <w:t xml:space="preserve">The Commissioner’s policy is to finance shorter life assets from capital receipts, grants and revenue contributions. </w:t>
      </w:r>
      <w:r w:rsidR="00007863" w:rsidRPr="00007863">
        <w:t xml:space="preserve"> </w:t>
      </w:r>
      <w:r w:rsidRPr="00007863">
        <w:t xml:space="preserve">Where possible, borrowing is reserved generally for Land </w:t>
      </w:r>
      <w:r w:rsidR="00007863" w:rsidRPr="00007863">
        <w:t>&amp;</w:t>
      </w:r>
      <w:r w:rsidRPr="00007863">
        <w:t xml:space="preserve"> Buildings</w:t>
      </w:r>
      <w:r w:rsidR="00007863" w:rsidRPr="00007863">
        <w:t>,</w:t>
      </w:r>
      <w:r w:rsidRPr="00007863">
        <w:t xml:space="preserve"> or </w:t>
      </w:r>
      <w:r w:rsidR="00007863" w:rsidRPr="00007863">
        <w:t>F</w:t>
      </w:r>
      <w:r w:rsidRPr="00007863">
        <w:t xml:space="preserve">leet and </w:t>
      </w:r>
      <w:r w:rsidR="00007863" w:rsidRPr="00007863">
        <w:t>D</w:t>
      </w:r>
      <w:r w:rsidRPr="00007863">
        <w:t xml:space="preserve">igital projects which cannot be financed from the PFCC’s own resources. </w:t>
      </w:r>
    </w:p>
    <w:p w14:paraId="14043173" w14:textId="1946E6C7" w:rsidR="005F7FC8" w:rsidRPr="005F7FC8" w:rsidRDefault="002F5416" w:rsidP="004C76A7">
      <w:pPr>
        <w:pStyle w:val="ListParagraph"/>
      </w:pPr>
      <w:r w:rsidRPr="00007863">
        <w:t xml:space="preserve">The PFCC’s cumulative outstanding ‘debt finance’ is measured by the </w:t>
      </w:r>
      <w:r w:rsidR="00007863">
        <w:t>C</w:t>
      </w:r>
      <w:r w:rsidRPr="00007863">
        <w:t xml:space="preserve">apital </w:t>
      </w:r>
      <w:r w:rsidR="00007863">
        <w:t>F</w:t>
      </w:r>
      <w:r w:rsidRPr="00007863">
        <w:t>inancing</w:t>
      </w:r>
      <w:r w:rsidRPr="002F5416">
        <w:t xml:space="preserve"> </w:t>
      </w:r>
      <w:r w:rsidR="00007863">
        <w:t>R</w:t>
      </w:r>
      <w:r w:rsidRPr="002F5416">
        <w:t xml:space="preserve">equirement (CFR). </w:t>
      </w:r>
      <w:r w:rsidR="00007863">
        <w:t xml:space="preserve"> </w:t>
      </w:r>
      <w:r w:rsidRPr="002F5416">
        <w:t>This increases with new debt-financed capital expenditure and reduces with MRP repayments and capital receipts used to replace debt.</w:t>
      </w:r>
    </w:p>
    <w:p w14:paraId="4C72A540" w14:textId="2EEB5103" w:rsidR="000F7A16" w:rsidRPr="009A59FF" w:rsidRDefault="005F7FC8" w:rsidP="0012005A">
      <w:pPr>
        <w:pStyle w:val="ListParagraph"/>
      </w:pPr>
      <w:r w:rsidRPr="002F5416">
        <w:t xml:space="preserve">Projected levels of the PFCC’s total outstanding debt (which comprises borrowing and leases) are shown below, </w:t>
      </w:r>
      <w:r>
        <w:t>along</w:t>
      </w:r>
      <w:r w:rsidRPr="002F5416">
        <w:t xml:space="preserve"> with the capital financing requirement</w:t>
      </w:r>
      <w:r>
        <w:t>:</w:t>
      </w:r>
    </w:p>
    <w:p w14:paraId="303643BA" w14:textId="09A88847" w:rsidR="000F7A16" w:rsidRPr="004C76A7" w:rsidRDefault="000F7A16" w:rsidP="000F7A16">
      <w:pPr>
        <w:jc w:val="both"/>
        <w:rPr>
          <w:rFonts w:cstheme="minorHAnsi"/>
          <w:i/>
          <w:iCs/>
          <w:sz w:val="22"/>
          <w:szCs w:val="22"/>
        </w:rPr>
      </w:pPr>
      <w:r w:rsidRPr="004C76A7">
        <w:rPr>
          <w:rFonts w:cstheme="minorHAnsi"/>
          <w:i/>
          <w:iCs/>
          <w:sz w:val="22"/>
          <w:szCs w:val="22"/>
        </w:rPr>
        <w:t>Table 4: Capital Financing Requirement (Borrowing)</w:t>
      </w:r>
    </w:p>
    <w:tbl>
      <w:tblPr>
        <w:tblW w:w="9493" w:type="dxa"/>
        <w:tblLayout w:type="fixed"/>
        <w:tblLook w:val="04A0" w:firstRow="1" w:lastRow="0" w:firstColumn="1" w:lastColumn="0" w:noHBand="0" w:noVBand="1"/>
      </w:tblPr>
      <w:tblGrid>
        <w:gridCol w:w="3256"/>
        <w:gridCol w:w="1039"/>
        <w:gridCol w:w="1040"/>
        <w:gridCol w:w="1039"/>
        <w:gridCol w:w="1040"/>
        <w:gridCol w:w="1039"/>
        <w:gridCol w:w="1040"/>
      </w:tblGrid>
      <w:tr w:rsidR="00A17E78" w:rsidRPr="00BA474A" w14:paraId="600F8423" w14:textId="77777777" w:rsidTr="00A8368C">
        <w:trPr>
          <w:trHeight w:val="720"/>
        </w:trPr>
        <w:tc>
          <w:tcPr>
            <w:tcW w:w="3256" w:type="dxa"/>
            <w:tcBorders>
              <w:top w:val="single" w:sz="4" w:space="0" w:color="auto"/>
              <w:left w:val="single" w:sz="4" w:space="0" w:color="auto"/>
              <w:bottom w:val="nil"/>
              <w:right w:val="single" w:sz="4" w:space="0" w:color="auto"/>
            </w:tcBorders>
            <w:shd w:val="clear" w:color="auto" w:fill="auto"/>
            <w:vAlign w:val="center"/>
            <w:hideMark/>
          </w:tcPr>
          <w:p w14:paraId="519C7185" w14:textId="77777777" w:rsidR="004C76A7" w:rsidRPr="00A17E78" w:rsidRDefault="004C76A7" w:rsidP="005C7D46">
            <w:pP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br/>
              <w:t>Forecast Borrowing and Investment Balances</w:t>
            </w:r>
          </w:p>
        </w:tc>
        <w:tc>
          <w:tcPr>
            <w:tcW w:w="1039" w:type="dxa"/>
            <w:tcBorders>
              <w:top w:val="single" w:sz="4" w:space="0" w:color="auto"/>
              <w:left w:val="nil"/>
              <w:bottom w:val="nil"/>
              <w:right w:val="single" w:sz="4" w:space="0" w:color="auto"/>
            </w:tcBorders>
            <w:shd w:val="clear" w:color="auto" w:fill="DDEBF7"/>
            <w:vAlign w:val="center"/>
            <w:hideMark/>
          </w:tcPr>
          <w:p w14:paraId="79BBDEAB" w14:textId="1690FA86" w:rsidR="004C76A7" w:rsidRPr="00A17E78" w:rsidRDefault="004C76A7" w:rsidP="005C7D46">
            <w:pPr>
              <w:jc w:val="right"/>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2025/26</w:t>
            </w:r>
            <w:r w:rsidRPr="00A17E78">
              <w:rPr>
                <w:rFonts w:ascii="Calibri" w:eastAsia="Times New Roman" w:hAnsi="Calibri" w:cs="Calibri"/>
                <w:b/>
                <w:bCs/>
                <w:sz w:val="22"/>
                <w:szCs w:val="22"/>
                <w:lang w:eastAsia="en-GB"/>
              </w:rPr>
              <w:br/>
              <w:t>Forecast</w:t>
            </w:r>
            <w:r w:rsidRPr="00A17E78">
              <w:rPr>
                <w:rFonts w:ascii="Calibri" w:eastAsia="Times New Roman" w:hAnsi="Calibri" w:cs="Calibri"/>
                <w:b/>
                <w:bCs/>
                <w:sz w:val="22"/>
                <w:szCs w:val="22"/>
                <w:lang w:eastAsia="en-GB"/>
              </w:rPr>
              <w:br/>
              <w:t>£'000</w:t>
            </w:r>
          </w:p>
        </w:tc>
        <w:tc>
          <w:tcPr>
            <w:tcW w:w="1040" w:type="dxa"/>
            <w:tcBorders>
              <w:top w:val="single" w:sz="4" w:space="0" w:color="auto"/>
              <w:left w:val="nil"/>
              <w:bottom w:val="nil"/>
              <w:right w:val="single" w:sz="4" w:space="0" w:color="auto"/>
            </w:tcBorders>
            <w:shd w:val="clear" w:color="auto" w:fill="DDEBF7"/>
            <w:vAlign w:val="center"/>
            <w:hideMark/>
          </w:tcPr>
          <w:p w14:paraId="375A40C8" w14:textId="18BF6970" w:rsidR="004C76A7" w:rsidRPr="00A17E78" w:rsidRDefault="004C76A7" w:rsidP="005C7D46">
            <w:pPr>
              <w:jc w:val="right"/>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2026/27</w:t>
            </w:r>
            <w:r w:rsidRPr="00A17E78">
              <w:rPr>
                <w:rFonts w:ascii="Calibri" w:eastAsia="Times New Roman" w:hAnsi="Calibri" w:cs="Calibri"/>
                <w:b/>
                <w:bCs/>
                <w:sz w:val="22"/>
                <w:szCs w:val="22"/>
                <w:lang w:eastAsia="en-GB"/>
              </w:rPr>
              <w:br/>
              <w:t>Budget</w:t>
            </w:r>
            <w:r w:rsidRPr="00A17E78">
              <w:rPr>
                <w:rFonts w:ascii="Calibri" w:eastAsia="Times New Roman" w:hAnsi="Calibri" w:cs="Calibri"/>
                <w:b/>
                <w:bCs/>
                <w:sz w:val="22"/>
                <w:szCs w:val="22"/>
                <w:lang w:eastAsia="en-GB"/>
              </w:rPr>
              <w:br/>
              <w:t>£'000</w:t>
            </w:r>
          </w:p>
        </w:tc>
        <w:tc>
          <w:tcPr>
            <w:tcW w:w="1039" w:type="dxa"/>
            <w:tcBorders>
              <w:top w:val="single" w:sz="4" w:space="0" w:color="auto"/>
              <w:left w:val="nil"/>
              <w:bottom w:val="nil"/>
              <w:right w:val="single" w:sz="4" w:space="0" w:color="auto"/>
            </w:tcBorders>
            <w:shd w:val="clear" w:color="auto" w:fill="FFFFFF" w:themeFill="background1"/>
            <w:vAlign w:val="center"/>
            <w:hideMark/>
          </w:tcPr>
          <w:p w14:paraId="1C73F979" w14:textId="4341EA4B" w:rsidR="004C76A7" w:rsidRPr="00A17E78" w:rsidRDefault="004C76A7" w:rsidP="005C7D46">
            <w:pPr>
              <w:jc w:val="right"/>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2027/28</w:t>
            </w:r>
            <w:r w:rsidRPr="00A17E78">
              <w:rPr>
                <w:rFonts w:ascii="Calibri" w:eastAsia="Times New Roman" w:hAnsi="Calibri" w:cs="Calibri"/>
                <w:b/>
                <w:bCs/>
                <w:sz w:val="22"/>
                <w:szCs w:val="22"/>
                <w:lang w:eastAsia="en-GB"/>
              </w:rPr>
              <w:br/>
              <w:t>Estimat</w:t>
            </w:r>
            <w:r w:rsidR="00A17E78">
              <w:rPr>
                <w:rFonts w:ascii="Calibri" w:eastAsia="Times New Roman" w:hAnsi="Calibri" w:cs="Calibri"/>
                <w:b/>
                <w:bCs/>
                <w:sz w:val="22"/>
                <w:szCs w:val="22"/>
                <w:lang w:eastAsia="en-GB"/>
              </w:rPr>
              <w:t>e</w:t>
            </w:r>
            <w:r w:rsidRPr="00A17E78">
              <w:rPr>
                <w:rFonts w:ascii="Calibri" w:eastAsia="Times New Roman" w:hAnsi="Calibri" w:cs="Calibri"/>
                <w:b/>
                <w:bCs/>
                <w:sz w:val="22"/>
                <w:szCs w:val="22"/>
                <w:lang w:eastAsia="en-GB"/>
              </w:rPr>
              <w:br/>
              <w:t>£'000</w:t>
            </w:r>
          </w:p>
        </w:tc>
        <w:tc>
          <w:tcPr>
            <w:tcW w:w="1040" w:type="dxa"/>
            <w:tcBorders>
              <w:top w:val="single" w:sz="4" w:space="0" w:color="auto"/>
              <w:left w:val="nil"/>
              <w:bottom w:val="nil"/>
              <w:right w:val="single" w:sz="4" w:space="0" w:color="auto"/>
            </w:tcBorders>
            <w:shd w:val="clear" w:color="auto" w:fill="FFFFFF" w:themeFill="background1"/>
            <w:vAlign w:val="center"/>
            <w:hideMark/>
          </w:tcPr>
          <w:p w14:paraId="28364F01" w14:textId="52C61497" w:rsidR="004C76A7" w:rsidRPr="00A17E78" w:rsidRDefault="004C76A7" w:rsidP="005C7D46">
            <w:pPr>
              <w:jc w:val="right"/>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2028/29</w:t>
            </w:r>
            <w:r w:rsidRPr="00A17E78">
              <w:rPr>
                <w:rFonts w:ascii="Calibri" w:eastAsia="Times New Roman" w:hAnsi="Calibri" w:cs="Calibri"/>
                <w:b/>
                <w:bCs/>
                <w:sz w:val="22"/>
                <w:szCs w:val="22"/>
                <w:lang w:eastAsia="en-GB"/>
              </w:rPr>
              <w:br/>
              <w:t>Estimate</w:t>
            </w:r>
            <w:r w:rsidRPr="00A17E78">
              <w:rPr>
                <w:rFonts w:ascii="Calibri" w:eastAsia="Times New Roman" w:hAnsi="Calibri" w:cs="Calibri"/>
                <w:b/>
                <w:bCs/>
                <w:sz w:val="22"/>
                <w:szCs w:val="22"/>
                <w:lang w:eastAsia="en-GB"/>
              </w:rPr>
              <w:br/>
              <w:t>£'000</w:t>
            </w:r>
          </w:p>
        </w:tc>
        <w:tc>
          <w:tcPr>
            <w:tcW w:w="1039" w:type="dxa"/>
            <w:tcBorders>
              <w:top w:val="single" w:sz="4" w:space="0" w:color="auto"/>
              <w:left w:val="nil"/>
              <w:bottom w:val="nil"/>
              <w:right w:val="single" w:sz="4" w:space="0" w:color="auto"/>
            </w:tcBorders>
            <w:shd w:val="clear" w:color="auto" w:fill="FFFFFF" w:themeFill="background1"/>
            <w:vAlign w:val="center"/>
            <w:hideMark/>
          </w:tcPr>
          <w:p w14:paraId="4681AE1B" w14:textId="1410BA6D" w:rsidR="004C76A7" w:rsidRPr="00A17E78" w:rsidRDefault="004C76A7" w:rsidP="005C7D46">
            <w:pPr>
              <w:jc w:val="right"/>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2029/30</w:t>
            </w:r>
            <w:r w:rsidRPr="00A17E78">
              <w:rPr>
                <w:rFonts w:ascii="Calibri" w:eastAsia="Times New Roman" w:hAnsi="Calibri" w:cs="Calibri"/>
                <w:b/>
                <w:bCs/>
                <w:sz w:val="22"/>
                <w:szCs w:val="22"/>
                <w:lang w:eastAsia="en-GB"/>
              </w:rPr>
              <w:br/>
              <w:t>Estimate</w:t>
            </w:r>
            <w:r w:rsidRPr="00A17E78">
              <w:rPr>
                <w:rFonts w:ascii="Calibri" w:eastAsia="Times New Roman" w:hAnsi="Calibri" w:cs="Calibri"/>
                <w:b/>
                <w:bCs/>
                <w:sz w:val="22"/>
                <w:szCs w:val="22"/>
                <w:lang w:eastAsia="en-GB"/>
              </w:rPr>
              <w:br/>
              <w:t>£'000</w:t>
            </w:r>
          </w:p>
        </w:tc>
        <w:tc>
          <w:tcPr>
            <w:tcW w:w="1040" w:type="dxa"/>
            <w:tcBorders>
              <w:top w:val="single" w:sz="4" w:space="0" w:color="auto"/>
              <w:left w:val="nil"/>
              <w:bottom w:val="nil"/>
              <w:right w:val="single" w:sz="4" w:space="0" w:color="auto"/>
            </w:tcBorders>
            <w:shd w:val="clear" w:color="auto" w:fill="FFFFFF" w:themeFill="background1"/>
            <w:vAlign w:val="center"/>
            <w:hideMark/>
          </w:tcPr>
          <w:p w14:paraId="78012C5B" w14:textId="60CCABB5" w:rsidR="004C76A7" w:rsidRPr="00A17E78" w:rsidRDefault="004C76A7" w:rsidP="005C7D46">
            <w:pPr>
              <w:jc w:val="right"/>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2030/31</w:t>
            </w:r>
            <w:r w:rsidRPr="00A17E78">
              <w:rPr>
                <w:rFonts w:ascii="Calibri" w:eastAsia="Times New Roman" w:hAnsi="Calibri" w:cs="Calibri"/>
                <w:b/>
                <w:bCs/>
                <w:sz w:val="22"/>
                <w:szCs w:val="22"/>
                <w:lang w:eastAsia="en-GB"/>
              </w:rPr>
              <w:br/>
              <w:t>Estimate</w:t>
            </w:r>
            <w:r w:rsidRPr="00A17E78">
              <w:rPr>
                <w:rFonts w:ascii="Calibri" w:eastAsia="Times New Roman" w:hAnsi="Calibri" w:cs="Calibri"/>
                <w:b/>
                <w:bCs/>
                <w:sz w:val="22"/>
                <w:szCs w:val="22"/>
                <w:lang w:eastAsia="en-GB"/>
              </w:rPr>
              <w:br/>
              <w:t>£'000</w:t>
            </w:r>
          </w:p>
        </w:tc>
      </w:tr>
      <w:tr w:rsidR="00A17E78" w:rsidRPr="00BA474A" w14:paraId="5FDD070A" w14:textId="77777777" w:rsidTr="00A8368C">
        <w:trPr>
          <w:trHeight w:val="288"/>
        </w:trPr>
        <w:tc>
          <w:tcPr>
            <w:tcW w:w="3256" w:type="dxa"/>
            <w:tcBorders>
              <w:top w:val="nil"/>
              <w:left w:val="single" w:sz="4" w:space="0" w:color="auto"/>
              <w:bottom w:val="nil"/>
              <w:right w:val="single" w:sz="4" w:space="0" w:color="auto"/>
            </w:tcBorders>
            <w:shd w:val="clear" w:color="auto" w:fill="auto"/>
            <w:noWrap/>
            <w:vAlign w:val="center"/>
            <w:hideMark/>
          </w:tcPr>
          <w:p w14:paraId="4E4D0DE7"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39" w:type="dxa"/>
            <w:tcBorders>
              <w:top w:val="nil"/>
              <w:left w:val="nil"/>
              <w:bottom w:val="nil"/>
              <w:right w:val="single" w:sz="4" w:space="0" w:color="auto"/>
            </w:tcBorders>
            <w:shd w:val="clear" w:color="auto" w:fill="DDEBF7"/>
            <w:noWrap/>
            <w:vAlign w:val="center"/>
            <w:hideMark/>
          </w:tcPr>
          <w:p w14:paraId="7D1B32ED"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40" w:type="dxa"/>
            <w:tcBorders>
              <w:top w:val="nil"/>
              <w:left w:val="nil"/>
              <w:bottom w:val="nil"/>
              <w:right w:val="single" w:sz="4" w:space="0" w:color="auto"/>
            </w:tcBorders>
            <w:shd w:val="clear" w:color="auto" w:fill="DDEBF7"/>
            <w:noWrap/>
            <w:vAlign w:val="center"/>
            <w:hideMark/>
          </w:tcPr>
          <w:p w14:paraId="177DB067"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39" w:type="dxa"/>
            <w:tcBorders>
              <w:top w:val="nil"/>
              <w:left w:val="nil"/>
              <w:bottom w:val="nil"/>
              <w:right w:val="single" w:sz="4" w:space="0" w:color="auto"/>
            </w:tcBorders>
            <w:shd w:val="clear" w:color="auto" w:fill="auto"/>
            <w:noWrap/>
            <w:vAlign w:val="center"/>
            <w:hideMark/>
          </w:tcPr>
          <w:p w14:paraId="4BE50E19"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40" w:type="dxa"/>
            <w:tcBorders>
              <w:top w:val="nil"/>
              <w:left w:val="nil"/>
              <w:bottom w:val="nil"/>
              <w:right w:val="single" w:sz="4" w:space="0" w:color="auto"/>
            </w:tcBorders>
            <w:shd w:val="clear" w:color="auto" w:fill="auto"/>
            <w:noWrap/>
            <w:vAlign w:val="center"/>
            <w:hideMark/>
          </w:tcPr>
          <w:p w14:paraId="2D5AB524"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39" w:type="dxa"/>
            <w:tcBorders>
              <w:top w:val="nil"/>
              <w:left w:val="nil"/>
              <w:bottom w:val="nil"/>
              <w:right w:val="single" w:sz="4" w:space="0" w:color="auto"/>
            </w:tcBorders>
            <w:shd w:val="clear" w:color="auto" w:fill="auto"/>
            <w:noWrap/>
            <w:vAlign w:val="center"/>
            <w:hideMark/>
          </w:tcPr>
          <w:p w14:paraId="0BE3FAAD"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40" w:type="dxa"/>
            <w:tcBorders>
              <w:top w:val="nil"/>
              <w:left w:val="nil"/>
              <w:bottom w:val="nil"/>
              <w:right w:val="single" w:sz="4" w:space="0" w:color="auto"/>
            </w:tcBorders>
            <w:shd w:val="clear" w:color="auto" w:fill="auto"/>
            <w:noWrap/>
            <w:vAlign w:val="center"/>
            <w:hideMark/>
          </w:tcPr>
          <w:p w14:paraId="44147519"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r>
      <w:tr w:rsidR="00A17E78" w:rsidRPr="00BA474A" w14:paraId="6190FCCB" w14:textId="77777777" w:rsidTr="00A8368C">
        <w:trPr>
          <w:trHeight w:val="492"/>
        </w:trPr>
        <w:tc>
          <w:tcPr>
            <w:tcW w:w="3256" w:type="dxa"/>
            <w:tcBorders>
              <w:top w:val="single" w:sz="4" w:space="0" w:color="auto"/>
              <w:left w:val="single" w:sz="4" w:space="0" w:color="auto"/>
              <w:bottom w:val="nil"/>
              <w:right w:val="single" w:sz="4" w:space="0" w:color="auto"/>
            </w:tcBorders>
            <w:shd w:val="clear" w:color="auto" w:fill="auto"/>
            <w:noWrap/>
            <w:vAlign w:val="center"/>
            <w:hideMark/>
          </w:tcPr>
          <w:p w14:paraId="3D63E4FF"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External Borrowing at 1st April b/</w:t>
            </w:r>
            <w:proofErr w:type="spellStart"/>
            <w:r w:rsidRPr="00A17E78">
              <w:rPr>
                <w:rFonts w:ascii="Calibri" w:eastAsia="Times New Roman" w:hAnsi="Calibri" w:cs="Calibri"/>
                <w:color w:val="000000"/>
                <w:sz w:val="22"/>
                <w:szCs w:val="22"/>
                <w:lang w:eastAsia="en-GB"/>
              </w:rPr>
              <w:t>fwd</w:t>
            </w:r>
            <w:proofErr w:type="spellEnd"/>
          </w:p>
        </w:tc>
        <w:tc>
          <w:tcPr>
            <w:tcW w:w="1039" w:type="dxa"/>
            <w:tcBorders>
              <w:top w:val="single" w:sz="4" w:space="0" w:color="auto"/>
              <w:left w:val="nil"/>
              <w:bottom w:val="nil"/>
              <w:right w:val="single" w:sz="4" w:space="0" w:color="auto"/>
            </w:tcBorders>
            <w:shd w:val="clear" w:color="auto" w:fill="DDEBF7"/>
            <w:noWrap/>
            <w:vAlign w:val="center"/>
            <w:hideMark/>
          </w:tcPr>
          <w:p w14:paraId="3C54E6B9"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22,200</w:t>
            </w:r>
          </w:p>
        </w:tc>
        <w:tc>
          <w:tcPr>
            <w:tcW w:w="1040" w:type="dxa"/>
            <w:tcBorders>
              <w:top w:val="single" w:sz="4" w:space="0" w:color="auto"/>
              <w:left w:val="nil"/>
              <w:bottom w:val="nil"/>
              <w:right w:val="single" w:sz="4" w:space="0" w:color="auto"/>
            </w:tcBorders>
            <w:shd w:val="clear" w:color="auto" w:fill="DDEBF7"/>
            <w:noWrap/>
            <w:vAlign w:val="center"/>
            <w:hideMark/>
          </w:tcPr>
          <w:p w14:paraId="20242A1D"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23,881</w:t>
            </w:r>
          </w:p>
        </w:tc>
        <w:tc>
          <w:tcPr>
            <w:tcW w:w="1039" w:type="dxa"/>
            <w:tcBorders>
              <w:top w:val="single" w:sz="4" w:space="0" w:color="auto"/>
              <w:left w:val="nil"/>
              <w:bottom w:val="nil"/>
              <w:right w:val="single" w:sz="4" w:space="0" w:color="auto"/>
            </w:tcBorders>
            <w:shd w:val="clear" w:color="auto" w:fill="auto"/>
            <w:noWrap/>
            <w:vAlign w:val="center"/>
            <w:hideMark/>
          </w:tcPr>
          <w:p w14:paraId="26706B62"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49,271</w:t>
            </w:r>
          </w:p>
        </w:tc>
        <w:tc>
          <w:tcPr>
            <w:tcW w:w="1040" w:type="dxa"/>
            <w:tcBorders>
              <w:top w:val="single" w:sz="4" w:space="0" w:color="auto"/>
              <w:left w:val="nil"/>
              <w:bottom w:val="nil"/>
              <w:right w:val="single" w:sz="4" w:space="0" w:color="auto"/>
            </w:tcBorders>
            <w:shd w:val="clear" w:color="auto" w:fill="auto"/>
            <w:noWrap/>
            <w:vAlign w:val="center"/>
            <w:hideMark/>
          </w:tcPr>
          <w:p w14:paraId="41D46811"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69,518</w:t>
            </w:r>
          </w:p>
        </w:tc>
        <w:tc>
          <w:tcPr>
            <w:tcW w:w="1039" w:type="dxa"/>
            <w:tcBorders>
              <w:top w:val="single" w:sz="4" w:space="0" w:color="auto"/>
              <w:left w:val="nil"/>
              <w:bottom w:val="nil"/>
              <w:right w:val="single" w:sz="4" w:space="0" w:color="auto"/>
            </w:tcBorders>
            <w:shd w:val="clear" w:color="auto" w:fill="auto"/>
            <w:noWrap/>
            <w:vAlign w:val="center"/>
            <w:hideMark/>
          </w:tcPr>
          <w:p w14:paraId="0CA9295F"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76,270</w:t>
            </w:r>
          </w:p>
        </w:tc>
        <w:tc>
          <w:tcPr>
            <w:tcW w:w="1040" w:type="dxa"/>
            <w:tcBorders>
              <w:top w:val="single" w:sz="4" w:space="0" w:color="auto"/>
              <w:left w:val="nil"/>
              <w:bottom w:val="nil"/>
              <w:right w:val="single" w:sz="4" w:space="0" w:color="auto"/>
            </w:tcBorders>
            <w:shd w:val="clear" w:color="auto" w:fill="auto"/>
            <w:noWrap/>
            <w:vAlign w:val="center"/>
            <w:hideMark/>
          </w:tcPr>
          <w:p w14:paraId="50A4E924"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84,306</w:t>
            </w:r>
          </w:p>
        </w:tc>
      </w:tr>
      <w:tr w:rsidR="00A17E78" w:rsidRPr="00BA474A" w14:paraId="54A56818" w14:textId="77777777" w:rsidTr="00A8368C">
        <w:trPr>
          <w:trHeight w:val="492"/>
        </w:trPr>
        <w:tc>
          <w:tcPr>
            <w:tcW w:w="3256" w:type="dxa"/>
            <w:tcBorders>
              <w:top w:val="nil"/>
              <w:left w:val="single" w:sz="4" w:space="0" w:color="auto"/>
              <w:bottom w:val="nil"/>
              <w:right w:val="single" w:sz="4" w:space="0" w:color="auto"/>
            </w:tcBorders>
            <w:shd w:val="clear" w:color="auto" w:fill="auto"/>
            <w:vAlign w:val="center"/>
            <w:hideMark/>
          </w:tcPr>
          <w:p w14:paraId="123ED51C"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Net Borrowing Requirement</w:t>
            </w:r>
            <w:r w:rsidRPr="00A17E78">
              <w:rPr>
                <w:rFonts w:ascii="Calibri" w:eastAsia="Times New Roman" w:hAnsi="Calibri" w:cs="Calibri"/>
                <w:color w:val="000000"/>
                <w:sz w:val="22"/>
                <w:szCs w:val="22"/>
                <w:lang w:eastAsia="en-GB"/>
              </w:rPr>
              <w:br/>
              <w:t>to fund Capital Programme</w:t>
            </w:r>
          </w:p>
        </w:tc>
        <w:tc>
          <w:tcPr>
            <w:tcW w:w="1039" w:type="dxa"/>
            <w:tcBorders>
              <w:top w:val="nil"/>
              <w:left w:val="nil"/>
              <w:bottom w:val="nil"/>
              <w:right w:val="single" w:sz="4" w:space="0" w:color="auto"/>
            </w:tcBorders>
            <w:shd w:val="clear" w:color="auto" w:fill="DDEBF7"/>
            <w:noWrap/>
            <w:vAlign w:val="center"/>
            <w:hideMark/>
          </w:tcPr>
          <w:p w14:paraId="0F825317"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5,000</w:t>
            </w:r>
          </w:p>
        </w:tc>
        <w:tc>
          <w:tcPr>
            <w:tcW w:w="1040" w:type="dxa"/>
            <w:tcBorders>
              <w:top w:val="nil"/>
              <w:left w:val="nil"/>
              <w:bottom w:val="nil"/>
              <w:right w:val="single" w:sz="4" w:space="0" w:color="auto"/>
            </w:tcBorders>
            <w:shd w:val="clear" w:color="auto" w:fill="DDEBF7"/>
            <w:noWrap/>
            <w:vAlign w:val="center"/>
            <w:hideMark/>
          </w:tcPr>
          <w:p w14:paraId="15BA4A83"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28,825</w:t>
            </w:r>
          </w:p>
        </w:tc>
        <w:tc>
          <w:tcPr>
            <w:tcW w:w="1039" w:type="dxa"/>
            <w:tcBorders>
              <w:top w:val="nil"/>
              <w:left w:val="nil"/>
              <w:bottom w:val="nil"/>
              <w:right w:val="single" w:sz="4" w:space="0" w:color="auto"/>
            </w:tcBorders>
            <w:shd w:val="clear" w:color="auto" w:fill="auto"/>
            <w:noWrap/>
            <w:vAlign w:val="center"/>
            <w:hideMark/>
          </w:tcPr>
          <w:p w14:paraId="26C93D10"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25,712</w:t>
            </w:r>
          </w:p>
        </w:tc>
        <w:tc>
          <w:tcPr>
            <w:tcW w:w="1040" w:type="dxa"/>
            <w:tcBorders>
              <w:top w:val="nil"/>
              <w:left w:val="nil"/>
              <w:bottom w:val="nil"/>
              <w:right w:val="single" w:sz="4" w:space="0" w:color="auto"/>
            </w:tcBorders>
            <w:shd w:val="clear" w:color="auto" w:fill="auto"/>
            <w:noWrap/>
            <w:vAlign w:val="center"/>
            <w:hideMark/>
          </w:tcPr>
          <w:p w14:paraId="11384E81"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14,058</w:t>
            </w:r>
          </w:p>
        </w:tc>
        <w:tc>
          <w:tcPr>
            <w:tcW w:w="1039" w:type="dxa"/>
            <w:tcBorders>
              <w:top w:val="nil"/>
              <w:left w:val="nil"/>
              <w:bottom w:val="nil"/>
              <w:right w:val="single" w:sz="4" w:space="0" w:color="auto"/>
            </w:tcBorders>
            <w:shd w:val="clear" w:color="auto" w:fill="auto"/>
            <w:noWrap/>
            <w:vAlign w:val="center"/>
            <w:hideMark/>
          </w:tcPr>
          <w:p w14:paraId="38286D7A"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16,461</w:t>
            </w:r>
          </w:p>
        </w:tc>
        <w:tc>
          <w:tcPr>
            <w:tcW w:w="1040" w:type="dxa"/>
            <w:tcBorders>
              <w:top w:val="nil"/>
              <w:left w:val="nil"/>
              <w:bottom w:val="nil"/>
              <w:right w:val="single" w:sz="4" w:space="0" w:color="auto"/>
            </w:tcBorders>
            <w:shd w:val="clear" w:color="auto" w:fill="auto"/>
            <w:noWrap/>
            <w:vAlign w:val="center"/>
            <w:hideMark/>
          </w:tcPr>
          <w:p w14:paraId="01FCA728"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11,319</w:t>
            </w:r>
          </w:p>
        </w:tc>
      </w:tr>
      <w:tr w:rsidR="00A17E78" w:rsidRPr="00BA474A" w14:paraId="73CD3C2D" w14:textId="77777777" w:rsidTr="00A8368C">
        <w:trPr>
          <w:trHeight w:val="492"/>
        </w:trPr>
        <w:tc>
          <w:tcPr>
            <w:tcW w:w="3256" w:type="dxa"/>
            <w:tcBorders>
              <w:top w:val="nil"/>
              <w:left w:val="single" w:sz="4" w:space="0" w:color="auto"/>
              <w:bottom w:val="nil"/>
              <w:right w:val="single" w:sz="4" w:space="0" w:color="auto"/>
            </w:tcBorders>
            <w:shd w:val="clear" w:color="auto" w:fill="auto"/>
            <w:vAlign w:val="center"/>
            <w:hideMark/>
          </w:tcPr>
          <w:p w14:paraId="68975442"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Debt repayment</w:t>
            </w:r>
          </w:p>
        </w:tc>
        <w:tc>
          <w:tcPr>
            <w:tcW w:w="1039" w:type="dxa"/>
            <w:tcBorders>
              <w:top w:val="nil"/>
              <w:left w:val="nil"/>
              <w:bottom w:val="nil"/>
              <w:right w:val="single" w:sz="4" w:space="0" w:color="auto"/>
            </w:tcBorders>
            <w:shd w:val="clear" w:color="auto" w:fill="DDEBF7"/>
            <w:noWrap/>
            <w:vAlign w:val="center"/>
            <w:hideMark/>
          </w:tcPr>
          <w:p w14:paraId="10885C45"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(500)</w:t>
            </w:r>
          </w:p>
        </w:tc>
        <w:tc>
          <w:tcPr>
            <w:tcW w:w="1040" w:type="dxa"/>
            <w:tcBorders>
              <w:top w:val="nil"/>
              <w:left w:val="nil"/>
              <w:bottom w:val="nil"/>
              <w:right w:val="single" w:sz="4" w:space="0" w:color="auto"/>
            </w:tcBorders>
            <w:shd w:val="clear" w:color="auto" w:fill="DDEBF7"/>
            <w:noWrap/>
            <w:vAlign w:val="center"/>
            <w:hideMark/>
          </w:tcPr>
          <w:p w14:paraId="5A4872F2"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(600)</w:t>
            </w:r>
          </w:p>
        </w:tc>
        <w:tc>
          <w:tcPr>
            <w:tcW w:w="1039" w:type="dxa"/>
            <w:tcBorders>
              <w:top w:val="nil"/>
              <w:left w:val="nil"/>
              <w:bottom w:val="nil"/>
              <w:right w:val="single" w:sz="4" w:space="0" w:color="auto"/>
            </w:tcBorders>
            <w:shd w:val="clear" w:color="auto" w:fill="auto"/>
            <w:noWrap/>
            <w:vAlign w:val="center"/>
            <w:hideMark/>
          </w:tcPr>
          <w:p w14:paraId="286E8A61"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(200)</w:t>
            </w:r>
          </w:p>
        </w:tc>
        <w:tc>
          <w:tcPr>
            <w:tcW w:w="1040" w:type="dxa"/>
            <w:tcBorders>
              <w:top w:val="nil"/>
              <w:left w:val="nil"/>
              <w:bottom w:val="nil"/>
              <w:right w:val="single" w:sz="4" w:space="0" w:color="auto"/>
            </w:tcBorders>
            <w:shd w:val="clear" w:color="auto" w:fill="auto"/>
            <w:noWrap/>
            <w:vAlign w:val="center"/>
            <w:hideMark/>
          </w:tcPr>
          <w:p w14:paraId="33BF6443"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(200)</w:t>
            </w:r>
          </w:p>
        </w:tc>
        <w:tc>
          <w:tcPr>
            <w:tcW w:w="1039" w:type="dxa"/>
            <w:tcBorders>
              <w:top w:val="nil"/>
              <w:left w:val="nil"/>
              <w:bottom w:val="nil"/>
              <w:right w:val="single" w:sz="4" w:space="0" w:color="auto"/>
            </w:tcBorders>
            <w:shd w:val="clear" w:color="auto" w:fill="auto"/>
            <w:noWrap/>
            <w:vAlign w:val="center"/>
            <w:hideMark/>
          </w:tcPr>
          <w:p w14:paraId="50761A95"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(200)</w:t>
            </w:r>
          </w:p>
        </w:tc>
        <w:tc>
          <w:tcPr>
            <w:tcW w:w="1040" w:type="dxa"/>
            <w:tcBorders>
              <w:top w:val="nil"/>
              <w:left w:val="nil"/>
              <w:bottom w:val="nil"/>
              <w:right w:val="single" w:sz="4" w:space="0" w:color="auto"/>
            </w:tcBorders>
            <w:shd w:val="clear" w:color="auto" w:fill="auto"/>
            <w:noWrap/>
            <w:vAlign w:val="center"/>
            <w:hideMark/>
          </w:tcPr>
          <w:p w14:paraId="5DE6A177"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(12,200)</w:t>
            </w:r>
          </w:p>
        </w:tc>
      </w:tr>
      <w:tr w:rsidR="00A17E78" w:rsidRPr="00BA474A" w14:paraId="2D2B3E37" w14:textId="77777777" w:rsidTr="00A8368C">
        <w:trPr>
          <w:trHeight w:val="492"/>
        </w:trPr>
        <w:tc>
          <w:tcPr>
            <w:tcW w:w="3256" w:type="dxa"/>
            <w:tcBorders>
              <w:top w:val="nil"/>
              <w:left w:val="single" w:sz="4" w:space="0" w:color="auto"/>
              <w:bottom w:val="nil"/>
              <w:right w:val="single" w:sz="4" w:space="0" w:color="auto"/>
            </w:tcBorders>
            <w:shd w:val="clear" w:color="auto" w:fill="auto"/>
            <w:noWrap/>
            <w:vAlign w:val="center"/>
            <w:hideMark/>
          </w:tcPr>
          <w:p w14:paraId="238A8468"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MRP</w:t>
            </w:r>
          </w:p>
        </w:tc>
        <w:tc>
          <w:tcPr>
            <w:tcW w:w="1039" w:type="dxa"/>
            <w:tcBorders>
              <w:top w:val="nil"/>
              <w:left w:val="nil"/>
              <w:bottom w:val="nil"/>
              <w:right w:val="single" w:sz="4" w:space="0" w:color="auto"/>
            </w:tcBorders>
            <w:shd w:val="clear" w:color="auto" w:fill="DDEBF7"/>
            <w:noWrap/>
            <w:vAlign w:val="center"/>
            <w:hideMark/>
          </w:tcPr>
          <w:p w14:paraId="14065F94"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(2,819)</w:t>
            </w:r>
          </w:p>
        </w:tc>
        <w:tc>
          <w:tcPr>
            <w:tcW w:w="1040" w:type="dxa"/>
            <w:tcBorders>
              <w:top w:val="nil"/>
              <w:left w:val="nil"/>
              <w:bottom w:val="nil"/>
              <w:right w:val="single" w:sz="4" w:space="0" w:color="auto"/>
            </w:tcBorders>
            <w:shd w:val="clear" w:color="auto" w:fill="DDEBF7"/>
            <w:noWrap/>
            <w:vAlign w:val="center"/>
            <w:hideMark/>
          </w:tcPr>
          <w:p w14:paraId="538D636B"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(2,836)</w:t>
            </w:r>
          </w:p>
        </w:tc>
        <w:tc>
          <w:tcPr>
            <w:tcW w:w="1039" w:type="dxa"/>
            <w:tcBorders>
              <w:top w:val="nil"/>
              <w:left w:val="nil"/>
              <w:bottom w:val="nil"/>
              <w:right w:val="single" w:sz="4" w:space="0" w:color="auto"/>
            </w:tcBorders>
            <w:shd w:val="clear" w:color="auto" w:fill="auto"/>
            <w:noWrap/>
            <w:vAlign w:val="center"/>
            <w:hideMark/>
          </w:tcPr>
          <w:p w14:paraId="722BD19D"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(5,264)</w:t>
            </w:r>
          </w:p>
        </w:tc>
        <w:tc>
          <w:tcPr>
            <w:tcW w:w="1040" w:type="dxa"/>
            <w:tcBorders>
              <w:top w:val="nil"/>
              <w:left w:val="nil"/>
              <w:bottom w:val="nil"/>
              <w:right w:val="single" w:sz="4" w:space="0" w:color="auto"/>
            </w:tcBorders>
            <w:shd w:val="clear" w:color="auto" w:fill="auto"/>
            <w:noWrap/>
            <w:vAlign w:val="center"/>
            <w:hideMark/>
          </w:tcPr>
          <w:p w14:paraId="16157AC2"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(7,106)</w:t>
            </w:r>
          </w:p>
        </w:tc>
        <w:tc>
          <w:tcPr>
            <w:tcW w:w="1039" w:type="dxa"/>
            <w:tcBorders>
              <w:top w:val="nil"/>
              <w:left w:val="nil"/>
              <w:bottom w:val="nil"/>
              <w:right w:val="single" w:sz="4" w:space="0" w:color="auto"/>
            </w:tcBorders>
            <w:shd w:val="clear" w:color="auto" w:fill="auto"/>
            <w:noWrap/>
            <w:vAlign w:val="center"/>
            <w:hideMark/>
          </w:tcPr>
          <w:p w14:paraId="51132EBB"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(8,225)</w:t>
            </w:r>
          </w:p>
        </w:tc>
        <w:tc>
          <w:tcPr>
            <w:tcW w:w="1040" w:type="dxa"/>
            <w:tcBorders>
              <w:top w:val="nil"/>
              <w:left w:val="nil"/>
              <w:bottom w:val="nil"/>
              <w:right w:val="single" w:sz="4" w:space="0" w:color="auto"/>
            </w:tcBorders>
            <w:shd w:val="clear" w:color="auto" w:fill="auto"/>
            <w:noWrap/>
            <w:vAlign w:val="center"/>
            <w:hideMark/>
          </w:tcPr>
          <w:p w14:paraId="67F495FF" w14:textId="77777777" w:rsidR="004C76A7" w:rsidRPr="00A17E78" w:rsidRDefault="004C76A7" w:rsidP="005C7D46">
            <w:pPr>
              <w:jc w:val="right"/>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(9,086)</w:t>
            </w:r>
          </w:p>
        </w:tc>
      </w:tr>
      <w:tr w:rsidR="00A17E78" w:rsidRPr="00BA474A" w14:paraId="3774AEB0" w14:textId="77777777" w:rsidTr="00A8368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E9101" w14:textId="77777777" w:rsidR="004C76A7" w:rsidRPr="00A17E78" w:rsidRDefault="004C76A7" w:rsidP="005C7D46">
            <w:pPr>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CFR - Borrowing at 31 March c/</w:t>
            </w:r>
            <w:proofErr w:type="spellStart"/>
            <w:r w:rsidRPr="00A17E78">
              <w:rPr>
                <w:rFonts w:ascii="Calibri" w:eastAsia="Times New Roman" w:hAnsi="Calibri" w:cs="Calibri"/>
                <w:b/>
                <w:bCs/>
                <w:color w:val="000000"/>
                <w:sz w:val="22"/>
                <w:szCs w:val="22"/>
                <w:lang w:eastAsia="en-GB"/>
              </w:rPr>
              <w:t>fwd</w:t>
            </w:r>
            <w:proofErr w:type="spellEnd"/>
          </w:p>
        </w:tc>
        <w:tc>
          <w:tcPr>
            <w:tcW w:w="1039" w:type="dxa"/>
            <w:tcBorders>
              <w:top w:val="single" w:sz="4" w:space="0" w:color="auto"/>
              <w:left w:val="nil"/>
              <w:bottom w:val="single" w:sz="4" w:space="0" w:color="auto"/>
              <w:right w:val="single" w:sz="4" w:space="0" w:color="auto"/>
            </w:tcBorders>
            <w:shd w:val="clear" w:color="auto" w:fill="DDEBF7"/>
            <w:noWrap/>
            <w:vAlign w:val="center"/>
            <w:hideMark/>
          </w:tcPr>
          <w:p w14:paraId="370DC914"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23,881</w:t>
            </w:r>
          </w:p>
        </w:tc>
        <w:tc>
          <w:tcPr>
            <w:tcW w:w="1040" w:type="dxa"/>
            <w:tcBorders>
              <w:top w:val="single" w:sz="4" w:space="0" w:color="auto"/>
              <w:left w:val="nil"/>
              <w:bottom w:val="single" w:sz="4" w:space="0" w:color="auto"/>
              <w:right w:val="single" w:sz="4" w:space="0" w:color="auto"/>
            </w:tcBorders>
            <w:shd w:val="clear" w:color="auto" w:fill="DDEBF7"/>
            <w:noWrap/>
            <w:vAlign w:val="center"/>
            <w:hideMark/>
          </w:tcPr>
          <w:p w14:paraId="26E7C588"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49,271</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2491ADE7"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69,518</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3C932F1"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76,270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58B3E79E"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84,306</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8C98EB7"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74,339</w:t>
            </w:r>
          </w:p>
        </w:tc>
      </w:tr>
      <w:tr w:rsidR="00A17E78" w:rsidRPr="00BA474A" w14:paraId="79F1D91D" w14:textId="77777777" w:rsidTr="00A8368C">
        <w:trPr>
          <w:trHeight w:val="288"/>
        </w:trPr>
        <w:tc>
          <w:tcPr>
            <w:tcW w:w="3256" w:type="dxa"/>
            <w:tcBorders>
              <w:top w:val="nil"/>
              <w:left w:val="single" w:sz="4" w:space="0" w:color="auto"/>
              <w:bottom w:val="nil"/>
              <w:right w:val="single" w:sz="4" w:space="0" w:color="auto"/>
            </w:tcBorders>
            <w:shd w:val="clear" w:color="auto" w:fill="auto"/>
            <w:noWrap/>
            <w:vAlign w:val="center"/>
            <w:hideMark/>
          </w:tcPr>
          <w:p w14:paraId="125E7639"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39" w:type="dxa"/>
            <w:tcBorders>
              <w:top w:val="nil"/>
              <w:left w:val="nil"/>
              <w:bottom w:val="nil"/>
              <w:right w:val="single" w:sz="4" w:space="0" w:color="auto"/>
            </w:tcBorders>
            <w:shd w:val="clear" w:color="auto" w:fill="DDEBF7"/>
            <w:noWrap/>
            <w:vAlign w:val="center"/>
            <w:hideMark/>
          </w:tcPr>
          <w:p w14:paraId="4CEA2BD8"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40" w:type="dxa"/>
            <w:tcBorders>
              <w:top w:val="nil"/>
              <w:left w:val="nil"/>
              <w:bottom w:val="nil"/>
              <w:right w:val="single" w:sz="4" w:space="0" w:color="auto"/>
            </w:tcBorders>
            <w:shd w:val="clear" w:color="auto" w:fill="DDEBF7"/>
            <w:noWrap/>
            <w:vAlign w:val="center"/>
            <w:hideMark/>
          </w:tcPr>
          <w:p w14:paraId="4EA0CDB7"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39" w:type="dxa"/>
            <w:tcBorders>
              <w:top w:val="nil"/>
              <w:left w:val="nil"/>
              <w:bottom w:val="nil"/>
              <w:right w:val="single" w:sz="4" w:space="0" w:color="auto"/>
            </w:tcBorders>
            <w:shd w:val="clear" w:color="auto" w:fill="auto"/>
            <w:noWrap/>
            <w:vAlign w:val="center"/>
            <w:hideMark/>
          </w:tcPr>
          <w:p w14:paraId="0A00D3EE"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40" w:type="dxa"/>
            <w:tcBorders>
              <w:top w:val="nil"/>
              <w:left w:val="nil"/>
              <w:bottom w:val="nil"/>
              <w:right w:val="single" w:sz="4" w:space="0" w:color="auto"/>
            </w:tcBorders>
            <w:shd w:val="clear" w:color="auto" w:fill="auto"/>
            <w:noWrap/>
            <w:vAlign w:val="center"/>
            <w:hideMark/>
          </w:tcPr>
          <w:p w14:paraId="5CCEFAE5"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39" w:type="dxa"/>
            <w:tcBorders>
              <w:top w:val="nil"/>
              <w:left w:val="nil"/>
              <w:bottom w:val="nil"/>
              <w:right w:val="single" w:sz="4" w:space="0" w:color="auto"/>
            </w:tcBorders>
            <w:shd w:val="clear" w:color="auto" w:fill="auto"/>
            <w:noWrap/>
            <w:vAlign w:val="center"/>
            <w:hideMark/>
          </w:tcPr>
          <w:p w14:paraId="0B7C0E31"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c>
          <w:tcPr>
            <w:tcW w:w="1040" w:type="dxa"/>
            <w:tcBorders>
              <w:top w:val="nil"/>
              <w:left w:val="nil"/>
              <w:bottom w:val="nil"/>
              <w:right w:val="single" w:sz="4" w:space="0" w:color="auto"/>
            </w:tcBorders>
            <w:shd w:val="clear" w:color="auto" w:fill="auto"/>
            <w:noWrap/>
            <w:vAlign w:val="center"/>
            <w:hideMark/>
          </w:tcPr>
          <w:p w14:paraId="31392FF7" w14:textId="77777777" w:rsidR="004C76A7" w:rsidRPr="00A17E78" w:rsidRDefault="004C76A7"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 </w:t>
            </w:r>
          </w:p>
        </w:tc>
      </w:tr>
      <w:tr w:rsidR="00A17E78" w:rsidRPr="00BA474A" w14:paraId="447020AC" w14:textId="77777777" w:rsidTr="00A8368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32B30" w14:textId="77777777" w:rsidR="004C76A7" w:rsidRPr="00A17E78" w:rsidRDefault="004C76A7" w:rsidP="005C7D46">
            <w:pPr>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Investments at 31 March c/</w:t>
            </w:r>
            <w:proofErr w:type="spellStart"/>
            <w:r w:rsidRPr="00A17E78">
              <w:rPr>
                <w:rFonts w:ascii="Calibri" w:eastAsia="Times New Roman" w:hAnsi="Calibri" w:cs="Calibri"/>
                <w:b/>
                <w:bCs/>
                <w:color w:val="000000"/>
                <w:sz w:val="22"/>
                <w:szCs w:val="22"/>
                <w:lang w:eastAsia="en-GB"/>
              </w:rPr>
              <w:t>fwd</w:t>
            </w:r>
            <w:proofErr w:type="spellEnd"/>
          </w:p>
        </w:tc>
        <w:tc>
          <w:tcPr>
            <w:tcW w:w="1039" w:type="dxa"/>
            <w:tcBorders>
              <w:top w:val="single" w:sz="4" w:space="0" w:color="auto"/>
              <w:left w:val="nil"/>
              <w:bottom w:val="single" w:sz="4" w:space="0" w:color="auto"/>
              <w:right w:val="single" w:sz="4" w:space="0" w:color="auto"/>
            </w:tcBorders>
            <w:shd w:val="clear" w:color="auto" w:fill="DDEBF7"/>
            <w:noWrap/>
            <w:vAlign w:val="center"/>
            <w:hideMark/>
          </w:tcPr>
          <w:p w14:paraId="363CC1CE"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1,949</w:t>
            </w:r>
          </w:p>
        </w:tc>
        <w:tc>
          <w:tcPr>
            <w:tcW w:w="1040" w:type="dxa"/>
            <w:tcBorders>
              <w:top w:val="single" w:sz="4" w:space="0" w:color="auto"/>
              <w:left w:val="nil"/>
              <w:bottom w:val="single" w:sz="4" w:space="0" w:color="auto"/>
              <w:right w:val="single" w:sz="4" w:space="0" w:color="auto"/>
            </w:tcBorders>
            <w:shd w:val="clear" w:color="auto" w:fill="DDEBF7"/>
            <w:noWrap/>
            <w:vAlign w:val="center"/>
            <w:hideMark/>
          </w:tcPr>
          <w:p w14:paraId="53E3CEDB"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1,838</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65838B49"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5,000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28366A9"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5,000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06060D88"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5,000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141CD5C"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5,000</w:t>
            </w:r>
          </w:p>
        </w:tc>
      </w:tr>
      <w:tr w:rsidR="00A17E78" w:rsidRPr="00BA474A" w14:paraId="36EAC130" w14:textId="77777777" w:rsidTr="00A8368C">
        <w:trPr>
          <w:trHeight w:val="288"/>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CA24469" w14:textId="77777777" w:rsidR="004C76A7" w:rsidRPr="00A17E78" w:rsidRDefault="004C76A7" w:rsidP="005C7D46">
            <w:pPr>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Net Borrowing</w:t>
            </w:r>
          </w:p>
        </w:tc>
        <w:tc>
          <w:tcPr>
            <w:tcW w:w="1039" w:type="dxa"/>
            <w:tcBorders>
              <w:top w:val="nil"/>
              <w:left w:val="nil"/>
              <w:bottom w:val="single" w:sz="4" w:space="0" w:color="auto"/>
              <w:right w:val="single" w:sz="4" w:space="0" w:color="auto"/>
            </w:tcBorders>
            <w:shd w:val="clear" w:color="auto" w:fill="DDEBF7"/>
            <w:noWrap/>
            <w:vAlign w:val="center"/>
            <w:hideMark/>
          </w:tcPr>
          <w:p w14:paraId="18272ABE"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21,932</w:t>
            </w:r>
          </w:p>
        </w:tc>
        <w:tc>
          <w:tcPr>
            <w:tcW w:w="1040" w:type="dxa"/>
            <w:tcBorders>
              <w:top w:val="nil"/>
              <w:left w:val="nil"/>
              <w:bottom w:val="single" w:sz="4" w:space="0" w:color="auto"/>
              <w:right w:val="single" w:sz="4" w:space="0" w:color="auto"/>
            </w:tcBorders>
            <w:shd w:val="clear" w:color="auto" w:fill="DDEBF7"/>
            <w:noWrap/>
            <w:vAlign w:val="center"/>
            <w:hideMark/>
          </w:tcPr>
          <w:p w14:paraId="319F7026"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47,432</w:t>
            </w:r>
          </w:p>
        </w:tc>
        <w:tc>
          <w:tcPr>
            <w:tcW w:w="1039" w:type="dxa"/>
            <w:tcBorders>
              <w:top w:val="nil"/>
              <w:left w:val="nil"/>
              <w:bottom w:val="single" w:sz="4" w:space="0" w:color="auto"/>
              <w:right w:val="single" w:sz="4" w:space="0" w:color="auto"/>
            </w:tcBorders>
            <w:shd w:val="clear" w:color="auto" w:fill="auto"/>
            <w:noWrap/>
            <w:vAlign w:val="center"/>
            <w:hideMark/>
          </w:tcPr>
          <w:p w14:paraId="4C9E3354"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64,518</w:t>
            </w:r>
          </w:p>
        </w:tc>
        <w:tc>
          <w:tcPr>
            <w:tcW w:w="1040" w:type="dxa"/>
            <w:tcBorders>
              <w:top w:val="nil"/>
              <w:left w:val="nil"/>
              <w:bottom w:val="single" w:sz="4" w:space="0" w:color="auto"/>
              <w:right w:val="single" w:sz="4" w:space="0" w:color="auto"/>
            </w:tcBorders>
            <w:shd w:val="clear" w:color="auto" w:fill="auto"/>
            <w:noWrap/>
            <w:vAlign w:val="center"/>
            <w:hideMark/>
          </w:tcPr>
          <w:p w14:paraId="6C23E8F7"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71,270</w:t>
            </w:r>
          </w:p>
        </w:tc>
        <w:tc>
          <w:tcPr>
            <w:tcW w:w="1039" w:type="dxa"/>
            <w:tcBorders>
              <w:top w:val="nil"/>
              <w:left w:val="nil"/>
              <w:bottom w:val="single" w:sz="4" w:space="0" w:color="auto"/>
              <w:right w:val="single" w:sz="4" w:space="0" w:color="auto"/>
            </w:tcBorders>
            <w:shd w:val="clear" w:color="auto" w:fill="auto"/>
            <w:noWrap/>
            <w:vAlign w:val="center"/>
            <w:hideMark/>
          </w:tcPr>
          <w:p w14:paraId="38AD4890"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79,306</w:t>
            </w:r>
          </w:p>
        </w:tc>
        <w:tc>
          <w:tcPr>
            <w:tcW w:w="1040" w:type="dxa"/>
            <w:tcBorders>
              <w:top w:val="nil"/>
              <w:left w:val="nil"/>
              <w:bottom w:val="single" w:sz="4" w:space="0" w:color="auto"/>
              <w:right w:val="single" w:sz="4" w:space="0" w:color="auto"/>
            </w:tcBorders>
            <w:shd w:val="clear" w:color="auto" w:fill="auto"/>
            <w:noWrap/>
            <w:vAlign w:val="center"/>
            <w:hideMark/>
          </w:tcPr>
          <w:p w14:paraId="6AC58777" w14:textId="77777777" w:rsidR="004C76A7" w:rsidRPr="00A17E78" w:rsidRDefault="004C76A7" w:rsidP="005C7D46">
            <w:pPr>
              <w:jc w:val="right"/>
              <w:rPr>
                <w:rFonts w:ascii="Calibri" w:eastAsia="Times New Roman" w:hAnsi="Calibri" w:cs="Calibri"/>
                <w:b/>
                <w:bCs/>
                <w:color w:val="000000"/>
                <w:sz w:val="22"/>
                <w:szCs w:val="22"/>
                <w:lang w:eastAsia="en-GB"/>
              </w:rPr>
            </w:pPr>
            <w:r w:rsidRPr="00A17E78">
              <w:rPr>
                <w:rFonts w:ascii="Calibri" w:eastAsia="Times New Roman" w:hAnsi="Calibri" w:cs="Calibri"/>
                <w:b/>
                <w:bCs/>
                <w:color w:val="000000"/>
                <w:sz w:val="22"/>
                <w:szCs w:val="22"/>
                <w:lang w:eastAsia="en-GB"/>
              </w:rPr>
              <w:t>69,339</w:t>
            </w:r>
          </w:p>
        </w:tc>
      </w:tr>
    </w:tbl>
    <w:p w14:paraId="565CF402" w14:textId="77777777" w:rsidR="000A598F" w:rsidRPr="00A162FF" w:rsidRDefault="000A598F" w:rsidP="000A598F">
      <w:pPr>
        <w:jc w:val="both"/>
        <w:rPr>
          <w:rFonts w:cstheme="minorHAnsi"/>
          <w:i/>
          <w:iCs/>
          <w:sz w:val="20"/>
          <w:szCs w:val="20"/>
        </w:rPr>
      </w:pPr>
      <w:r w:rsidRPr="00A162FF">
        <w:rPr>
          <w:rFonts w:cstheme="minorHAnsi"/>
          <w:i/>
          <w:iCs/>
          <w:sz w:val="20"/>
          <w:szCs w:val="20"/>
        </w:rPr>
        <w:t xml:space="preserve">NB. Subject to </w:t>
      </w:r>
      <w:proofErr w:type="spellStart"/>
      <w:r w:rsidRPr="00A162FF">
        <w:rPr>
          <w:rFonts w:cstheme="minorHAnsi"/>
          <w:i/>
          <w:iCs/>
          <w:sz w:val="20"/>
          <w:szCs w:val="20"/>
        </w:rPr>
        <w:t>roundings</w:t>
      </w:r>
      <w:proofErr w:type="spellEnd"/>
    </w:p>
    <w:p w14:paraId="36F62BB7" w14:textId="37E96A75" w:rsidR="002F5416" w:rsidRDefault="002F5416" w:rsidP="0076588B">
      <w:pPr>
        <w:jc w:val="both"/>
        <w:rPr>
          <w:rFonts w:cstheme="minorHAnsi"/>
        </w:rPr>
      </w:pPr>
    </w:p>
    <w:p w14:paraId="778787F4" w14:textId="77777777" w:rsidR="00711538" w:rsidRDefault="00711538" w:rsidP="0012005A">
      <w:pPr>
        <w:pStyle w:val="ListParagraph"/>
      </w:pPr>
      <w:r w:rsidRPr="002F5416">
        <w:t xml:space="preserve">Although capital expenditure is not charged directly to the revenue budget, interest payable on loans and MRP are charged to revenue, offset by any investment income receivable. </w:t>
      </w:r>
      <w:r>
        <w:t xml:space="preserve"> </w:t>
      </w:r>
      <w:r w:rsidRPr="002F5416">
        <w:t xml:space="preserve">The net annual charge </w:t>
      </w:r>
      <w:r>
        <w:t>are</w:t>
      </w:r>
      <w:r w:rsidRPr="002F5416">
        <w:t xml:space="preserve"> known as financing costs</w:t>
      </w:r>
      <w:r>
        <w:t xml:space="preserve"> (see para 9),</w:t>
      </w:r>
      <w:r w:rsidRPr="002F5416">
        <w:t xml:space="preserve"> </w:t>
      </w:r>
      <w:r>
        <w:t>which</w:t>
      </w:r>
      <w:r w:rsidRPr="002F5416">
        <w:t xml:space="preserve"> is </w:t>
      </w:r>
      <w:r w:rsidRPr="002F5416">
        <w:lastRenderedPageBreak/>
        <w:t xml:space="preserve">compared to the net revenue stream i.e. the amount funded from Council Tax and core government grants. </w:t>
      </w:r>
    </w:p>
    <w:p w14:paraId="25778345" w14:textId="6F74423B" w:rsidR="00711538" w:rsidRPr="00A17E78" w:rsidRDefault="00711538" w:rsidP="00711538">
      <w:pPr>
        <w:jc w:val="both"/>
        <w:rPr>
          <w:rFonts w:cstheme="minorHAnsi"/>
          <w:i/>
          <w:iCs/>
          <w:sz w:val="22"/>
          <w:szCs w:val="22"/>
        </w:rPr>
      </w:pPr>
      <w:r w:rsidRPr="00A17E78">
        <w:rPr>
          <w:rFonts w:cstheme="minorHAnsi"/>
          <w:i/>
          <w:iCs/>
          <w:sz w:val="22"/>
          <w:szCs w:val="22"/>
        </w:rPr>
        <w:t xml:space="preserve">Table </w:t>
      </w:r>
      <w:r w:rsidR="00A81605" w:rsidRPr="00A17E78">
        <w:rPr>
          <w:rFonts w:cstheme="minorHAnsi"/>
          <w:i/>
          <w:iCs/>
          <w:sz w:val="22"/>
          <w:szCs w:val="22"/>
        </w:rPr>
        <w:t>5</w:t>
      </w:r>
      <w:r w:rsidRPr="00A17E78">
        <w:rPr>
          <w:rFonts w:cstheme="minorHAnsi"/>
          <w:i/>
          <w:iCs/>
          <w:sz w:val="22"/>
          <w:szCs w:val="22"/>
        </w:rPr>
        <w:t>: Prudential Indicator: Proportion of financing costs to net revenue stream</w:t>
      </w:r>
    </w:p>
    <w:tbl>
      <w:tblPr>
        <w:tblW w:w="9343" w:type="dxa"/>
        <w:tblInd w:w="-5" w:type="dxa"/>
        <w:tblLayout w:type="fixed"/>
        <w:tblLook w:val="04A0" w:firstRow="1" w:lastRow="0" w:firstColumn="1" w:lastColumn="0" w:noHBand="0" w:noVBand="1"/>
      </w:tblPr>
      <w:tblGrid>
        <w:gridCol w:w="3296"/>
        <w:gridCol w:w="1007"/>
        <w:gridCol w:w="1008"/>
        <w:gridCol w:w="1008"/>
        <w:gridCol w:w="1008"/>
        <w:gridCol w:w="1008"/>
        <w:gridCol w:w="1008"/>
      </w:tblGrid>
      <w:tr w:rsidR="00A17E78" w:rsidRPr="00A17E78" w14:paraId="0EF53860" w14:textId="77777777" w:rsidTr="00A17E78">
        <w:trPr>
          <w:trHeight w:val="476"/>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F58A" w14:textId="61CCE19F" w:rsidR="00A17E78" w:rsidRPr="00A17E78" w:rsidRDefault="00A17E78" w:rsidP="005C7D46">
            <w:pPr>
              <w:rPr>
                <w:rFonts w:ascii="Calibri" w:eastAsia="Times New Roman" w:hAnsi="Calibri" w:cs="Calibri"/>
                <w:b/>
                <w:bCs/>
                <w:sz w:val="22"/>
                <w:szCs w:val="22"/>
                <w:lang w:eastAsia="en-GB"/>
              </w:rPr>
            </w:pPr>
          </w:p>
        </w:tc>
        <w:tc>
          <w:tcPr>
            <w:tcW w:w="1007" w:type="dxa"/>
            <w:tcBorders>
              <w:top w:val="single" w:sz="4" w:space="0" w:color="auto"/>
              <w:left w:val="nil"/>
              <w:bottom w:val="nil"/>
              <w:right w:val="single" w:sz="4" w:space="0" w:color="auto"/>
            </w:tcBorders>
            <w:shd w:val="clear" w:color="auto" w:fill="DDEBF7"/>
            <w:vAlign w:val="center"/>
            <w:hideMark/>
          </w:tcPr>
          <w:p w14:paraId="47CD75D9" w14:textId="74DED97E" w:rsidR="00A17E78" w:rsidRPr="00A17E78" w:rsidRDefault="00A17E78" w:rsidP="00A17E78">
            <w:pPr>
              <w:jc w:val="cente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2025/26</w:t>
            </w:r>
          </w:p>
        </w:tc>
        <w:tc>
          <w:tcPr>
            <w:tcW w:w="1008" w:type="dxa"/>
            <w:tcBorders>
              <w:top w:val="single" w:sz="4" w:space="0" w:color="auto"/>
              <w:left w:val="nil"/>
              <w:bottom w:val="nil"/>
              <w:right w:val="single" w:sz="4" w:space="0" w:color="auto"/>
            </w:tcBorders>
            <w:shd w:val="clear" w:color="auto" w:fill="DDEBF7"/>
            <w:vAlign w:val="center"/>
            <w:hideMark/>
          </w:tcPr>
          <w:p w14:paraId="302EEA20" w14:textId="60F00B6D" w:rsidR="00A17E78" w:rsidRPr="00A17E78" w:rsidRDefault="00A17E78" w:rsidP="00A17E78">
            <w:pPr>
              <w:jc w:val="cente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2026/27</w:t>
            </w:r>
          </w:p>
        </w:tc>
        <w:tc>
          <w:tcPr>
            <w:tcW w:w="1008" w:type="dxa"/>
            <w:tcBorders>
              <w:top w:val="single" w:sz="4" w:space="0" w:color="auto"/>
              <w:left w:val="nil"/>
              <w:bottom w:val="nil"/>
              <w:right w:val="single" w:sz="4" w:space="0" w:color="auto"/>
            </w:tcBorders>
            <w:shd w:val="clear" w:color="auto" w:fill="auto"/>
            <w:vAlign w:val="center"/>
            <w:hideMark/>
          </w:tcPr>
          <w:p w14:paraId="12D89928" w14:textId="55295AC3" w:rsidR="00A17E78" w:rsidRPr="00A17E78" w:rsidRDefault="00A17E78" w:rsidP="00A17E78">
            <w:pPr>
              <w:jc w:val="cente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2027/28</w:t>
            </w:r>
          </w:p>
        </w:tc>
        <w:tc>
          <w:tcPr>
            <w:tcW w:w="1008" w:type="dxa"/>
            <w:tcBorders>
              <w:top w:val="single" w:sz="4" w:space="0" w:color="auto"/>
              <w:left w:val="nil"/>
              <w:bottom w:val="nil"/>
              <w:right w:val="single" w:sz="4" w:space="0" w:color="auto"/>
            </w:tcBorders>
            <w:shd w:val="clear" w:color="auto" w:fill="auto"/>
            <w:vAlign w:val="center"/>
            <w:hideMark/>
          </w:tcPr>
          <w:p w14:paraId="1A784A9B" w14:textId="434FD585" w:rsidR="00A17E78" w:rsidRPr="00A17E78" w:rsidRDefault="00A17E78" w:rsidP="00A17E78">
            <w:pPr>
              <w:jc w:val="cente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2028/29</w:t>
            </w:r>
          </w:p>
        </w:tc>
        <w:tc>
          <w:tcPr>
            <w:tcW w:w="1008" w:type="dxa"/>
            <w:tcBorders>
              <w:top w:val="single" w:sz="4" w:space="0" w:color="auto"/>
              <w:left w:val="nil"/>
              <w:bottom w:val="nil"/>
              <w:right w:val="single" w:sz="4" w:space="0" w:color="auto"/>
            </w:tcBorders>
            <w:shd w:val="clear" w:color="auto" w:fill="auto"/>
            <w:vAlign w:val="center"/>
            <w:hideMark/>
          </w:tcPr>
          <w:p w14:paraId="13D2E332" w14:textId="09BA2846" w:rsidR="00A17E78" w:rsidRPr="00A17E78" w:rsidRDefault="00A17E78" w:rsidP="00A17E78">
            <w:pPr>
              <w:jc w:val="cente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2029/30</w:t>
            </w:r>
          </w:p>
        </w:tc>
        <w:tc>
          <w:tcPr>
            <w:tcW w:w="1008" w:type="dxa"/>
            <w:tcBorders>
              <w:top w:val="single" w:sz="4" w:space="0" w:color="auto"/>
              <w:left w:val="nil"/>
              <w:bottom w:val="nil"/>
              <w:right w:val="single" w:sz="4" w:space="0" w:color="auto"/>
            </w:tcBorders>
            <w:shd w:val="clear" w:color="auto" w:fill="auto"/>
            <w:vAlign w:val="center"/>
            <w:hideMark/>
          </w:tcPr>
          <w:p w14:paraId="1C62A233" w14:textId="4FD79DA8" w:rsidR="00A17E78" w:rsidRPr="00A17E78" w:rsidRDefault="00A17E78" w:rsidP="00A17E78">
            <w:pPr>
              <w:jc w:val="center"/>
              <w:rPr>
                <w:rFonts w:ascii="Calibri" w:eastAsia="Times New Roman" w:hAnsi="Calibri" w:cs="Calibri"/>
                <w:b/>
                <w:bCs/>
                <w:sz w:val="22"/>
                <w:szCs w:val="22"/>
                <w:lang w:eastAsia="en-GB"/>
              </w:rPr>
            </w:pPr>
            <w:r w:rsidRPr="00A17E78">
              <w:rPr>
                <w:rFonts w:ascii="Calibri" w:eastAsia="Times New Roman" w:hAnsi="Calibri" w:cs="Calibri"/>
                <w:b/>
                <w:bCs/>
                <w:sz w:val="22"/>
                <w:szCs w:val="22"/>
                <w:lang w:eastAsia="en-GB"/>
              </w:rPr>
              <w:t>2030/31</w:t>
            </w:r>
          </w:p>
        </w:tc>
      </w:tr>
      <w:tr w:rsidR="00A17E78" w:rsidRPr="00A17E78" w14:paraId="616DE1AE" w14:textId="77777777" w:rsidTr="00A17E78">
        <w:trPr>
          <w:trHeight w:val="26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14:paraId="7080770A" w14:textId="77777777" w:rsidR="00A17E78" w:rsidRPr="00A17E78" w:rsidRDefault="00A17E78" w:rsidP="005C7D46">
            <w:pP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Financing costs to net revenue stream</w:t>
            </w:r>
          </w:p>
        </w:tc>
        <w:tc>
          <w:tcPr>
            <w:tcW w:w="1007" w:type="dxa"/>
            <w:tcBorders>
              <w:top w:val="single" w:sz="4" w:space="0" w:color="auto"/>
              <w:left w:val="nil"/>
              <w:bottom w:val="single" w:sz="4" w:space="0" w:color="auto"/>
              <w:right w:val="single" w:sz="4" w:space="0" w:color="auto"/>
            </w:tcBorders>
            <w:shd w:val="clear" w:color="auto" w:fill="DDEBF7"/>
            <w:noWrap/>
            <w:vAlign w:val="center"/>
            <w:hideMark/>
          </w:tcPr>
          <w:p w14:paraId="0B63B55E" w14:textId="77777777" w:rsidR="00A17E78" w:rsidRPr="00A17E78" w:rsidRDefault="00A17E78" w:rsidP="00A17E78">
            <w:pPr>
              <w:jc w:val="cente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2%</w:t>
            </w:r>
          </w:p>
        </w:tc>
        <w:tc>
          <w:tcPr>
            <w:tcW w:w="1008" w:type="dxa"/>
            <w:tcBorders>
              <w:top w:val="single" w:sz="4" w:space="0" w:color="auto"/>
              <w:left w:val="nil"/>
              <w:bottom w:val="single" w:sz="4" w:space="0" w:color="auto"/>
              <w:right w:val="single" w:sz="4" w:space="0" w:color="auto"/>
            </w:tcBorders>
            <w:shd w:val="clear" w:color="auto" w:fill="DDEBF7"/>
            <w:noWrap/>
            <w:vAlign w:val="center"/>
            <w:hideMark/>
          </w:tcPr>
          <w:p w14:paraId="0B319F02" w14:textId="77777777" w:rsidR="00A17E78" w:rsidRPr="00A17E78" w:rsidRDefault="00A17E78" w:rsidP="00A17E78">
            <w:pPr>
              <w:jc w:val="cente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3%</w:t>
            </w:r>
          </w:p>
        </w:tc>
        <w:tc>
          <w:tcPr>
            <w:tcW w:w="1008" w:type="dxa"/>
            <w:tcBorders>
              <w:top w:val="single" w:sz="4" w:space="0" w:color="auto"/>
              <w:left w:val="nil"/>
              <w:bottom w:val="single" w:sz="4" w:space="0" w:color="auto"/>
              <w:right w:val="single" w:sz="4" w:space="0" w:color="auto"/>
            </w:tcBorders>
            <w:shd w:val="clear" w:color="000000" w:fill="FFFFFF"/>
            <w:noWrap/>
            <w:vAlign w:val="center"/>
            <w:hideMark/>
          </w:tcPr>
          <w:p w14:paraId="09ADCAA0" w14:textId="77777777" w:rsidR="00A17E78" w:rsidRPr="00A17E78" w:rsidRDefault="00A17E78" w:rsidP="00A17E78">
            <w:pPr>
              <w:jc w:val="cente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4%</w:t>
            </w:r>
          </w:p>
        </w:tc>
        <w:tc>
          <w:tcPr>
            <w:tcW w:w="1008" w:type="dxa"/>
            <w:tcBorders>
              <w:top w:val="single" w:sz="4" w:space="0" w:color="auto"/>
              <w:left w:val="nil"/>
              <w:bottom w:val="single" w:sz="4" w:space="0" w:color="auto"/>
              <w:right w:val="single" w:sz="4" w:space="0" w:color="auto"/>
            </w:tcBorders>
            <w:shd w:val="clear" w:color="000000" w:fill="FFFFFF"/>
            <w:noWrap/>
            <w:vAlign w:val="center"/>
            <w:hideMark/>
          </w:tcPr>
          <w:p w14:paraId="6B4306C2" w14:textId="77777777" w:rsidR="00A17E78" w:rsidRPr="00A17E78" w:rsidRDefault="00A17E78" w:rsidP="00A17E78">
            <w:pPr>
              <w:jc w:val="cente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3%</w:t>
            </w:r>
          </w:p>
        </w:tc>
        <w:tc>
          <w:tcPr>
            <w:tcW w:w="1008" w:type="dxa"/>
            <w:tcBorders>
              <w:top w:val="single" w:sz="4" w:space="0" w:color="auto"/>
              <w:left w:val="nil"/>
              <w:bottom w:val="single" w:sz="4" w:space="0" w:color="auto"/>
              <w:right w:val="single" w:sz="4" w:space="0" w:color="auto"/>
            </w:tcBorders>
            <w:shd w:val="clear" w:color="000000" w:fill="FFFFFF"/>
            <w:noWrap/>
            <w:vAlign w:val="center"/>
            <w:hideMark/>
          </w:tcPr>
          <w:p w14:paraId="056727E2" w14:textId="77777777" w:rsidR="00A17E78" w:rsidRPr="00A17E78" w:rsidRDefault="00A17E78" w:rsidP="00A17E78">
            <w:pPr>
              <w:jc w:val="cente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4%</w:t>
            </w:r>
          </w:p>
        </w:tc>
        <w:tc>
          <w:tcPr>
            <w:tcW w:w="1008" w:type="dxa"/>
            <w:tcBorders>
              <w:top w:val="single" w:sz="4" w:space="0" w:color="auto"/>
              <w:left w:val="nil"/>
              <w:bottom w:val="single" w:sz="4" w:space="0" w:color="auto"/>
              <w:right w:val="single" w:sz="4" w:space="0" w:color="auto"/>
            </w:tcBorders>
            <w:shd w:val="clear" w:color="000000" w:fill="FFFFFF"/>
            <w:noWrap/>
            <w:vAlign w:val="center"/>
            <w:hideMark/>
          </w:tcPr>
          <w:p w14:paraId="6171AFB0" w14:textId="77777777" w:rsidR="00A17E78" w:rsidRPr="00A17E78" w:rsidRDefault="00A17E78" w:rsidP="00A17E78">
            <w:pPr>
              <w:jc w:val="center"/>
              <w:rPr>
                <w:rFonts w:ascii="Calibri" w:eastAsia="Times New Roman" w:hAnsi="Calibri" w:cs="Calibri"/>
                <w:color w:val="000000"/>
                <w:sz w:val="22"/>
                <w:szCs w:val="22"/>
                <w:lang w:eastAsia="en-GB"/>
              </w:rPr>
            </w:pPr>
            <w:r w:rsidRPr="00A17E78">
              <w:rPr>
                <w:rFonts w:ascii="Calibri" w:eastAsia="Times New Roman" w:hAnsi="Calibri" w:cs="Calibri"/>
                <w:color w:val="000000"/>
                <w:sz w:val="22"/>
                <w:szCs w:val="22"/>
                <w:lang w:eastAsia="en-GB"/>
              </w:rPr>
              <w:t>4%</w:t>
            </w:r>
          </w:p>
        </w:tc>
      </w:tr>
    </w:tbl>
    <w:p w14:paraId="24578C36" w14:textId="77777777" w:rsidR="000A598F" w:rsidRDefault="000A598F" w:rsidP="00A73661">
      <w:pPr>
        <w:spacing w:after="120"/>
        <w:rPr>
          <w:rFonts w:cstheme="minorHAnsi"/>
          <w:b/>
          <w:bCs/>
        </w:rPr>
      </w:pPr>
    </w:p>
    <w:p w14:paraId="71B7FDBA" w14:textId="7794D90C" w:rsidR="005F7FC8" w:rsidRPr="00C90501" w:rsidRDefault="00A81605" w:rsidP="00A73661">
      <w:pPr>
        <w:spacing w:after="120"/>
        <w:rPr>
          <w:rFonts w:cstheme="minorHAnsi"/>
          <w:b/>
          <w:bCs/>
        </w:rPr>
      </w:pPr>
      <w:r>
        <w:rPr>
          <w:rFonts w:cstheme="minorHAnsi"/>
          <w:b/>
          <w:bCs/>
        </w:rPr>
        <w:t xml:space="preserve">Treasury </w:t>
      </w:r>
      <w:r w:rsidR="00A17E78">
        <w:rPr>
          <w:rFonts w:cstheme="minorHAnsi"/>
          <w:b/>
          <w:bCs/>
        </w:rPr>
        <w:t xml:space="preserve">Management – </w:t>
      </w:r>
      <w:r w:rsidR="002F5416" w:rsidRPr="00C90501">
        <w:rPr>
          <w:rFonts w:cstheme="minorHAnsi"/>
          <w:b/>
          <w:bCs/>
        </w:rPr>
        <w:t>Borrowing</w:t>
      </w:r>
    </w:p>
    <w:p w14:paraId="355F164E" w14:textId="4DB00229" w:rsidR="008645D0" w:rsidRPr="00EA31B5" w:rsidRDefault="002F5416" w:rsidP="00A17E78">
      <w:pPr>
        <w:pStyle w:val="ListParagraph"/>
      </w:pPr>
      <w:r w:rsidRPr="002F5416">
        <w:t xml:space="preserve">The PFCC’s main objectives when borrowing are to achieve a low but certain cost of finance while retaining flexibility should plans change in future. </w:t>
      </w:r>
      <w:r w:rsidR="00C90501">
        <w:t xml:space="preserve"> </w:t>
      </w:r>
      <w:r w:rsidRPr="002F5416">
        <w:t xml:space="preserve">These objectives are often conflicting, and the PFCC therefore seeks to strike a balance between </w:t>
      </w:r>
      <w:r w:rsidR="005F7FC8">
        <w:t xml:space="preserve">historically cheaper </w:t>
      </w:r>
      <w:r w:rsidRPr="002F5416">
        <w:t xml:space="preserve">short-term loans and long-term fixed rate loans where the future cost is known </w:t>
      </w:r>
      <w:r w:rsidRPr="00EA31B5">
        <w:t xml:space="preserve">but </w:t>
      </w:r>
      <w:r w:rsidR="005F7FC8" w:rsidRPr="00EA31B5">
        <w:t xml:space="preserve">may be </w:t>
      </w:r>
      <w:r w:rsidRPr="00EA31B5">
        <w:t xml:space="preserve">higher. </w:t>
      </w:r>
    </w:p>
    <w:p w14:paraId="5ACA1771" w14:textId="42C49B48" w:rsidR="008645D0" w:rsidRPr="00EA31B5" w:rsidRDefault="008645D0" w:rsidP="0012005A">
      <w:pPr>
        <w:pStyle w:val="ListParagraph"/>
      </w:pPr>
      <w:r w:rsidRPr="00EA31B5">
        <w:t>External debt at 31</w:t>
      </w:r>
      <w:r w:rsidRPr="00EA31B5">
        <w:rPr>
          <w:vertAlign w:val="superscript"/>
        </w:rPr>
        <w:t>st</w:t>
      </w:r>
      <w:r w:rsidRPr="00EA31B5">
        <w:t xml:space="preserve"> March 202</w:t>
      </w:r>
      <w:r w:rsidR="00A17E78" w:rsidRPr="00EA31B5">
        <w:t>6</w:t>
      </w:r>
      <w:r w:rsidRPr="00EA31B5">
        <w:t xml:space="preserve"> was £2</w:t>
      </w:r>
      <w:r w:rsidR="00EA31B5" w:rsidRPr="00EA31B5">
        <w:t>2</w:t>
      </w:r>
      <w:r w:rsidRPr="00EA31B5">
        <w:t>.</w:t>
      </w:r>
      <w:r w:rsidR="00EA31B5" w:rsidRPr="00EA31B5">
        <w:t>2</w:t>
      </w:r>
      <w:r w:rsidRPr="00EA31B5">
        <w:t>m, made up of:</w:t>
      </w:r>
    </w:p>
    <w:p w14:paraId="15F226E4" w14:textId="43B98615" w:rsidR="008645D0" w:rsidRPr="00EA31B5" w:rsidRDefault="00EA31B5" w:rsidP="00A17E78">
      <w:pPr>
        <w:pStyle w:val="NoSpacing"/>
        <w:numPr>
          <w:ilvl w:val="0"/>
          <w:numId w:val="13"/>
        </w:numPr>
        <w:spacing w:line="276" w:lineRule="auto"/>
      </w:pPr>
      <w:r w:rsidRPr="00EA31B5">
        <w:t>Historic</w:t>
      </w:r>
      <w:r w:rsidR="008645D0" w:rsidRPr="00EA31B5">
        <w:t xml:space="preserve"> loans - £1.</w:t>
      </w:r>
      <w:r w:rsidRPr="00EA31B5">
        <w:t>0</w:t>
      </w:r>
      <w:r w:rsidR="008645D0" w:rsidRPr="00EA31B5">
        <w:t>m average interest rate of 4.8</w:t>
      </w:r>
      <w:r w:rsidRPr="00EA31B5">
        <w:t>8</w:t>
      </w:r>
      <w:r w:rsidR="008645D0" w:rsidRPr="00EA31B5">
        <w:t>%</w:t>
      </w:r>
    </w:p>
    <w:p w14:paraId="05CAAE55" w14:textId="2185A0F7" w:rsidR="008645D0" w:rsidRPr="00EA31B5" w:rsidRDefault="008645D0" w:rsidP="00A17E78">
      <w:pPr>
        <w:pStyle w:val="NoSpacing"/>
        <w:numPr>
          <w:ilvl w:val="0"/>
          <w:numId w:val="13"/>
        </w:numPr>
        <w:spacing w:line="276" w:lineRule="auto"/>
      </w:pPr>
      <w:r w:rsidRPr="00EA31B5">
        <w:t xml:space="preserve">March 2021 </w:t>
      </w:r>
      <w:r w:rsidR="00EA31B5" w:rsidRPr="00EA31B5">
        <w:t xml:space="preserve">Maturity </w:t>
      </w:r>
      <w:r w:rsidRPr="00EA31B5">
        <w:t>Loan - £12.0m interest rate of 1.71%</w:t>
      </w:r>
    </w:p>
    <w:p w14:paraId="4B8E9A84" w14:textId="2A741B64" w:rsidR="008645D0" w:rsidRPr="00EA31B5" w:rsidRDefault="008645D0" w:rsidP="00A17E78">
      <w:pPr>
        <w:pStyle w:val="NoSpacing"/>
        <w:numPr>
          <w:ilvl w:val="0"/>
          <w:numId w:val="13"/>
        </w:numPr>
        <w:spacing w:line="276" w:lineRule="auto"/>
      </w:pPr>
      <w:r w:rsidRPr="00EA31B5">
        <w:t>March 2022</w:t>
      </w:r>
      <w:r w:rsidR="00EA31B5" w:rsidRPr="00EA31B5">
        <w:t xml:space="preserve"> EIP Loan</w:t>
      </w:r>
      <w:r w:rsidRPr="00EA31B5">
        <w:t xml:space="preserve"> - £</w:t>
      </w:r>
      <w:r w:rsidR="00EA31B5" w:rsidRPr="00EA31B5">
        <w:t>9.2</w:t>
      </w:r>
      <w:r w:rsidRPr="00EA31B5">
        <w:t>m interest rate 2.38%</w:t>
      </w:r>
    </w:p>
    <w:p w14:paraId="5CDF9E18" w14:textId="77777777" w:rsidR="00A17E78" w:rsidRPr="00A17E78" w:rsidRDefault="00A17E78" w:rsidP="00A17E78">
      <w:pPr>
        <w:pStyle w:val="NoSpacing"/>
        <w:spacing w:line="276" w:lineRule="auto"/>
        <w:ind w:left="720"/>
      </w:pPr>
    </w:p>
    <w:p w14:paraId="43C17C6F" w14:textId="50113B64" w:rsidR="008645D0" w:rsidRPr="008645D0" w:rsidRDefault="002F5416" w:rsidP="00A17E78">
      <w:pPr>
        <w:pStyle w:val="ListParagraph"/>
      </w:pPr>
      <w:r w:rsidRPr="002F5416">
        <w:t xml:space="preserve">Statutory guidance is that debt should remain below the capital financing requirement, except in the short-term. </w:t>
      </w:r>
    </w:p>
    <w:p w14:paraId="15701FE3" w14:textId="41819108" w:rsidR="008645D0" w:rsidRDefault="008645D0" w:rsidP="00DD3B9D">
      <w:pPr>
        <w:pStyle w:val="ListParagraph"/>
      </w:pPr>
      <w:r w:rsidRPr="005F7FC8">
        <w:t xml:space="preserve">All recent borrowings were made following guidance from </w:t>
      </w:r>
      <w:r w:rsidR="00DD3B9D">
        <w:t>treasury management advisors</w:t>
      </w:r>
      <w:r w:rsidRPr="005F7FC8">
        <w:t>, scrutiny by both CFOs and formal authorisation by the PFCC.</w:t>
      </w:r>
    </w:p>
    <w:p w14:paraId="7FAC38DA" w14:textId="13D42BEA" w:rsidR="00A81605" w:rsidRPr="00A81605" w:rsidRDefault="002F5416" w:rsidP="0012005A">
      <w:pPr>
        <w:pStyle w:val="ListParagraph"/>
      </w:pPr>
      <w:r w:rsidRPr="002F5416">
        <w:t xml:space="preserve">The PFCC is legally obliged to set an affordable borrowing limit (also termed the authorised limit for external debt) each year. </w:t>
      </w:r>
      <w:r w:rsidR="00C90501">
        <w:t xml:space="preserve"> </w:t>
      </w:r>
      <w:r w:rsidRPr="002F5416">
        <w:t>In line with statutory guidance, a lower “operational boundary” is also set as a warning level should debt approach the limit</w:t>
      </w:r>
      <w:r w:rsidR="005F7FC8">
        <w:t>, currently:</w:t>
      </w:r>
    </w:p>
    <w:p w14:paraId="5A5EBE02" w14:textId="617DF555" w:rsidR="00A81605" w:rsidRPr="00DD3B9D" w:rsidRDefault="00A81605" w:rsidP="00A81605">
      <w:pPr>
        <w:jc w:val="both"/>
        <w:rPr>
          <w:rFonts w:cstheme="minorHAnsi"/>
          <w:i/>
          <w:iCs/>
          <w:sz w:val="22"/>
          <w:szCs w:val="22"/>
        </w:rPr>
      </w:pPr>
      <w:r w:rsidRPr="00DD3B9D">
        <w:rPr>
          <w:rFonts w:cstheme="minorHAnsi"/>
          <w:i/>
          <w:iCs/>
          <w:sz w:val="22"/>
          <w:szCs w:val="22"/>
        </w:rPr>
        <w:t>Table 6: Prudential Indicators: Operational Boundary and Authorised Limit</w:t>
      </w:r>
    </w:p>
    <w:tbl>
      <w:tblPr>
        <w:tblW w:w="9072" w:type="dxa"/>
        <w:tblInd w:w="-5" w:type="dxa"/>
        <w:tblLayout w:type="fixed"/>
        <w:tblLook w:val="04A0" w:firstRow="1" w:lastRow="0" w:firstColumn="1" w:lastColumn="0" w:noHBand="0" w:noVBand="1"/>
      </w:tblPr>
      <w:tblGrid>
        <w:gridCol w:w="2410"/>
        <w:gridCol w:w="1110"/>
        <w:gridCol w:w="1110"/>
        <w:gridCol w:w="1111"/>
        <w:gridCol w:w="1110"/>
        <w:gridCol w:w="1110"/>
        <w:gridCol w:w="1111"/>
      </w:tblGrid>
      <w:tr w:rsidR="00DD3B9D" w:rsidRPr="00DD3B9D" w14:paraId="29432D2E" w14:textId="77777777" w:rsidTr="00DD3B9D">
        <w:trPr>
          <w:trHeight w:val="780"/>
        </w:trPr>
        <w:tc>
          <w:tcPr>
            <w:tcW w:w="2410" w:type="dxa"/>
            <w:tcBorders>
              <w:top w:val="single" w:sz="4" w:space="0" w:color="auto"/>
              <w:left w:val="single" w:sz="4" w:space="0" w:color="auto"/>
              <w:bottom w:val="nil"/>
              <w:right w:val="single" w:sz="4" w:space="0" w:color="auto"/>
            </w:tcBorders>
            <w:shd w:val="clear" w:color="auto" w:fill="DDEBF7"/>
            <w:vAlign w:val="center"/>
            <w:hideMark/>
          </w:tcPr>
          <w:p w14:paraId="6B72F8A5" w14:textId="77777777" w:rsidR="00DD3B9D" w:rsidRPr="00DD3B9D" w:rsidRDefault="00DD3B9D" w:rsidP="005C7D46">
            <w:pP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Operational Boundary</w:t>
            </w:r>
          </w:p>
        </w:tc>
        <w:tc>
          <w:tcPr>
            <w:tcW w:w="1110" w:type="dxa"/>
            <w:tcBorders>
              <w:top w:val="single" w:sz="4" w:space="0" w:color="auto"/>
              <w:left w:val="nil"/>
              <w:bottom w:val="nil"/>
              <w:right w:val="single" w:sz="4" w:space="0" w:color="auto"/>
            </w:tcBorders>
            <w:shd w:val="clear" w:color="auto" w:fill="DDEBF7"/>
            <w:vAlign w:val="center"/>
            <w:hideMark/>
          </w:tcPr>
          <w:p w14:paraId="34B9B91E" w14:textId="2CB08F14"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2025/26</w:t>
            </w:r>
            <w:r w:rsidRPr="00DD3B9D">
              <w:rPr>
                <w:rFonts w:ascii="Calibri" w:eastAsia="Times New Roman" w:hAnsi="Calibri" w:cs="Calibri"/>
                <w:b/>
                <w:bCs/>
                <w:sz w:val="22"/>
                <w:szCs w:val="22"/>
                <w:lang w:eastAsia="en-GB"/>
              </w:rPr>
              <w:br/>
              <w:t>£'000</w:t>
            </w:r>
          </w:p>
        </w:tc>
        <w:tc>
          <w:tcPr>
            <w:tcW w:w="1110" w:type="dxa"/>
            <w:tcBorders>
              <w:top w:val="single" w:sz="4" w:space="0" w:color="auto"/>
              <w:left w:val="nil"/>
              <w:bottom w:val="nil"/>
              <w:right w:val="single" w:sz="4" w:space="0" w:color="auto"/>
            </w:tcBorders>
            <w:shd w:val="clear" w:color="auto" w:fill="DDEBF7"/>
            <w:vAlign w:val="center"/>
            <w:hideMark/>
          </w:tcPr>
          <w:p w14:paraId="53FF9262" w14:textId="6AB4DF8E"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2026/27</w:t>
            </w:r>
            <w:r w:rsidRPr="00DD3B9D">
              <w:rPr>
                <w:rFonts w:ascii="Calibri" w:eastAsia="Times New Roman" w:hAnsi="Calibri" w:cs="Calibri"/>
                <w:b/>
                <w:bCs/>
                <w:sz w:val="22"/>
                <w:szCs w:val="22"/>
                <w:lang w:eastAsia="en-GB"/>
              </w:rPr>
              <w:br/>
              <w:t>£'000</w:t>
            </w:r>
          </w:p>
        </w:tc>
        <w:tc>
          <w:tcPr>
            <w:tcW w:w="1111" w:type="dxa"/>
            <w:tcBorders>
              <w:top w:val="single" w:sz="4" w:space="0" w:color="auto"/>
              <w:left w:val="nil"/>
              <w:bottom w:val="nil"/>
              <w:right w:val="single" w:sz="4" w:space="0" w:color="auto"/>
            </w:tcBorders>
            <w:shd w:val="clear" w:color="auto" w:fill="DDEBF7"/>
            <w:vAlign w:val="center"/>
            <w:hideMark/>
          </w:tcPr>
          <w:p w14:paraId="0E9F9551" w14:textId="3F059699"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2027/28</w:t>
            </w:r>
            <w:r w:rsidRPr="00DD3B9D">
              <w:rPr>
                <w:rFonts w:ascii="Calibri" w:eastAsia="Times New Roman" w:hAnsi="Calibri" w:cs="Calibri"/>
                <w:b/>
                <w:bCs/>
                <w:sz w:val="22"/>
                <w:szCs w:val="22"/>
                <w:lang w:eastAsia="en-GB"/>
              </w:rPr>
              <w:br/>
              <w:t>£'000</w:t>
            </w:r>
          </w:p>
        </w:tc>
        <w:tc>
          <w:tcPr>
            <w:tcW w:w="1110" w:type="dxa"/>
            <w:tcBorders>
              <w:top w:val="single" w:sz="4" w:space="0" w:color="auto"/>
              <w:left w:val="nil"/>
              <w:bottom w:val="nil"/>
              <w:right w:val="single" w:sz="4" w:space="0" w:color="auto"/>
            </w:tcBorders>
            <w:shd w:val="clear" w:color="auto" w:fill="DDEBF7"/>
            <w:vAlign w:val="center"/>
            <w:hideMark/>
          </w:tcPr>
          <w:p w14:paraId="1B30047E" w14:textId="4B797566"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2028/29</w:t>
            </w:r>
            <w:r w:rsidRPr="00DD3B9D">
              <w:rPr>
                <w:rFonts w:ascii="Calibri" w:eastAsia="Times New Roman" w:hAnsi="Calibri" w:cs="Calibri"/>
                <w:b/>
                <w:bCs/>
                <w:sz w:val="22"/>
                <w:szCs w:val="22"/>
                <w:lang w:eastAsia="en-GB"/>
              </w:rPr>
              <w:br/>
              <w:t>£'000</w:t>
            </w:r>
          </w:p>
        </w:tc>
        <w:tc>
          <w:tcPr>
            <w:tcW w:w="1110" w:type="dxa"/>
            <w:tcBorders>
              <w:top w:val="single" w:sz="4" w:space="0" w:color="auto"/>
              <w:left w:val="nil"/>
              <w:bottom w:val="nil"/>
              <w:right w:val="single" w:sz="4" w:space="0" w:color="auto"/>
            </w:tcBorders>
            <w:shd w:val="clear" w:color="auto" w:fill="DDEBF7"/>
            <w:vAlign w:val="center"/>
            <w:hideMark/>
          </w:tcPr>
          <w:p w14:paraId="1C2914DE" w14:textId="598D813C"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2029/30</w:t>
            </w:r>
            <w:r w:rsidRPr="00DD3B9D">
              <w:rPr>
                <w:rFonts w:ascii="Calibri" w:eastAsia="Times New Roman" w:hAnsi="Calibri" w:cs="Calibri"/>
                <w:b/>
                <w:bCs/>
                <w:sz w:val="22"/>
                <w:szCs w:val="22"/>
                <w:lang w:eastAsia="en-GB"/>
              </w:rPr>
              <w:br/>
              <w:t>£'000</w:t>
            </w:r>
          </w:p>
        </w:tc>
        <w:tc>
          <w:tcPr>
            <w:tcW w:w="1111" w:type="dxa"/>
            <w:tcBorders>
              <w:top w:val="single" w:sz="4" w:space="0" w:color="auto"/>
              <w:left w:val="nil"/>
              <w:bottom w:val="nil"/>
              <w:right w:val="single" w:sz="4" w:space="0" w:color="auto"/>
            </w:tcBorders>
            <w:shd w:val="clear" w:color="auto" w:fill="DDEBF7"/>
            <w:vAlign w:val="center"/>
            <w:hideMark/>
          </w:tcPr>
          <w:p w14:paraId="6F1239E0" w14:textId="37F97B84"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2030/31</w:t>
            </w:r>
            <w:r w:rsidRPr="00DD3B9D">
              <w:rPr>
                <w:rFonts w:ascii="Calibri" w:eastAsia="Times New Roman" w:hAnsi="Calibri" w:cs="Calibri"/>
                <w:b/>
                <w:bCs/>
                <w:sz w:val="22"/>
                <w:szCs w:val="22"/>
                <w:lang w:eastAsia="en-GB"/>
              </w:rPr>
              <w:br/>
              <w:t>£'000</w:t>
            </w:r>
          </w:p>
        </w:tc>
      </w:tr>
      <w:tr w:rsidR="00DD3B9D" w:rsidRPr="00DD3B9D" w14:paraId="6143E19C" w14:textId="77777777" w:rsidTr="00DD3B9D">
        <w:trPr>
          <w:trHeight w:val="43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8F948" w14:textId="77777777" w:rsidR="00DD3B9D" w:rsidRPr="00DD3B9D" w:rsidRDefault="00DD3B9D" w:rsidP="005C7D46">
            <w:pPr>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 xml:space="preserve">Total Borrowing </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6BF00224"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24,000</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718F07C0"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49,000</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17294784"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70,000</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25A942AF"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76,000</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69700219"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84,000</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090D60B6"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74,000</w:t>
            </w:r>
          </w:p>
        </w:tc>
      </w:tr>
    </w:tbl>
    <w:p w14:paraId="0560EA07" w14:textId="77777777" w:rsidR="00DD3B9D" w:rsidRPr="00DD3B9D" w:rsidRDefault="00DD3B9D" w:rsidP="00B30FD4">
      <w:pPr>
        <w:rPr>
          <w:rFonts w:cstheme="minorHAnsi"/>
          <w:b/>
          <w:bCs/>
          <w:sz w:val="22"/>
          <w:szCs w:val="22"/>
        </w:rPr>
      </w:pPr>
    </w:p>
    <w:tbl>
      <w:tblPr>
        <w:tblW w:w="9067" w:type="dxa"/>
        <w:tblLayout w:type="fixed"/>
        <w:tblLook w:val="04A0" w:firstRow="1" w:lastRow="0" w:firstColumn="1" w:lastColumn="0" w:noHBand="0" w:noVBand="1"/>
      </w:tblPr>
      <w:tblGrid>
        <w:gridCol w:w="2405"/>
        <w:gridCol w:w="1110"/>
        <w:gridCol w:w="1110"/>
        <w:gridCol w:w="1111"/>
        <w:gridCol w:w="1110"/>
        <w:gridCol w:w="1110"/>
        <w:gridCol w:w="1111"/>
      </w:tblGrid>
      <w:tr w:rsidR="00DD3B9D" w:rsidRPr="00DD3B9D" w14:paraId="24B4BC0A" w14:textId="77777777" w:rsidTr="00DD3B9D">
        <w:trPr>
          <w:trHeight w:val="630"/>
        </w:trPr>
        <w:tc>
          <w:tcPr>
            <w:tcW w:w="2405" w:type="dxa"/>
            <w:tcBorders>
              <w:top w:val="single" w:sz="4" w:space="0" w:color="auto"/>
              <w:left w:val="single" w:sz="4" w:space="0" w:color="auto"/>
              <w:bottom w:val="nil"/>
              <w:right w:val="single" w:sz="4" w:space="0" w:color="auto"/>
            </w:tcBorders>
            <w:shd w:val="clear" w:color="auto" w:fill="DDEBF7"/>
            <w:vAlign w:val="center"/>
            <w:hideMark/>
          </w:tcPr>
          <w:p w14:paraId="2D5F5054" w14:textId="77777777" w:rsidR="00DD3B9D" w:rsidRPr="00DD3B9D" w:rsidRDefault="00DD3B9D" w:rsidP="00DD3B9D">
            <w:pP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Authorised Limit</w:t>
            </w:r>
          </w:p>
        </w:tc>
        <w:tc>
          <w:tcPr>
            <w:tcW w:w="1110" w:type="dxa"/>
            <w:tcBorders>
              <w:top w:val="single" w:sz="4" w:space="0" w:color="auto"/>
              <w:left w:val="nil"/>
              <w:bottom w:val="nil"/>
              <w:right w:val="single" w:sz="4" w:space="0" w:color="auto"/>
            </w:tcBorders>
            <w:shd w:val="clear" w:color="auto" w:fill="DDEBF7"/>
            <w:vAlign w:val="center"/>
            <w:hideMark/>
          </w:tcPr>
          <w:p w14:paraId="3C997DE2" w14:textId="69564742"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2025/26</w:t>
            </w:r>
            <w:r w:rsidRPr="00DD3B9D">
              <w:rPr>
                <w:rFonts w:ascii="Calibri" w:eastAsia="Times New Roman" w:hAnsi="Calibri" w:cs="Calibri"/>
                <w:b/>
                <w:bCs/>
                <w:sz w:val="22"/>
                <w:szCs w:val="22"/>
                <w:lang w:eastAsia="en-GB"/>
              </w:rPr>
              <w:br/>
              <w:t>£'000</w:t>
            </w:r>
          </w:p>
        </w:tc>
        <w:tc>
          <w:tcPr>
            <w:tcW w:w="1110" w:type="dxa"/>
            <w:tcBorders>
              <w:top w:val="single" w:sz="4" w:space="0" w:color="auto"/>
              <w:left w:val="nil"/>
              <w:bottom w:val="nil"/>
              <w:right w:val="single" w:sz="4" w:space="0" w:color="auto"/>
            </w:tcBorders>
            <w:shd w:val="clear" w:color="auto" w:fill="DDEBF7"/>
            <w:vAlign w:val="center"/>
            <w:hideMark/>
          </w:tcPr>
          <w:p w14:paraId="677F18FF" w14:textId="37C170C1"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2026/27</w:t>
            </w:r>
            <w:r w:rsidRPr="00DD3B9D">
              <w:rPr>
                <w:rFonts w:ascii="Calibri" w:eastAsia="Times New Roman" w:hAnsi="Calibri" w:cs="Calibri"/>
                <w:b/>
                <w:bCs/>
                <w:sz w:val="22"/>
                <w:szCs w:val="22"/>
                <w:lang w:eastAsia="en-GB"/>
              </w:rPr>
              <w:br/>
              <w:t>£'000</w:t>
            </w:r>
          </w:p>
        </w:tc>
        <w:tc>
          <w:tcPr>
            <w:tcW w:w="1111" w:type="dxa"/>
            <w:tcBorders>
              <w:top w:val="single" w:sz="4" w:space="0" w:color="auto"/>
              <w:left w:val="nil"/>
              <w:bottom w:val="nil"/>
              <w:right w:val="single" w:sz="4" w:space="0" w:color="auto"/>
            </w:tcBorders>
            <w:shd w:val="clear" w:color="auto" w:fill="DDEBF7"/>
            <w:vAlign w:val="center"/>
            <w:hideMark/>
          </w:tcPr>
          <w:p w14:paraId="11EEDCEF" w14:textId="53D0BBF1"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2027/28</w:t>
            </w:r>
            <w:r w:rsidRPr="00DD3B9D">
              <w:rPr>
                <w:rFonts w:ascii="Calibri" w:eastAsia="Times New Roman" w:hAnsi="Calibri" w:cs="Calibri"/>
                <w:b/>
                <w:bCs/>
                <w:sz w:val="22"/>
                <w:szCs w:val="22"/>
                <w:lang w:eastAsia="en-GB"/>
              </w:rPr>
              <w:br/>
              <w:t>£'000</w:t>
            </w:r>
          </w:p>
        </w:tc>
        <w:tc>
          <w:tcPr>
            <w:tcW w:w="1110" w:type="dxa"/>
            <w:tcBorders>
              <w:top w:val="single" w:sz="4" w:space="0" w:color="auto"/>
              <w:left w:val="nil"/>
              <w:bottom w:val="nil"/>
              <w:right w:val="single" w:sz="4" w:space="0" w:color="auto"/>
            </w:tcBorders>
            <w:shd w:val="clear" w:color="auto" w:fill="DDEBF7"/>
            <w:vAlign w:val="center"/>
            <w:hideMark/>
          </w:tcPr>
          <w:p w14:paraId="139E7EB0" w14:textId="2DBB04ED"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2028/29</w:t>
            </w:r>
            <w:r w:rsidRPr="00DD3B9D">
              <w:rPr>
                <w:rFonts w:ascii="Calibri" w:eastAsia="Times New Roman" w:hAnsi="Calibri" w:cs="Calibri"/>
                <w:b/>
                <w:bCs/>
                <w:sz w:val="22"/>
                <w:szCs w:val="22"/>
                <w:lang w:eastAsia="en-GB"/>
              </w:rPr>
              <w:br/>
              <w:t>£'000</w:t>
            </w:r>
          </w:p>
        </w:tc>
        <w:tc>
          <w:tcPr>
            <w:tcW w:w="1110" w:type="dxa"/>
            <w:tcBorders>
              <w:top w:val="single" w:sz="4" w:space="0" w:color="auto"/>
              <w:left w:val="nil"/>
              <w:bottom w:val="nil"/>
              <w:right w:val="single" w:sz="4" w:space="0" w:color="auto"/>
            </w:tcBorders>
            <w:shd w:val="clear" w:color="auto" w:fill="DDEBF7"/>
            <w:vAlign w:val="center"/>
            <w:hideMark/>
          </w:tcPr>
          <w:p w14:paraId="426EF2D0" w14:textId="1BE83D91"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2029/30</w:t>
            </w:r>
            <w:r w:rsidRPr="00DD3B9D">
              <w:rPr>
                <w:rFonts w:ascii="Calibri" w:eastAsia="Times New Roman" w:hAnsi="Calibri" w:cs="Calibri"/>
                <w:b/>
                <w:bCs/>
                <w:sz w:val="22"/>
                <w:szCs w:val="22"/>
                <w:lang w:eastAsia="en-GB"/>
              </w:rPr>
              <w:br/>
              <w:t>£'000</w:t>
            </w:r>
          </w:p>
        </w:tc>
        <w:tc>
          <w:tcPr>
            <w:tcW w:w="1111" w:type="dxa"/>
            <w:tcBorders>
              <w:top w:val="single" w:sz="4" w:space="0" w:color="auto"/>
              <w:left w:val="nil"/>
              <w:bottom w:val="nil"/>
              <w:right w:val="single" w:sz="4" w:space="0" w:color="auto"/>
            </w:tcBorders>
            <w:shd w:val="clear" w:color="auto" w:fill="DDEBF7"/>
            <w:vAlign w:val="center"/>
            <w:hideMark/>
          </w:tcPr>
          <w:p w14:paraId="3565FD57" w14:textId="741B86E8" w:rsidR="00DD3B9D" w:rsidRPr="00DD3B9D" w:rsidRDefault="00DD3B9D" w:rsidP="00DD3B9D">
            <w:pPr>
              <w:jc w:val="center"/>
              <w:rPr>
                <w:rFonts w:ascii="Calibri" w:eastAsia="Times New Roman" w:hAnsi="Calibri" w:cs="Calibri"/>
                <w:b/>
                <w:bCs/>
                <w:sz w:val="22"/>
                <w:szCs w:val="22"/>
                <w:lang w:eastAsia="en-GB"/>
              </w:rPr>
            </w:pPr>
            <w:r w:rsidRPr="00DD3B9D">
              <w:rPr>
                <w:rFonts w:ascii="Calibri" w:eastAsia="Times New Roman" w:hAnsi="Calibri" w:cs="Calibri"/>
                <w:b/>
                <w:bCs/>
                <w:sz w:val="22"/>
                <w:szCs w:val="22"/>
                <w:lang w:eastAsia="en-GB"/>
              </w:rPr>
              <w:t>2030/31</w:t>
            </w:r>
            <w:r w:rsidRPr="00DD3B9D">
              <w:rPr>
                <w:rFonts w:ascii="Calibri" w:eastAsia="Times New Roman" w:hAnsi="Calibri" w:cs="Calibri"/>
                <w:b/>
                <w:bCs/>
                <w:sz w:val="22"/>
                <w:szCs w:val="22"/>
                <w:lang w:eastAsia="en-GB"/>
              </w:rPr>
              <w:br/>
              <w:t>£'000</w:t>
            </w:r>
          </w:p>
        </w:tc>
      </w:tr>
      <w:tr w:rsidR="00DD3B9D" w:rsidRPr="00DD3B9D" w14:paraId="1A68F279" w14:textId="77777777" w:rsidTr="00DD3B9D">
        <w:trPr>
          <w:trHeight w:val="48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E7F69" w14:textId="77777777" w:rsidR="00DD3B9D" w:rsidRPr="00DD3B9D" w:rsidRDefault="00DD3B9D" w:rsidP="005C7D46">
            <w:pPr>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 xml:space="preserve">Total Borrowing </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0F8AA654"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26,400</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551BAD6B"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59,900</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21D8D7F6"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77,000</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16E1B609"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83,600</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6C113D8D"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92,400</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6C733298" w14:textId="77777777" w:rsidR="00DD3B9D" w:rsidRPr="00DD3B9D" w:rsidRDefault="00DD3B9D" w:rsidP="005C7D46">
            <w:pPr>
              <w:jc w:val="right"/>
              <w:rPr>
                <w:rFonts w:ascii="Calibri" w:eastAsia="Times New Roman" w:hAnsi="Calibri" w:cs="Calibri"/>
                <w:color w:val="000000"/>
                <w:sz w:val="22"/>
                <w:szCs w:val="22"/>
                <w:lang w:eastAsia="en-GB"/>
              </w:rPr>
            </w:pPr>
            <w:r w:rsidRPr="00DD3B9D">
              <w:rPr>
                <w:rFonts w:ascii="Calibri" w:eastAsia="Times New Roman" w:hAnsi="Calibri" w:cs="Calibri"/>
                <w:color w:val="000000"/>
                <w:sz w:val="22"/>
                <w:szCs w:val="22"/>
                <w:lang w:eastAsia="en-GB"/>
              </w:rPr>
              <w:t>81,400</w:t>
            </w:r>
          </w:p>
        </w:tc>
      </w:tr>
    </w:tbl>
    <w:p w14:paraId="5485D593" w14:textId="77777777" w:rsidR="00DD3B9D" w:rsidRDefault="00DD3B9D" w:rsidP="00B30FD4">
      <w:pPr>
        <w:rPr>
          <w:rFonts w:cstheme="minorHAnsi"/>
          <w:b/>
          <w:bCs/>
        </w:rPr>
      </w:pPr>
    </w:p>
    <w:p w14:paraId="0C7CED1B" w14:textId="670CE017" w:rsidR="005C0B3C" w:rsidRDefault="005F7FC8" w:rsidP="00A8368C">
      <w:pPr>
        <w:pStyle w:val="ListParagraph"/>
      </w:pPr>
      <w:r w:rsidRPr="005F7FC8">
        <w:t xml:space="preserve">These are based on the agreed </w:t>
      </w:r>
      <w:r w:rsidR="00DD3B9D">
        <w:t xml:space="preserve">2026/27 </w:t>
      </w:r>
      <w:r w:rsidRPr="005F7FC8">
        <w:t>capital programme and recalculated each year as part of the updated Treasury Management Strategy.</w:t>
      </w:r>
    </w:p>
    <w:p w14:paraId="68E5C7C0" w14:textId="77777777" w:rsidR="000A598F" w:rsidRPr="001E1BE7" w:rsidRDefault="000A598F" w:rsidP="000A598F"/>
    <w:p w14:paraId="2D12BC76" w14:textId="4395F93D" w:rsidR="002F5416" w:rsidRPr="00B30FD4" w:rsidRDefault="002F5416" w:rsidP="00A73661">
      <w:pPr>
        <w:spacing w:after="120"/>
        <w:rPr>
          <w:rFonts w:cstheme="minorHAnsi"/>
          <w:b/>
          <w:bCs/>
        </w:rPr>
      </w:pPr>
      <w:r w:rsidRPr="00B30FD4">
        <w:rPr>
          <w:rFonts w:cstheme="minorHAnsi"/>
          <w:b/>
          <w:bCs/>
        </w:rPr>
        <w:t xml:space="preserve">Treasury </w:t>
      </w:r>
      <w:r w:rsidR="00DD3B9D">
        <w:rPr>
          <w:rFonts w:cstheme="minorHAnsi"/>
          <w:b/>
          <w:bCs/>
        </w:rPr>
        <w:t xml:space="preserve">Management – </w:t>
      </w:r>
      <w:r w:rsidRPr="00B30FD4">
        <w:rPr>
          <w:rFonts w:cstheme="minorHAnsi"/>
          <w:b/>
          <w:bCs/>
        </w:rPr>
        <w:t>Investment</w:t>
      </w:r>
      <w:r w:rsidR="00DD3B9D">
        <w:rPr>
          <w:rFonts w:cstheme="minorHAnsi"/>
          <w:b/>
          <w:bCs/>
        </w:rPr>
        <w:t>s</w:t>
      </w:r>
    </w:p>
    <w:p w14:paraId="74AAC14C" w14:textId="7745CA99" w:rsidR="008645D0" w:rsidRDefault="008645D0" w:rsidP="00DD3B9D">
      <w:pPr>
        <w:pStyle w:val="ListParagraph"/>
      </w:pPr>
      <w:r w:rsidRPr="005F7FC8">
        <w:t xml:space="preserve">Treasury management is concerned with keeping sufficient but not excessive cash available to meet the PFCC’s / Force’s spending needs, while managing the risks involved.  Surplus cash is invested until required, while a shortage of cash will be met by borrowing, to avoid excessive credit balances or overdrafts in the bank current account.  Cash balances will fluctuate seasonally due to the timing of grant receipts and there is daily oversight to manage this.  Any revenue cash surpluses are offset against capital cash shortfalls to reduce overall borrowing. </w:t>
      </w:r>
    </w:p>
    <w:p w14:paraId="27021D82" w14:textId="0818A09E" w:rsidR="00B30FD4" w:rsidRPr="002F5416" w:rsidRDefault="002F5416" w:rsidP="00DD3B9D">
      <w:pPr>
        <w:pStyle w:val="ListParagraph"/>
      </w:pPr>
      <w:r w:rsidRPr="002F5416">
        <w:t xml:space="preserve">Treasury investments arise from receiving cash before it is paid out again. </w:t>
      </w:r>
      <w:r w:rsidR="00B30FD4">
        <w:t xml:space="preserve"> </w:t>
      </w:r>
      <w:r w:rsidRPr="002F5416">
        <w:t>Investments made for service reasons or for pure financial gain are not generally considered to be part of treasury management.</w:t>
      </w:r>
    </w:p>
    <w:p w14:paraId="332F8868" w14:textId="4B0EF7FE" w:rsidR="00A81605" w:rsidRDefault="002F5416" w:rsidP="0012005A">
      <w:pPr>
        <w:pStyle w:val="ListParagraph"/>
      </w:pPr>
      <w:r w:rsidRPr="00B30FD4">
        <w:t>The PFCC’s policy on treasury investments is to prioritise security and liquidity over yield</w:t>
      </w:r>
      <w:r w:rsidR="00B30FD4" w:rsidRPr="00B30FD4">
        <w:t>; t</w:t>
      </w:r>
      <w:r w:rsidRPr="00B30FD4">
        <w:t xml:space="preserve">hat is to focus on minimising risk rather than maximising returns. </w:t>
      </w:r>
      <w:r w:rsidR="00B30FD4" w:rsidRPr="00B30FD4">
        <w:t xml:space="preserve"> </w:t>
      </w:r>
      <w:r w:rsidRPr="00B30FD4">
        <w:t>Surplus cash is invested securely, for example with the government, other local authorities, selected high-quality banks and pooled funds, to minimise the risk of loss.</w:t>
      </w:r>
    </w:p>
    <w:p w14:paraId="23262F2C" w14:textId="77777777" w:rsidR="00A8368C" w:rsidRPr="00FA6B0F" w:rsidRDefault="00A8368C" w:rsidP="00A8368C"/>
    <w:p w14:paraId="1D2D1092" w14:textId="2D3A5DDC" w:rsidR="002F5416" w:rsidRPr="00B30FD4" w:rsidRDefault="002F5416" w:rsidP="00A73661">
      <w:pPr>
        <w:spacing w:after="120"/>
        <w:rPr>
          <w:rFonts w:cstheme="minorHAnsi"/>
          <w:b/>
          <w:bCs/>
        </w:rPr>
      </w:pPr>
      <w:r w:rsidRPr="00B30FD4">
        <w:rPr>
          <w:rFonts w:cstheme="minorHAnsi"/>
          <w:b/>
          <w:bCs/>
        </w:rPr>
        <w:t xml:space="preserve">Risk </w:t>
      </w:r>
      <w:r w:rsidR="00711538">
        <w:rPr>
          <w:rFonts w:cstheme="minorHAnsi"/>
          <w:b/>
          <w:bCs/>
        </w:rPr>
        <w:t>M</w:t>
      </w:r>
      <w:r w:rsidRPr="00B30FD4">
        <w:rPr>
          <w:rFonts w:cstheme="minorHAnsi"/>
          <w:b/>
          <w:bCs/>
        </w:rPr>
        <w:t>anagement</w:t>
      </w:r>
    </w:p>
    <w:p w14:paraId="3ACA9FC2" w14:textId="2599A447" w:rsidR="00B30FD4" w:rsidRPr="002F5416" w:rsidRDefault="002F5416" w:rsidP="00DD3B9D">
      <w:pPr>
        <w:pStyle w:val="ListParagraph"/>
      </w:pPr>
      <w:r w:rsidRPr="002F5416">
        <w:t xml:space="preserve">The effective management and control of risk are prime objectives of the PFCC’s treasury management activities. </w:t>
      </w:r>
      <w:r w:rsidR="00B30FD4">
        <w:t xml:space="preserve"> </w:t>
      </w:r>
      <w:r w:rsidRPr="002F5416">
        <w:t xml:space="preserve">The </w:t>
      </w:r>
      <w:r w:rsidR="00B30FD4">
        <w:t>T</w:t>
      </w:r>
      <w:r w:rsidRPr="002F5416">
        <w:t xml:space="preserve">reasury </w:t>
      </w:r>
      <w:r w:rsidR="00B30FD4">
        <w:t>M</w:t>
      </w:r>
      <w:r w:rsidRPr="002F5416">
        <w:t xml:space="preserve">anagement </w:t>
      </w:r>
      <w:r w:rsidR="00B30FD4">
        <w:t>S</w:t>
      </w:r>
      <w:r w:rsidRPr="002F5416">
        <w:t>trategy therefore sets out various indicators and limits to constrain the risk of unexpected losses and details the extent to which financial derivatives may be used to manage treasury risks.</w:t>
      </w:r>
    </w:p>
    <w:p w14:paraId="32AAECE6" w14:textId="696260AB" w:rsidR="00B30FD4" w:rsidRDefault="002F5416" w:rsidP="0012005A">
      <w:pPr>
        <w:pStyle w:val="ListParagraph"/>
      </w:pPr>
      <w:r w:rsidRPr="002F5416">
        <w:t>Governance: Decisions on treasury management investment and</w:t>
      </w:r>
      <w:r w:rsidR="00B30FD4">
        <w:t xml:space="preserve"> </w:t>
      </w:r>
      <w:r w:rsidRPr="002F5416">
        <w:t>borrowing are made</w:t>
      </w:r>
      <w:r w:rsidR="00B30FD4">
        <w:t xml:space="preserve"> </w:t>
      </w:r>
      <w:r w:rsidRPr="002F5416">
        <w:t xml:space="preserve">daily and are therefore delegated to the Joint Finance Team who must act in line with the </w:t>
      </w:r>
      <w:r w:rsidR="00B30FD4">
        <w:t>T</w:t>
      </w:r>
      <w:r w:rsidRPr="002F5416">
        <w:t xml:space="preserve">reasury </w:t>
      </w:r>
      <w:r w:rsidR="00B30FD4">
        <w:t>M</w:t>
      </w:r>
      <w:r w:rsidRPr="002F5416">
        <w:t xml:space="preserve">anagement </w:t>
      </w:r>
      <w:r w:rsidR="00B30FD4">
        <w:t>S</w:t>
      </w:r>
      <w:r w:rsidRPr="002F5416">
        <w:t>trategy approved by the PFCC and the agreed reporting requirements.</w:t>
      </w:r>
    </w:p>
    <w:p w14:paraId="3FDB87EF" w14:textId="77777777" w:rsidR="00A8368C" w:rsidRPr="001E1BE7" w:rsidRDefault="00A8368C" w:rsidP="00A8368C"/>
    <w:p w14:paraId="546A44D8" w14:textId="77777777" w:rsidR="002F5416" w:rsidRPr="00B30FD4" w:rsidRDefault="002F5416" w:rsidP="00A73661">
      <w:pPr>
        <w:spacing w:after="120"/>
        <w:rPr>
          <w:rFonts w:cstheme="minorHAnsi"/>
          <w:b/>
          <w:bCs/>
        </w:rPr>
      </w:pPr>
      <w:r w:rsidRPr="00B30FD4">
        <w:rPr>
          <w:rFonts w:cstheme="minorHAnsi"/>
          <w:b/>
          <w:bCs/>
        </w:rPr>
        <w:t>Investments for Service Purposes</w:t>
      </w:r>
    </w:p>
    <w:p w14:paraId="2359E9A2" w14:textId="3ECE2610" w:rsidR="00B30FD4" w:rsidRDefault="002F5416" w:rsidP="0012005A">
      <w:pPr>
        <w:pStyle w:val="ListParagraph"/>
      </w:pPr>
      <w:r w:rsidRPr="002F5416">
        <w:t xml:space="preserve">The PFCC does not make any investments directly into local public services </w:t>
      </w:r>
      <w:proofErr w:type="spellStart"/>
      <w:r w:rsidRPr="002F5416">
        <w:t>i.e</w:t>
      </w:r>
      <w:proofErr w:type="spellEnd"/>
      <w:r w:rsidRPr="002F5416">
        <w:t xml:space="preserve"> buying shares or investing in local businesses to promote economic growth.</w:t>
      </w:r>
    </w:p>
    <w:p w14:paraId="439705AB" w14:textId="77777777" w:rsidR="00A8368C" w:rsidRPr="001E1BE7" w:rsidRDefault="00A8368C" w:rsidP="00A8368C"/>
    <w:p w14:paraId="3C4278A5" w14:textId="77777777" w:rsidR="000A598F" w:rsidRDefault="000A598F" w:rsidP="00A73661">
      <w:pPr>
        <w:spacing w:after="120"/>
        <w:rPr>
          <w:rFonts w:cstheme="minorHAnsi"/>
          <w:b/>
          <w:bCs/>
        </w:rPr>
      </w:pPr>
    </w:p>
    <w:p w14:paraId="28374759" w14:textId="072547DC" w:rsidR="002F5416" w:rsidRPr="00B30FD4" w:rsidRDefault="002F5416" w:rsidP="00A73661">
      <w:pPr>
        <w:spacing w:after="120"/>
        <w:rPr>
          <w:rFonts w:cstheme="minorHAnsi"/>
          <w:b/>
          <w:bCs/>
        </w:rPr>
      </w:pPr>
      <w:r w:rsidRPr="00B30FD4">
        <w:rPr>
          <w:rFonts w:cstheme="minorHAnsi"/>
          <w:b/>
          <w:bCs/>
        </w:rPr>
        <w:lastRenderedPageBreak/>
        <w:t>Commercial Activities</w:t>
      </w:r>
    </w:p>
    <w:p w14:paraId="00E6E221" w14:textId="5E821053" w:rsidR="00B30FD4" w:rsidRDefault="002F5416" w:rsidP="0012005A">
      <w:pPr>
        <w:pStyle w:val="ListParagraph"/>
      </w:pPr>
      <w:r w:rsidRPr="002F5416">
        <w:t>The PFCC does not invest in any commercial property / activities.</w:t>
      </w:r>
    </w:p>
    <w:p w14:paraId="7A61A4C9" w14:textId="77777777" w:rsidR="00EA31B5" w:rsidRDefault="00EA31B5" w:rsidP="00A73661">
      <w:pPr>
        <w:spacing w:after="120"/>
        <w:rPr>
          <w:rFonts w:cstheme="minorHAnsi"/>
          <w:b/>
          <w:bCs/>
        </w:rPr>
      </w:pPr>
      <w:bookmarkStart w:id="3" w:name="_Hlk124337613"/>
    </w:p>
    <w:p w14:paraId="2F6C5C7B" w14:textId="0A23BE0D" w:rsidR="002F5416" w:rsidRPr="00C945E2" w:rsidRDefault="005C0B3C" w:rsidP="00A73661">
      <w:pPr>
        <w:spacing w:after="120"/>
        <w:rPr>
          <w:rFonts w:cstheme="minorHAnsi"/>
          <w:b/>
          <w:bCs/>
        </w:rPr>
      </w:pPr>
      <w:r>
        <w:rPr>
          <w:rFonts w:cstheme="minorHAnsi"/>
          <w:b/>
          <w:bCs/>
        </w:rPr>
        <w:t xml:space="preserve">Other </w:t>
      </w:r>
      <w:r w:rsidR="002F5416" w:rsidRPr="00C945E2">
        <w:rPr>
          <w:rFonts w:cstheme="minorHAnsi"/>
          <w:b/>
          <w:bCs/>
        </w:rPr>
        <w:t>Liabilities</w:t>
      </w:r>
    </w:p>
    <w:bookmarkEnd w:id="3"/>
    <w:p w14:paraId="5DE45212" w14:textId="37C531ED" w:rsidR="00B30FD4" w:rsidRPr="00C945E2" w:rsidRDefault="001E1BE7" w:rsidP="00A8368C">
      <w:pPr>
        <w:pStyle w:val="ListParagraph"/>
        <w:rPr>
          <w:rFonts w:eastAsia="Times New Roman"/>
        </w:rPr>
      </w:pPr>
      <w:r w:rsidRPr="00C945E2">
        <w:t>In addition to current debt of £2</w:t>
      </w:r>
      <w:r w:rsidR="00EA31B5" w:rsidRPr="00C945E2">
        <w:t>2</w:t>
      </w:r>
      <w:r w:rsidRPr="00C945E2">
        <w:t>.</w:t>
      </w:r>
      <w:r w:rsidR="00EA31B5" w:rsidRPr="00C945E2">
        <w:t>2</w:t>
      </w:r>
      <w:r w:rsidRPr="00C945E2">
        <w:t>m (</w:t>
      </w:r>
      <w:r w:rsidR="00A8368C" w:rsidRPr="00C945E2">
        <w:t>as at 31</w:t>
      </w:r>
      <w:r w:rsidR="00A8368C" w:rsidRPr="00C945E2">
        <w:rPr>
          <w:vertAlign w:val="superscript"/>
        </w:rPr>
        <w:t>st</w:t>
      </w:r>
      <w:r w:rsidR="00A8368C" w:rsidRPr="00C945E2">
        <w:t xml:space="preserve"> March 2026</w:t>
      </w:r>
      <w:r w:rsidR="00EA31B5" w:rsidRPr="00C945E2">
        <w:t xml:space="preserve"> – see above</w:t>
      </w:r>
      <w:r w:rsidRPr="00C945E2">
        <w:t xml:space="preserve">), the PFCC is committed to making future payments to cover any </w:t>
      </w:r>
      <w:r w:rsidR="00F04732" w:rsidRPr="00C945E2">
        <w:t>Local Government Pension Scheme (LGPS)</w:t>
      </w:r>
      <w:r w:rsidRPr="00C945E2">
        <w:t xml:space="preserve"> pension fund deficit</w:t>
      </w:r>
      <w:r w:rsidR="00F04732" w:rsidRPr="00C945E2">
        <w:t xml:space="preserve">s.  </w:t>
      </w:r>
      <w:r w:rsidR="00A8368C" w:rsidRPr="00C945E2">
        <w:t>These are determined by the scheme actuary based on triennial valuations, the most recent of which was at 31</w:t>
      </w:r>
      <w:r w:rsidR="00A8368C" w:rsidRPr="00C945E2">
        <w:rPr>
          <w:vertAlign w:val="superscript"/>
        </w:rPr>
        <w:t>st</w:t>
      </w:r>
      <w:r w:rsidR="00A8368C" w:rsidRPr="00C945E2">
        <w:t xml:space="preserve"> March 2026, which has notably decreased the level of contributions from 2026/27.  </w:t>
      </w:r>
      <w:r w:rsidR="00F04732" w:rsidRPr="00C945E2">
        <w:t>There is also</w:t>
      </w:r>
      <w:r w:rsidRPr="00C945E2">
        <w:t xml:space="preserve"> a provision of £</w:t>
      </w:r>
      <w:r w:rsidR="00C945E2" w:rsidRPr="00C945E2">
        <w:t>2.306</w:t>
      </w:r>
      <w:r w:rsidRPr="00C945E2">
        <w:t xml:space="preserve">m </w:t>
      </w:r>
      <w:r w:rsidR="00F04732" w:rsidRPr="00C945E2">
        <w:t>and</w:t>
      </w:r>
      <w:r w:rsidRPr="00C945E2">
        <w:t xml:space="preserve"> reserves of £</w:t>
      </w:r>
      <w:r w:rsidR="00C945E2" w:rsidRPr="00C945E2">
        <w:t>1.941</w:t>
      </w:r>
      <w:r w:rsidRPr="00C945E2">
        <w:t xml:space="preserve">m to cover the risks of both the </w:t>
      </w:r>
      <w:proofErr w:type="spellStart"/>
      <w:r w:rsidRPr="00C945E2">
        <w:t>self insured</w:t>
      </w:r>
      <w:proofErr w:type="spellEnd"/>
      <w:r w:rsidRPr="00C945E2">
        <w:t xml:space="preserve"> public and employers liability claims where the PFCC’s claims handlers have advised there is a high probability of economic benefits being transferred.</w:t>
      </w:r>
    </w:p>
    <w:p w14:paraId="6C77BA6C" w14:textId="75EDAE72" w:rsidR="00B30FD4" w:rsidRPr="002F5416" w:rsidRDefault="002F5416" w:rsidP="00A8368C">
      <w:pPr>
        <w:pStyle w:val="ListParagraph"/>
      </w:pPr>
      <w:r w:rsidRPr="002F5416">
        <w:t>The PFCC has a general</w:t>
      </w:r>
      <w:r w:rsidR="00B30FD4">
        <w:t xml:space="preserve"> fund</w:t>
      </w:r>
      <w:r w:rsidRPr="002F5416">
        <w:t xml:space="preserve"> and earmarked reserves set aside to mitigate or smooth unforeseen or unexpected pressures on annual expenditure and manage the financial risks of major incidents.</w:t>
      </w:r>
    </w:p>
    <w:p w14:paraId="25F42EB7" w14:textId="6D1F3AD5" w:rsidR="00B30FD4" w:rsidRPr="002F5416" w:rsidRDefault="002F5416" w:rsidP="00A8368C">
      <w:pPr>
        <w:pStyle w:val="ListParagraph"/>
      </w:pPr>
      <w:r w:rsidRPr="002F5416">
        <w:t>The PFCC produce</w:t>
      </w:r>
      <w:r w:rsidR="00B30FD4">
        <w:t>s</w:t>
      </w:r>
      <w:r w:rsidRPr="002F5416">
        <w:t xml:space="preserve"> a </w:t>
      </w:r>
      <w:r w:rsidR="00B30FD4">
        <w:t>R</w:t>
      </w:r>
      <w:r w:rsidRPr="002F5416">
        <w:t>eserve</w:t>
      </w:r>
      <w:r w:rsidR="00B30FD4">
        <w:t>s</w:t>
      </w:r>
      <w:r w:rsidRPr="002F5416">
        <w:t xml:space="preserve"> </w:t>
      </w:r>
      <w:r w:rsidR="00B30FD4">
        <w:t>S</w:t>
      </w:r>
      <w:r w:rsidRPr="002F5416">
        <w:t xml:space="preserve">trategy alongside the Treasury Management and Capital Strategies to support the annual budget, Medium Term Financial Plan and </w:t>
      </w:r>
      <w:r w:rsidR="00B30FD4">
        <w:t>p</w:t>
      </w:r>
      <w:r w:rsidRPr="002F5416">
        <w:t>recept proposals.</w:t>
      </w:r>
    </w:p>
    <w:p w14:paraId="16817F56" w14:textId="5CFB114D" w:rsidR="002F5416" w:rsidRPr="00A8368C" w:rsidRDefault="002F5416" w:rsidP="00A8368C">
      <w:pPr>
        <w:pStyle w:val="ListParagraph"/>
      </w:pPr>
      <w:r w:rsidRPr="002F5416">
        <w:t>Further details on liabilities are also contained within the annual statement of accounts.</w:t>
      </w:r>
    </w:p>
    <w:p w14:paraId="43DC458C" w14:textId="67944A5C" w:rsidR="00B93416" w:rsidRDefault="002F5416" w:rsidP="00A8368C">
      <w:pPr>
        <w:pStyle w:val="ListParagraph"/>
      </w:pPr>
      <w:r w:rsidRPr="008645D0">
        <w:t>Due to the very long-term nature of capital expenditure and financing, the revenue budget implications of expenditure incurred in the next few years will extend for up to 5</w:t>
      </w:r>
      <w:r w:rsidR="00A8368C">
        <w:t>0</w:t>
      </w:r>
      <w:r w:rsidRPr="008645D0">
        <w:t xml:space="preserve"> years into the future.</w:t>
      </w:r>
    </w:p>
    <w:p w14:paraId="6CFA8204" w14:textId="77777777" w:rsidR="00A8368C" w:rsidRDefault="00A8368C" w:rsidP="00A8368C"/>
    <w:p w14:paraId="52CD2419" w14:textId="7B95E932" w:rsidR="002F5416" w:rsidRPr="00A155D6" w:rsidRDefault="002F5416" w:rsidP="00A73661">
      <w:pPr>
        <w:spacing w:after="120"/>
        <w:rPr>
          <w:rFonts w:cstheme="minorHAnsi"/>
          <w:b/>
          <w:bCs/>
        </w:rPr>
      </w:pPr>
      <w:r w:rsidRPr="00A155D6">
        <w:rPr>
          <w:rFonts w:cstheme="minorHAnsi"/>
          <w:b/>
          <w:bCs/>
        </w:rPr>
        <w:t>Knowledge and Skills</w:t>
      </w:r>
    </w:p>
    <w:p w14:paraId="3C891AB5" w14:textId="3AE98DF6" w:rsidR="00A155D6" w:rsidRPr="002F5416" w:rsidRDefault="002F5416" w:rsidP="00A8368C">
      <w:pPr>
        <w:pStyle w:val="ListParagraph"/>
      </w:pPr>
      <w:r w:rsidRPr="002F5416">
        <w:t>The PFCC / Force employs professionally qualified and experienced staff in senior positions with responsibility for making capital expenditure, borrowing and investment decisions.</w:t>
      </w:r>
    </w:p>
    <w:p w14:paraId="790112A8" w14:textId="2C4A3943" w:rsidR="00250ED3" w:rsidRPr="002F5416" w:rsidRDefault="002F5416" w:rsidP="0012005A">
      <w:pPr>
        <w:pStyle w:val="ListParagraph"/>
      </w:pPr>
      <w:r w:rsidRPr="002F5416">
        <w:t>Where staff do not have the knowledge and skills required, use is made of external advis</w:t>
      </w:r>
      <w:r w:rsidR="007A4F78">
        <w:t>o</w:t>
      </w:r>
      <w:r w:rsidRPr="002F5416">
        <w:t xml:space="preserve">rs and consultants that are specialists in their field. </w:t>
      </w:r>
      <w:r w:rsidR="00A155D6">
        <w:t xml:space="preserve"> </w:t>
      </w:r>
      <w:r w:rsidRPr="002F5416">
        <w:t xml:space="preserve">The PFCC currently contracts </w:t>
      </w:r>
      <w:r w:rsidR="00915EE6">
        <w:t>MUFG</w:t>
      </w:r>
      <w:r w:rsidRPr="002F5416">
        <w:t xml:space="preserve"> as treasury management advis</w:t>
      </w:r>
      <w:r w:rsidR="00A155D6">
        <w:t>o</w:t>
      </w:r>
      <w:r w:rsidRPr="002F5416">
        <w:t xml:space="preserve">rs. </w:t>
      </w:r>
      <w:r w:rsidR="00A155D6">
        <w:t xml:space="preserve"> </w:t>
      </w:r>
      <w:r w:rsidRPr="002F5416">
        <w:t>This approach is more cost effective than employing such staff directly, and ensures that the PFCC / Force has access to knowledge and skills commensurate with its risk appetite.</w:t>
      </w:r>
    </w:p>
    <w:sectPr w:rsidR="00250ED3" w:rsidRPr="002F5416" w:rsidSect="00D876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7402" w14:textId="77777777" w:rsidR="008C7778" w:rsidRDefault="008C7778" w:rsidP="00027BEB">
      <w:r>
        <w:separator/>
      </w:r>
    </w:p>
  </w:endnote>
  <w:endnote w:type="continuationSeparator" w:id="0">
    <w:p w14:paraId="6454B81B" w14:textId="77777777" w:rsidR="008C7778" w:rsidRDefault="008C7778" w:rsidP="000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9F79" w14:textId="088CED52" w:rsidR="00D87668" w:rsidRDefault="00D87668">
    <w:pPr>
      <w:pStyle w:val="Footer"/>
    </w:pPr>
    <w:r>
      <w:rPr>
        <w:noProof/>
      </w:rPr>
      <w:drawing>
        <wp:anchor distT="0" distB="0" distL="114300" distR="114300" simplePos="0" relativeHeight="251658240" behindDoc="0" locked="0" layoutInCell="1" allowOverlap="1" wp14:anchorId="7B4C5841" wp14:editId="7AD49A17">
          <wp:simplePos x="0" y="0"/>
          <wp:positionH relativeFrom="page">
            <wp:posOffset>-2540</wp:posOffset>
          </wp:positionH>
          <wp:positionV relativeFrom="margin">
            <wp:posOffset>8781728</wp:posOffset>
          </wp:positionV>
          <wp:extent cx="7560310" cy="981710"/>
          <wp:effectExtent l="0" t="0" r="2540" b="889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90809"/>
                  <a:stretch/>
                </pic:blipFill>
                <pic:spPr bwMode="auto">
                  <a:xfrm>
                    <a:off x="0" y="0"/>
                    <a:ext cx="7560310" cy="981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8E90" w14:textId="77777777" w:rsidR="008C7778" w:rsidRDefault="008C7778" w:rsidP="00027BEB">
      <w:r>
        <w:separator/>
      </w:r>
    </w:p>
  </w:footnote>
  <w:footnote w:type="continuationSeparator" w:id="0">
    <w:p w14:paraId="262353A4" w14:textId="77777777" w:rsidR="008C7778" w:rsidRDefault="008C7778" w:rsidP="0002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0B"/>
    <w:multiLevelType w:val="hybridMultilevel"/>
    <w:tmpl w:val="1C88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32D4D"/>
    <w:multiLevelType w:val="hybridMultilevel"/>
    <w:tmpl w:val="41D05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C74C83"/>
    <w:multiLevelType w:val="multilevel"/>
    <w:tmpl w:val="ED02EF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20262"/>
    <w:multiLevelType w:val="multilevel"/>
    <w:tmpl w:val="07D4A61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BF61BD"/>
    <w:multiLevelType w:val="hybridMultilevel"/>
    <w:tmpl w:val="0C8C9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867C75"/>
    <w:multiLevelType w:val="multilevel"/>
    <w:tmpl w:val="ED02EF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2F2D74"/>
    <w:multiLevelType w:val="multilevel"/>
    <w:tmpl w:val="07D4A61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002747"/>
    <w:multiLevelType w:val="hybridMultilevel"/>
    <w:tmpl w:val="F7FC24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5456402"/>
    <w:multiLevelType w:val="hybridMultilevel"/>
    <w:tmpl w:val="4F3AD70C"/>
    <w:lvl w:ilvl="0" w:tplc="0D6C52B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6D7710"/>
    <w:multiLevelType w:val="hybridMultilevel"/>
    <w:tmpl w:val="DDCA3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F523D"/>
    <w:multiLevelType w:val="multilevel"/>
    <w:tmpl w:val="27CE78AE"/>
    <w:lvl w:ilvl="0">
      <w:start w:val="1"/>
      <w:numFmt w:val="decimal"/>
      <w:pStyle w:val="ListParagraph"/>
      <w:lvlText w:val="%1."/>
      <w:lvlJc w:val="left"/>
      <w:pPr>
        <w:ind w:left="360" w:hanging="360"/>
      </w:pPr>
      <w:rPr>
        <w:b w:val="0"/>
        <w:bCs/>
        <w:sz w:val="24"/>
        <w:szCs w:val="24"/>
      </w:rPr>
    </w:lvl>
    <w:lvl w:ilvl="1">
      <w:start w:val="1"/>
      <w:numFmt w:val="decimal"/>
      <w:pStyle w:val="sub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B06828"/>
    <w:multiLevelType w:val="hybridMultilevel"/>
    <w:tmpl w:val="39586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7581124">
    <w:abstractNumId w:val="4"/>
  </w:num>
  <w:num w:numId="2" w16cid:durableId="1480222981">
    <w:abstractNumId w:val="1"/>
  </w:num>
  <w:num w:numId="3" w16cid:durableId="41835537">
    <w:abstractNumId w:val="10"/>
  </w:num>
  <w:num w:numId="4" w16cid:durableId="585648172">
    <w:abstractNumId w:val="8"/>
  </w:num>
  <w:num w:numId="5" w16cid:durableId="503083562">
    <w:abstractNumId w:val="2"/>
  </w:num>
  <w:num w:numId="6" w16cid:durableId="1272931268">
    <w:abstractNumId w:val="5"/>
  </w:num>
  <w:num w:numId="7" w16cid:durableId="419260410">
    <w:abstractNumId w:val="6"/>
  </w:num>
  <w:num w:numId="8" w16cid:durableId="1554002466">
    <w:abstractNumId w:val="3"/>
  </w:num>
  <w:num w:numId="9" w16cid:durableId="519969445">
    <w:abstractNumId w:val="7"/>
  </w:num>
  <w:num w:numId="10" w16cid:durableId="290599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426680">
    <w:abstractNumId w:val="11"/>
  </w:num>
  <w:num w:numId="12" w16cid:durableId="293566168">
    <w:abstractNumId w:val="0"/>
  </w:num>
  <w:num w:numId="13" w16cid:durableId="900479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68"/>
    <w:rsid w:val="00007863"/>
    <w:rsid w:val="00027BEB"/>
    <w:rsid w:val="000A598F"/>
    <w:rsid w:val="000F7A16"/>
    <w:rsid w:val="0012005A"/>
    <w:rsid w:val="00132E23"/>
    <w:rsid w:val="00166ED4"/>
    <w:rsid w:val="00184136"/>
    <w:rsid w:val="001E1BE7"/>
    <w:rsid w:val="00250ED3"/>
    <w:rsid w:val="00262E6E"/>
    <w:rsid w:val="00280B04"/>
    <w:rsid w:val="002B0FE2"/>
    <w:rsid w:val="002F1DDD"/>
    <w:rsid w:val="002F5416"/>
    <w:rsid w:val="0036463E"/>
    <w:rsid w:val="003D667E"/>
    <w:rsid w:val="003D72A6"/>
    <w:rsid w:val="0045600D"/>
    <w:rsid w:val="00473322"/>
    <w:rsid w:val="004A3C14"/>
    <w:rsid w:val="004B2F16"/>
    <w:rsid w:val="004C76A7"/>
    <w:rsid w:val="004D09FC"/>
    <w:rsid w:val="004E31EC"/>
    <w:rsid w:val="005203CC"/>
    <w:rsid w:val="005C0B3C"/>
    <w:rsid w:val="005F7FC8"/>
    <w:rsid w:val="00613A00"/>
    <w:rsid w:val="006159E1"/>
    <w:rsid w:val="006278E2"/>
    <w:rsid w:val="006936E6"/>
    <w:rsid w:val="006A6EC6"/>
    <w:rsid w:val="006C5E00"/>
    <w:rsid w:val="006D1FDB"/>
    <w:rsid w:val="00700D1B"/>
    <w:rsid w:val="00711538"/>
    <w:rsid w:val="00747DE3"/>
    <w:rsid w:val="0076588B"/>
    <w:rsid w:val="0079394C"/>
    <w:rsid w:val="007A4F78"/>
    <w:rsid w:val="008645D0"/>
    <w:rsid w:val="008A7AAB"/>
    <w:rsid w:val="008C7778"/>
    <w:rsid w:val="00915EE6"/>
    <w:rsid w:val="009A59FF"/>
    <w:rsid w:val="009B0A4B"/>
    <w:rsid w:val="009F35DB"/>
    <w:rsid w:val="009F5DFB"/>
    <w:rsid w:val="00A155D6"/>
    <w:rsid w:val="00A17E78"/>
    <w:rsid w:val="00A222C9"/>
    <w:rsid w:val="00A64421"/>
    <w:rsid w:val="00A73661"/>
    <w:rsid w:val="00A81605"/>
    <w:rsid w:val="00A8368C"/>
    <w:rsid w:val="00AB1874"/>
    <w:rsid w:val="00AB3E2E"/>
    <w:rsid w:val="00B10231"/>
    <w:rsid w:val="00B30FD4"/>
    <w:rsid w:val="00B93416"/>
    <w:rsid w:val="00BB1C05"/>
    <w:rsid w:val="00C1309C"/>
    <w:rsid w:val="00C23332"/>
    <w:rsid w:val="00C57797"/>
    <w:rsid w:val="00C90501"/>
    <w:rsid w:val="00C945E2"/>
    <w:rsid w:val="00CC4D5C"/>
    <w:rsid w:val="00D11861"/>
    <w:rsid w:val="00D545E0"/>
    <w:rsid w:val="00D87668"/>
    <w:rsid w:val="00DA0506"/>
    <w:rsid w:val="00DD3B9D"/>
    <w:rsid w:val="00E529A5"/>
    <w:rsid w:val="00E71B2C"/>
    <w:rsid w:val="00EA31B5"/>
    <w:rsid w:val="00EB0380"/>
    <w:rsid w:val="00F04732"/>
    <w:rsid w:val="00F436C6"/>
    <w:rsid w:val="00F51044"/>
    <w:rsid w:val="00FA6B0F"/>
    <w:rsid w:val="00FC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55E8"/>
  <w15:chartTrackingRefBased/>
  <w15:docId w15:val="{089D1BF9-01B9-4C94-8C59-4C7A8F8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68"/>
    <w:rPr>
      <w:rFonts w:eastAsiaTheme="minorEastAsia"/>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BEB"/>
    <w:rPr>
      <w:color w:val="0563C1" w:themeColor="hyperlink"/>
      <w:u w:val="single"/>
    </w:rPr>
  </w:style>
  <w:style w:type="character" w:styleId="UnresolvedMention">
    <w:name w:val="Unresolved Mention"/>
    <w:basedOn w:val="DefaultParagraphFont"/>
    <w:uiPriority w:val="99"/>
    <w:semiHidden/>
    <w:unhideWhenUsed/>
    <w:rsid w:val="00027BEB"/>
    <w:rPr>
      <w:color w:val="605E5C"/>
      <w:shd w:val="clear" w:color="auto" w:fill="E1DFDD"/>
    </w:rPr>
  </w:style>
  <w:style w:type="paragraph" w:styleId="Header">
    <w:name w:val="header"/>
    <w:basedOn w:val="Normal"/>
    <w:link w:val="HeaderChar"/>
    <w:uiPriority w:val="99"/>
    <w:unhideWhenUsed/>
    <w:rsid w:val="00D87668"/>
    <w:pPr>
      <w:tabs>
        <w:tab w:val="center" w:pos="4513"/>
        <w:tab w:val="right" w:pos="9026"/>
      </w:tabs>
    </w:pPr>
    <w:rPr>
      <w:rFonts w:eastAsiaTheme="minorHAnsi"/>
      <w:bCs/>
    </w:rPr>
  </w:style>
  <w:style w:type="character" w:customStyle="1" w:styleId="HeaderChar">
    <w:name w:val="Header Char"/>
    <w:basedOn w:val="DefaultParagraphFont"/>
    <w:link w:val="Header"/>
    <w:uiPriority w:val="99"/>
    <w:rsid w:val="00D87668"/>
  </w:style>
  <w:style w:type="paragraph" w:styleId="Footer">
    <w:name w:val="footer"/>
    <w:basedOn w:val="Normal"/>
    <w:link w:val="FooterChar"/>
    <w:uiPriority w:val="99"/>
    <w:unhideWhenUsed/>
    <w:rsid w:val="00D87668"/>
    <w:pPr>
      <w:tabs>
        <w:tab w:val="center" w:pos="4513"/>
        <w:tab w:val="right" w:pos="9026"/>
      </w:tabs>
    </w:pPr>
    <w:rPr>
      <w:rFonts w:eastAsiaTheme="minorHAnsi"/>
      <w:bCs/>
    </w:rPr>
  </w:style>
  <w:style w:type="character" w:customStyle="1" w:styleId="FooterChar">
    <w:name w:val="Footer Char"/>
    <w:basedOn w:val="DefaultParagraphFont"/>
    <w:link w:val="Footer"/>
    <w:uiPriority w:val="99"/>
    <w:rsid w:val="00D87668"/>
  </w:style>
  <w:style w:type="table" w:styleId="TableGrid">
    <w:name w:val="Table Grid"/>
    <w:basedOn w:val="TableNormal"/>
    <w:uiPriority w:val="39"/>
    <w:rsid w:val="002F5416"/>
    <w:rPr>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5416"/>
    <w:rPr>
      <w:sz w:val="16"/>
      <w:szCs w:val="16"/>
    </w:rPr>
  </w:style>
  <w:style w:type="paragraph" w:styleId="CommentText">
    <w:name w:val="annotation text"/>
    <w:basedOn w:val="Normal"/>
    <w:link w:val="CommentTextChar"/>
    <w:uiPriority w:val="99"/>
    <w:semiHidden/>
    <w:unhideWhenUsed/>
    <w:rsid w:val="002F5416"/>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2F5416"/>
    <w:rPr>
      <w:bCs w:val="0"/>
      <w:sz w:val="20"/>
      <w:szCs w:val="20"/>
    </w:rPr>
  </w:style>
  <w:style w:type="paragraph" w:styleId="ListParagraph">
    <w:name w:val="List Paragraph"/>
    <w:basedOn w:val="Normal"/>
    <w:link w:val="ListParagraphChar"/>
    <w:uiPriority w:val="34"/>
    <w:qFormat/>
    <w:rsid w:val="0012005A"/>
    <w:pPr>
      <w:numPr>
        <w:numId w:val="3"/>
      </w:numPr>
      <w:spacing w:after="240" w:line="259" w:lineRule="auto"/>
      <w:ind w:left="567" w:hanging="567"/>
      <w:jc w:val="both"/>
    </w:pPr>
    <w:rPr>
      <w:rFonts w:eastAsiaTheme="minorHAnsi" w:cstheme="minorHAnsi"/>
    </w:rPr>
  </w:style>
  <w:style w:type="paragraph" w:styleId="CommentSubject">
    <w:name w:val="annotation subject"/>
    <w:basedOn w:val="CommentText"/>
    <w:next w:val="CommentText"/>
    <w:link w:val="CommentSubjectChar"/>
    <w:uiPriority w:val="99"/>
    <w:semiHidden/>
    <w:unhideWhenUsed/>
    <w:rsid w:val="00C90501"/>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90501"/>
    <w:rPr>
      <w:rFonts w:eastAsiaTheme="minorEastAsia"/>
      <w:b/>
      <w:bCs/>
      <w:sz w:val="20"/>
      <w:szCs w:val="20"/>
    </w:rPr>
  </w:style>
  <w:style w:type="character" w:customStyle="1" w:styleId="ListParagraphChar">
    <w:name w:val="List Paragraph Char"/>
    <w:basedOn w:val="DefaultParagraphFont"/>
    <w:link w:val="ListParagraph"/>
    <w:uiPriority w:val="34"/>
    <w:rsid w:val="0012005A"/>
    <w:rPr>
      <w:rFonts w:cstheme="minorHAnsi"/>
      <w:bCs w:val="0"/>
    </w:rPr>
  </w:style>
  <w:style w:type="paragraph" w:styleId="Revision">
    <w:name w:val="Revision"/>
    <w:hidden/>
    <w:uiPriority w:val="99"/>
    <w:semiHidden/>
    <w:rsid w:val="004B2F16"/>
    <w:rPr>
      <w:rFonts w:eastAsiaTheme="minorEastAsia"/>
      <w:bCs w:val="0"/>
    </w:rPr>
  </w:style>
  <w:style w:type="paragraph" w:customStyle="1" w:styleId="subpara">
    <w:name w:val="sub para"/>
    <w:basedOn w:val="ListParagraph"/>
    <w:link w:val="subparaChar"/>
    <w:qFormat/>
    <w:rsid w:val="0012005A"/>
    <w:pPr>
      <w:numPr>
        <w:ilvl w:val="1"/>
      </w:numPr>
      <w:ind w:left="1134" w:hanging="567"/>
      <w:contextualSpacing/>
    </w:pPr>
  </w:style>
  <w:style w:type="character" w:customStyle="1" w:styleId="subparaChar">
    <w:name w:val="sub para Char"/>
    <w:basedOn w:val="ListParagraphChar"/>
    <w:link w:val="subpara"/>
    <w:rsid w:val="0012005A"/>
    <w:rPr>
      <w:rFonts w:cstheme="minorHAnsi"/>
      <w:bCs w:val="0"/>
    </w:rPr>
  </w:style>
  <w:style w:type="paragraph" w:customStyle="1" w:styleId="SubPara0">
    <w:name w:val="Sub Para"/>
    <w:basedOn w:val="ListParagraph"/>
    <w:link w:val="SubParaChar0"/>
    <w:qFormat/>
    <w:rsid w:val="006A6EC6"/>
    <w:pPr>
      <w:numPr>
        <w:numId w:val="0"/>
      </w:numPr>
      <w:tabs>
        <w:tab w:val="num" w:pos="360"/>
      </w:tabs>
      <w:spacing w:after="120"/>
      <w:ind w:left="1276" w:hanging="715"/>
      <w:contextualSpacing/>
    </w:pPr>
  </w:style>
  <w:style w:type="paragraph" w:styleId="NoSpacing">
    <w:name w:val="No Spacing"/>
    <w:uiPriority w:val="1"/>
    <w:qFormat/>
    <w:rsid w:val="008A7AAB"/>
    <w:rPr>
      <w:rFonts w:eastAsiaTheme="minorEastAsia"/>
      <w:bCs w:val="0"/>
    </w:rPr>
  </w:style>
  <w:style w:type="character" w:customStyle="1" w:styleId="SubParaChar0">
    <w:name w:val="Sub Para Char"/>
    <w:basedOn w:val="ListParagraphChar"/>
    <w:link w:val="SubPara0"/>
    <w:rsid w:val="00747DE3"/>
    <w:rPr>
      <w:rFonts w:cstheme="minorHAns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947">
      <w:bodyDiv w:val="1"/>
      <w:marLeft w:val="0"/>
      <w:marRight w:val="0"/>
      <w:marTop w:val="0"/>
      <w:marBottom w:val="0"/>
      <w:divBdr>
        <w:top w:val="none" w:sz="0" w:space="0" w:color="auto"/>
        <w:left w:val="none" w:sz="0" w:space="0" w:color="auto"/>
        <w:bottom w:val="none" w:sz="0" w:space="0" w:color="auto"/>
        <w:right w:val="none" w:sz="0" w:space="0" w:color="auto"/>
      </w:divBdr>
    </w:div>
    <w:div w:id="128867069">
      <w:bodyDiv w:val="1"/>
      <w:marLeft w:val="0"/>
      <w:marRight w:val="0"/>
      <w:marTop w:val="0"/>
      <w:marBottom w:val="0"/>
      <w:divBdr>
        <w:top w:val="none" w:sz="0" w:space="0" w:color="auto"/>
        <w:left w:val="none" w:sz="0" w:space="0" w:color="auto"/>
        <w:bottom w:val="none" w:sz="0" w:space="0" w:color="auto"/>
        <w:right w:val="none" w:sz="0" w:space="0" w:color="auto"/>
      </w:divBdr>
    </w:div>
    <w:div w:id="498665693">
      <w:bodyDiv w:val="1"/>
      <w:marLeft w:val="0"/>
      <w:marRight w:val="0"/>
      <w:marTop w:val="0"/>
      <w:marBottom w:val="0"/>
      <w:divBdr>
        <w:top w:val="none" w:sz="0" w:space="0" w:color="auto"/>
        <w:left w:val="none" w:sz="0" w:space="0" w:color="auto"/>
        <w:bottom w:val="none" w:sz="0" w:space="0" w:color="auto"/>
        <w:right w:val="none" w:sz="0" w:space="0" w:color="auto"/>
      </w:divBdr>
    </w:div>
    <w:div w:id="500774857">
      <w:bodyDiv w:val="1"/>
      <w:marLeft w:val="0"/>
      <w:marRight w:val="0"/>
      <w:marTop w:val="0"/>
      <w:marBottom w:val="0"/>
      <w:divBdr>
        <w:top w:val="none" w:sz="0" w:space="0" w:color="auto"/>
        <w:left w:val="none" w:sz="0" w:space="0" w:color="auto"/>
        <w:bottom w:val="none" w:sz="0" w:space="0" w:color="auto"/>
        <w:right w:val="none" w:sz="0" w:space="0" w:color="auto"/>
      </w:divBdr>
    </w:div>
    <w:div w:id="544605626">
      <w:bodyDiv w:val="1"/>
      <w:marLeft w:val="0"/>
      <w:marRight w:val="0"/>
      <w:marTop w:val="0"/>
      <w:marBottom w:val="0"/>
      <w:divBdr>
        <w:top w:val="none" w:sz="0" w:space="0" w:color="auto"/>
        <w:left w:val="none" w:sz="0" w:space="0" w:color="auto"/>
        <w:bottom w:val="none" w:sz="0" w:space="0" w:color="auto"/>
        <w:right w:val="none" w:sz="0" w:space="0" w:color="auto"/>
      </w:divBdr>
    </w:div>
    <w:div w:id="911547645">
      <w:bodyDiv w:val="1"/>
      <w:marLeft w:val="0"/>
      <w:marRight w:val="0"/>
      <w:marTop w:val="0"/>
      <w:marBottom w:val="0"/>
      <w:divBdr>
        <w:top w:val="none" w:sz="0" w:space="0" w:color="auto"/>
        <w:left w:val="none" w:sz="0" w:space="0" w:color="auto"/>
        <w:bottom w:val="none" w:sz="0" w:space="0" w:color="auto"/>
        <w:right w:val="none" w:sz="0" w:space="0" w:color="auto"/>
      </w:divBdr>
    </w:div>
    <w:div w:id="1168447260">
      <w:bodyDiv w:val="1"/>
      <w:marLeft w:val="0"/>
      <w:marRight w:val="0"/>
      <w:marTop w:val="0"/>
      <w:marBottom w:val="0"/>
      <w:divBdr>
        <w:top w:val="none" w:sz="0" w:space="0" w:color="auto"/>
        <w:left w:val="none" w:sz="0" w:space="0" w:color="auto"/>
        <w:bottom w:val="none" w:sz="0" w:space="0" w:color="auto"/>
        <w:right w:val="none" w:sz="0" w:space="0" w:color="auto"/>
      </w:divBdr>
    </w:div>
    <w:div w:id="1329401483">
      <w:bodyDiv w:val="1"/>
      <w:marLeft w:val="0"/>
      <w:marRight w:val="0"/>
      <w:marTop w:val="0"/>
      <w:marBottom w:val="0"/>
      <w:divBdr>
        <w:top w:val="none" w:sz="0" w:space="0" w:color="auto"/>
        <w:left w:val="none" w:sz="0" w:space="0" w:color="auto"/>
        <w:bottom w:val="none" w:sz="0" w:space="0" w:color="auto"/>
        <w:right w:val="none" w:sz="0" w:space="0" w:color="auto"/>
      </w:divBdr>
    </w:div>
    <w:div w:id="1388650375">
      <w:bodyDiv w:val="1"/>
      <w:marLeft w:val="0"/>
      <w:marRight w:val="0"/>
      <w:marTop w:val="0"/>
      <w:marBottom w:val="0"/>
      <w:divBdr>
        <w:top w:val="none" w:sz="0" w:space="0" w:color="auto"/>
        <w:left w:val="none" w:sz="0" w:space="0" w:color="auto"/>
        <w:bottom w:val="none" w:sz="0" w:space="0" w:color="auto"/>
        <w:right w:val="none" w:sz="0" w:space="0" w:color="auto"/>
      </w:divBdr>
    </w:div>
    <w:div w:id="1581938038">
      <w:bodyDiv w:val="1"/>
      <w:marLeft w:val="0"/>
      <w:marRight w:val="0"/>
      <w:marTop w:val="0"/>
      <w:marBottom w:val="0"/>
      <w:divBdr>
        <w:top w:val="none" w:sz="0" w:space="0" w:color="auto"/>
        <w:left w:val="none" w:sz="0" w:space="0" w:color="auto"/>
        <w:bottom w:val="none" w:sz="0" w:space="0" w:color="auto"/>
        <w:right w:val="none" w:sz="0" w:space="0" w:color="auto"/>
      </w:divBdr>
    </w:div>
    <w:div w:id="16273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9</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Langford Denise</dc:creator>
  <cp:keywords/>
  <dc:description/>
  <cp:lastModifiedBy>Ashcroft Vaughan</cp:lastModifiedBy>
  <cp:revision>9</cp:revision>
  <dcterms:created xsi:type="dcterms:W3CDTF">2025-07-23T14:02:00Z</dcterms:created>
  <dcterms:modified xsi:type="dcterms:W3CDTF">2026-04-30T07:27:00Z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2021-12-21T14:58:21.5352645Z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